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2B" w:rsidRPr="00DE6BF0" w:rsidRDefault="005920BE" w:rsidP="007F46FD">
      <w:pPr>
        <w:pStyle w:val="Title"/>
        <w:rPr>
          <w:lang w:val="en-AU"/>
        </w:rPr>
      </w:pPr>
      <w:bookmarkStart w:id="0" w:name="_GoBack"/>
      <w:bookmarkEnd w:id="0"/>
      <w:r w:rsidRPr="00DE6BF0">
        <w:rPr>
          <w:lang w:val="en-AU"/>
        </w:rPr>
        <w:t>JAKAVI</w:t>
      </w:r>
      <w:r w:rsidR="00F22127" w:rsidRPr="00DE6BF0">
        <w:rPr>
          <w:rFonts w:ascii="Times New Roman Bold" w:hAnsi="Times New Roman Bold"/>
          <w:szCs w:val="34"/>
          <w:vertAlign w:val="superscript"/>
          <w:lang w:val="en-AU"/>
        </w:rPr>
        <w:sym w:font="Symbol" w:char="F0D2"/>
      </w:r>
      <w:r w:rsidR="00F22127" w:rsidRPr="00DE6BF0">
        <w:rPr>
          <w:rFonts w:ascii="Times New Roman Bold" w:hAnsi="Times New Roman Bold"/>
          <w:szCs w:val="34"/>
          <w:vertAlign w:val="superscript"/>
          <w:lang w:val="en-AU"/>
        </w:rPr>
        <w:t xml:space="preserve"> </w:t>
      </w:r>
      <w:r w:rsidR="00F22127" w:rsidRPr="00DE6BF0">
        <w:rPr>
          <w:lang w:val="en-AU"/>
        </w:rPr>
        <w:t xml:space="preserve"> </w:t>
      </w:r>
    </w:p>
    <w:p w:rsidR="00FA4F37" w:rsidRPr="00DE6BF0" w:rsidRDefault="005920BE" w:rsidP="007F46FD">
      <w:pPr>
        <w:pStyle w:val="Subtitle"/>
        <w:rPr>
          <w:lang w:val="en-AU"/>
        </w:rPr>
      </w:pPr>
      <w:proofErr w:type="spellStart"/>
      <w:r w:rsidRPr="00DE6BF0">
        <w:rPr>
          <w:lang w:val="en-AU"/>
        </w:rPr>
        <w:t>Ruxolitinib</w:t>
      </w:r>
      <w:proofErr w:type="spellEnd"/>
    </w:p>
    <w:p w:rsidR="006D0C74" w:rsidRPr="00DE6BF0" w:rsidRDefault="00F22127" w:rsidP="007C7566">
      <w:pPr>
        <w:rPr>
          <w:lang w:val="en-AU"/>
        </w:rPr>
      </w:pPr>
      <w:r w:rsidRPr="00DE6BF0">
        <w:rPr>
          <w:lang w:val="en-AU"/>
        </w:rPr>
        <w:t xml:space="preserve">NAME OF THE </w:t>
      </w:r>
      <w:r w:rsidR="007F46FD" w:rsidRPr="00DE6BF0">
        <w:rPr>
          <w:lang w:val="en-AU"/>
        </w:rPr>
        <w:t>MEDICINE</w:t>
      </w:r>
    </w:p>
    <w:p w:rsidR="00B82375" w:rsidRPr="00DE6BF0" w:rsidRDefault="00F22127" w:rsidP="007F46FD">
      <w:pPr>
        <w:rPr>
          <w:lang w:val="en-AU"/>
        </w:rPr>
      </w:pPr>
      <w:r w:rsidRPr="00DE6BF0">
        <w:rPr>
          <w:lang w:val="en-AU"/>
        </w:rPr>
        <w:t>Structural formula:</w:t>
      </w:r>
    </w:p>
    <w:p w:rsidR="005920BE" w:rsidRPr="00DE6BF0" w:rsidRDefault="0090440F" w:rsidP="007F46FD">
      <w:pPr>
        <w:rPr>
          <w:lang w:val="en-AU"/>
        </w:rPr>
      </w:pPr>
      <w:r>
        <w:rPr>
          <w:noProof/>
          <w:lang w:val="en-AU" w:eastAsia="en-AU"/>
        </w:rPr>
        <w:drawing>
          <wp:inline distT="0" distB="0" distL="0" distR="0">
            <wp:extent cx="22098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438275"/>
                    </a:xfrm>
                    <a:prstGeom prst="rect">
                      <a:avLst/>
                    </a:prstGeom>
                    <a:noFill/>
                    <a:ln>
                      <a:noFill/>
                    </a:ln>
                  </pic:spPr>
                </pic:pic>
              </a:graphicData>
            </a:graphic>
          </wp:inline>
        </w:drawing>
      </w:r>
    </w:p>
    <w:p w:rsidR="00495E92" w:rsidRPr="00DE6BF0" w:rsidRDefault="00495E92" w:rsidP="00495E92">
      <w:pPr>
        <w:tabs>
          <w:tab w:val="clear" w:pos="-720"/>
          <w:tab w:val="clear" w:pos="0"/>
          <w:tab w:val="clear" w:pos="720"/>
          <w:tab w:val="clear" w:pos="1440"/>
          <w:tab w:val="clear" w:pos="2160"/>
          <w:tab w:val="clear" w:pos="2880"/>
          <w:tab w:val="clear" w:pos="3600"/>
          <w:tab w:val="clear" w:pos="4320"/>
        </w:tabs>
        <w:spacing w:before="0" w:line="240" w:lineRule="auto"/>
        <w:jc w:val="left"/>
        <w:rPr>
          <w:b w:val="0"/>
          <w:lang w:val="en-AU"/>
        </w:rPr>
      </w:pPr>
    </w:p>
    <w:p w:rsidR="00B82375" w:rsidRPr="00DE6BF0" w:rsidRDefault="00495E92" w:rsidP="00495E92">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20"/>
          <w:szCs w:val="20"/>
          <w:lang w:val="en-AU"/>
        </w:rPr>
      </w:pPr>
      <w:r w:rsidRPr="00DE6BF0">
        <w:rPr>
          <w:b w:val="0"/>
          <w:lang w:val="en-AU"/>
        </w:rPr>
        <w:t xml:space="preserve">The active ingredient of </w:t>
      </w:r>
      <w:proofErr w:type="spellStart"/>
      <w:r w:rsidRPr="00DE6BF0">
        <w:rPr>
          <w:b w:val="0"/>
          <w:lang w:val="en-AU"/>
        </w:rPr>
        <w:t>Jakavi</w:t>
      </w:r>
      <w:proofErr w:type="spellEnd"/>
      <w:r w:rsidRPr="00DE6BF0">
        <w:rPr>
          <w:b w:val="0"/>
          <w:lang w:val="en-AU"/>
        </w:rPr>
        <w:t xml:space="preserve"> is </w:t>
      </w:r>
      <w:proofErr w:type="spellStart"/>
      <w:r w:rsidRPr="00DE6BF0">
        <w:rPr>
          <w:b w:val="0"/>
          <w:lang w:val="en-AU"/>
        </w:rPr>
        <w:t>ruxolitinib</w:t>
      </w:r>
      <w:proofErr w:type="spellEnd"/>
      <w:r w:rsidRPr="00DE6BF0">
        <w:rPr>
          <w:b w:val="0"/>
          <w:lang w:val="en-AU"/>
        </w:rPr>
        <w:t xml:space="preserve"> (as the phosphate salt) or (</w:t>
      </w:r>
      <w:r w:rsidRPr="00DE6BF0">
        <w:rPr>
          <w:b w:val="0"/>
          <w:i/>
          <w:iCs/>
          <w:lang w:val="en-AU"/>
        </w:rPr>
        <w:t>R</w:t>
      </w:r>
      <w:r w:rsidRPr="00DE6BF0">
        <w:rPr>
          <w:b w:val="0"/>
          <w:lang w:val="en-AU"/>
        </w:rPr>
        <w:t>)-3-(4-(7</w:t>
      </w:r>
      <w:r w:rsidRPr="00DE6BF0">
        <w:rPr>
          <w:b w:val="0"/>
          <w:i/>
          <w:iCs/>
          <w:lang w:val="en-AU"/>
        </w:rPr>
        <w:t>H</w:t>
      </w:r>
      <w:r w:rsidRPr="00DE6BF0">
        <w:rPr>
          <w:b w:val="0"/>
          <w:lang w:val="en-AU"/>
        </w:rPr>
        <w:t>-</w:t>
      </w:r>
      <w:proofErr w:type="gramStart"/>
      <w:r w:rsidRPr="00DE6BF0">
        <w:rPr>
          <w:b w:val="0"/>
          <w:lang w:val="en-AU"/>
        </w:rPr>
        <w:t>Pyrrolo[</w:t>
      </w:r>
      <w:proofErr w:type="gramEnd"/>
      <w:r w:rsidRPr="00DE6BF0">
        <w:rPr>
          <w:b w:val="0"/>
          <w:lang w:val="en-AU"/>
        </w:rPr>
        <w:t>2,3-</w:t>
      </w:r>
      <w:r w:rsidRPr="00DE6BF0">
        <w:rPr>
          <w:b w:val="0"/>
          <w:i/>
          <w:iCs/>
          <w:lang w:val="en-AU"/>
        </w:rPr>
        <w:t>d</w:t>
      </w:r>
      <w:r w:rsidRPr="00DE6BF0">
        <w:rPr>
          <w:b w:val="0"/>
          <w:lang w:val="en-AU"/>
        </w:rPr>
        <w:t>]pyrimidin-4-yl)-1</w:t>
      </w:r>
      <w:r w:rsidRPr="00DE6BF0">
        <w:rPr>
          <w:b w:val="0"/>
          <w:i/>
          <w:iCs/>
          <w:lang w:val="en-AU"/>
        </w:rPr>
        <w:t>H</w:t>
      </w:r>
      <w:r w:rsidRPr="00DE6BF0">
        <w:rPr>
          <w:b w:val="0"/>
          <w:lang w:val="en-AU"/>
        </w:rPr>
        <w:t>-pyrazol-1-yl)-3-cyclopentylpropanenitrile phosphate</w:t>
      </w:r>
    </w:p>
    <w:p w:rsidR="00FA4F37" w:rsidRPr="00DE6BF0" w:rsidRDefault="00A6140A" w:rsidP="00495E92">
      <w:pPr>
        <w:tabs>
          <w:tab w:val="clear" w:pos="-720"/>
          <w:tab w:val="clear" w:pos="720"/>
          <w:tab w:val="clear" w:pos="1440"/>
          <w:tab w:val="clear" w:pos="2160"/>
          <w:tab w:val="clear" w:pos="2880"/>
          <w:tab w:val="clear" w:pos="3600"/>
          <w:tab w:val="clear" w:pos="4320"/>
        </w:tabs>
        <w:rPr>
          <w:lang w:val="en-AU"/>
        </w:rPr>
      </w:pPr>
      <w:r w:rsidRPr="00DE6BF0">
        <w:rPr>
          <w:lang w:val="en-AU"/>
        </w:rPr>
        <w:t>INN:</w:t>
      </w:r>
      <w:r w:rsidRPr="00DE6BF0">
        <w:rPr>
          <w:lang w:val="en-AU"/>
        </w:rPr>
        <w:tab/>
      </w:r>
      <w:r w:rsidRPr="00DE6BF0">
        <w:rPr>
          <w:lang w:val="en-AU"/>
        </w:rPr>
        <w:tab/>
      </w:r>
      <w:r w:rsidRPr="00DE6BF0">
        <w:rPr>
          <w:lang w:val="en-AU"/>
        </w:rPr>
        <w:tab/>
      </w:r>
      <w:r w:rsidRPr="00DE6BF0">
        <w:rPr>
          <w:lang w:val="en-AU"/>
        </w:rPr>
        <w:tab/>
      </w:r>
      <w:proofErr w:type="spellStart"/>
      <w:r w:rsidR="00495E92" w:rsidRPr="00DE6BF0">
        <w:rPr>
          <w:b w:val="0"/>
          <w:lang w:val="en-AU"/>
        </w:rPr>
        <w:t>ruxolitinib</w:t>
      </w:r>
      <w:proofErr w:type="spellEnd"/>
      <w:r w:rsidR="00F22127" w:rsidRPr="00DE6BF0">
        <w:rPr>
          <w:b w:val="0"/>
          <w:lang w:val="en-AU"/>
        </w:rPr>
        <w:tab/>
      </w:r>
      <w:r w:rsidR="00F22127" w:rsidRPr="00DE6BF0">
        <w:rPr>
          <w:lang w:val="en-AU"/>
        </w:rPr>
        <w:tab/>
      </w:r>
      <w:r w:rsidR="00F22127" w:rsidRPr="00DE6BF0">
        <w:rPr>
          <w:lang w:val="en-AU"/>
        </w:rPr>
        <w:tab/>
      </w:r>
    </w:p>
    <w:p w:rsidR="00E61538" w:rsidRDefault="00F22127" w:rsidP="00A6140A">
      <w:pPr>
        <w:tabs>
          <w:tab w:val="clear" w:pos="-720"/>
          <w:tab w:val="clear" w:pos="720"/>
          <w:tab w:val="clear" w:pos="1440"/>
          <w:tab w:val="clear" w:pos="2160"/>
          <w:tab w:val="clear" w:pos="2880"/>
          <w:tab w:val="clear" w:pos="3600"/>
          <w:tab w:val="clear" w:pos="4320"/>
        </w:tabs>
        <w:ind w:left="2244" w:hanging="2244"/>
        <w:jc w:val="left"/>
        <w:rPr>
          <w:lang w:val="en-AU"/>
        </w:rPr>
      </w:pPr>
      <w:smartTag w:uri="urn:schemas-microsoft-com:office:smarttags" w:element="stockticker">
        <w:r w:rsidRPr="00DE6BF0">
          <w:rPr>
            <w:lang w:val="en-AU"/>
          </w:rPr>
          <w:t>CAS</w:t>
        </w:r>
      </w:smartTag>
      <w:r w:rsidRPr="00DE6BF0">
        <w:rPr>
          <w:lang w:val="en-AU"/>
        </w:rPr>
        <w:t xml:space="preserve"> </w:t>
      </w:r>
      <w:proofErr w:type="gramStart"/>
      <w:r w:rsidR="00495E92" w:rsidRPr="00DE6BF0">
        <w:rPr>
          <w:lang w:val="en-AU"/>
        </w:rPr>
        <w:t>name .</w:t>
      </w:r>
      <w:proofErr w:type="gramEnd"/>
      <w:r w:rsidR="00495E92" w:rsidRPr="00DE6BF0">
        <w:rPr>
          <w:lang w:val="en-AU"/>
        </w:rPr>
        <w:t>:</w:t>
      </w:r>
      <w:r w:rsidR="00A6140A" w:rsidRPr="00DE6BF0">
        <w:rPr>
          <w:lang w:val="en-AU"/>
        </w:rPr>
        <w:tab/>
      </w:r>
      <w:r w:rsidR="00495E92" w:rsidRPr="00DE6BF0">
        <w:rPr>
          <w:b w:val="0"/>
          <w:lang w:val="en-AU"/>
        </w:rPr>
        <w:t>1H-Pyrazole-1-propanenitrile, β-cyclopentyl-4-(7H-pyrrolo[2,3-d]pyrimidin-4-yl)-, (βR)-, phosphate (1:1); 941678-49-5</w:t>
      </w:r>
      <w:r w:rsidR="00495E92" w:rsidRPr="00DE6BF0">
        <w:rPr>
          <w:lang w:val="en-AU"/>
        </w:rPr>
        <w:t xml:space="preserve"> </w:t>
      </w:r>
      <w:r w:rsidRPr="00DE6BF0">
        <w:rPr>
          <w:lang w:val="en-AU"/>
        </w:rPr>
        <w:tab/>
      </w:r>
    </w:p>
    <w:p w:rsidR="00B53986" w:rsidRPr="00DE6BF0" w:rsidRDefault="00E61538" w:rsidP="00A6140A">
      <w:pPr>
        <w:tabs>
          <w:tab w:val="clear" w:pos="-720"/>
          <w:tab w:val="clear" w:pos="720"/>
          <w:tab w:val="clear" w:pos="1440"/>
          <w:tab w:val="clear" w:pos="2160"/>
          <w:tab w:val="clear" w:pos="2880"/>
          <w:tab w:val="clear" w:pos="3600"/>
          <w:tab w:val="clear" w:pos="4320"/>
        </w:tabs>
        <w:ind w:left="2244" w:hanging="2244"/>
        <w:jc w:val="left"/>
        <w:rPr>
          <w:lang w:val="en-AU"/>
        </w:rPr>
      </w:pPr>
      <w:r>
        <w:rPr>
          <w:lang w:val="en-AU"/>
        </w:rPr>
        <w:t>CAS Number.:</w:t>
      </w:r>
      <w:r>
        <w:rPr>
          <w:lang w:val="en-AU"/>
        </w:rPr>
        <w:tab/>
      </w:r>
      <w:r w:rsidRPr="008A1941">
        <w:rPr>
          <w:b w:val="0"/>
        </w:rPr>
        <w:t>1092939-17-7</w:t>
      </w:r>
      <w:r w:rsidR="00F22127" w:rsidRPr="00DE6BF0">
        <w:rPr>
          <w:lang w:val="en-AU"/>
        </w:rPr>
        <w:tab/>
      </w:r>
    </w:p>
    <w:p w:rsidR="00FA4F37" w:rsidRPr="00DE6BF0" w:rsidRDefault="00495E92" w:rsidP="00A6140A">
      <w:pPr>
        <w:tabs>
          <w:tab w:val="clear" w:pos="-720"/>
          <w:tab w:val="clear" w:pos="720"/>
          <w:tab w:val="clear" w:pos="1440"/>
          <w:tab w:val="clear" w:pos="2160"/>
          <w:tab w:val="clear" w:pos="2880"/>
          <w:tab w:val="clear" w:pos="3600"/>
          <w:tab w:val="clear" w:pos="4320"/>
        </w:tabs>
        <w:rPr>
          <w:lang w:val="en-AU"/>
        </w:rPr>
      </w:pPr>
      <w:r w:rsidRPr="00DE6BF0">
        <w:rPr>
          <w:lang w:val="en-AU"/>
        </w:rPr>
        <w:t>Molecular formula:</w:t>
      </w:r>
      <w:r w:rsidR="00A6140A" w:rsidRPr="00DE6BF0">
        <w:rPr>
          <w:lang w:val="en-AU"/>
        </w:rPr>
        <w:tab/>
      </w:r>
      <w:r w:rsidRPr="00DE6BF0">
        <w:rPr>
          <w:b w:val="0"/>
          <w:lang w:val="en-AU"/>
        </w:rPr>
        <w:t>C</w:t>
      </w:r>
      <w:r w:rsidRPr="00DE6BF0">
        <w:rPr>
          <w:b w:val="0"/>
          <w:vertAlign w:val="subscript"/>
          <w:lang w:val="en-AU"/>
        </w:rPr>
        <w:t>17</w:t>
      </w:r>
      <w:r w:rsidRPr="00DE6BF0">
        <w:rPr>
          <w:b w:val="0"/>
          <w:lang w:val="en-AU"/>
        </w:rPr>
        <w:t>H</w:t>
      </w:r>
      <w:r w:rsidRPr="00DE6BF0">
        <w:rPr>
          <w:b w:val="0"/>
          <w:vertAlign w:val="subscript"/>
          <w:lang w:val="en-AU"/>
        </w:rPr>
        <w:t>18</w:t>
      </w:r>
      <w:r w:rsidRPr="00DE6BF0">
        <w:rPr>
          <w:b w:val="0"/>
          <w:lang w:val="en-AU"/>
        </w:rPr>
        <w:t>N</w:t>
      </w:r>
      <w:r w:rsidRPr="00DE6BF0">
        <w:rPr>
          <w:b w:val="0"/>
          <w:vertAlign w:val="subscript"/>
          <w:lang w:val="en-AU"/>
        </w:rPr>
        <w:t>6</w:t>
      </w:r>
      <w:r w:rsidRPr="00DE6BF0">
        <w:rPr>
          <w:lang w:val="en-AU"/>
        </w:rPr>
        <w:t xml:space="preserve"> </w:t>
      </w:r>
      <w:r w:rsidR="00F22127" w:rsidRPr="00DE6BF0">
        <w:rPr>
          <w:lang w:val="en-AU"/>
        </w:rPr>
        <w:tab/>
      </w:r>
    </w:p>
    <w:p w:rsidR="00E61538" w:rsidRDefault="00E61538" w:rsidP="00A6140A">
      <w:pPr>
        <w:tabs>
          <w:tab w:val="clear" w:pos="-720"/>
          <w:tab w:val="clear" w:pos="720"/>
          <w:tab w:val="clear" w:pos="1440"/>
          <w:tab w:val="clear" w:pos="2160"/>
          <w:tab w:val="clear" w:pos="2880"/>
          <w:tab w:val="clear" w:pos="3600"/>
          <w:tab w:val="clear" w:pos="4320"/>
        </w:tabs>
        <w:rPr>
          <w:lang w:val="en-AU"/>
        </w:rPr>
      </w:pPr>
    </w:p>
    <w:p w:rsidR="00E61538" w:rsidRPr="00E61538" w:rsidRDefault="00E61538" w:rsidP="00E61538">
      <w:pPr>
        <w:pStyle w:val="Text"/>
        <w:rPr>
          <w:b w:val="0"/>
        </w:rPr>
      </w:pPr>
      <w:r w:rsidRPr="00E61538">
        <w:t>Molecular weight of the phosphate salt:</w:t>
      </w:r>
      <w:r w:rsidRPr="00E61538">
        <w:rPr>
          <w:b w:val="0"/>
        </w:rPr>
        <w:t xml:space="preserve"> 404.36</w:t>
      </w:r>
    </w:p>
    <w:p w:rsidR="00E61538" w:rsidRPr="00E61538" w:rsidRDefault="00E61538" w:rsidP="00E61538">
      <w:pPr>
        <w:pStyle w:val="Text"/>
        <w:rPr>
          <w:b w:val="0"/>
        </w:rPr>
      </w:pPr>
      <w:r w:rsidRPr="00E61538">
        <w:t>Molecular weight of the free base:</w:t>
      </w:r>
      <w:r w:rsidRPr="00E61538">
        <w:rPr>
          <w:b w:val="0"/>
        </w:rPr>
        <w:t xml:space="preserve"> 306.37</w:t>
      </w:r>
    </w:p>
    <w:p w:rsidR="00495E92" w:rsidRPr="00DE6BF0" w:rsidRDefault="00F22127" w:rsidP="00A6140A">
      <w:pPr>
        <w:tabs>
          <w:tab w:val="clear" w:pos="-720"/>
          <w:tab w:val="clear" w:pos="720"/>
          <w:tab w:val="clear" w:pos="1440"/>
          <w:tab w:val="clear" w:pos="2160"/>
          <w:tab w:val="clear" w:pos="2880"/>
          <w:tab w:val="clear" w:pos="3600"/>
          <w:tab w:val="clear" w:pos="4320"/>
        </w:tabs>
        <w:rPr>
          <w:lang w:val="en-AU"/>
        </w:rPr>
      </w:pPr>
      <w:r w:rsidRPr="00DE6BF0">
        <w:rPr>
          <w:lang w:val="en-AU"/>
        </w:rPr>
        <w:tab/>
        <w:t xml:space="preserve"> </w:t>
      </w:r>
    </w:p>
    <w:p w:rsidR="006D0C74" w:rsidRPr="00DE6BF0" w:rsidRDefault="00055669" w:rsidP="007C7566">
      <w:pPr>
        <w:rPr>
          <w:lang w:val="en-AU"/>
        </w:rPr>
      </w:pPr>
      <w:r w:rsidRPr="00DE6BF0">
        <w:rPr>
          <w:lang w:val="en-AU"/>
        </w:rPr>
        <w:t>DESCRIPTION</w:t>
      </w:r>
    </w:p>
    <w:p w:rsidR="00E61538" w:rsidRPr="00E61538" w:rsidRDefault="0028058A" w:rsidP="00E61538">
      <w:pPr>
        <w:pStyle w:val="Text"/>
        <w:rPr>
          <w:b w:val="0"/>
        </w:rPr>
      </w:pPr>
      <w:proofErr w:type="spellStart"/>
      <w:r w:rsidRPr="00DE6BF0">
        <w:rPr>
          <w:b w:val="0"/>
          <w:lang w:val="en-AU"/>
        </w:rPr>
        <w:t>Ruxolitinib</w:t>
      </w:r>
      <w:proofErr w:type="spellEnd"/>
      <w:r w:rsidRPr="00DE6BF0">
        <w:rPr>
          <w:b w:val="0"/>
          <w:lang w:val="en-AU"/>
        </w:rPr>
        <w:t xml:space="preserve"> phosphate is a white to almost white powder. It is highly soluble in water, most soluble at low pH</w:t>
      </w:r>
      <w:r w:rsidR="00AD109A" w:rsidRPr="00DE6BF0">
        <w:rPr>
          <w:b w:val="0"/>
          <w:lang w:val="en-AU"/>
        </w:rPr>
        <w:t xml:space="preserve"> (pH 3.3) at 37</w:t>
      </w:r>
      <w:r w:rsidR="00AD109A" w:rsidRPr="00DE6BF0">
        <w:rPr>
          <w:b w:val="0"/>
          <w:vertAlign w:val="superscript"/>
          <w:lang w:val="en-AU"/>
        </w:rPr>
        <w:t>o</w:t>
      </w:r>
      <w:r w:rsidR="00AD109A" w:rsidRPr="00DE6BF0">
        <w:rPr>
          <w:b w:val="0"/>
          <w:lang w:val="en-AU"/>
        </w:rPr>
        <w:t>C.</w:t>
      </w:r>
      <w:r w:rsidR="00E61538">
        <w:rPr>
          <w:b w:val="0"/>
          <w:lang w:val="en-AU"/>
        </w:rPr>
        <w:t xml:space="preserve"> The</w:t>
      </w:r>
      <w:r w:rsidR="00E61538" w:rsidRPr="00E61538">
        <w:rPr>
          <w:b w:val="0"/>
          <w:lang w:val="en-AU"/>
        </w:rPr>
        <w:t xml:space="preserve"> </w:t>
      </w:r>
      <w:proofErr w:type="spellStart"/>
      <w:r w:rsidR="00E61538" w:rsidRPr="00E61538">
        <w:rPr>
          <w:b w:val="0"/>
        </w:rPr>
        <w:t>pKa</w:t>
      </w:r>
      <w:proofErr w:type="spellEnd"/>
      <w:r w:rsidR="00E61538">
        <w:rPr>
          <w:b w:val="0"/>
        </w:rPr>
        <w:t xml:space="preserve"> is</w:t>
      </w:r>
      <w:r w:rsidR="00E61538" w:rsidRPr="00E61538">
        <w:rPr>
          <w:b w:val="0"/>
        </w:rPr>
        <w:t xml:space="preserve"> 4.3 and 11.8</w:t>
      </w:r>
      <w:r w:rsidR="00E61538">
        <w:rPr>
          <w:b w:val="0"/>
        </w:rPr>
        <w:t xml:space="preserve">. The </w:t>
      </w:r>
      <w:r w:rsidR="00E61538" w:rsidRPr="00E61538">
        <w:rPr>
          <w:b w:val="0"/>
        </w:rPr>
        <w:t>BCS</w:t>
      </w:r>
      <w:r w:rsidR="00E61538">
        <w:rPr>
          <w:b w:val="0"/>
        </w:rPr>
        <w:t xml:space="preserve"> is</w:t>
      </w:r>
      <w:r w:rsidR="00E61538" w:rsidRPr="00E61538">
        <w:rPr>
          <w:b w:val="0"/>
        </w:rPr>
        <w:t xml:space="preserve"> Class 1</w:t>
      </w:r>
      <w:r w:rsidR="00E61538">
        <w:rPr>
          <w:b w:val="0"/>
        </w:rPr>
        <w:t>.</w:t>
      </w:r>
    </w:p>
    <w:p w:rsidR="00AD109A" w:rsidRPr="00DE6BF0" w:rsidRDefault="00AD109A" w:rsidP="007F46FD">
      <w:pPr>
        <w:rPr>
          <w:b w:val="0"/>
          <w:lang w:val="en-AU"/>
        </w:rPr>
      </w:pPr>
      <w:proofErr w:type="spellStart"/>
      <w:r w:rsidRPr="00DE6BF0">
        <w:rPr>
          <w:b w:val="0"/>
          <w:lang w:val="en-AU"/>
        </w:rPr>
        <w:t>Jakavi</w:t>
      </w:r>
      <w:proofErr w:type="spellEnd"/>
      <w:r w:rsidRPr="00DE6BF0">
        <w:rPr>
          <w:b w:val="0"/>
          <w:lang w:val="en-AU"/>
        </w:rPr>
        <w:t xml:space="preserve"> tablets contain 5 mg, 15 mg and 20 mg of </w:t>
      </w:r>
      <w:proofErr w:type="spellStart"/>
      <w:r w:rsidRPr="00DE6BF0">
        <w:rPr>
          <w:b w:val="0"/>
          <w:lang w:val="en-AU"/>
        </w:rPr>
        <w:t>ruxolitinib</w:t>
      </w:r>
      <w:proofErr w:type="spellEnd"/>
      <w:r w:rsidRPr="00DE6BF0">
        <w:rPr>
          <w:b w:val="0"/>
          <w:lang w:val="en-AU"/>
        </w:rPr>
        <w:t xml:space="preserve"> as the phosphate salt. </w:t>
      </w:r>
    </w:p>
    <w:p w:rsidR="007F46FD" w:rsidRPr="00DE6BF0" w:rsidRDefault="00F22127" w:rsidP="007F46FD">
      <w:pPr>
        <w:rPr>
          <w:lang w:val="en-AU"/>
        </w:rPr>
      </w:pPr>
      <w:r w:rsidRPr="00DE6BF0">
        <w:rPr>
          <w:lang w:val="en-AU"/>
        </w:rPr>
        <w:t>Excipients</w:t>
      </w:r>
    </w:p>
    <w:p w:rsidR="00D1230F" w:rsidRPr="00DE6BF0" w:rsidRDefault="00D1230F" w:rsidP="00D1230F">
      <w:pPr>
        <w:rPr>
          <w:b w:val="0"/>
          <w:lang w:val="en-AU"/>
        </w:rPr>
      </w:pPr>
      <w:proofErr w:type="spellStart"/>
      <w:r w:rsidRPr="00DE6BF0">
        <w:rPr>
          <w:b w:val="0"/>
          <w:lang w:val="en-AU"/>
        </w:rPr>
        <w:t>Jakavi</w:t>
      </w:r>
      <w:proofErr w:type="spellEnd"/>
      <w:r w:rsidRPr="00DE6BF0">
        <w:rPr>
          <w:b w:val="0"/>
          <w:lang w:val="en-AU"/>
        </w:rPr>
        <w:t xml:space="preserve"> tablets contain the following excipients: </w:t>
      </w:r>
      <w:r w:rsidR="009919F3">
        <w:rPr>
          <w:b w:val="0"/>
          <w:lang w:val="en-AU"/>
        </w:rPr>
        <w:t>c</w:t>
      </w:r>
      <w:r w:rsidRPr="00DE6BF0">
        <w:rPr>
          <w:b w:val="0"/>
          <w:lang w:val="en-AU"/>
        </w:rPr>
        <w:t xml:space="preserve">ellulose, microcrystalline; </w:t>
      </w:r>
      <w:r w:rsidR="009919F3">
        <w:rPr>
          <w:b w:val="0"/>
          <w:lang w:val="en-AU"/>
        </w:rPr>
        <w:t>m</w:t>
      </w:r>
      <w:r w:rsidRPr="00DE6BF0">
        <w:rPr>
          <w:b w:val="0"/>
          <w:lang w:val="en-AU"/>
        </w:rPr>
        <w:t xml:space="preserve">agnesium stearate; </w:t>
      </w:r>
      <w:r w:rsidR="009919F3">
        <w:rPr>
          <w:b w:val="0"/>
          <w:lang w:val="en-AU"/>
        </w:rPr>
        <w:t>s</w:t>
      </w:r>
      <w:r w:rsidRPr="00DE6BF0">
        <w:rPr>
          <w:b w:val="0"/>
          <w:lang w:val="en-AU"/>
        </w:rPr>
        <w:t xml:space="preserve">ilica, colloidal anhydrous; </w:t>
      </w:r>
      <w:r w:rsidR="009919F3">
        <w:rPr>
          <w:b w:val="0"/>
          <w:lang w:val="en-AU"/>
        </w:rPr>
        <w:t>s</w:t>
      </w:r>
      <w:r w:rsidRPr="00DE6BF0">
        <w:rPr>
          <w:b w:val="0"/>
          <w:lang w:val="en-AU"/>
        </w:rPr>
        <w:t xml:space="preserve">odium starch </w:t>
      </w:r>
      <w:proofErr w:type="spellStart"/>
      <w:r w:rsidRPr="00DE6BF0">
        <w:rPr>
          <w:b w:val="0"/>
          <w:lang w:val="en-AU"/>
        </w:rPr>
        <w:t>glycol</w:t>
      </w:r>
      <w:r w:rsidR="008A1941">
        <w:rPr>
          <w:b w:val="0"/>
          <w:lang w:val="en-AU"/>
        </w:rPr>
        <w:t>l</w:t>
      </w:r>
      <w:r w:rsidRPr="00DE6BF0">
        <w:rPr>
          <w:b w:val="0"/>
          <w:lang w:val="en-AU"/>
        </w:rPr>
        <w:t>ate</w:t>
      </w:r>
      <w:proofErr w:type="spellEnd"/>
      <w:r w:rsidRPr="00DE6BF0">
        <w:rPr>
          <w:b w:val="0"/>
          <w:lang w:val="en-AU"/>
        </w:rPr>
        <w:t xml:space="preserve"> </w:t>
      </w:r>
      <w:r w:rsidR="009232B0">
        <w:rPr>
          <w:b w:val="0"/>
          <w:lang w:val="en-AU"/>
        </w:rPr>
        <w:t>t</w:t>
      </w:r>
      <w:r w:rsidRPr="00DE6BF0">
        <w:rPr>
          <w:b w:val="0"/>
          <w:lang w:val="en-AU"/>
        </w:rPr>
        <w:t xml:space="preserve">ype A; </w:t>
      </w:r>
      <w:proofErr w:type="spellStart"/>
      <w:r w:rsidR="009919F3">
        <w:rPr>
          <w:b w:val="0"/>
          <w:lang w:val="en-AU"/>
        </w:rPr>
        <w:t>h</w:t>
      </w:r>
      <w:r w:rsidRPr="00DE6BF0">
        <w:rPr>
          <w:b w:val="0"/>
          <w:lang w:val="en-AU"/>
        </w:rPr>
        <w:t>ydroxypropylcellulose</w:t>
      </w:r>
      <w:proofErr w:type="spellEnd"/>
      <w:r w:rsidRPr="00DE6BF0">
        <w:rPr>
          <w:b w:val="0"/>
          <w:lang w:val="en-AU"/>
        </w:rPr>
        <w:t xml:space="preserve">; </w:t>
      </w:r>
      <w:proofErr w:type="spellStart"/>
      <w:r w:rsidR="009919F3">
        <w:rPr>
          <w:b w:val="0"/>
          <w:lang w:val="en-AU"/>
        </w:rPr>
        <w:t>p</w:t>
      </w:r>
      <w:r w:rsidRPr="00DE6BF0">
        <w:rPr>
          <w:b w:val="0"/>
          <w:lang w:val="en-AU"/>
        </w:rPr>
        <w:t>ovidone</w:t>
      </w:r>
      <w:proofErr w:type="spellEnd"/>
      <w:r w:rsidRPr="00DE6BF0">
        <w:rPr>
          <w:b w:val="0"/>
          <w:lang w:val="en-AU"/>
        </w:rPr>
        <w:t>; lactose</w:t>
      </w:r>
      <w:r w:rsidR="008A1941">
        <w:rPr>
          <w:b w:val="0"/>
          <w:lang w:val="en-AU"/>
        </w:rPr>
        <w:t>.</w:t>
      </w:r>
    </w:p>
    <w:p w:rsidR="00A16CDE" w:rsidRDefault="00A16CDE">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rPr>
          <w:lang w:val="en-AU"/>
        </w:rPr>
      </w:pPr>
      <w:r>
        <w:rPr>
          <w:lang w:val="en-AU"/>
        </w:rPr>
        <w:br w:type="page"/>
      </w:r>
    </w:p>
    <w:p w:rsidR="007F46FD" w:rsidRPr="00DE6BF0" w:rsidRDefault="00F22127" w:rsidP="007C7566">
      <w:pPr>
        <w:rPr>
          <w:lang w:val="en-AU"/>
        </w:rPr>
      </w:pPr>
      <w:r w:rsidRPr="00DE6BF0">
        <w:rPr>
          <w:lang w:val="en-AU"/>
        </w:rPr>
        <w:lastRenderedPageBreak/>
        <w:t>PHARMACOLOGY</w:t>
      </w:r>
    </w:p>
    <w:p w:rsidR="00795A36" w:rsidRPr="00DE6BF0" w:rsidRDefault="00795A36" w:rsidP="00DE6BF0">
      <w:pPr>
        <w:rPr>
          <w:lang w:val="en-AU"/>
        </w:rPr>
      </w:pPr>
      <w:r w:rsidRPr="00DE6BF0">
        <w:rPr>
          <w:lang w:val="en-AU"/>
        </w:rPr>
        <w:t>Mechanism of action (MOA)</w:t>
      </w:r>
    </w:p>
    <w:p w:rsidR="00795A36" w:rsidRPr="00DE6BF0" w:rsidRDefault="00795A36" w:rsidP="00795A36">
      <w:pPr>
        <w:rPr>
          <w:b w:val="0"/>
          <w:lang w:val="en-AU"/>
        </w:rPr>
      </w:pPr>
      <w:proofErr w:type="spellStart"/>
      <w:r w:rsidRPr="00DE6BF0">
        <w:rPr>
          <w:b w:val="0"/>
          <w:lang w:val="en-AU"/>
        </w:rPr>
        <w:t>Ruxolitinib</w:t>
      </w:r>
      <w:proofErr w:type="spellEnd"/>
      <w:r w:rsidRPr="00DE6BF0">
        <w:rPr>
          <w:b w:val="0"/>
          <w:lang w:val="en-AU"/>
        </w:rPr>
        <w:t xml:space="preserve"> is a</w:t>
      </w:r>
      <w:r w:rsidR="00106F4C">
        <w:rPr>
          <w:b w:val="0"/>
          <w:lang w:val="en-AU"/>
        </w:rPr>
        <w:t>n</w:t>
      </w:r>
      <w:r w:rsidRPr="00DE6BF0">
        <w:rPr>
          <w:b w:val="0"/>
          <w:lang w:val="en-AU"/>
        </w:rPr>
        <w:t xml:space="preserve">  inhibitor of the Janus Associated Kinases (JAKs) JAK1 and JAK2</w:t>
      </w:r>
      <w:r w:rsidR="00106F4C">
        <w:rPr>
          <w:b w:val="0"/>
          <w:lang w:val="en-AU"/>
        </w:rPr>
        <w:t xml:space="preserve"> with </w:t>
      </w:r>
      <w:proofErr w:type="spellStart"/>
      <w:r w:rsidR="00106F4C">
        <w:rPr>
          <w:b w:val="0"/>
          <w:lang w:val="en-AU"/>
        </w:rPr>
        <w:t>nanomolar</w:t>
      </w:r>
      <w:proofErr w:type="spellEnd"/>
      <w:r w:rsidR="00106F4C">
        <w:rPr>
          <w:b w:val="0"/>
          <w:lang w:val="en-AU"/>
        </w:rPr>
        <w:t xml:space="preserve"> potency.</w:t>
      </w:r>
      <w:r w:rsidRPr="00DE6BF0">
        <w:rPr>
          <w:b w:val="0"/>
          <w:lang w:val="en-AU"/>
        </w:rPr>
        <w:t xml:space="preserve"> </w:t>
      </w:r>
      <w:r w:rsidR="00106F4C">
        <w:rPr>
          <w:b w:val="0"/>
          <w:lang w:val="en-AU"/>
        </w:rPr>
        <w:t xml:space="preserve">JAKs </w:t>
      </w:r>
      <w:r w:rsidRPr="00DE6BF0">
        <w:rPr>
          <w:b w:val="0"/>
          <w:lang w:val="en-AU"/>
        </w:rPr>
        <w:t>mediate</w:t>
      </w:r>
      <w:r w:rsidR="006633E1" w:rsidRPr="00DE6BF0">
        <w:rPr>
          <w:b w:val="0"/>
          <w:lang w:val="en-AU"/>
        </w:rPr>
        <w:t xml:space="preserve"> </w:t>
      </w:r>
      <w:r w:rsidRPr="00DE6BF0">
        <w:rPr>
          <w:b w:val="0"/>
          <w:lang w:val="en-AU"/>
        </w:rPr>
        <w:t xml:space="preserve">the </w:t>
      </w:r>
      <w:proofErr w:type="spellStart"/>
      <w:r w:rsidRPr="00DE6BF0">
        <w:rPr>
          <w:b w:val="0"/>
          <w:lang w:val="en-AU"/>
        </w:rPr>
        <w:t>signaling</w:t>
      </w:r>
      <w:proofErr w:type="spellEnd"/>
      <w:r w:rsidRPr="00DE6BF0">
        <w:rPr>
          <w:b w:val="0"/>
          <w:lang w:val="en-AU"/>
        </w:rPr>
        <w:t xml:space="preserve"> of a number of cytokines and growth factors that are important for h</w:t>
      </w:r>
      <w:r w:rsidR="00DE6BF0">
        <w:rPr>
          <w:b w:val="0"/>
          <w:lang w:val="en-AU"/>
        </w:rPr>
        <w:t>a</w:t>
      </w:r>
      <w:r w:rsidRPr="00DE6BF0">
        <w:rPr>
          <w:b w:val="0"/>
          <w:lang w:val="en-AU"/>
        </w:rPr>
        <w:t>ematopoiesis</w:t>
      </w:r>
      <w:r w:rsidR="006633E1" w:rsidRPr="00DE6BF0">
        <w:rPr>
          <w:b w:val="0"/>
          <w:lang w:val="en-AU"/>
        </w:rPr>
        <w:t xml:space="preserve"> </w:t>
      </w:r>
      <w:r w:rsidRPr="00DE6BF0">
        <w:rPr>
          <w:b w:val="0"/>
          <w:lang w:val="en-AU"/>
        </w:rPr>
        <w:t>and immune function. JAK signal</w:t>
      </w:r>
      <w:r w:rsidR="00DE6BF0">
        <w:rPr>
          <w:b w:val="0"/>
          <w:lang w:val="en-AU"/>
        </w:rPr>
        <w:t>l</w:t>
      </w:r>
      <w:r w:rsidRPr="00DE6BF0">
        <w:rPr>
          <w:b w:val="0"/>
          <w:lang w:val="en-AU"/>
        </w:rPr>
        <w:t>ing involves recruitment of STATs (signal transducers and</w:t>
      </w:r>
      <w:r w:rsidR="006633E1" w:rsidRPr="00DE6BF0">
        <w:rPr>
          <w:b w:val="0"/>
          <w:lang w:val="en-AU"/>
        </w:rPr>
        <w:t xml:space="preserve"> </w:t>
      </w:r>
      <w:r w:rsidRPr="00DE6BF0">
        <w:rPr>
          <w:b w:val="0"/>
          <w:lang w:val="en-AU"/>
        </w:rPr>
        <w:t>activators of transcription) to cytokine receptors, activation, and subsequent localization of</w:t>
      </w:r>
      <w:r w:rsidR="006633E1" w:rsidRPr="00DE6BF0">
        <w:rPr>
          <w:b w:val="0"/>
          <w:lang w:val="en-AU"/>
        </w:rPr>
        <w:t xml:space="preserve"> </w:t>
      </w:r>
      <w:r w:rsidRPr="00DE6BF0">
        <w:rPr>
          <w:b w:val="0"/>
          <w:lang w:val="en-AU"/>
        </w:rPr>
        <w:t xml:space="preserve">STATs to the nucleus leading to modulation of gene expression. </w:t>
      </w:r>
      <w:proofErr w:type="spellStart"/>
      <w:r w:rsidRPr="00DE6BF0">
        <w:rPr>
          <w:b w:val="0"/>
          <w:lang w:val="en-AU"/>
        </w:rPr>
        <w:t>Dysregulation</w:t>
      </w:r>
      <w:proofErr w:type="spellEnd"/>
      <w:r w:rsidRPr="00DE6BF0">
        <w:rPr>
          <w:b w:val="0"/>
          <w:lang w:val="en-AU"/>
        </w:rPr>
        <w:t xml:space="preserve"> of the JAKSTAT</w:t>
      </w:r>
      <w:r w:rsidR="006633E1" w:rsidRPr="00DE6BF0">
        <w:rPr>
          <w:b w:val="0"/>
          <w:lang w:val="en-AU"/>
        </w:rPr>
        <w:t xml:space="preserve"> </w:t>
      </w:r>
      <w:r w:rsidRPr="00DE6BF0">
        <w:rPr>
          <w:b w:val="0"/>
          <w:lang w:val="en-AU"/>
        </w:rPr>
        <w:t>pathway has been associated with several cancers and increased proliferation and</w:t>
      </w:r>
      <w:r w:rsidR="006633E1" w:rsidRPr="00DE6BF0">
        <w:rPr>
          <w:b w:val="0"/>
          <w:lang w:val="en-AU"/>
        </w:rPr>
        <w:t xml:space="preserve"> </w:t>
      </w:r>
      <w:r w:rsidRPr="00DE6BF0">
        <w:rPr>
          <w:b w:val="0"/>
          <w:lang w:val="en-AU"/>
        </w:rPr>
        <w:t>survival of malignant cells.</w:t>
      </w:r>
    </w:p>
    <w:p w:rsidR="00795A36" w:rsidRPr="00DE6BF0" w:rsidRDefault="00795A36" w:rsidP="00795A36">
      <w:pPr>
        <w:rPr>
          <w:b w:val="0"/>
          <w:lang w:val="en-AU"/>
        </w:rPr>
      </w:pPr>
      <w:proofErr w:type="spellStart"/>
      <w:r w:rsidRPr="00DE6BF0">
        <w:rPr>
          <w:b w:val="0"/>
          <w:lang w:val="en-AU"/>
        </w:rPr>
        <w:t>Myelofibrosis</w:t>
      </w:r>
      <w:proofErr w:type="spellEnd"/>
      <w:r w:rsidRPr="00DE6BF0">
        <w:rPr>
          <w:b w:val="0"/>
          <w:lang w:val="en-AU"/>
        </w:rPr>
        <w:t xml:space="preserve"> (MF) is a </w:t>
      </w:r>
      <w:proofErr w:type="spellStart"/>
      <w:r w:rsidRPr="00DE6BF0">
        <w:rPr>
          <w:b w:val="0"/>
          <w:lang w:val="en-AU"/>
        </w:rPr>
        <w:t>myeloproliferative</w:t>
      </w:r>
      <w:proofErr w:type="spellEnd"/>
      <w:r w:rsidRPr="00DE6BF0">
        <w:rPr>
          <w:b w:val="0"/>
          <w:lang w:val="en-AU"/>
        </w:rPr>
        <w:t xml:space="preserve"> neoplasm (MPN) known to be associated with</w:t>
      </w:r>
      <w:r w:rsidR="006633E1" w:rsidRPr="00DE6BF0">
        <w:rPr>
          <w:b w:val="0"/>
          <w:lang w:val="en-AU"/>
        </w:rPr>
        <w:t xml:space="preserve"> </w:t>
      </w:r>
      <w:proofErr w:type="spellStart"/>
      <w:r w:rsidRPr="00DE6BF0">
        <w:rPr>
          <w:b w:val="0"/>
          <w:lang w:val="en-AU"/>
        </w:rPr>
        <w:t>dysregulated</w:t>
      </w:r>
      <w:proofErr w:type="spellEnd"/>
      <w:r w:rsidRPr="00DE6BF0">
        <w:rPr>
          <w:b w:val="0"/>
          <w:lang w:val="en-AU"/>
        </w:rPr>
        <w:t xml:space="preserve"> JAK1 and JAK2 signa</w:t>
      </w:r>
      <w:r w:rsidR="00DE6BF0">
        <w:rPr>
          <w:b w:val="0"/>
          <w:lang w:val="en-AU"/>
        </w:rPr>
        <w:t>l</w:t>
      </w:r>
      <w:r w:rsidRPr="00DE6BF0">
        <w:rPr>
          <w:b w:val="0"/>
          <w:lang w:val="en-AU"/>
        </w:rPr>
        <w:t xml:space="preserve">ling. The basis for the </w:t>
      </w:r>
      <w:proofErr w:type="spellStart"/>
      <w:r w:rsidRPr="00DE6BF0">
        <w:rPr>
          <w:b w:val="0"/>
          <w:lang w:val="en-AU"/>
        </w:rPr>
        <w:t>dysregulation</w:t>
      </w:r>
      <w:proofErr w:type="spellEnd"/>
      <w:r w:rsidRPr="00DE6BF0">
        <w:rPr>
          <w:b w:val="0"/>
          <w:lang w:val="en-AU"/>
        </w:rPr>
        <w:t xml:space="preserve"> is believed to include</w:t>
      </w:r>
      <w:r w:rsidR="006633E1" w:rsidRPr="00DE6BF0">
        <w:rPr>
          <w:b w:val="0"/>
          <w:lang w:val="en-AU"/>
        </w:rPr>
        <w:t xml:space="preserve"> </w:t>
      </w:r>
      <w:r w:rsidRPr="00DE6BF0">
        <w:rPr>
          <w:b w:val="0"/>
          <w:lang w:val="en-AU"/>
        </w:rPr>
        <w:t>high levels of circulating cytokines that activate the JAK-STAT pathway, gain</w:t>
      </w:r>
      <w:r w:rsidR="00D06B77">
        <w:rPr>
          <w:b w:val="0"/>
          <w:lang w:val="en-AU"/>
        </w:rPr>
        <w:t xml:space="preserve"> </w:t>
      </w:r>
      <w:r w:rsidRPr="00DE6BF0">
        <w:rPr>
          <w:b w:val="0"/>
          <w:lang w:val="en-AU"/>
        </w:rPr>
        <w:t>of function</w:t>
      </w:r>
      <w:r w:rsidR="006633E1" w:rsidRPr="00DE6BF0">
        <w:rPr>
          <w:b w:val="0"/>
          <w:lang w:val="en-AU"/>
        </w:rPr>
        <w:t xml:space="preserve"> </w:t>
      </w:r>
      <w:r w:rsidRPr="00DE6BF0">
        <w:rPr>
          <w:b w:val="0"/>
          <w:lang w:val="en-AU"/>
        </w:rPr>
        <w:t>mutations such as JAK2V617F, and silencing of negative regulatory mechanisms.</w:t>
      </w:r>
      <w:r w:rsidR="006633E1" w:rsidRPr="00DE6BF0">
        <w:rPr>
          <w:b w:val="0"/>
          <w:lang w:val="en-AU"/>
        </w:rPr>
        <w:t xml:space="preserve"> </w:t>
      </w:r>
      <w:r w:rsidRPr="00DE6BF0">
        <w:rPr>
          <w:b w:val="0"/>
          <w:lang w:val="en-AU"/>
        </w:rPr>
        <w:t xml:space="preserve">MF patients exhibit </w:t>
      </w:r>
      <w:proofErr w:type="spellStart"/>
      <w:r w:rsidRPr="00DE6BF0">
        <w:rPr>
          <w:b w:val="0"/>
          <w:lang w:val="en-AU"/>
        </w:rPr>
        <w:t>dysregulated</w:t>
      </w:r>
      <w:proofErr w:type="spellEnd"/>
      <w:r w:rsidRPr="00DE6BF0">
        <w:rPr>
          <w:b w:val="0"/>
          <w:lang w:val="en-AU"/>
        </w:rPr>
        <w:t xml:space="preserve"> JAK signa</w:t>
      </w:r>
      <w:r w:rsidR="00DE6BF0">
        <w:rPr>
          <w:b w:val="0"/>
          <w:lang w:val="en-AU"/>
        </w:rPr>
        <w:t>l</w:t>
      </w:r>
      <w:r w:rsidRPr="00DE6BF0">
        <w:rPr>
          <w:b w:val="0"/>
          <w:lang w:val="en-AU"/>
        </w:rPr>
        <w:t>ling regardless of JAK2V617F mutation status.</w:t>
      </w:r>
    </w:p>
    <w:p w:rsidR="006633E1" w:rsidRPr="00DE6BF0" w:rsidRDefault="006633E1" w:rsidP="00795A36">
      <w:pPr>
        <w:rPr>
          <w:b w:val="0"/>
          <w:lang w:val="en-AU"/>
        </w:rPr>
      </w:pPr>
      <w:proofErr w:type="spellStart"/>
      <w:r w:rsidRPr="00DE6BF0">
        <w:rPr>
          <w:b w:val="0"/>
          <w:lang w:val="en-AU"/>
        </w:rPr>
        <w:t>Ruxolitinib</w:t>
      </w:r>
      <w:proofErr w:type="spellEnd"/>
      <w:r w:rsidRPr="00DE6BF0">
        <w:rPr>
          <w:b w:val="0"/>
          <w:lang w:val="en-AU"/>
        </w:rPr>
        <w:t xml:space="preserve"> inhibits JAK-STAT signa</w:t>
      </w:r>
      <w:r w:rsidR="00DE6BF0">
        <w:rPr>
          <w:b w:val="0"/>
          <w:lang w:val="en-AU"/>
        </w:rPr>
        <w:t>l</w:t>
      </w:r>
      <w:r w:rsidRPr="00DE6BF0">
        <w:rPr>
          <w:b w:val="0"/>
          <w:lang w:val="en-AU"/>
        </w:rPr>
        <w:t>ling and cell proliferation of cytokine-dependent cellular models of h</w:t>
      </w:r>
      <w:r w:rsidR="00DE6BF0">
        <w:rPr>
          <w:b w:val="0"/>
          <w:lang w:val="en-AU"/>
        </w:rPr>
        <w:t>a</w:t>
      </w:r>
      <w:r w:rsidRPr="00DE6BF0">
        <w:rPr>
          <w:b w:val="0"/>
          <w:lang w:val="en-AU"/>
        </w:rPr>
        <w:t>ematological malignancies</w:t>
      </w:r>
      <w:r w:rsidR="00106F4C">
        <w:rPr>
          <w:b w:val="0"/>
          <w:lang w:val="en-AU"/>
        </w:rPr>
        <w:t>.</w:t>
      </w:r>
      <w:r w:rsidRPr="00DE6BF0">
        <w:rPr>
          <w:b w:val="0"/>
          <w:lang w:val="en-AU"/>
        </w:rPr>
        <w:t xml:space="preserve"> In a</w:t>
      </w:r>
      <w:r w:rsidR="00106F4C">
        <w:rPr>
          <w:b w:val="0"/>
          <w:lang w:val="en-AU"/>
        </w:rPr>
        <w:t>n acute</w:t>
      </w:r>
      <w:r w:rsidRPr="00DE6BF0">
        <w:rPr>
          <w:b w:val="0"/>
          <w:lang w:val="en-AU"/>
        </w:rPr>
        <w:t xml:space="preserve"> mouse model of JAK2V617F-positive MPN, oral administration of </w:t>
      </w:r>
      <w:proofErr w:type="spellStart"/>
      <w:r w:rsidRPr="00DE6BF0">
        <w:rPr>
          <w:b w:val="0"/>
          <w:lang w:val="en-AU"/>
        </w:rPr>
        <w:t>ruxolitinib</w:t>
      </w:r>
      <w:proofErr w:type="spellEnd"/>
      <w:r w:rsidRPr="00DE6BF0">
        <w:rPr>
          <w:b w:val="0"/>
          <w:lang w:val="en-AU"/>
        </w:rPr>
        <w:t xml:space="preserve"> prevented splenomegaly, decreased circula</w:t>
      </w:r>
      <w:r w:rsidR="00DE6BF0">
        <w:rPr>
          <w:b w:val="0"/>
          <w:lang w:val="en-AU"/>
        </w:rPr>
        <w:t>ting inflammatory cytokines (e.g.:</w:t>
      </w:r>
      <w:r w:rsidRPr="00DE6BF0">
        <w:rPr>
          <w:b w:val="0"/>
          <w:lang w:val="en-AU"/>
        </w:rPr>
        <w:t xml:space="preserve"> TNF-α, IL-6) and resulted in significantly prolonged survival</w:t>
      </w:r>
      <w:r w:rsidR="00106F4C">
        <w:rPr>
          <w:b w:val="0"/>
          <w:lang w:val="en-AU"/>
        </w:rPr>
        <w:t>.</w:t>
      </w:r>
    </w:p>
    <w:p w:rsidR="006633E1" w:rsidRPr="00DE6BF0" w:rsidRDefault="006633E1" w:rsidP="006633E1">
      <w:pPr>
        <w:pStyle w:val="Heading2"/>
        <w:rPr>
          <w:lang w:val="en-AU"/>
        </w:rPr>
      </w:pPr>
      <w:r w:rsidRPr="00DE6BF0">
        <w:rPr>
          <w:lang w:val="en-AU"/>
        </w:rPr>
        <w:t>Pharmacodynamics</w:t>
      </w:r>
    </w:p>
    <w:p w:rsidR="00795A36" w:rsidRPr="00DE6BF0" w:rsidRDefault="00795A36" w:rsidP="00795A36">
      <w:pPr>
        <w:rPr>
          <w:b w:val="0"/>
          <w:lang w:val="en-AU"/>
        </w:rPr>
      </w:pPr>
      <w:proofErr w:type="spellStart"/>
      <w:r w:rsidRPr="00DE6BF0">
        <w:rPr>
          <w:b w:val="0"/>
          <w:lang w:val="en-AU"/>
        </w:rPr>
        <w:t>Ruxolitinib</w:t>
      </w:r>
      <w:proofErr w:type="spellEnd"/>
      <w:r w:rsidRPr="00DE6BF0">
        <w:rPr>
          <w:b w:val="0"/>
          <w:lang w:val="en-AU"/>
        </w:rPr>
        <w:t xml:space="preserve"> inhibits cytokine induced STAT3 phosphorylation in whole blood from healthy</w:t>
      </w:r>
      <w:r w:rsidR="006633E1" w:rsidRPr="00DE6BF0">
        <w:rPr>
          <w:b w:val="0"/>
          <w:lang w:val="en-AU"/>
        </w:rPr>
        <w:t xml:space="preserve"> </w:t>
      </w:r>
      <w:r w:rsidRPr="00DE6BF0">
        <w:rPr>
          <w:b w:val="0"/>
          <w:lang w:val="en-AU"/>
        </w:rPr>
        <w:t xml:space="preserve">subjects and MF patients. </w:t>
      </w:r>
      <w:proofErr w:type="spellStart"/>
      <w:r w:rsidRPr="00DE6BF0">
        <w:rPr>
          <w:b w:val="0"/>
          <w:lang w:val="en-AU"/>
        </w:rPr>
        <w:t>Ruxolitinib</w:t>
      </w:r>
      <w:proofErr w:type="spellEnd"/>
      <w:r w:rsidRPr="00DE6BF0">
        <w:rPr>
          <w:b w:val="0"/>
          <w:lang w:val="en-AU"/>
        </w:rPr>
        <w:t xml:space="preserve"> resulted in maximal inhibition of STAT3</w:t>
      </w:r>
      <w:r w:rsidR="006633E1" w:rsidRPr="00DE6BF0">
        <w:rPr>
          <w:b w:val="0"/>
          <w:lang w:val="en-AU"/>
        </w:rPr>
        <w:t xml:space="preserve"> </w:t>
      </w:r>
      <w:r w:rsidRPr="00DE6BF0">
        <w:rPr>
          <w:b w:val="0"/>
          <w:lang w:val="en-AU"/>
        </w:rPr>
        <w:t>phosphorylation 2 hours after dosing which returned to near baseline by 8 hours in both healthy</w:t>
      </w:r>
      <w:r w:rsidR="006633E1" w:rsidRPr="00DE6BF0">
        <w:rPr>
          <w:b w:val="0"/>
          <w:lang w:val="en-AU"/>
        </w:rPr>
        <w:t xml:space="preserve"> </w:t>
      </w:r>
      <w:r w:rsidRPr="00DE6BF0">
        <w:rPr>
          <w:b w:val="0"/>
          <w:lang w:val="en-AU"/>
        </w:rPr>
        <w:t xml:space="preserve">subjects and </w:t>
      </w:r>
      <w:proofErr w:type="spellStart"/>
      <w:r w:rsidRPr="00DE6BF0">
        <w:rPr>
          <w:b w:val="0"/>
          <w:lang w:val="en-AU"/>
        </w:rPr>
        <w:t>myelofibrosis</w:t>
      </w:r>
      <w:proofErr w:type="spellEnd"/>
      <w:r w:rsidRPr="00DE6BF0">
        <w:rPr>
          <w:b w:val="0"/>
          <w:lang w:val="en-AU"/>
        </w:rPr>
        <w:t xml:space="preserve"> patients, indicating no accumulation of either parent or active</w:t>
      </w:r>
      <w:r w:rsidR="006633E1" w:rsidRPr="00DE6BF0">
        <w:rPr>
          <w:b w:val="0"/>
          <w:lang w:val="en-AU"/>
        </w:rPr>
        <w:t xml:space="preserve"> </w:t>
      </w:r>
      <w:r w:rsidRPr="00DE6BF0">
        <w:rPr>
          <w:b w:val="0"/>
          <w:lang w:val="en-AU"/>
        </w:rPr>
        <w:t>metabolites.</w:t>
      </w:r>
    </w:p>
    <w:p w:rsidR="00795A36" w:rsidRPr="00DE6BF0" w:rsidRDefault="00795A36" w:rsidP="00795A36">
      <w:pPr>
        <w:rPr>
          <w:b w:val="0"/>
          <w:lang w:val="en-AU"/>
        </w:rPr>
      </w:pPr>
      <w:r w:rsidRPr="00DE6BF0">
        <w:rPr>
          <w:b w:val="0"/>
          <w:lang w:val="en-AU"/>
        </w:rPr>
        <w:t>Baseline elevations in inflammatory markers associated with constitutional symptoms such as</w:t>
      </w:r>
      <w:r w:rsidR="006633E1" w:rsidRPr="00DE6BF0">
        <w:rPr>
          <w:b w:val="0"/>
          <w:lang w:val="en-AU"/>
        </w:rPr>
        <w:t xml:space="preserve"> </w:t>
      </w:r>
      <w:proofErr w:type="spellStart"/>
      <w:r w:rsidRPr="00DE6BF0">
        <w:rPr>
          <w:b w:val="0"/>
          <w:lang w:val="en-AU"/>
        </w:rPr>
        <w:t>TNFalpha</w:t>
      </w:r>
      <w:proofErr w:type="spellEnd"/>
      <w:r w:rsidRPr="00DE6BF0">
        <w:rPr>
          <w:b w:val="0"/>
          <w:lang w:val="en-AU"/>
        </w:rPr>
        <w:t>, IL-6, and CRP in subjects with MF were decreased following treatment with</w:t>
      </w:r>
      <w:r w:rsidR="006633E1" w:rsidRPr="00DE6BF0">
        <w:rPr>
          <w:b w:val="0"/>
          <w:lang w:val="en-AU"/>
        </w:rPr>
        <w:t xml:space="preserve"> </w:t>
      </w:r>
      <w:proofErr w:type="spellStart"/>
      <w:r w:rsidRPr="00DE6BF0">
        <w:rPr>
          <w:b w:val="0"/>
          <w:lang w:val="en-AU"/>
        </w:rPr>
        <w:t>ruxolitinib</w:t>
      </w:r>
      <w:proofErr w:type="spellEnd"/>
      <w:r w:rsidRPr="00DE6BF0">
        <w:rPr>
          <w:b w:val="0"/>
          <w:lang w:val="en-AU"/>
        </w:rPr>
        <w:t xml:space="preserve">. Patients with </w:t>
      </w:r>
      <w:proofErr w:type="spellStart"/>
      <w:r w:rsidRPr="00DE6BF0">
        <w:rPr>
          <w:b w:val="0"/>
          <w:lang w:val="en-AU"/>
        </w:rPr>
        <w:t>myelofibrosis</w:t>
      </w:r>
      <w:proofErr w:type="spellEnd"/>
      <w:r w:rsidRPr="00DE6BF0">
        <w:rPr>
          <w:b w:val="0"/>
          <w:lang w:val="en-AU"/>
        </w:rPr>
        <w:t xml:space="preserve"> did not become refractory to the </w:t>
      </w:r>
      <w:proofErr w:type="spellStart"/>
      <w:r w:rsidRPr="00DE6BF0">
        <w:rPr>
          <w:b w:val="0"/>
          <w:lang w:val="en-AU"/>
        </w:rPr>
        <w:t>pharmacodynamic</w:t>
      </w:r>
      <w:proofErr w:type="spellEnd"/>
      <w:r w:rsidR="006633E1" w:rsidRPr="00DE6BF0">
        <w:rPr>
          <w:b w:val="0"/>
          <w:lang w:val="en-AU"/>
        </w:rPr>
        <w:t xml:space="preserve"> </w:t>
      </w:r>
      <w:r w:rsidRPr="00DE6BF0">
        <w:rPr>
          <w:b w:val="0"/>
          <w:lang w:val="en-AU"/>
        </w:rPr>
        <w:t xml:space="preserve">effects of </w:t>
      </w:r>
      <w:proofErr w:type="spellStart"/>
      <w:r w:rsidRPr="00DE6BF0">
        <w:rPr>
          <w:b w:val="0"/>
          <w:lang w:val="en-AU"/>
        </w:rPr>
        <w:t>ruxolitinib</w:t>
      </w:r>
      <w:proofErr w:type="spellEnd"/>
      <w:r w:rsidRPr="00DE6BF0">
        <w:rPr>
          <w:b w:val="0"/>
          <w:lang w:val="en-AU"/>
        </w:rPr>
        <w:t xml:space="preserve"> treatment over time.</w:t>
      </w:r>
      <w:r w:rsidR="006633E1" w:rsidRPr="00DE6BF0">
        <w:rPr>
          <w:b w:val="0"/>
          <w:lang w:val="en-AU"/>
        </w:rPr>
        <w:t xml:space="preserve"> </w:t>
      </w:r>
      <w:r w:rsidRPr="00DE6BF0">
        <w:rPr>
          <w:b w:val="0"/>
          <w:lang w:val="en-AU"/>
        </w:rPr>
        <w:t>In a thorough QT study in healthy subjects, there was no indication of a QT/</w:t>
      </w:r>
      <w:proofErr w:type="spellStart"/>
      <w:r w:rsidRPr="00DE6BF0">
        <w:rPr>
          <w:b w:val="0"/>
          <w:lang w:val="en-AU"/>
        </w:rPr>
        <w:t>QTc</w:t>
      </w:r>
      <w:proofErr w:type="spellEnd"/>
      <w:r w:rsidRPr="00DE6BF0">
        <w:rPr>
          <w:b w:val="0"/>
          <w:lang w:val="en-AU"/>
        </w:rPr>
        <w:t xml:space="preserve"> prolonging</w:t>
      </w:r>
      <w:r w:rsidR="006633E1" w:rsidRPr="00DE6BF0">
        <w:rPr>
          <w:b w:val="0"/>
          <w:lang w:val="en-AU"/>
        </w:rPr>
        <w:t xml:space="preserve"> </w:t>
      </w:r>
      <w:r w:rsidRPr="00DE6BF0">
        <w:rPr>
          <w:b w:val="0"/>
          <w:lang w:val="en-AU"/>
        </w:rPr>
        <w:t xml:space="preserve">effect of </w:t>
      </w:r>
      <w:proofErr w:type="spellStart"/>
      <w:r w:rsidRPr="00DE6BF0">
        <w:rPr>
          <w:b w:val="0"/>
          <w:lang w:val="en-AU"/>
        </w:rPr>
        <w:t>ruxolitinib</w:t>
      </w:r>
      <w:proofErr w:type="spellEnd"/>
      <w:r w:rsidRPr="00DE6BF0">
        <w:rPr>
          <w:b w:val="0"/>
          <w:lang w:val="en-AU"/>
        </w:rPr>
        <w:t xml:space="preserve"> in single doses up to a </w:t>
      </w:r>
      <w:proofErr w:type="spellStart"/>
      <w:r w:rsidRPr="00DE6BF0">
        <w:rPr>
          <w:b w:val="0"/>
          <w:lang w:val="en-AU"/>
        </w:rPr>
        <w:t>supratherapeutic</w:t>
      </w:r>
      <w:proofErr w:type="spellEnd"/>
      <w:r w:rsidRPr="00DE6BF0">
        <w:rPr>
          <w:b w:val="0"/>
          <w:lang w:val="en-AU"/>
        </w:rPr>
        <w:t xml:space="preserve"> dose of 200 mg indicating that</w:t>
      </w:r>
      <w:r w:rsidR="006633E1" w:rsidRPr="00DE6BF0">
        <w:rPr>
          <w:b w:val="0"/>
          <w:lang w:val="en-AU"/>
        </w:rPr>
        <w:t xml:space="preserve"> </w:t>
      </w:r>
      <w:proofErr w:type="spellStart"/>
      <w:r w:rsidRPr="00DE6BF0">
        <w:rPr>
          <w:b w:val="0"/>
          <w:lang w:val="en-AU"/>
        </w:rPr>
        <w:t>ruxolitinib</w:t>
      </w:r>
      <w:proofErr w:type="spellEnd"/>
      <w:r w:rsidRPr="00DE6BF0">
        <w:rPr>
          <w:b w:val="0"/>
          <w:lang w:val="en-AU"/>
        </w:rPr>
        <w:t xml:space="preserve"> has no effect on cardiac repolarization.</w:t>
      </w:r>
    </w:p>
    <w:p w:rsidR="007F46FD" w:rsidRPr="00DE6BF0" w:rsidRDefault="00055669" w:rsidP="009C1BFE">
      <w:pPr>
        <w:pStyle w:val="Heading2"/>
        <w:rPr>
          <w:lang w:val="en-AU"/>
        </w:rPr>
      </w:pPr>
      <w:r w:rsidRPr="00DE6BF0">
        <w:rPr>
          <w:lang w:val="en-AU"/>
        </w:rPr>
        <w:t>Pharmacokinetics</w:t>
      </w:r>
    </w:p>
    <w:p w:rsidR="007F46FD" w:rsidRPr="00DE6BF0" w:rsidRDefault="00357959" w:rsidP="00DE6BF0">
      <w:pPr>
        <w:rPr>
          <w:lang w:val="en-AU"/>
        </w:rPr>
      </w:pPr>
      <w:r w:rsidRPr="00DE6BF0">
        <w:rPr>
          <w:lang w:val="en-AU"/>
        </w:rPr>
        <w:t>Absorption</w:t>
      </w:r>
      <w:r w:rsidR="0038416E" w:rsidRPr="00DE6BF0">
        <w:rPr>
          <w:lang w:val="en-AU"/>
        </w:rPr>
        <w:t>:</w:t>
      </w:r>
    </w:p>
    <w:p w:rsidR="006633E1" w:rsidRPr="00DE6BF0" w:rsidRDefault="006633E1" w:rsidP="006633E1">
      <w:pPr>
        <w:rPr>
          <w:b w:val="0"/>
          <w:lang w:val="en-AU"/>
        </w:rPr>
      </w:pPr>
      <w:proofErr w:type="spellStart"/>
      <w:r w:rsidRPr="00DE6BF0">
        <w:rPr>
          <w:b w:val="0"/>
          <w:lang w:val="en-AU"/>
        </w:rPr>
        <w:t>Ruxolitinib</w:t>
      </w:r>
      <w:proofErr w:type="spellEnd"/>
      <w:r w:rsidRPr="00DE6BF0">
        <w:rPr>
          <w:b w:val="0"/>
          <w:lang w:val="en-AU"/>
        </w:rPr>
        <w:t xml:space="preserve"> is a Class 1 molecule under the Biopharmaceutical Classification System, with high permeability, high solubility and rapid dissolution characteristics. In clinical studies, </w:t>
      </w:r>
      <w:proofErr w:type="spellStart"/>
      <w:r w:rsidRPr="00DE6BF0">
        <w:rPr>
          <w:b w:val="0"/>
          <w:lang w:val="en-AU"/>
        </w:rPr>
        <w:lastRenderedPageBreak/>
        <w:t>ruxolitinib</w:t>
      </w:r>
      <w:proofErr w:type="spellEnd"/>
      <w:r w:rsidRPr="00DE6BF0">
        <w:rPr>
          <w:b w:val="0"/>
          <w:lang w:val="en-AU"/>
        </w:rPr>
        <w:t xml:space="preserve"> is rapidly absorbed after oral administration with maximal plasma concentration (</w:t>
      </w:r>
      <w:proofErr w:type="spellStart"/>
      <w:r w:rsidRPr="00DE6BF0">
        <w:rPr>
          <w:b w:val="0"/>
          <w:lang w:val="en-AU"/>
        </w:rPr>
        <w:t>Cmax</w:t>
      </w:r>
      <w:proofErr w:type="spellEnd"/>
      <w:r w:rsidRPr="00DE6BF0">
        <w:rPr>
          <w:b w:val="0"/>
          <w:lang w:val="en-AU"/>
        </w:rPr>
        <w:t xml:space="preserve">) achieved approximately 1 hour post-dose. Based on a mass balance study in humans, oral absorption of </w:t>
      </w:r>
      <w:proofErr w:type="spellStart"/>
      <w:r w:rsidRPr="00DE6BF0">
        <w:rPr>
          <w:b w:val="0"/>
          <w:lang w:val="en-AU"/>
        </w:rPr>
        <w:t>ruxolitinib</w:t>
      </w:r>
      <w:proofErr w:type="spellEnd"/>
      <w:r w:rsidRPr="00DE6BF0">
        <w:rPr>
          <w:b w:val="0"/>
          <w:lang w:val="en-AU"/>
        </w:rPr>
        <w:t xml:space="preserve"> was 95% or greater. Mean </w:t>
      </w:r>
      <w:proofErr w:type="spellStart"/>
      <w:r w:rsidRPr="00DE6BF0">
        <w:rPr>
          <w:b w:val="0"/>
          <w:lang w:val="en-AU"/>
        </w:rPr>
        <w:t>ruxolitinib</w:t>
      </w:r>
      <w:proofErr w:type="spellEnd"/>
      <w:r w:rsidRPr="00DE6BF0">
        <w:rPr>
          <w:b w:val="0"/>
          <w:lang w:val="en-AU"/>
        </w:rPr>
        <w:t xml:space="preserve"> </w:t>
      </w:r>
      <w:proofErr w:type="spellStart"/>
      <w:r w:rsidRPr="00DE6BF0">
        <w:rPr>
          <w:b w:val="0"/>
          <w:lang w:val="en-AU"/>
        </w:rPr>
        <w:t>Cmax</w:t>
      </w:r>
      <w:proofErr w:type="spellEnd"/>
      <w:r w:rsidRPr="00DE6BF0">
        <w:rPr>
          <w:b w:val="0"/>
          <w:lang w:val="en-AU"/>
        </w:rPr>
        <w:t xml:space="preserve"> and total exposure (AUC) increased proportionally over a single dose range of 5 to 200 mg. There was no clinically relevant change in the pharmacokinetics of </w:t>
      </w:r>
      <w:proofErr w:type="spellStart"/>
      <w:r w:rsidRPr="00DE6BF0">
        <w:rPr>
          <w:b w:val="0"/>
          <w:lang w:val="en-AU"/>
        </w:rPr>
        <w:t>ruxolitinib</w:t>
      </w:r>
      <w:proofErr w:type="spellEnd"/>
      <w:r w:rsidRPr="00DE6BF0">
        <w:rPr>
          <w:b w:val="0"/>
          <w:lang w:val="en-AU"/>
        </w:rPr>
        <w:t xml:space="preserve"> upon administration with a high-fat meal. The mean </w:t>
      </w:r>
      <w:proofErr w:type="spellStart"/>
      <w:r w:rsidRPr="00DE6BF0">
        <w:rPr>
          <w:b w:val="0"/>
          <w:lang w:val="en-AU"/>
        </w:rPr>
        <w:t>Cmax</w:t>
      </w:r>
      <w:proofErr w:type="spellEnd"/>
      <w:r w:rsidRPr="00DE6BF0">
        <w:rPr>
          <w:b w:val="0"/>
          <w:lang w:val="en-AU"/>
        </w:rPr>
        <w:t xml:space="preserve"> was moderately decreased (24%) while the mean AUC was nearly unchanged (4% increase) upon dosing with a high-fat mea</w:t>
      </w:r>
      <w:r w:rsidR="00BF3B5E">
        <w:rPr>
          <w:b w:val="0"/>
          <w:lang w:val="en-AU"/>
        </w:rPr>
        <w:t>l.</w:t>
      </w:r>
    </w:p>
    <w:p w:rsidR="007F46FD" w:rsidRPr="00DE6BF0" w:rsidRDefault="00357959" w:rsidP="00DE6BF0">
      <w:pPr>
        <w:rPr>
          <w:lang w:val="en-AU"/>
        </w:rPr>
      </w:pPr>
      <w:r w:rsidRPr="00DE6BF0">
        <w:rPr>
          <w:lang w:val="en-AU"/>
        </w:rPr>
        <w:t>Distribution</w:t>
      </w:r>
      <w:r w:rsidR="0038416E" w:rsidRPr="00DE6BF0">
        <w:rPr>
          <w:lang w:val="en-AU"/>
        </w:rPr>
        <w:t>:</w:t>
      </w:r>
    </w:p>
    <w:p w:rsidR="006633E1" w:rsidRDefault="006633E1" w:rsidP="006633E1">
      <w:pPr>
        <w:rPr>
          <w:b w:val="0"/>
          <w:lang w:val="en-AU"/>
        </w:rPr>
      </w:pPr>
      <w:r w:rsidRPr="00DE6BF0">
        <w:rPr>
          <w:b w:val="0"/>
          <w:lang w:val="en-AU"/>
        </w:rPr>
        <w:t xml:space="preserve">The apparent volume of distribution at steady-state is 53-65 L in </w:t>
      </w:r>
      <w:proofErr w:type="spellStart"/>
      <w:r w:rsidRPr="00DE6BF0">
        <w:rPr>
          <w:b w:val="0"/>
          <w:lang w:val="en-AU"/>
        </w:rPr>
        <w:t>myelofibrosis</w:t>
      </w:r>
      <w:proofErr w:type="spellEnd"/>
      <w:r w:rsidRPr="00DE6BF0">
        <w:rPr>
          <w:b w:val="0"/>
          <w:lang w:val="en-AU"/>
        </w:rPr>
        <w:t xml:space="preserve"> patients. At clinically relevant concentrations of </w:t>
      </w:r>
      <w:proofErr w:type="spellStart"/>
      <w:r w:rsidRPr="00DE6BF0">
        <w:rPr>
          <w:b w:val="0"/>
          <w:lang w:val="en-AU"/>
        </w:rPr>
        <w:t>ruxolitinib</w:t>
      </w:r>
      <w:proofErr w:type="spellEnd"/>
      <w:r w:rsidRPr="00DE6BF0">
        <w:rPr>
          <w:b w:val="0"/>
          <w:lang w:val="en-AU"/>
        </w:rPr>
        <w:t xml:space="preserve">, binding to plasma proteins in vitro is approximately 97%, mostly to albumin. </w:t>
      </w:r>
    </w:p>
    <w:p w:rsidR="00001EE6" w:rsidRPr="00DE6BF0" w:rsidRDefault="00001EE6" w:rsidP="006633E1">
      <w:pPr>
        <w:rPr>
          <w:b w:val="0"/>
          <w:lang w:val="en-AU"/>
        </w:rPr>
      </w:pPr>
    </w:p>
    <w:p w:rsidR="007F46FD" w:rsidRPr="00001EE6" w:rsidRDefault="00357959" w:rsidP="00001EE6">
      <w:r w:rsidRPr="00001EE6">
        <w:t>Metabolism</w:t>
      </w:r>
      <w:r w:rsidR="0038416E" w:rsidRPr="00001EE6">
        <w:t>:</w:t>
      </w:r>
    </w:p>
    <w:p w:rsidR="006633E1" w:rsidRPr="00DE6BF0" w:rsidRDefault="006633E1" w:rsidP="006633E1">
      <w:pPr>
        <w:rPr>
          <w:b w:val="0"/>
          <w:lang w:val="en-AU"/>
        </w:rPr>
      </w:pPr>
      <w:r w:rsidRPr="00DE6BF0">
        <w:rPr>
          <w:b w:val="0"/>
          <w:lang w:val="en-AU"/>
        </w:rPr>
        <w:t xml:space="preserve">In vitro studies indicate that CYP3A4 is the major enzyme responsible for metabolism of </w:t>
      </w:r>
      <w:proofErr w:type="spellStart"/>
      <w:r w:rsidRPr="00DE6BF0">
        <w:rPr>
          <w:b w:val="0"/>
          <w:lang w:val="en-AU"/>
        </w:rPr>
        <w:t>ruxolitinib</w:t>
      </w:r>
      <w:proofErr w:type="spellEnd"/>
      <w:r w:rsidRPr="00DE6BF0">
        <w:rPr>
          <w:b w:val="0"/>
          <w:lang w:val="en-AU"/>
        </w:rPr>
        <w:t xml:space="preserve">. Parent compound is the predominant entity in humans representing approximately 60% of the drug-related material in circulation. Two major and active metabolites were identified in plasma of healthy subjects representing 25% and 11% of parent AUC. These metabolites have one half to one fifth of the parent JAK-related pharmacological activity. The sum total of all active metabolites contribute to 18% of the overall pharmacodynamics of </w:t>
      </w:r>
      <w:proofErr w:type="spellStart"/>
      <w:r w:rsidRPr="00DE6BF0">
        <w:rPr>
          <w:b w:val="0"/>
          <w:lang w:val="en-AU"/>
        </w:rPr>
        <w:t>ruxolitinib</w:t>
      </w:r>
      <w:proofErr w:type="spellEnd"/>
      <w:r w:rsidRPr="00DE6BF0">
        <w:rPr>
          <w:b w:val="0"/>
          <w:lang w:val="en-AU"/>
        </w:rPr>
        <w:t xml:space="preserve">. </w:t>
      </w:r>
    </w:p>
    <w:p w:rsidR="007F46FD" w:rsidRPr="00DE6BF0" w:rsidRDefault="00357959" w:rsidP="00DE6BF0">
      <w:pPr>
        <w:rPr>
          <w:lang w:val="en-AU"/>
        </w:rPr>
      </w:pPr>
      <w:r w:rsidRPr="00DE6BF0">
        <w:rPr>
          <w:lang w:val="en-AU"/>
        </w:rPr>
        <w:t>Elimination</w:t>
      </w:r>
      <w:r w:rsidR="0038416E" w:rsidRPr="00DE6BF0">
        <w:rPr>
          <w:lang w:val="en-AU"/>
        </w:rPr>
        <w:t>:</w:t>
      </w:r>
    </w:p>
    <w:p w:rsidR="006633E1" w:rsidRPr="00DE6BF0" w:rsidRDefault="006633E1" w:rsidP="006633E1">
      <w:pPr>
        <w:rPr>
          <w:b w:val="0"/>
          <w:lang w:val="en-AU"/>
        </w:rPr>
      </w:pPr>
      <w:r w:rsidRPr="00DE6BF0">
        <w:rPr>
          <w:b w:val="0"/>
          <w:lang w:val="en-AU"/>
        </w:rPr>
        <w:t>Following a single oral dose of [14C]-label</w:t>
      </w:r>
      <w:r w:rsidR="00DE6BF0">
        <w:rPr>
          <w:b w:val="0"/>
          <w:lang w:val="en-AU"/>
        </w:rPr>
        <w:t>l</w:t>
      </w:r>
      <w:r w:rsidRPr="00DE6BF0">
        <w:rPr>
          <w:b w:val="0"/>
          <w:lang w:val="en-AU"/>
        </w:rPr>
        <w:t xml:space="preserve">ed </w:t>
      </w:r>
      <w:proofErr w:type="spellStart"/>
      <w:r w:rsidRPr="00DE6BF0">
        <w:rPr>
          <w:b w:val="0"/>
          <w:lang w:val="en-AU"/>
        </w:rPr>
        <w:t>ruxolitinib</w:t>
      </w:r>
      <w:proofErr w:type="spellEnd"/>
      <w:r w:rsidRPr="00DE6BF0">
        <w:rPr>
          <w:b w:val="0"/>
          <w:lang w:val="en-AU"/>
        </w:rPr>
        <w:t xml:space="preserve"> in healthy adult subjects, elimination was predominately through metabolism with 74% of radioactivity excreted in urine and 22% excretion via f</w:t>
      </w:r>
      <w:r w:rsidR="00DE6BF0">
        <w:rPr>
          <w:b w:val="0"/>
          <w:lang w:val="en-AU"/>
        </w:rPr>
        <w:t>a</w:t>
      </w:r>
      <w:r w:rsidRPr="00DE6BF0">
        <w:rPr>
          <w:b w:val="0"/>
          <w:lang w:val="en-AU"/>
        </w:rPr>
        <w:t xml:space="preserve">eces. Unchanged drug accounted for less than 1% of the excreted total radioactivity. The mean elimination half-life of </w:t>
      </w:r>
      <w:proofErr w:type="spellStart"/>
      <w:r w:rsidRPr="00DE6BF0">
        <w:rPr>
          <w:b w:val="0"/>
          <w:lang w:val="en-AU"/>
        </w:rPr>
        <w:t>ruxolitinib</w:t>
      </w:r>
      <w:proofErr w:type="spellEnd"/>
      <w:r w:rsidRPr="00DE6BF0">
        <w:rPr>
          <w:b w:val="0"/>
          <w:lang w:val="en-AU"/>
        </w:rPr>
        <w:t xml:space="preserve"> is approximately 3 hours.</w:t>
      </w:r>
    </w:p>
    <w:p w:rsidR="007F46FD" w:rsidRPr="00DE6BF0" w:rsidRDefault="00357959" w:rsidP="009C1BFE">
      <w:pPr>
        <w:pStyle w:val="Heading2"/>
        <w:rPr>
          <w:lang w:val="en-AU"/>
        </w:rPr>
      </w:pPr>
      <w:r w:rsidRPr="00DE6BF0">
        <w:rPr>
          <w:lang w:val="en-AU"/>
        </w:rPr>
        <w:t>Pharmacokinetics in special patient groups</w:t>
      </w:r>
    </w:p>
    <w:p w:rsidR="006633E1" w:rsidRPr="00DE6BF0" w:rsidRDefault="006633E1" w:rsidP="00DE6BF0">
      <w:pPr>
        <w:rPr>
          <w:lang w:val="en-AU"/>
        </w:rPr>
      </w:pPr>
      <w:r w:rsidRPr="00DE6BF0">
        <w:rPr>
          <w:lang w:val="en-AU"/>
        </w:rPr>
        <w:t>Effects of age, gender, or race</w:t>
      </w:r>
    </w:p>
    <w:p w:rsidR="006633E1" w:rsidRPr="00DE6BF0" w:rsidRDefault="006633E1" w:rsidP="006633E1">
      <w:pPr>
        <w:rPr>
          <w:b w:val="0"/>
          <w:lang w:val="en-AU"/>
        </w:rPr>
      </w:pPr>
      <w:r w:rsidRPr="00DE6BF0">
        <w:rPr>
          <w:b w:val="0"/>
          <w:lang w:val="en-AU"/>
        </w:rPr>
        <w:t xml:space="preserve">In healthy subjects, no significant differences in </w:t>
      </w:r>
      <w:proofErr w:type="spellStart"/>
      <w:r w:rsidRPr="00DE6BF0">
        <w:rPr>
          <w:b w:val="0"/>
          <w:lang w:val="en-AU"/>
        </w:rPr>
        <w:t>ruxolitinib</w:t>
      </w:r>
      <w:proofErr w:type="spellEnd"/>
      <w:r w:rsidRPr="00DE6BF0">
        <w:rPr>
          <w:b w:val="0"/>
          <w:lang w:val="en-AU"/>
        </w:rPr>
        <w:t xml:space="preserve"> pharmacokinetics were observed with regard to gender and race. In a population pharmacokinetic evaluation in </w:t>
      </w:r>
      <w:proofErr w:type="spellStart"/>
      <w:r w:rsidRPr="00DE6BF0">
        <w:rPr>
          <w:b w:val="0"/>
          <w:lang w:val="en-AU"/>
        </w:rPr>
        <w:t>myelofibrosis</w:t>
      </w:r>
      <w:proofErr w:type="spellEnd"/>
      <w:r w:rsidRPr="00DE6BF0">
        <w:rPr>
          <w:b w:val="0"/>
          <w:lang w:val="en-AU"/>
        </w:rPr>
        <w:t xml:space="preserve"> patients, no relationship was apparent between oral clearance and patient age or race. Clearance was 17.7 L/h in women and 22.1 L/h in men, with 39% inter-subject variability.</w:t>
      </w:r>
    </w:p>
    <w:p w:rsidR="006633E1" w:rsidRPr="00DE6BF0" w:rsidRDefault="006633E1" w:rsidP="00DE6BF0">
      <w:pPr>
        <w:rPr>
          <w:lang w:val="en-AU"/>
        </w:rPr>
      </w:pPr>
      <w:r w:rsidRPr="00DE6BF0">
        <w:rPr>
          <w:lang w:val="en-AU"/>
        </w:rPr>
        <w:t>P</w:t>
      </w:r>
      <w:r w:rsidR="00DE6BF0">
        <w:rPr>
          <w:lang w:val="en-AU"/>
        </w:rPr>
        <w:t>a</w:t>
      </w:r>
      <w:r w:rsidRPr="00DE6BF0">
        <w:rPr>
          <w:lang w:val="en-AU"/>
        </w:rPr>
        <w:t>ediatric</w:t>
      </w:r>
    </w:p>
    <w:p w:rsidR="006633E1" w:rsidRPr="00DE6BF0" w:rsidRDefault="006633E1" w:rsidP="006633E1">
      <w:pPr>
        <w:rPr>
          <w:b w:val="0"/>
          <w:lang w:val="en-AU"/>
        </w:rPr>
      </w:pPr>
      <w:r w:rsidRPr="00DE6BF0">
        <w:rPr>
          <w:b w:val="0"/>
          <w:lang w:val="en-AU"/>
        </w:rPr>
        <w:t xml:space="preserve">The safety and effectiveness of </w:t>
      </w:r>
      <w:proofErr w:type="spellStart"/>
      <w:r w:rsidRPr="00DE6BF0">
        <w:rPr>
          <w:b w:val="0"/>
          <w:lang w:val="en-AU"/>
        </w:rPr>
        <w:t>Jakavi</w:t>
      </w:r>
      <w:proofErr w:type="spellEnd"/>
      <w:r w:rsidRPr="00DE6BF0">
        <w:rPr>
          <w:b w:val="0"/>
          <w:lang w:val="en-AU"/>
        </w:rPr>
        <w:t xml:space="preserve"> in p</w:t>
      </w:r>
      <w:r w:rsidR="00022D41">
        <w:rPr>
          <w:b w:val="0"/>
          <w:lang w:val="en-AU"/>
        </w:rPr>
        <w:t>a</w:t>
      </w:r>
      <w:r w:rsidRPr="00DE6BF0">
        <w:rPr>
          <w:b w:val="0"/>
          <w:lang w:val="en-AU"/>
        </w:rPr>
        <w:t>ediatric patients have not been established.</w:t>
      </w:r>
    </w:p>
    <w:p w:rsidR="006633E1" w:rsidRPr="00DE6BF0" w:rsidRDefault="006633E1" w:rsidP="00DE6BF0">
      <w:pPr>
        <w:rPr>
          <w:lang w:val="en-AU"/>
        </w:rPr>
      </w:pPr>
      <w:r w:rsidRPr="00DE6BF0">
        <w:rPr>
          <w:lang w:val="en-AU"/>
        </w:rPr>
        <w:t>Renal insufficiency</w:t>
      </w:r>
    </w:p>
    <w:p w:rsidR="006633E1" w:rsidRPr="00DE6BF0" w:rsidRDefault="006633E1" w:rsidP="006633E1">
      <w:pPr>
        <w:rPr>
          <w:b w:val="0"/>
          <w:lang w:val="en-AU"/>
        </w:rPr>
      </w:pPr>
      <w:r w:rsidRPr="00DE6BF0">
        <w:rPr>
          <w:b w:val="0"/>
          <w:lang w:val="en-AU"/>
        </w:rPr>
        <w:lastRenderedPageBreak/>
        <w:t xml:space="preserve">Following a single </w:t>
      </w:r>
      <w:proofErr w:type="spellStart"/>
      <w:r w:rsidRPr="00DE6BF0">
        <w:rPr>
          <w:b w:val="0"/>
          <w:lang w:val="en-AU"/>
        </w:rPr>
        <w:t>ruxolitinib</w:t>
      </w:r>
      <w:proofErr w:type="spellEnd"/>
      <w:r w:rsidRPr="00DE6BF0">
        <w:rPr>
          <w:b w:val="0"/>
          <w:lang w:val="en-AU"/>
        </w:rPr>
        <w:t xml:space="preserve"> dose of 25 mg, the pharmacokinetics were similar in subjects</w:t>
      </w:r>
      <w:r w:rsidR="0000246D" w:rsidRPr="00DE6BF0">
        <w:rPr>
          <w:b w:val="0"/>
          <w:lang w:val="en-AU"/>
        </w:rPr>
        <w:t xml:space="preserve"> </w:t>
      </w:r>
      <w:r w:rsidRPr="00DE6BF0">
        <w:rPr>
          <w:b w:val="0"/>
          <w:lang w:val="en-AU"/>
        </w:rPr>
        <w:t>with various degrees of renal impairment and in those with normal renal function. However,</w:t>
      </w:r>
      <w:r w:rsidR="0000246D" w:rsidRPr="00DE6BF0">
        <w:rPr>
          <w:b w:val="0"/>
          <w:lang w:val="en-AU"/>
        </w:rPr>
        <w:t xml:space="preserve"> </w:t>
      </w:r>
      <w:r w:rsidRPr="00DE6BF0">
        <w:rPr>
          <w:b w:val="0"/>
          <w:lang w:val="en-AU"/>
        </w:rPr>
        <w:t xml:space="preserve">plasma AUC values of </w:t>
      </w:r>
      <w:proofErr w:type="spellStart"/>
      <w:r w:rsidRPr="00DE6BF0">
        <w:rPr>
          <w:b w:val="0"/>
          <w:lang w:val="en-AU"/>
        </w:rPr>
        <w:t>ruxolitinib</w:t>
      </w:r>
      <w:proofErr w:type="spellEnd"/>
      <w:r w:rsidRPr="00DE6BF0">
        <w:rPr>
          <w:b w:val="0"/>
          <w:lang w:val="en-AU"/>
        </w:rPr>
        <w:t xml:space="preserve"> metabolites tended to increase with increasing severity of</w:t>
      </w:r>
      <w:r w:rsidR="0000246D" w:rsidRPr="00DE6BF0">
        <w:rPr>
          <w:b w:val="0"/>
          <w:lang w:val="en-AU"/>
        </w:rPr>
        <w:t xml:space="preserve"> </w:t>
      </w:r>
      <w:r w:rsidRPr="00DE6BF0">
        <w:rPr>
          <w:b w:val="0"/>
          <w:lang w:val="en-AU"/>
        </w:rPr>
        <w:t>renal impairment, and most markedly in the subjects with end stage renal disease requiring</w:t>
      </w:r>
      <w:r w:rsidR="0000246D" w:rsidRPr="00DE6BF0">
        <w:rPr>
          <w:b w:val="0"/>
          <w:lang w:val="en-AU"/>
        </w:rPr>
        <w:t xml:space="preserve"> </w:t>
      </w:r>
      <w:proofErr w:type="spellStart"/>
      <w:r w:rsidRPr="00DE6BF0">
        <w:rPr>
          <w:b w:val="0"/>
          <w:lang w:val="en-AU"/>
        </w:rPr>
        <w:t>hemodialysis</w:t>
      </w:r>
      <w:proofErr w:type="spellEnd"/>
      <w:r w:rsidRPr="00DE6BF0">
        <w:rPr>
          <w:b w:val="0"/>
          <w:lang w:val="en-AU"/>
        </w:rPr>
        <w:t xml:space="preserve">. </w:t>
      </w:r>
      <w:proofErr w:type="spellStart"/>
      <w:r w:rsidRPr="00DE6BF0">
        <w:rPr>
          <w:b w:val="0"/>
          <w:lang w:val="en-AU"/>
        </w:rPr>
        <w:t>Ruxolitinib</w:t>
      </w:r>
      <w:proofErr w:type="spellEnd"/>
      <w:r w:rsidRPr="00DE6BF0">
        <w:rPr>
          <w:b w:val="0"/>
          <w:lang w:val="en-AU"/>
        </w:rPr>
        <w:t xml:space="preserve"> is not removed by dialysis. A dose modification is recommended for</w:t>
      </w:r>
      <w:r w:rsidR="0000246D" w:rsidRPr="00DE6BF0">
        <w:rPr>
          <w:b w:val="0"/>
          <w:lang w:val="en-AU"/>
        </w:rPr>
        <w:t xml:space="preserve"> </w:t>
      </w:r>
      <w:r w:rsidRPr="00DE6BF0">
        <w:rPr>
          <w:b w:val="0"/>
          <w:lang w:val="en-AU"/>
        </w:rPr>
        <w:t xml:space="preserve">patients with </w:t>
      </w:r>
      <w:r w:rsidR="00E56FDA">
        <w:rPr>
          <w:b w:val="0"/>
          <w:lang w:val="en-AU"/>
        </w:rPr>
        <w:t xml:space="preserve">moderate to </w:t>
      </w:r>
      <w:r w:rsidRPr="00DE6BF0">
        <w:rPr>
          <w:b w:val="0"/>
          <w:lang w:val="en-AU"/>
        </w:rPr>
        <w:t>severe renal impairment (</w:t>
      </w:r>
      <w:proofErr w:type="spellStart"/>
      <w:r w:rsidRPr="00DE6BF0">
        <w:rPr>
          <w:b w:val="0"/>
          <w:lang w:val="en-AU"/>
        </w:rPr>
        <w:t>Clcr</w:t>
      </w:r>
      <w:proofErr w:type="spellEnd"/>
      <w:r w:rsidRPr="00DE6BF0">
        <w:rPr>
          <w:b w:val="0"/>
          <w:lang w:val="en-AU"/>
        </w:rPr>
        <w:t xml:space="preserve"> less than </w:t>
      </w:r>
      <w:r w:rsidR="00E56FDA">
        <w:rPr>
          <w:b w:val="0"/>
          <w:lang w:val="en-AU"/>
        </w:rPr>
        <w:t>6</w:t>
      </w:r>
      <w:r w:rsidRPr="00DE6BF0">
        <w:rPr>
          <w:b w:val="0"/>
          <w:lang w:val="en-AU"/>
        </w:rPr>
        <w:t>0 mL/min). For patients with end stage</w:t>
      </w:r>
      <w:r w:rsidR="0000246D" w:rsidRPr="00DE6BF0">
        <w:rPr>
          <w:b w:val="0"/>
          <w:lang w:val="en-AU"/>
        </w:rPr>
        <w:t xml:space="preserve"> </w:t>
      </w:r>
      <w:r w:rsidRPr="00DE6BF0">
        <w:rPr>
          <w:b w:val="0"/>
          <w:lang w:val="en-AU"/>
        </w:rPr>
        <w:t>renal disease a modification of the dosing schedule is recommended</w:t>
      </w:r>
      <w:r w:rsidR="004550C8">
        <w:rPr>
          <w:b w:val="0"/>
          <w:lang w:val="en-AU"/>
        </w:rPr>
        <w:t xml:space="preserve">. </w:t>
      </w:r>
      <w:proofErr w:type="spellStart"/>
      <w:r w:rsidR="004550C8">
        <w:rPr>
          <w:b w:val="0"/>
          <w:lang w:val="en-AU"/>
        </w:rPr>
        <w:t>Jakavi</w:t>
      </w:r>
      <w:proofErr w:type="spellEnd"/>
      <w:r w:rsidR="004550C8">
        <w:rPr>
          <w:b w:val="0"/>
          <w:lang w:val="en-AU"/>
        </w:rPr>
        <w:t xml:space="preserve"> should be avoided in patients with end stage renal disease (</w:t>
      </w:r>
      <w:proofErr w:type="spellStart"/>
      <w:r w:rsidR="004550C8">
        <w:rPr>
          <w:b w:val="0"/>
          <w:lang w:val="en-AU"/>
        </w:rPr>
        <w:t>Clcr</w:t>
      </w:r>
      <w:proofErr w:type="spellEnd"/>
      <w:r w:rsidR="004550C8">
        <w:rPr>
          <w:b w:val="0"/>
          <w:lang w:val="en-AU"/>
        </w:rPr>
        <w:t xml:space="preserve"> less than 15 mL/min) not undergoing dialysis and in patients with </w:t>
      </w:r>
      <w:r w:rsidR="00E56FDA">
        <w:rPr>
          <w:b w:val="0"/>
          <w:lang w:val="en-AU"/>
        </w:rPr>
        <w:t xml:space="preserve">moderate to </w:t>
      </w:r>
      <w:r w:rsidR="004550C8">
        <w:rPr>
          <w:b w:val="0"/>
          <w:lang w:val="en-AU"/>
        </w:rPr>
        <w:t>severe renal impairment with platelet counts less than 100 x10</w:t>
      </w:r>
      <w:r w:rsidR="004550C8">
        <w:rPr>
          <w:b w:val="0"/>
          <w:vertAlign w:val="superscript"/>
          <w:lang w:val="en-AU"/>
        </w:rPr>
        <w:t>9</w:t>
      </w:r>
      <w:r w:rsidR="004550C8">
        <w:rPr>
          <w:b w:val="0"/>
          <w:lang w:val="en-AU"/>
        </w:rPr>
        <w:t>/L</w:t>
      </w:r>
      <w:r w:rsidRPr="00DE6BF0">
        <w:rPr>
          <w:b w:val="0"/>
          <w:lang w:val="en-AU"/>
        </w:rPr>
        <w:t xml:space="preserve"> (see Dosage and</w:t>
      </w:r>
      <w:r w:rsidR="0000246D" w:rsidRPr="00DE6BF0">
        <w:rPr>
          <w:b w:val="0"/>
          <w:lang w:val="en-AU"/>
        </w:rPr>
        <w:t xml:space="preserve"> A</w:t>
      </w:r>
      <w:r w:rsidRPr="00DE6BF0">
        <w:rPr>
          <w:b w:val="0"/>
          <w:lang w:val="en-AU"/>
        </w:rPr>
        <w:t>dministration</w:t>
      </w:r>
      <w:r w:rsidR="0000246D" w:rsidRPr="00DE6BF0">
        <w:rPr>
          <w:b w:val="0"/>
          <w:lang w:val="en-AU"/>
        </w:rPr>
        <w:t xml:space="preserve"> section</w:t>
      </w:r>
      <w:r w:rsidRPr="00DE6BF0">
        <w:rPr>
          <w:b w:val="0"/>
          <w:lang w:val="en-AU"/>
        </w:rPr>
        <w:t>).</w:t>
      </w:r>
    </w:p>
    <w:p w:rsidR="006633E1" w:rsidRPr="00DE6BF0" w:rsidRDefault="006633E1" w:rsidP="00DE6BF0">
      <w:pPr>
        <w:rPr>
          <w:lang w:val="en-AU"/>
        </w:rPr>
      </w:pPr>
      <w:r w:rsidRPr="00DE6BF0">
        <w:rPr>
          <w:lang w:val="en-AU"/>
        </w:rPr>
        <w:t>Hepatic insufficiency</w:t>
      </w:r>
    </w:p>
    <w:p w:rsidR="006633E1" w:rsidRPr="00DE6BF0" w:rsidRDefault="006633E1" w:rsidP="006633E1">
      <w:pPr>
        <w:rPr>
          <w:b w:val="0"/>
          <w:lang w:val="en-AU"/>
        </w:rPr>
      </w:pPr>
      <w:r w:rsidRPr="00DE6BF0">
        <w:rPr>
          <w:b w:val="0"/>
          <w:lang w:val="en-AU"/>
        </w:rPr>
        <w:t xml:space="preserve">Following a single </w:t>
      </w:r>
      <w:proofErr w:type="spellStart"/>
      <w:r w:rsidRPr="00DE6BF0">
        <w:rPr>
          <w:b w:val="0"/>
          <w:lang w:val="en-AU"/>
        </w:rPr>
        <w:t>ruxolitinib</w:t>
      </w:r>
      <w:proofErr w:type="spellEnd"/>
      <w:r w:rsidRPr="00DE6BF0">
        <w:rPr>
          <w:b w:val="0"/>
          <w:lang w:val="en-AU"/>
        </w:rPr>
        <w:t xml:space="preserve"> dose of 25 mg in patients with varying degrees of hepatic</w:t>
      </w:r>
      <w:r w:rsidR="0000246D" w:rsidRPr="00DE6BF0">
        <w:rPr>
          <w:b w:val="0"/>
          <w:lang w:val="en-AU"/>
        </w:rPr>
        <w:t xml:space="preserve"> </w:t>
      </w:r>
      <w:r w:rsidRPr="00DE6BF0">
        <w:rPr>
          <w:b w:val="0"/>
          <w:lang w:val="en-AU"/>
        </w:rPr>
        <w:t xml:space="preserve">impairment, the pharmacokinetics and pharmacodynamics of </w:t>
      </w:r>
      <w:proofErr w:type="spellStart"/>
      <w:r w:rsidRPr="00DE6BF0">
        <w:rPr>
          <w:b w:val="0"/>
          <w:lang w:val="en-AU"/>
        </w:rPr>
        <w:t>ruxolitinib</w:t>
      </w:r>
      <w:proofErr w:type="spellEnd"/>
      <w:r w:rsidRPr="00DE6BF0">
        <w:rPr>
          <w:b w:val="0"/>
          <w:lang w:val="en-AU"/>
        </w:rPr>
        <w:t xml:space="preserve"> were assessed. The</w:t>
      </w:r>
      <w:r w:rsidR="0000246D" w:rsidRPr="00DE6BF0">
        <w:rPr>
          <w:b w:val="0"/>
          <w:lang w:val="en-AU"/>
        </w:rPr>
        <w:t xml:space="preserve"> </w:t>
      </w:r>
      <w:r w:rsidRPr="00DE6BF0">
        <w:rPr>
          <w:b w:val="0"/>
          <w:lang w:val="en-AU"/>
        </w:rPr>
        <w:t xml:space="preserve">mean AUC for </w:t>
      </w:r>
      <w:proofErr w:type="spellStart"/>
      <w:r w:rsidRPr="00DE6BF0">
        <w:rPr>
          <w:b w:val="0"/>
          <w:lang w:val="en-AU"/>
        </w:rPr>
        <w:t>ruxolitinib</w:t>
      </w:r>
      <w:proofErr w:type="spellEnd"/>
      <w:r w:rsidRPr="00DE6BF0">
        <w:rPr>
          <w:b w:val="0"/>
          <w:lang w:val="en-AU"/>
        </w:rPr>
        <w:t xml:space="preserve"> was increased in patients with mild, moderate and severe hepatic</w:t>
      </w:r>
      <w:r w:rsidR="0000246D" w:rsidRPr="00DE6BF0">
        <w:rPr>
          <w:b w:val="0"/>
          <w:lang w:val="en-AU"/>
        </w:rPr>
        <w:t xml:space="preserve"> </w:t>
      </w:r>
      <w:r w:rsidRPr="00DE6BF0">
        <w:rPr>
          <w:b w:val="0"/>
          <w:lang w:val="en-AU"/>
        </w:rPr>
        <w:t>impairment by 87%, 28% and 65%, respectively, compared to patients with normal hepatic</w:t>
      </w:r>
      <w:r w:rsidR="0000246D" w:rsidRPr="00DE6BF0">
        <w:rPr>
          <w:b w:val="0"/>
          <w:lang w:val="en-AU"/>
        </w:rPr>
        <w:t xml:space="preserve"> </w:t>
      </w:r>
      <w:r w:rsidRPr="00DE6BF0">
        <w:rPr>
          <w:b w:val="0"/>
          <w:lang w:val="en-AU"/>
        </w:rPr>
        <w:t>function and indicating no clear relationship to the degree of hepatic impairment based on</w:t>
      </w:r>
      <w:r w:rsidR="0000246D" w:rsidRPr="00DE6BF0">
        <w:rPr>
          <w:b w:val="0"/>
          <w:lang w:val="en-AU"/>
        </w:rPr>
        <w:t xml:space="preserve"> </w:t>
      </w:r>
      <w:r w:rsidRPr="00DE6BF0">
        <w:rPr>
          <w:b w:val="0"/>
          <w:lang w:val="en-AU"/>
        </w:rPr>
        <w:t>Child-Pugh scores. The terminal elimination half-life was prolonged in patients with hepatic</w:t>
      </w:r>
      <w:r w:rsidR="0000246D" w:rsidRPr="00DE6BF0">
        <w:rPr>
          <w:b w:val="0"/>
          <w:lang w:val="en-AU"/>
        </w:rPr>
        <w:t xml:space="preserve"> </w:t>
      </w:r>
      <w:r w:rsidRPr="00DE6BF0">
        <w:rPr>
          <w:b w:val="0"/>
          <w:lang w:val="en-AU"/>
        </w:rPr>
        <w:t>impairment compared to healthy controls (4.1-5.0 hours versus 2.8 hours). A dose reduction is</w:t>
      </w:r>
      <w:r w:rsidR="0000246D" w:rsidRPr="00DE6BF0">
        <w:rPr>
          <w:b w:val="0"/>
          <w:lang w:val="en-AU"/>
        </w:rPr>
        <w:t xml:space="preserve"> </w:t>
      </w:r>
      <w:r w:rsidRPr="00DE6BF0">
        <w:rPr>
          <w:b w:val="0"/>
          <w:lang w:val="en-AU"/>
        </w:rPr>
        <w:t>recommended for patients with he</w:t>
      </w:r>
      <w:r w:rsidR="00CF6D22" w:rsidRPr="00DE6BF0">
        <w:rPr>
          <w:b w:val="0"/>
          <w:lang w:val="en-AU"/>
        </w:rPr>
        <w:t>patic impairment (see Dosage and A</w:t>
      </w:r>
      <w:r w:rsidRPr="00DE6BF0">
        <w:rPr>
          <w:b w:val="0"/>
          <w:lang w:val="en-AU"/>
        </w:rPr>
        <w:t>dministration</w:t>
      </w:r>
      <w:r w:rsidR="00CF6D22" w:rsidRPr="00DE6BF0">
        <w:rPr>
          <w:b w:val="0"/>
          <w:lang w:val="en-AU"/>
        </w:rPr>
        <w:t xml:space="preserve"> section</w:t>
      </w:r>
      <w:r w:rsidRPr="00DE6BF0">
        <w:rPr>
          <w:b w:val="0"/>
          <w:lang w:val="en-AU"/>
        </w:rPr>
        <w:t>).</w:t>
      </w:r>
    </w:p>
    <w:p w:rsidR="006D0C74" w:rsidRPr="00DE6BF0" w:rsidRDefault="00F22127" w:rsidP="007C7566">
      <w:pPr>
        <w:rPr>
          <w:lang w:val="en-AU"/>
        </w:rPr>
      </w:pPr>
      <w:r w:rsidRPr="00DE6BF0">
        <w:rPr>
          <w:lang w:val="en-AU"/>
        </w:rPr>
        <w:t>CLINICAL TRIALS</w:t>
      </w:r>
    </w:p>
    <w:p w:rsidR="0000246D" w:rsidRPr="00DE6BF0" w:rsidRDefault="0000246D" w:rsidP="0000246D">
      <w:pPr>
        <w:rPr>
          <w:b w:val="0"/>
          <w:lang w:val="en-AU"/>
        </w:rPr>
      </w:pPr>
      <w:r w:rsidRPr="00DE6BF0">
        <w:rPr>
          <w:b w:val="0"/>
          <w:lang w:val="en-AU"/>
        </w:rPr>
        <w:t xml:space="preserve">Two randomized Phase 3 studies (COMFORT-I and COMFORT-II)  were conducted in patients with </w:t>
      </w:r>
      <w:proofErr w:type="spellStart"/>
      <w:r w:rsidRPr="00DE6BF0">
        <w:rPr>
          <w:b w:val="0"/>
          <w:lang w:val="en-AU"/>
        </w:rPr>
        <w:t>Myelofibrosis</w:t>
      </w:r>
      <w:proofErr w:type="spellEnd"/>
      <w:r w:rsidRPr="00DE6BF0">
        <w:rPr>
          <w:b w:val="0"/>
          <w:lang w:val="en-AU"/>
        </w:rPr>
        <w:t xml:space="preserve"> (Primary </w:t>
      </w:r>
      <w:proofErr w:type="spellStart"/>
      <w:r w:rsidRPr="00DE6BF0">
        <w:rPr>
          <w:b w:val="0"/>
          <w:lang w:val="en-AU"/>
        </w:rPr>
        <w:t>Myelofibrosis</w:t>
      </w:r>
      <w:proofErr w:type="spellEnd"/>
      <w:r w:rsidRPr="00DE6BF0">
        <w:rPr>
          <w:b w:val="0"/>
          <w:lang w:val="en-AU"/>
        </w:rPr>
        <w:t>, Post-</w:t>
      </w:r>
      <w:proofErr w:type="spellStart"/>
      <w:r w:rsidRPr="00DE6BF0">
        <w:rPr>
          <w:b w:val="0"/>
          <w:lang w:val="en-AU"/>
        </w:rPr>
        <w:t>Polycythemia</w:t>
      </w:r>
      <w:proofErr w:type="spellEnd"/>
      <w:r w:rsidRPr="00DE6BF0">
        <w:rPr>
          <w:b w:val="0"/>
          <w:lang w:val="en-AU"/>
        </w:rPr>
        <w:t xml:space="preserve"> Vera </w:t>
      </w:r>
      <w:proofErr w:type="spellStart"/>
      <w:r w:rsidRPr="00DE6BF0">
        <w:rPr>
          <w:b w:val="0"/>
          <w:lang w:val="en-AU"/>
        </w:rPr>
        <w:t>Myelofibrosis</w:t>
      </w:r>
      <w:proofErr w:type="spellEnd"/>
      <w:r w:rsidRPr="00DE6BF0">
        <w:rPr>
          <w:b w:val="0"/>
          <w:lang w:val="en-AU"/>
        </w:rPr>
        <w:t xml:space="preserve"> or Post-Essential </w:t>
      </w:r>
      <w:proofErr w:type="spellStart"/>
      <w:r w:rsidRPr="00DE6BF0">
        <w:rPr>
          <w:b w:val="0"/>
          <w:lang w:val="en-AU"/>
        </w:rPr>
        <w:t>Thrombocythemia-Myelofibrosis</w:t>
      </w:r>
      <w:proofErr w:type="spellEnd"/>
      <w:r w:rsidRPr="00DE6BF0">
        <w:rPr>
          <w:b w:val="0"/>
          <w:lang w:val="en-AU"/>
        </w:rPr>
        <w:t xml:space="preserve">) In both studies, patients had palpable splenomegaly at least 5 cm below the costal margin and risk category of intermediate 2 (2 prognostic factors) or high risk (3 or more prognostic factors) based on the International Working Group Consensus Criteria (IWG). The prognostic factors that comprise the IWG criteria consist of age &gt;65 years, presence of constitutional symptoms (weight loss, fever, night sweats) </w:t>
      </w:r>
      <w:r w:rsidR="00490C34" w:rsidRPr="00DE6BF0">
        <w:rPr>
          <w:b w:val="0"/>
          <w:lang w:val="en-AU"/>
        </w:rPr>
        <w:t>anaemia</w:t>
      </w:r>
      <w:r w:rsidRPr="00DE6BF0">
        <w:rPr>
          <w:b w:val="0"/>
          <w:lang w:val="en-AU"/>
        </w:rPr>
        <w:t xml:space="preserve"> (h</w:t>
      </w:r>
      <w:r w:rsidR="00490C34">
        <w:rPr>
          <w:b w:val="0"/>
          <w:lang w:val="en-AU"/>
        </w:rPr>
        <w:t>a</w:t>
      </w:r>
      <w:r w:rsidRPr="00DE6BF0">
        <w:rPr>
          <w:b w:val="0"/>
          <w:lang w:val="en-AU"/>
        </w:rPr>
        <w:t>emoglobin &lt;10 g/</w:t>
      </w:r>
      <w:proofErr w:type="spellStart"/>
      <w:r w:rsidRPr="00DE6BF0">
        <w:rPr>
          <w:b w:val="0"/>
          <w:lang w:val="en-AU"/>
        </w:rPr>
        <w:t>dL</w:t>
      </w:r>
      <w:proofErr w:type="spellEnd"/>
      <w:r w:rsidRPr="00DE6BF0">
        <w:rPr>
          <w:b w:val="0"/>
          <w:lang w:val="en-AU"/>
        </w:rPr>
        <w:t xml:space="preserve">), </w:t>
      </w:r>
      <w:proofErr w:type="spellStart"/>
      <w:r w:rsidRPr="00DE6BF0">
        <w:rPr>
          <w:b w:val="0"/>
          <w:lang w:val="en-AU"/>
        </w:rPr>
        <w:t>leukocytosis</w:t>
      </w:r>
      <w:proofErr w:type="spellEnd"/>
      <w:r w:rsidRPr="00DE6BF0">
        <w:rPr>
          <w:b w:val="0"/>
          <w:lang w:val="en-AU"/>
        </w:rPr>
        <w:t xml:space="preserve"> (history of WBC &gt;25 X 10</w:t>
      </w:r>
      <w:r w:rsidRPr="0054289A">
        <w:rPr>
          <w:b w:val="0"/>
          <w:vertAlign w:val="superscript"/>
          <w:lang w:val="en-AU"/>
        </w:rPr>
        <w:t>9</w:t>
      </w:r>
      <w:r w:rsidRPr="00DE6BF0">
        <w:rPr>
          <w:b w:val="0"/>
          <w:lang w:val="en-AU"/>
        </w:rPr>
        <w:t xml:space="preserve">/L) and circulating blasts ≥1%. The starting dose of </w:t>
      </w:r>
      <w:proofErr w:type="spellStart"/>
      <w:r w:rsidRPr="00DE6BF0">
        <w:rPr>
          <w:b w:val="0"/>
          <w:lang w:val="en-AU"/>
        </w:rPr>
        <w:t>Jakavi</w:t>
      </w:r>
      <w:proofErr w:type="spellEnd"/>
      <w:r w:rsidRPr="00DE6BF0">
        <w:rPr>
          <w:b w:val="0"/>
          <w:lang w:val="en-AU"/>
        </w:rPr>
        <w:t xml:space="preserve"> was based on platelet count. </w:t>
      </w:r>
      <w:r w:rsidR="004674CA">
        <w:rPr>
          <w:b w:val="0"/>
          <w:lang w:val="en-AU"/>
        </w:rPr>
        <w:t>A baseline platelet count &gt; 100 x 10</w:t>
      </w:r>
      <w:r w:rsidR="004674CA" w:rsidRPr="0054289A">
        <w:rPr>
          <w:b w:val="0"/>
          <w:vertAlign w:val="superscript"/>
          <w:lang w:val="en-AU"/>
        </w:rPr>
        <w:t>9</w:t>
      </w:r>
      <w:r w:rsidR="004674CA">
        <w:rPr>
          <w:b w:val="0"/>
          <w:lang w:val="en-AU"/>
        </w:rPr>
        <w:t xml:space="preserve">/L was required for trial entry. </w:t>
      </w:r>
      <w:r w:rsidRPr="00DE6BF0">
        <w:rPr>
          <w:b w:val="0"/>
          <w:lang w:val="en-AU"/>
        </w:rPr>
        <w:t>Patients with a platelet count between 100 and 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were started on </w:t>
      </w:r>
      <w:proofErr w:type="spellStart"/>
      <w:r w:rsidRPr="00DE6BF0">
        <w:rPr>
          <w:b w:val="0"/>
          <w:lang w:val="en-AU"/>
        </w:rPr>
        <w:t>Jakavi</w:t>
      </w:r>
      <w:proofErr w:type="spellEnd"/>
      <w:r w:rsidRPr="00DE6BF0">
        <w:rPr>
          <w:b w:val="0"/>
          <w:lang w:val="en-AU"/>
        </w:rPr>
        <w:t xml:space="preserve"> 15 mg twice daily and patients with a platelet count &gt;200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were started on </w:t>
      </w:r>
      <w:proofErr w:type="spellStart"/>
      <w:r w:rsidRPr="00DE6BF0">
        <w:rPr>
          <w:b w:val="0"/>
          <w:lang w:val="en-AU"/>
        </w:rPr>
        <w:t>Jakavi</w:t>
      </w:r>
      <w:proofErr w:type="spellEnd"/>
      <w:r w:rsidRPr="00DE6BF0">
        <w:rPr>
          <w:b w:val="0"/>
          <w:lang w:val="en-AU"/>
        </w:rPr>
        <w:t xml:space="preserve"> 20 mg twice daily. Doses were then individualized based upon tolerability and efficacy with maximum doses of 20 mg twice daily for patients with platelet counts between 100 to ≤125</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of 10 mg twice daily for patients with platelet counts between 75 to ≤100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and of 5 mg twice daily for patients with platelet counts between 50 to ≤75</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w:t>
      </w:r>
    </w:p>
    <w:p w:rsidR="0000246D" w:rsidRPr="00DE6BF0" w:rsidRDefault="0000246D" w:rsidP="0000246D">
      <w:pPr>
        <w:rPr>
          <w:b w:val="0"/>
          <w:lang w:val="en-AU"/>
        </w:rPr>
      </w:pPr>
      <w:r w:rsidRPr="00DE6BF0">
        <w:rPr>
          <w:b w:val="0"/>
          <w:lang w:val="en-AU"/>
        </w:rPr>
        <w:lastRenderedPageBreak/>
        <w:t xml:space="preserve">COMFORT-I was a double-blind, randomized, placebo-controlled study in 309 patients who were refractory to or were not candidates for available therapy. Patients were dosed with </w:t>
      </w:r>
      <w:proofErr w:type="spellStart"/>
      <w:r w:rsidRPr="00DE6BF0">
        <w:rPr>
          <w:b w:val="0"/>
          <w:lang w:val="en-AU"/>
        </w:rPr>
        <w:t>Jakavi</w:t>
      </w:r>
      <w:proofErr w:type="spellEnd"/>
      <w:r w:rsidRPr="00DE6BF0">
        <w:rPr>
          <w:b w:val="0"/>
          <w:lang w:val="en-AU"/>
        </w:rPr>
        <w:t xml:space="preserve"> or matching placebo. The primary efficacy endpoint was proportion of subjects achieving ≥35% reduction from baseline in spleen volume at Week 24 as measured by MRI or CT.</w:t>
      </w:r>
    </w:p>
    <w:p w:rsidR="0000246D" w:rsidRPr="00DE6BF0" w:rsidRDefault="0000246D" w:rsidP="0000246D">
      <w:pPr>
        <w:rPr>
          <w:b w:val="0"/>
          <w:lang w:val="en-AU"/>
        </w:rPr>
      </w:pPr>
      <w:r w:rsidRPr="00DE6BF0">
        <w:rPr>
          <w:b w:val="0"/>
          <w:lang w:val="en-AU"/>
        </w:rPr>
        <w:t xml:space="preserve">Secondary endpoints included duration of maintenance of a ≥35% reduction from baseline in spleen volume, proportion of patients who had ≥50% reduction in total symptom score from baseline to Week 24 as measured by the modified </w:t>
      </w:r>
      <w:proofErr w:type="spellStart"/>
      <w:r w:rsidRPr="00DE6BF0">
        <w:rPr>
          <w:b w:val="0"/>
          <w:lang w:val="en-AU"/>
        </w:rPr>
        <w:t>Myelofibrosis</w:t>
      </w:r>
      <w:proofErr w:type="spellEnd"/>
      <w:r w:rsidRPr="00DE6BF0">
        <w:rPr>
          <w:b w:val="0"/>
          <w:lang w:val="en-AU"/>
        </w:rPr>
        <w:t xml:space="preserve"> Symptom Assessment Form (MFSAF) v2.0 diary, change in total symptom score from baseline to Week 24 as measured by the modified MFSAF v2.0 diary and overall survival.</w:t>
      </w:r>
    </w:p>
    <w:p w:rsidR="0000246D" w:rsidRPr="00DE6BF0" w:rsidRDefault="0000246D" w:rsidP="0000246D">
      <w:pPr>
        <w:rPr>
          <w:b w:val="0"/>
          <w:lang w:val="en-AU"/>
        </w:rPr>
      </w:pPr>
      <w:r w:rsidRPr="00DE6BF0">
        <w:rPr>
          <w:b w:val="0"/>
          <w:lang w:val="en-AU"/>
        </w:rPr>
        <w:t xml:space="preserve">COMFORT-II was an open-label, randomized study in 219 patients. Patients were randomized 2:1 to </w:t>
      </w:r>
      <w:proofErr w:type="spellStart"/>
      <w:r w:rsidRPr="00DE6BF0">
        <w:rPr>
          <w:b w:val="0"/>
          <w:lang w:val="en-AU"/>
        </w:rPr>
        <w:t>Jakavi</w:t>
      </w:r>
      <w:proofErr w:type="spellEnd"/>
      <w:r w:rsidRPr="00DE6BF0">
        <w:rPr>
          <w:b w:val="0"/>
          <w:lang w:val="en-AU"/>
        </w:rPr>
        <w:t xml:space="preserve"> versus best available therapy. Best available therapy </w:t>
      </w:r>
      <w:r w:rsidR="004674CA">
        <w:rPr>
          <w:b w:val="0"/>
          <w:lang w:val="en-AU"/>
        </w:rPr>
        <w:t xml:space="preserve">(BAT) </w:t>
      </w:r>
      <w:r w:rsidRPr="00DE6BF0">
        <w:rPr>
          <w:b w:val="0"/>
          <w:lang w:val="en-AU"/>
        </w:rPr>
        <w:t xml:space="preserve">was selected by the investigator on a patient-by-patient basis. In the best available therapy arm, 47% of patients received </w:t>
      </w:r>
      <w:proofErr w:type="spellStart"/>
      <w:r w:rsidRPr="00DE6BF0">
        <w:rPr>
          <w:b w:val="0"/>
          <w:lang w:val="en-AU"/>
        </w:rPr>
        <w:t>hydroxyurea</w:t>
      </w:r>
      <w:proofErr w:type="spellEnd"/>
      <w:r w:rsidRPr="00DE6BF0">
        <w:rPr>
          <w:b w:val="0"/>
          <w:lang w:val="en-AU"/>
        </w:rPr>
        <w:t xml:space="preserve"> and 16% of patients received glucocorticoids. The primary efficacy endpoint was proportion of patients achieving ≥35% reduction from baseline in spleen volume at Week 48 as measured by MRI or CT.</w:t>
      </w:r>
    </w:p>
    <w:p w:rsidR="0000246D" w:rsidRPr="00DE6BF0" w:rsidRDefault="0000246D" w:rsidP="0000246D">
      <w:pPr>
        <w:rPr>
          <w:b w:val="0"/>
          <w:lang w:val="en-AU"/>
        </w:rPr>
      </w:pPr>
      <w:r w:rsidRPr="00DE6BF0">
        <w:rPr>
          <w:b w:val="0"/>
          <w:lang w:val="en-AU"/>
        </w:rPr>
        <w:t>A secondary endpoint in COMFORT-II was the proportion of patients achieving a ≥35% reduction of spleen volume measured by MRI or CT from baseline to Week 24. Duration of maintenance of a ≥35% reduction from baseline in responding patients was also a secondary endpoint.</w:t>
      </w:r>
    </w:p>
    <w:p w:rsidR="0000246D" w:rsidRPr="00DE6BF0" w:rsidRDefault="0000246D" w:rsidP="0000246D">
      <w:pPr>
        <w:rPr>
          <w:b w:val="0"/>
          <w:lang w:val="en-AU"/>
        </w:rPr>
      </w:pPr>
      <w:r w:rsidRPr="00DE6BF0">
        <w:rPr>
          <w:b w:val="0"/>
          <w:lang w:val="en-AU"/>
        </w:rPr>
        <w:t xml:space="preserve">In COMFORT-I, patient baseline demographics and disease characteristics were comparable between the treatment arms. The median age was 68 years with 61% of patients older than 65 years and 54% male. Fifty </w:t>
      </w:r>
      <w:proofErr w:type="spellStart"/>
      <w:r w:rsidRPr="00DE6BF0">
        <w:rPr>
          <w:b w:val="0"/>
          <w:lang w:val="en-AU"/>
        </w:rPr>
        <w:t>percent</w:t>
      </w:r>
      <w:proofErr w:type="spellEnd"/>
      <w:r w:rsidRPr="00DE6BF0">
        <w:rPr>
          <w:b w:val="0"/>
          <w:lang w:val="en-AU"/>
        </w:rPr>
        <w:t xml:space="preserve"> (50%) of patients had primary </w:t>
      </w:r>
      <w:proofErr w:type="spellStart"/>
      <w:r w:rsidRPr="00DE6BF0">
        <w:rPr>
          <w:b w:val="0"/>
          <w:lang w:val="en-AU"/>
        </w:rPr>
        <w:t>myelofibrosis</w:t>
      </w:r>
      <w:proofErr w:type="spellEnd"/>
      <w:r w:rsidRPr="00DE6BF0">
        <w:rPr>
          <w:b w:val="0"/>
          <w:lang w:val="en-AU"/>
        </w:rPr>
        <w:t>, 31% had post-</w:t>
      </w:r>
      <w:proofErr w:type="spellStart"/>
      <w:r w:rsidRPr="00DE6BF0">
        <w:rPr>
          <w:b w:val="0"/>
          <w:lang w:val="en-AU"/>
        </w:rPr>
        <w:t>polycythemia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 xml:space="preserve"> and 18% had post-essential </w:t>
      </w:r>
      <w:proofErr w:type="spellStart"/>
      <w:r w:rsidRPr="00DE6BF0">
        <w:rPr>
          <w:b w:val="0"/>
          <w:lang w:val="en-AU"/>
        </w:rPr>
        <w:t>thrombocythemia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 xml:space="preserve">. Twenty-one (21%) of patients had red blood transfusions within 8 weeks of </w:t>
      </w:r>
      <w:r w:rsidR="00490C34" w:rsidRPr="00DE6BF0">
        <w:rPr>
          <w:b w:val="0"/>
          <w:lang w:val="en-AU"/>
        </w:rPr>
        <w:t>enrolment</w:t>
      </w:r>
      <w:r w:rsidRPr="00DE6BF0">
        <w:rPr>
          <w:b w:val="0"/>
          <w:lang w:val="en-AU"/>
        </w:rPr>
        <w:t xml:space="preserve"> in the study. The median platelet count was 251</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Seventy-six </w:t>
      </w:r>
      <w:proofErr w:type="spellStart"/>
      <w:r w:rsidRPr="00DE6BF0">
        <w:rPr>
          <w:b w:val="0"/>
          <w:lang w:val="en-AU"/>
        </w:rPr>
        <w:t>percent</w:t>
      </w:r>
      <w:proofErr w:type="spellEnd"/>
      <w:r w:rsidRPr="00DE6BF0">
        <w:rPr>
          <w:b w:val="0"/>
          <w:lang w:val="en-AU"/>
        </w:rPr>
        <w:t xml:space="preserve"> of patients had the mutation encoding the V617F substitution present in the JAK protein. Patients had a median palpable spleen length of 16 cm. At baseline 37.4% of the patients in the </w:t>
      </w:r>
      <w:proofErr w:type="spellStart"/>
      <w:r w:rsidRPr="00DE6BF0">
        <w:rPr>
          <w:b w:val="0"/>
          <w:lang w:val="en-AU"/>
        </w:rPr>
        <w:t>Jakavi</w:t>
      </w:r>
      <w:proofErr w:type="spellEnd"/>
      <w:r w:rsidRPr="00DE6BF0">
        <w:rPr>
          <w:b w:val="0"/>
          <w:lang w:val="en-AU"/>
        </w:rPr>
        <w:t xml:space="preserve"> arm had grade 1 </w:t>
      </w:r>
      <w:r w:rsidR="00490C34" w:rsidRPr="00DE6BF0">
        <w:rPr>
          <w:b w:val="0"/>
          <w:lang w:val="en-AU"/>
        </w:rPr>
        <w:t>anaemia</w:t>
      </w:r>
      <w:r w:rsidRPr="00DE6BF0">
        <w:rPr>
          <w:b w:val="0"/>
          <w:lang w:val="en-AU"/>
        </w:rPr>
        <w:t xml:space="preserve"> , 31.6% grade 2 and 4.5% grade 3, while in the placebo arm 35.8% had grade 1, 35.1% grade 2, 4.6% grade 3, and 0.7% grade 4 . Grade 1 thrombocytopenia was found in 12.9 % of patients in the </w:t>
      </w:r>
      <w:proofErr w:type="spellStart"/>
      <w:r w:rsidRPr="00DE6BF0">
        <w:rPr>
          <w:b w:val="0"/>
          <w:lang w:val="en-AU"/>
        </w:rPr>
        <w:t>Jakavi</w:t>
      </w:r>
      <w:proofErr w:type="spellEnd"/>
      <w:r w:rsidRPr="00DE6BF0">
        <w:rPr>
          <w:b w:val="0"/>
          <w:lang w:val="en-AU"/>
        </w:rPr>
        <w:t xml:space="preserve"> arm and 13.2% in the placebo arm.</w:t>
      </w:r>
    </w:p>
    <w:p w:rsidR="0000246D" w:rsidRPr="00DE6BF0" w:rsidRDefault="0000246D" w:rsidP="0000246D">
      <w:pPr>
        <w:rPr>
          <w:b w:val="0"/>
          <w:lang w:val="en-AU"/>
        </w:rPr>
      </w:pPr>
      <w:r w:rsidRPr="00DE6BF0">
        <w:rPr>
          <w:b w:val="0"/>
          <w:lang w:val="en-AU"/>
        </w:rPr>
        <w:t xml:space="preserve">In COMFORT-II, patient baseline demographics and disease characteristics were comparable between the treatment arms. The median age was 66 years with 52% of patients older than 65 years and 57% male. Fifty-three </w:t>
      </w:r>
      <w:proofErr w:type="spellStart"/>
      <w:r w:rsidRPr="00DE6BF0">
        <w:rPr>
          <w:b w:val="0"/>
          <w:lang w:val="en-AU"/>
        </w:rPr>
        <w:t>percent</w:t>
      </w:r>
      <w:proofErr w:type="spellEnd"/>
      <w:r w:rsidRPr="00DE6BF0">
        <w:rPr>
          <w:b w:val="0"/>
          <w:lang w:val="en-AU"/>
        </w:rPr>
        <w:t xml:space="preserve"> (53%) of the subjects had primary </w:t>
      </w:r>
      <w:proofErr w:type="spellStart"/>
      <w:r w:rsidRPr="00DE6BF0">
        <w:rPr>
          <w:b w:val="0"/>
          <w:lang w:val="en-AU"/>
        </w:rPr>
        <w:t>myelofibrosis</w:t>
      </w:r>
      <w:proofErr w:type="spellEnd"/>
      <w:r w:rsidRPr="00DE6BF0">
        <w:rPr>
          <w:b w:val="0"/>
          <w:lang w:val="en-AU"/>
        </w:rPr>
        <w:t>, 31% had post-</w:t>
      </w:r>
      <w:proofErr w:type="spellStart"/>
      <w:r w:rsidRPr="00DE6BF0">
        <w:rPr>
          <w:b w:val="0"/>
          <w:lang w:val="en-AU"/>
        </w:rPr>
        <w:t>polycythemia</w:t>
      </w:r>
      <w:proofErr w:type="spellEnd"/>
      <w:r w:rsidRPr="00DE6BF0">
        <w:rPr>
          <w:b w:val="0"/>
          <w:lang w:val="en-AU"/>
        </w:rPr>
        <w:t xml:space="preserve"> </w:t>
      </w:r>
      <w:proofErr w:type="spellStart"/>
      <w:r w:rsidRPr="00DE6BF0">
        <w:rPr>
          <w:b w:val="0"/>
          <w:lang w:val="en-AU"/>
        </w:rPr>
        <w:t>vera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 xml:space="preserve">, and 16% had post-essential </w:t>
      </w:r>
      <w:proofErr w:type="spellStart"/>
      <w:r w:rsidRPr="00DE6BF0">
        <w:rPr>
          <w:b w:val="0"/>
          <w:lang w:val="en-AU"/>
        </w:rPr>
        <w:t>thrombocythemia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 19% of patients were considered transfusion dependent at baseline. Patients had a median palpable spleen length of 15 cm.</w:t>
      </w:r>
    </w:p>
    <w:p w:rsidR="004674CA" w:rsidRDefault="0000246D" w:rsidP="0000246D">
      <w:pPr>
        <w:rPr>
          <w:b w:val="0"/>
          <w:lang w:val="en-AU"/>
        </w:rPr>
      </w:pPr>
      <w:r w:rsidRPr="00DE6BF0">
        <w:rPr>
          <w:b w:val="0"/>
          <w:lang w:val="en-AU"/>
        </w:rPr>
        <w:lastRenderedPageBreak/>
        <w:t xml:space="preserve">At baseline 34.2% of the patients in the </w:t>
      </w:r>
      <w:proofErr w:type="spellStart"/>
      <w:r w:rsidRPr="00DE6BF0">
        <w:rPr>
          <w:b w:val="0"/>
          <w:lang w:val="en-AU"/>
        </w:rPr>
        <w:t>Jakavi</w:t>
      </w:r>
      <w:proofErr w:type="spellEnd"/>
      <w:r w:rsidRPr="00DE6BF0">
        <w:rPr>
          <w:b w:val="0"/>
          <w:lang w:val="en-AU"/>
        </w:rPr>
        <w:t xml:space="preserve"> arm had grade 1 an</w:t>
      </w:r>
      <w:r w:rsidR="00490C34">
        <w:rPr>
          <w:b w:val="0"/>
          <w:lang w:val="en-AU"/>
        </w:rPr>
        <w:t>a</w:t>
      </w:r>
      <w:r w:rsidRPr="00DE6BF0">
        <w:rPr>
          <w:b w:val="0"/>
          <w:lang w:val="en-AU"/>
        </w:rPr>
        <w:t xml:space="preserve">emia , 28.8% grade 2, and 7.5% grade 3, while in the BAT arm 37% had grade 1, 27.4% grade 2, 13.7% grade 3, and 1.4% grade 4 . Thrombocytopenia of grade 1 was found in 8.2% of patients in the </w:t>
      </w:r>
      <w:proofErr w:type="spellStart"/>
      <w:r w:rsidRPr="00DE6BF0">
        <w:rPr>
          <w:b w:val="0"/>
          <w:lang w:val="en-AU"/>
        </w:rPr>
        <w:t>Jakavi</w:t>
      </w:r>
      <w:proofErr w:type="spellEnd"/>
      <w:r w:rsidRPr="00DE6BF0">
        <w:rPr>
          <w:b w:val="0"/>
          <w:lang w:val="en-AU"/>
        </w:rPr>
        <w:t xml:space="preserve"> arm, and 9.6% in the BAT arm. </w:t>
      </w:r>
    </w:p>
    <w:p w:rsidR="0000246D" w:rsidRPr="00DE6BF0" w:rsidRDefault="0000246D" w:rsidP="0000246D">
      <w:pPr>
        <w:rPr>
          <w:b w:val="0"/>
          <w:lang w:val="en-AU"/>
        </w:rPr>
      </w:pPr>
      <w:r w:rsidRPr="00DE6BF0">
        <w:rPr>
          <w:b w:val="0"/>
          <w:lang w:val="en-AU"/>
        </w:rPr>
        <w:t xml:space="preserve">Efficacy analyses of the primary endpoint in COMFORT-I and COMFORT-II are presented in Table 1 below. A significantly larger proportion of patients in the </w:t>
      </w:r>
      <w:proofErr w:type="spellStart"/>
      <w:r w:rsidRPr="00DE6BF0">
        <w:rPr>
          <w:b w:val="0"/>
          <w:lang w:val="en-AU"/>
        </w:rPr>
        <w:t>Jakavi</w:t>
      </w:r>
      <w:proofErr w:type="spellEnd"/>
      <w:r w:rsidRPr="00DE6BF0">
        <w:rPr>
          <w:b w:val="0"/>
          <w:lang w:val="en-AU"/>
        </w:rPr>
        <w:t xml:space="preserve"> group achieved a ≥35% reduction in spleen volume from baseline in both studies compared to placebo in COMFORT-I and best available therapy in COMFORT-II.</w:t>
      </w:r>
    </w:p>
    <w:p w:rsidR="00D90C1D" w:rsidRDefault="00D90C1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bCs/>
          <w:color w:val="000000"/>
          <w:sz w:val="22"/>
          <w:szCs w:val="22"/>
          <w:lang w:val="en-AU"/>
        </w:rPr>
      </w:pPr>
    </w:p>
    <w:p w:rsidR="0000246D" w:rsidRPr="00DE6BF0" w:rsidRDefault="0000246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bCs/>
          <w:color w:val="000000"/>
          <w:sz w:val="22"/>
          <w:szCs w:val="22"/>
          <w:lang w:val="en-AU"/>
        </w:rPr>
      </w:pPr>
      <w:r w:rsidRPr="00DE6BF0">
        <w:rPr>
          <w:bCs/>
          <w:color w:val="000000"/>
          <w:sz w:val="22"/>
          <w:szCs w:val="22"/>
          <w:lang w:val="en-AU"/>
        </w:rPr>
        <w:t xml:space="preserve">Table 1 </w:t>
      </w:r>
      <w:proofErr w:type="spellStart"/>
      <w:r w:rsidRPr="00DE6BF0">
        <w:rPr>
          <w:bCs/>
          <w:color w:val="000000"/>
          <w:sz w:val="22"/>
          <w:szCs w:val="22"/>
          <w:lang w:val="en-AU"/>
        </w:rPr>
        <w:t>Percent</w:t>
      </w:r>
      <w:proofErr w:type="spellEnd"/>
      <w:r w:rsidRPr="00DE6BF0">
        <w:rPr>
          <w:bCs/>
          <w:color w:val="000000"/>
          <w:sz w:val="22"/>
          <w:szCs w:val="22"/>
          <w:lang w:val="en-AU"/>
        </w:rPr>
        <w:t xml:space="preserve"> of Patients with ≥35% Reduction from Baseline in Spleen Volume at Week 24 in COMFORT-I and at Week 48 in COMFORT-II (ITT)</w:t>
      </w:r>
    </w:p>
    <w:p w:rsidR="004550C8" w:rsidRDefault="004550C8" w:rsidP="004550C8">
      <w:pPr>
        <w:tabs>
          <w:tab w:val="clear" w:pos="-720"/>
          <w:tab w:val="clear" w:pos="0"/>
        </w:tabs>
        <w:spacing w:before="0" w:line="240" w:lineRule="auto"/>
        <w:jc w:val="left"/>
        <w:rPr>
          <w:bCs/>
          <w:color w:val="000000"/>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457"/>
        <w:gridCol w:w="1559"/>
        <w:gridCol w:w="1474"/>
        <w:gridCol w:w="1849"/>
      </w:tblGrid>
      <w:tr w:rsidR="004550C8" w:rsidTr="004550C8">
        <w:tc>
          <w:tcPr>
            <w:tcW w:w="2904" w:type="dxa"/>
            <w:tcBorders>
              <w:top w:val="single" w:sz="4" w:space="0" w:color="auto"/>
              <w:left w:val="single" w:sz="4" w:space="0" w:color="auto"/>
              <w:bottom w:val="single" w:sz="4" w:space="0" w:color="auto"/>
              <w:right w:val="single" w:sz="4" w:space="0" w:color="auto"/>
            </w:tcBorders>
          </w:tcPr>
          <w:p w:rsidR="004550C8" w:rsidRDefault="004550C8">
            <w:pPr>
              <w:tabs>
                <w:tab w:val="clear" w:pos="-720"/>
                <w:tab w:val="clear" w:pos="0"/>
              </w:tabs>
              <w:spacing w:before="0" w:line="240" w:lineRule="auto"/>
              <w:jc w:val="left"/>
              <w:rPr>
                <w:bCs/>
                <w:color w:val="000000"/>
                <w:sz w:val="22"/>
                <w:szCs w:val="22"/>
                <w:lang w:val="en-AU"/>
              </w:rPr>
            </w:pPr>
          </w:p>
        </w:tc>
        <w:tc>
          <w:tcPr>
            <w:tcW w:w="1457"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proofErr w:type="spellStart"/>
            <w:r>
              <w:rPr>
                <w:b w:val="0"/>
                <w:lang w:val="en-AU"/>
              </w:rPr>
              <w:t>Jakavi</w:t>
            </w:r>
            <w:proofErr w:type="spellEnd"/>
          </w:p>
          <w:p w:rsidR="004550C8" w:rsidRDefault="004550C8">
            <w:pPr>
              <w:tabs>
                <w:tab w:val="clear" w:pos="-720"/>
                <w:tab w:val="clear" w:pos="0"/>
              </w:tabs>
              <w:spacing w:before="0" w:line="240" w:lineRule="auto"/>
              <w:jc w:val="center"/>
              <w:rPr>
                <w:bCs/>
                <w:color w:val="000000"/>
                <w:sz w:val="22"/>
                <w:szCs w:val="22"/>
                <w:lang w:val="en-AU"/>
              </w:rPr>
            </w:pPr>
            <w:r>
              <w:rPr>
                <w:b w:val="0"/>
                <w:lang w:val="en-AU"/>
              </w:rPr>
              <w:t>(N=155)</w:t>
            </w:r>
          </w:p>
        </w:tc>
        <w:tc>
          <w:tcPr>
            <w:tcW w:w="1559"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r>
              <w:rPr>
                <w:b w:val="0"/>
                <w:lang w:val="en-AU"/>
              </w:rPr>
              <w:t>Placebo (N=153)</w:t>
            </w:r>
          </w:p>
        </w:tc>
        <w:tc>
          <w:tcPr>
            <w:tcW w:w="1474"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proofErr w:type="spellStart"/>
            <w:r>
              <w:rPr>
                <w:b w:val="0"/>
                <w:lang w:val="en-AU"/>
              </w:rPr>
              <w:t>Jakavi</w:t>
            </w:r>
            <w:proofErr w:type="spellEnd"/>
          </w:p>
          <w:p w:rsidR="004550C8" w:rsidRDefault="004550C8">
            <w:pPr>
              <w:tabs>
                <w:tab w:val="clear" w:pos="-720"/>
                <w:tab w:val="clear" w:pos="0"/>
              </w:tabs>
              <w:spacing w:before="0" w:line="240" w:lineRule="auto"/>
              <w:jc w:val="center"/>
              <w:rPr>
                <w:bCs/>
                <w:color w:val="000000"/>
                <w:sz w:val="22"/>
                <w:szCs w:val="22"/>
                <w:lang w:val="en-AU"/>
              </w:rPr>
            </w:pPr>
            <w:r>
              <w:rPr>
                <w:b w:val="0"/>
                <w:lang w:val="en-AU"/>
              </w:rPr>
              <w:t>(N=144)</w:t>
            </w:r>
          </w:p>
        </w:tc>
        <w:tc>
          <w:tcPr>
            <w:tcW w:w="1849"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r>
              <w:rPr>
                <w:b w:val="0"/>
                <w:lang w:val="en-AU"/>
              </w:rPr>
              <w:t>Best Available Therapy (N=72)</w:t>
            </w:r>
          </w:p>
        </w:tc>
      </w:tr>
      <w:tr w:rsidR="004550C8" w:rsidTr="004550C8">
        <w:tc>
          <w:tcPr>
            <w:tcW w:w="2904" w:type="dxa"/>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left"/>
              <w:rPr>
                <w:bCs/>
                <w:color w:val="000000"/>
                <w:sz w:val="22"/>
                <w:szCs w:val="22"/>
                <w:lang w:val="en-AU"/>
              </w:rPr>
            </w:pPr>
            <w:r>
              <w:rPr>
                <w:b w:val="0"/>
                <w:lang w:val="en-AU"/>
              </w:rPr>
              <w:t>Time Points</w:t>
            </w:r>
          </w:p>
        </w:tc>
        <w:tc>
          <w:tcPr>
            <w:tcW w:w="3016" w:type="dxa"/>
            <w:gridSpan w:val="2"/>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Cs/>
                <w:color w:val="000000"/>
                <w:sz w:val="22"/>
                <w:szCs w:val="22"/>
                <w:lang w:val="en-AU"/>
              </w:rPr>
            </w:pPr>
            <w:r>
              <w:rPr>
                <w:b w:val="0"/>
                <w:lang w:val="en-AU"/>
              </w:rPr>
              <w:t>Week 24</w:t>
            </w:r>
          </w:p>
        </w:tc>
        <w:tc>
          <w:tcPr>
            <w:tcW w:w="3323" w:type="dxa"/>
            <w:gridSpan w:val="2"/>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 w:val="0"/>
                <w:lang w:val="en-AU"/>
              </w:rPr>
            </w:pPr>
            <w:r>
              <w:rPr>
                <w:b w:val="0"/>
                <w:lang w:val="en-AU"/>
              </w:rPr>
              <w:t>Week 48</w:t>
            </w:r>
          </w:p>
        </w:tc>
      </w:tr>
      <w:tr w:rsidR="004550C8" w:rsidTr="004550C8">
        <w:tc>
          <w:tcPr>
            <w:tcW w:w="2904" w:type="dxa"/>
            <w:tcBorders>
              <w:top w:val="single" w:sz="4" w:space="0" w:color="auto"/>
              <w:left w:val="single" w:sz="4" w:space="0" w:color="auto"/>
              <w:bottom w:val="single" w:sz="4" w:space="0" w:color="auto"/>
              <w:right w:val="single" w:sz="4" w:space="0" w:color="auto"/>
            </w:tcBorders>
            <w:hideMark/>
          </w:tcPr>
          <w:p w:rsidR="004550C8" w:rsidRDefault="004550C8">
            <w:pPr>
              <w:spacing w:before="0" w:line="240" w:lineRule="auto"/>
              <w:jc w:val="left"/>
              <w:rPr>
                <w:bCs/>
                <w:color w:val="000000"/>
                <w:sz w:val="22"/>
                <w:szCs w:val="22"/>
                <w:lang w:val="en-AU"/>
              </w:rPr>
            </w:pPr>
            <w:r>
              <w:rPr>
                <w:b w:val="0"/>
                <w:lang w:val="en-AU"/>
              </w:rPr>
              <w:t>Number (%) of Subjects with Spleen Volume Reduced by ≥35%</w:t>
            </w:r>
          </w:p>
        </w:tc>
        <w:tc>
          <w:tcPr>
            <w:tcW w:w="1457" w:type="dxa"/>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Cs/>
                <w:color w:val="000000"/>
                <w:sz w:val="22"/>
                <w:szCs w:val="22"/>
                <w:lang w:val="en-AU"/>
              </w:rPr>
            </w:pPr>
            <w:r>
              <w:rPr>
                <w:b w:val="0"/>
                <w:lang w:val="en-AU"/>
              </w:rPr>
              <w:t>65 (41.9)</w:t>
            </w:r>
          </w:p>
        </w:tc>
        <w:tc>
          <w:tcPr>
            <w:tcW w:w="1559" w:type="dxa"/>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Cs/>
                <w:color w:val="000000"/>
                <w:sz w:val="22"/>
                <w:szCs w:val="22"/>
                <w:lang w:val="en-AU"/>
              </w:rPr>
            </w:pPr>
            <w:r>
              <w:rPr>
                <w:b w:val="0"/>
                <w:lang w:val="en-AU"/>
              </w:rPr>
              <w:t>1 (0.7)</w:t>
            </w:r>
          </w:p>
        </w:tc>
        <w:tc>
          <w:tcPr>
            <w:tcW w:w="1474" w:type="dxa"/>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Cs/>
                <w:color w:val="000000"/>
                <w:sz w:val="22"/>
                <w:szCs w:val="22"/>
                <w:lang w:val="en-AU"/>
              </w:rPr>
            </w:pPr>
            <w:r>
              <w:rPr>
                <w:b w:val="0"/>
                <w:lang w:val="en-AU"/>
              </w:rPr>
              <w:t>41 (28.5)</w:t>
            </w:r>
          </w:p>
        </w:tc>
        <w:tc>
          <w:tcPr>
            <w:tcW w:w="1849"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r>
              <w:rPr>
                <w:b w:val="0"/>
                <w:lang w:val="en-AU"/>
              </w:rPr>
              <w:t>0</w:t>
            </w:r>
          </w:p>
        </w:tc>
      </w:tr>
      <w:tr w:rsidR="004550C8" w:rsidTr="004550C8">
        <w:tc>
          <w:tcPr>
            <w:tcW w:w="2904" w:type="dxa"/>
            <w:tcBorders>
              <w:top w:val="single" w:sz="4" w:space="0" w:color="auto"/>
              <w:left w:val="single" w:sz="4" w:space="0" w:color="auto"/>
              <w:bottom w:val="single" w:sz="4" w:space="0" w:color="auto"/>
              <w:right w:val="single" w:sz="4" w:space="0" w:color="auto"/>
            </w:tcBorders>
            <w:hideMark/>
          </w:tcPr>
          <w:p w:rsidR="004550C8" w:rsidRDefault="004550C8">
            <w:pPr>
              <w:spacing w:before="0"/>
              <w:jc w:val="left"/>
              <w:rPr>
                <w:b w:val="0"/>
                <w:lang w:val="en-AU"/>
              </w:rPr>
            </w:pPr>
            <w:r>
              <w:rPr>
                <w:b w:val="0"/>
                <w:lang w:val="en-AU"/>
              </w:rPr>
              <w:t xml:space="preserve">% difference between treatments (95% </w:t>
            </w:r>
            <w:proofErr w:type="spellStart"/>
            <w:r>
              <w:rPr>
                <w:b w:val="0"/>
                <w:lang w:val="en-AU"/>
              </w:rPr>
              <w:t>CI</w:t>
            </w:r>
            <w:r>
              <w:rPr>
                <w:b w:val="0"/>
                <w:vertAlign w:val="superscript"/>
                <w:lang w:val="en-AU"/>
              </w:rPr>
              <w:t>a</w:t>
            </w:r>
            <w:proofErr w:type="spellEnd"/>
            <w:r>
              <w:rPr>
                <w:b w:val="0"/>
                <w:lang w:val="en-AU"/>
              </w:rPr>
              <w:t>)</w:t>
            </w:r>
          </w:p>
        </w:tc>
        <w:tc>
          <w:tcPr>
            <w:tcW w:w="3016" w:type="dxa"/>
            <w:gridSpan w:val="2"/>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 w:val="0"/>
                <w:bCs/>
                <w:color w:val="000000"/>
                <w:sz w:val="22"/>
                <w:szCs w:val="22"/>
                <w:lang w:val="en-AU"/>
              </w:rPr>
            </w:pPr>
            <w:r>
              <w:rPr>
                <w:b w:val="0"/>
                <w:bCs/>
                <w:color w:val="000000"/>
                <w:sz w:val="22"/>
                <w:szCs w:val="22"/>
                <w:lang w:val="en-AU"/>
              </w:rPr>
              <w:t>41.3 (32.8, 48.7)</w:t>
            </w:r>
          </w:p>
        </w:tc>
        <w:tc>
          <w:tcPr>
            <w:tcW w:w="3323" w:type="dxa"/>
            <w:gridSpan w:val="2"/>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 w:val="0"/>
                <w:bCs/>
                <w:color w:val="000000"/>
                <w:sz w:val="22"/>
                <w:szCs w:val="22"/>
                <w:lang w:val="en-AU"/>
              </w:rPr>
            </w:pPr>
            <w:r>
              <w:rPr>
                <w:b w:val="0"/>
                <w:bCs/>
                <w:color w:val="000000"/>
                <w:sz w:val="22"/>
                <w:szCs w:val="22"/>
                <w:lang w:val="en-AU"/>
              </w:rPr>
              <w:t>28.5 (19.6, 35.2)</w:t>
            </w:r>
          </w:p>
        </w:tc>
      </w:tr>
      <w:tr w:rsidR="004550C8" w:rsidTr="004550C8">
        <w:tc>
          <w:tcPr>
            <w:tcW w:w="2904" w:type="dxa"/>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left"/>
              <w:rPr>
                <w:bCs/>
                <w:color w:val="000000"/>
                <w:sz w:val="22"/>
                <w:szCs w:val="22"/>
                <w:lang w:val="en-AU"/>
              </w:rPr>
            </w:pPr>
            <w:r>
              <w:rPr>
                <w:b w:val="0"/>
                <w:lang w:val="en-AU"/>
              </w:rPr>
              <w:t>P-value</w:t>
            </w:r>
          </w:p>
        </w:tc>
        <w:tc>
          <w:tcPr>
            <w:tcW w:w="3016" w:type="dxa"/>
            <w:gridSpan w:val="2"/>
            <w:tcBorders>
              <w:top w:val="single" w:sz="4" w:space="0" w:color="auto"/>
              <w:left w:val="single" w:sz="4" w:space="0" w:color="auto"/>
              <w:bottom w:val="single" w:sz="4" w:space="0" w:color="auto"/>
              <w:right w:val="single" w:sz="4" w:space="0" w:color="auto"/>
            </w:tcBorders>
            <w:hideMark/>
          </w:tcPr>
          <w:p w:rsidR="004550C8" w:rsidRDefault="004550C8">
            <w:pPr>
              <w:tabs>
                <w:tab w:val="clear" w:pos="-720"/>
                <w:tab w:val="clear" w:pos="0"/>
              </w:tabs>
              <w:spacing w:before="0" w:line="240" w:lineRule="auto"/>
              <w:jc w:val="center"/>
              <w:rPr>
                <w:bCs/>
                <w:color w:val="000000"/>
                <w:sz w:val="22"/>
                <w:szCs w:val="22"/>
                <w:lang w:val="en-AU"/>
              </w:rPr>
            </w:pPr>
            <w:r>
              <w:rPr>
                <w:b w:val="0"/>
                <w:lang w:val="en-AU"/>
              </w:rPr>
              <w:t>&lt; 0.0001</w:t>
            </w:r>
          </w:p>
        </w:tc>
        <w:tc>
          <w:tcPr>
            <w:tcW w:w="3323" w:type="dxa"/>
            <w:gridSpan w:val="2"/>
            <w:tcBorders>
              <w:top w:val="single" w:sz="4" w:space="0" w:color="auto"/>
              <w:left w:val="single" w:sz="4" w:space="0" w:color="auto"/>
              <w:bottom w:val="single" w:sz="4" w:space="0" w:color="auto"/>
              <w:right w:val="single" w:sz="4" w:space="0" w:color="auto"/>
            </w:tcBorders>
            <w:hideMark/>
          </w:tcPr>
          <w:p w:rsidR="004550C8" w:rsidRDefault="004550C8">
            <w:pPr>
              <w:spacing w:before="0"/>
              <w:jc w:val="center"/>
              <w:rPr>
                <w:b w:val="0"/>
                <w:lang w:val="en-AU"/>
              </w:rPr>
            </w:pPr>
            <w:r>
              <w:rPr>
                <w:b w:val="0"/>
                <w:lang w:val="en-AU"/>
              </w:rPr>
              <w:t>&lt; 0.0001</w:t>
            </w:r>
          </w:p>
        </w:tc>
      </w:tr>
      <w:tr w:rsidR="004550C8" w:rsidTr="004550C8">
        <w:tc>
          <w:tcPr>
            <w:tcW w:w="9243" w:type="dxa"/>
            <w:gridSpan w:val="5"/>
            <w:tcBorders>
              <w:top w:val="single" w:sz="4" w:space="0" w:color="auto"/>
              <w:left w:val="nil"/>
              <w:bottom w:val="nil"/>
              <w:right w:val="nil"/>
            </w:tcBorders>
            <w:hideMark/>
          </w:tcPr>
          <w:p w:rsidR="004550C8" w:rsidRDefault="004550C8">
            <w:pPr>
              <w:spacing w:before="0"/>
              <w:rPr>
                <w:b w:val="0"/>
                <w:lang w:val="en-AU"/>
              </w:rPr>
            </w:pPr>
            <w:r>
              <w:rPr>
                <w:b w:val="0"/>
                <w:lang w:val="en-AU"/>
              </w:rPr>
              <w:t xml:space="preserve">a: by </w:t>
            </w:r>
            <w:proofErr w:type="spellStart"/>
            <w:r>
              <w:rPr>
                <w:b w:val="0"/>
                <w:lang w:val="en-AU"/>
              </w:rPr>
              <w:t>Agresti-Caffo</w:t>
            </w:r>
            <w:proofErr w:type="spellEnd"/>
            <w:r>
              <w:rPr>
                <w:b w:val="0"/>
                <w:lang w:val="en-AU"/>
              </w:rPr>
              <w:t xml:space="preserve"> method (</w:t>
            </w:r>
            <w:proofErr w:type="spellStart"/>
            <w:r>
              <w:rPr>
                <w:b w:val="0"/>
                <w:lang w:val="en-AU"/>
              </w:rPr>
              <w:t>Agresti</w:t>
            </w:r>
            <w:proofErr w:type="spellEnd"/>
            <w:r>
              <w:rPr>
                <w:b w:val="0"/>
                <w:lang w:val="en-AU"/>
              </w:rPr>
              <w:t xml:space="preserve"> and </w:t>
            </w:r>
            <w:proofErr w:type="spellStart"/>
            <w:r>
              <w:rPr>
                <w:b w:val="0"/>
                <w:lang w:val="en-AU"/>
              </w:rPr>
              <w:t>Caffo</w:t>
            </w:r>
            <w:proofErr w:type="spellEnd"/>
            <w:r>
              <w:rPr>
                <w:b w:val="0"/>
                <w:lang w:val="en-AU"/>
              </w:rPr>
              <w:t>; The American Statistician, 2000)</w:t>
            </w:r>
          </w:p>
        </w:tc>
      </w:tr>
    </w:tbl>
    <w:p w:rsidR="0000246D" w:rsidRPr="0054289A" w:rsidRDefault="0000246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bCs/>
          <w:color w:val="000000"/>
          <w:sz w:val="22"/>
          <w:szCs w:val="22"/>
        </w:rPr>
      </w:pPr>
    </w:p>
    <w:p w:rsidR="0000246D" w:rsidRPr="00DE6BF0" w:rsidRDefault="0000246D" w:rsidP="0000246D">
      <w:pPr>
        <w:rPr>
          <w:b w:val="0"/>
          <w:lang w:val="en-AU"/>
        </w:rPr>
      </w:pPr>
      <w:r w:rsidRPr="00DE6BF0">
        <w:rPr>
          <w:b w:val="0"/>
          <w:lang w:val="en-AU"/>
        </w:rPr>
        <w:t xml:space="preserve">In COMFORT-I, 41.9% of patients in the </w:t>
      </w:r>
      <w:proofErr w:type="spellStart"/>
      <w:r w:rsidRPr="00DE6BF0">
        <w:rPr>
          <w:b w:val="0"/>
          <w:lang w:val="en-AU"/>
        </w:rPr>
        <w:t>Jakavi</w:t>
      </w:r>
      <w:proofErr w:type="spellEnd"/>
      <w:r w:rsidRPr="00DE6BF0">
        <w:rPr>
          <w:b w:val="0"/>
          <w:lang w:val="en-AU"/>
        </w:rPr>
        <w:t xml:space="preserve"> group achieved a ≥35% reduction in spleen</w:t>
      </w:r>
      <w:r w:rsidR="00E370E5" w:rsidRPr="00DE6BF0">
        <w:rPr>
          <w:b w:val="0"/>
          <w:lang w:val="en-AU"/>
        </w:rPr>
        <w:t xml:space="preserve"> </w:t>
      </w:r>
      <w:r w:rsidRPr="00DE6BF0">
        <w:rPr>
          <w:b w:val="0"/>
          <w:lang w:val="en-AU"/>
        </w:rPr>
        <w:t>volume from baseline compared with 0.7% in the placebo group at Week 24. A similar</w:t>
      </w:r>
      <w:r w:rsidR="00E370E5" w:rsidRPr="00DE6BF0">
        <w:rPr>
          <w:b w:val="0"/>
          <w:lang w:val="en-AU"/>
        </w:rPr>
        <w:t xml:space="preserve"> </w:t>
      </w:r>
      <w:r w:rsidRPr="00DE6BF0">
        <w:rPr>
          <w:b w:val="0"/>
          <w:lang w:val="en-AU"/>
        </w:rPr>
        <w:t xml:space="preserve">proportion of patients in the </w:t>
      </w:r>
      <w:proofErr w:type="spellStart"/>
      <w:r w:rsidRPr="00DE6BF0">
        <w:rPr>
          <w:b w:val="0"/>
          <w:lang w:val="en-AU"/>
        </w:rPr>
        <w:t>Jakavi</w:t>
      </w:r>
      <w:proofErr w:type="spellEnd"/>
      <w:r w:rsidRPr="00DE6BF0">
        <w:rPr>
          <w:b w:val="0"/>
          <w:lang w:val="en-AU"/>
        </w:rPr>
        <w:t xml:space="preserve"> group achieved a ≥50% reduction in </w:t>
      </w:r>
      <w:r w:rsidR="009919F3">
        <w:rPr>
          <w:b w:val="0"/>
          <w:lang w:val="en-AU"/>
        </w:rPr>
        <w:t xml:space="preserve">the exploratory efficacy endpoint of </w:t>
      </w:r>
      <w:r w:rsidRPr="00DE6BF0">
        <w:rPr>
          <w:b w:val="0"/>
          <w:lang w:val="en-AU"/>
        </w:rPr>
        <w:t>palpable spleen length.</w:t>
      </w:r>
    </w:p>
    <w:p w:rsidR="0000246D" w:rsidRPr="00DE6BF0" w:rsidRDefault="0000246D" w:rsidP="0000246D">
      <w:pPr>
        <w:rPr>
          <w:b w:val="0"/>
          <w:lang w:val="en-AU"/>
        </w:rPr>
      </w:pPr>
      <w:r w:rsidRPr="00DE6BF0">
        <w:rPr>
          <w:b w:val="0"/>
          <w:lang w:val="en-AU"/>
        </w:rPr>
        <w:t xml:space="preserve">In COMFORT-II, 28.5% of patients in the </w:t>
      </w:r>
      <w:proofErr w:type="spellStart"/>
      <w:r w:rsidRPr="00DE6BF0">
        <w:rPr>
          <w:b w:val="0"/>
          <w:lang w:val="en-AU"/>
        </w:rPr>
        <w:t>Jakavi</w:t>
      </w:r>
      <w:proofErr w:type="spellEnd"/>
      <w:r w:rsidRPr="00DE6BF0">
        <w:rPr>
          <w:b w:val="0"/>
          <w:lang w:val="en-AU"/>
        </w:rPr>
        <w:t xml:space="preserve"> group achieved a ≥35% reduction in spleen</w:t>
      </w:r>
      <w:r w:rsidR="00E370E5" w:rsidRPr="00DE6BF0">
        <w:rPr>
          <w:b w:val="0"/>
          <w:lang w:val="en-AU"/>
        </w:rPr>
        <w:t xml:space="preserve"> </w:t>
      </w:r>
      <w:r w:rsidRPr="00DE6BF0">
        <w:rPr>
          <w:b w:val="0"/>
          <w:lang w:val="en-AU"/>
        </w:rPr>
        <w:t>volume from baseline compared with none (0%) in the best available therapy group at</w:t>
      </w:r>
      <w:r w:rsidR="00E370E5" w:rsidRPr="00DE6BF0">
        <w:rPr>
          <w:b w:val="0"/>
          <w:lang w:val="en-AU"/>
        </w:rPr>
        <w:t xml:space="preserve"> </w:t>
      </w:r>
      <w:r w:rsidRPr="00DE6BF0">
        <w:rPr>
          <w:b w:val="0"/>
          <w:lang w:val="en-AU"/>
        </w:rPr>
        <w:t>Week 48. A secondary endpoint was the proportion of patients achieving a ≥35% reduction of</w:t>
      </w:r>
      <w:r w:rsidR="00E370E5" w:rsidRPr="00DE6BF0">
        <w:rPr>
          <w:b w:val="0"/>
          <w:lang w:val="en-AU"/>
        </w:rPr>
        <w:t xml:space="preserve"> </w:t>
      </w:r>
      <w:r w:rsidRPr="00DE6BF0">
        <w:rPr>
          <w:b w:val="0"/>
          <w:lang w:val="en-AU"/>
        </w:rPr>
        <w:t xml:space="preserve">spleen volume at Week 24. A significantly larger proportion of patients in the </w:t>
      </w:r>
      <w:proofErr w:type="spellStart"/>
      <w:r w:rsidRPr="00DE6BF0">
        <w:rPr>
          <w:b w:val="0"/>
          <w:lang w:val="en-AU"/>
        </w:rPr>
        <w:t>Jakavi</w:t>
      </w:r>
      <w:proofErr w:type="spellEnd"/>
      <w:r w:rsidRPr="00DE6BF0">
        <w:rPr>
          <w:b w:val="0"/>
          <w:lang w:val="en-AU"/>
        </w:rPr>
        <w:t xml:space="preserve"> group 46</w:t>
      </w:r>
      <w:r w:rsidR="00E370E5" w:rsidRPr="00DE6BF0">
        <w:rPr>
          <w:b w:val="0"/>
          <w:lang w:val="en-AU"/>
        </w:rPr>
        <w:t xml:space="preserve"> </w:t>
      </w:r>
      <w:r w:rsidRPr="00DE6BF0">
        <w:rPr>
          <w:b w:val="0"/>
          <w:lang w:val="en-AU"/>
        </w:rPr>
        <w:t>(31.9%) achieved a ≥35% reduction in spleen volume from baseline compared to no (0%)</w:t>
      </w:r>
      <w:r w:rsidR="00E370E5" w:rsidRPr="00DE6BF0">
        <w:rPr>
          <w:b w:val="0"/>
          <w:lang w:val="en-AU"/>
        </w:rPr>
        <w:t xml:space="preserve"> </w:t>
      </w:r>
      <w:r w:rsidRPr="00DE6BF0">
        <w:rPr>
          <w:b w:val="0"/>
          <w:lang w:val="en-AU"/>
        </w:rPr>
        <w:t>patients in the best available therapy group (p-value &lt;0.0001).</w:t>
      </w:r>
    </w:p>
    <w:p w:rsidR="0000246D" w:rsidRPr="00DE6BF0" w:rsidRDefault="0000246D" w:rsidP="0000246D">
      <w:pPr>
        <w:rPr>
          <w:b w:val="0"/>
          <w:lang w:val="en-AU"/>
        </w:rPr>
      </w:pPr>
      <w:r w:rsidRPr="00DE6BF0">
        <w:rPr>
          <w:b w:val="0"/>
          <w:lang w:val="en-AU"/>
        </w:rPr>
        <w:t xml:space="preserve">A </w:t>
      </w:r>
      <w:r w:rsidR="004674CA">
        <w:rPr>
          <w:b w:val="0"/>
          <w:lang w:val="en-AU"/>
        </w:rPr>
        <w:t xml:space="preserve">exploratory </w:t>
      </w:r>
      <w:r w:rsidR="009919F3">
        <w:rPr>
          <w:b w:val="0"/>
          <w:lang w:val="en-AU"/>
        </w:rPr>
        <w:t xml:space="preserve">subgroup analysis showed a </w:t>
      </w:r>
      <w:r w:rsidRPr="00DE6BF0">
        <w:rPr>
          <w:b w:val="0"/>
          <w:lang w:val="en-AU"/>
        </w:rPr>
        <w:t xml:space="preserve">significantly higher proportion of patients in the </w:t>
      </w:r>
      <w:proofErr w:type="spellStart"/>
      <w:r w:rsidRPr="00DE6BF0">
        <w:rPr>
          <w:b w:val="0"/>
          <w:lang w:val="en-AU"/>
        </w:rPr>
        <w:t>Jakavi</w:t>
      </w:r>
      <w:proofErr w:type="spellEnd"/>
      <w:r w:rsidRPr="00DE6BF0">
        <w:rPr>
          <w:b w:val="0"/>
          <w:lang w:val="en-AU"/>
        </w:rPr>
        <w:t xml:space="preserve"> group achieved ≥ 35% reduction</w:t>
      </w:r>
      <w:r w:rsidR="00E370E5" w:rsidRPr="00DE6BF0">
        <w:rPr>
          <w:b w:val="0"/>
          <w:lang w:val="en-AU"/>
        </w:rPr>
        <w:t xml:space="preserve"> </w:t>
      </w:r>
      <w:r w:rsidRPr="00DE6BF0">
        <w:rPr>
          <w:b w:val="0"/>
          <w:lang w:val="en-AU"/>
        </w:rPr>
        <w:t>from baseline in spleen volume regardless of the presence or absence of the JAK2V617F</w:t>
      </w:r>
      <w:r w:rsidR="00E370E5" w:rsidRPr="00DE6BF0">
        <w:rPr>
          <w:b w:val="0"/>
          <w:lang w:val="en-AU"/>
        </w:rPr>
        <w:t xml:space="preserve"> </w:t>
      </w:r>
      <w:r w:rsidRPr="00DE6BF0">
        <w:rPr>
          <w:b w:val="0"/>
          <w:lang w:val="en-AU"/>
        </w:rPr>
        <w:t xml:space="preserve">mutation or the disease subtype (primary </w:t>
      </w:r>
      <w:proofErr w:type="spellStart"/>
      <w:r w:rsidRPr="00DE6BF0">
        <w:rPr>
          <w:b w:val="0"/>
          <w:lang w:val="en-AU"/>
        </w:rPr>
        <w:t>myelofibrosis</w:t>
      </w:r>
      <w:proofErr w:type="spellEnd"/>
      <w:r w:rsidRPr="00DE6BF0">
        <w:rPr>
          <w:b w:val="0"/>
          <w:lang w:val="en-AU"/>
        </w:rPr>
        <w:t>, post-</w:t>
      </w:r>
      <w:proofErr w:type="spellStart"/>
      <w:r w:rsidRPr="00DE6BF0">
        <w:rPr>
          <w:b w:val="0"/>
          <w:lang w:val="en-AU"/>
        </w:rPr>
        <w:t>polycythemia</w:t>
      </w:r>
      <w:proofErr w:type="spellEnd"/>
      <w:r w:rsidRPr="00DE6BF0">
        <w:rPr>
          <w:b w:val="0"/>
          <w:lang w:val="en-AU"/>
        </w:rPr>
        <w:t xml:space="preserve"> </w:t>
      </w:r>
      <w:proofErr w:type="spellStart"/>
      <w:r w:rsidRPr="00DE6BF0">
        <w:rPr>
          <w:b w:val="0"/>
          <w:lang w:val="en-AU"/>
        </w:rPr>
        <w:t>vera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w:t>
      </w:r>
      <w:r w:rsidR="00E370E5" w:rsidRPr="00DE6BF0">
        <w:rPr>
          <w:b w:val="0"/>
          <w:lang w:val="en-AU"/>
        </w:rPr>
        <w:t xml:space="preserve"> </w:t>
      </w:r>
      <w:r w:rsidRPr="00DE6BF0">
        <w:rPr>
          <w:b w:val="0"/>
          <w:lang w:val="en-AU"/>
        </w:rPr>
        <w:t xml:space="preserve">post-essential </w:t>
      </w:r>
      <w:proofErr w:type="spellStart"/>
      <w:r w:rsidRPr="00DE6BF0">
        <w:rPr>
          <w:b w:val="0"/>
          <w:lang w:val="en-AU"/>
        </w:rPr>
        <w:t>thrombocythemia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w:t>
      </w:r>
    </w:p>
    <w:p w:rsidR="0000246D" w:rsidRPr="00DE6BF0" w:rsidRDefault="0000246D" w:rsidP="0000246D">
      <w:pPr>
        <w:rPr>
          <w:b w:val="0"/>
          <w:lang w:val="en-AU"/>
        </w:rPr>
      </w:pPr>
      <w:r w:rsidRPr="00DE6BF0">
        <w:rPr>
          <w:b w:val="0"/>
          <w:lang w:val="en-AU"/>
        </w:rPr>
        <w:lastRenderedPageBreak/>
        <w:t xml:space="preserve">Figure 1 shows a waterfall plot of the </w:t>
      </w:r>
      <w:proofErr w:type="spellStart"/>
      <w:r w:rsidRPr="00DE6BF0">
        <w:rPr>
          <w:b w:val="0"/>
          <w:lang w:val="en-AU"/>
        </w:rPr>
        <w:t>percent</w:t>
      </w:r>
      <w:proofErr w:type="spellEnd"/>
      <w:r w:rsidRPr="00DE6BF0">
        <w:rPr>
          <w:b w:val="0"/>
          <w:lang w:val="en-AU"/>
        </w:rPr>
        <w:t xml:space="preserve"> change from baseline in spleen volume at</w:t>
      </w:r>
      <w:r w:rsidR="00E370E5" w:rsidRPr="00DE6BF0">
        <w:rPr>
          <w:b w:val="0"/>
          <w:lang w:val="en-AU"/>
        </w:rPr>
        <w:t xml:space="preserve"> </w:t>
      </w:r>
      <w:r w:rsidRPr="00DE6BF0">
        <w:rPr>
          <w:b w:val="0"/>
          <w:lang w:val="en-AU"/>
        </w:rPr>
        <w:t xml:space="preserve">Week 24 in COMFORT-I. Among the 139 patients in the </w:t>
      </w:r>
      <w:proofErr w:type="spellStart"/>
      <w:r w:rsidRPr="00DE6BF0">
        <w:rPr>
          <w:b w:val="0"/>
          <w:lang w:val="en-AU"/>
        </w:rPr>
        <w:t>Jakavi</w:t>
      </w:r>
      <w:proofErr w:type="spellEnd"/>
      <w:r w:rsidRPr="00DE6BF0">
        <w:rPr>
          <w:b w:val="0"/>
          <w:lang w:val="en-AU"/>
        </w:rPr>
        <w:t xml:space="preserve"> group who had both baseline</w:t>
      </w:r>
      <w:r w:rsidR="00E370E5" w:rsidRPr="00DE6BF0">
        <w:rPr>
          <w:b w:val="0"/>
          <w:lang w:val="en-AU"/>
        </w:rPr>
        <w:t xml:space="preserve"> </w:t>
      </w:r>
      <w:r w:rsidRPr="00DE6BF0">
        <w:rPr>
          <w:b w:val="0"/>
          <w:lang w:val="en-AU"/>
        </w:rPr>
        <w:t>spleen volume at Week 24, with a median reduction of 33%. Among the 106 patients in the</w:t>
      </w:r>
      <w:r w:rsidR="00E370E5" w:rsidRPr="00DE6BF0">
        <w:rPr>
          <w:b w:val="0"/>
          <w:lang w:val="en-AU"/>
        </w:rPr>
        <w:t xml:space="preserve"> </w:t>
      </w:r>
      <w:r w:rsidRPr="00DE6BF0">
        <w:rPr>
          <w:b w:val="0"/>
          <w:lang w:val="en-AU"/>
        </w:rPr>
        <w:t>placebo group who had both baseline and Week 24 spleen volume evaluations, there was a</w:t>
      </w:r>
      <w:r w:rsidR="00E370E5" w:rsidRPr="00DE6BF0">
        <w:rPr>
          <w:b w:val="0"/>
          <w:lang w:val="en-AU"/>
        </w:rPr>
        <w:t xml:space="preserve"> </w:t>
      </w:r>
      <w:r w:rsidRPr="00DE6BF0">
        <w:rPr>
          <w:b w:val="0"/>
          <w:lang w:val="en-AU"/>
        </w:rPr>
        <w:t>median increase of 8.5%.</w:t>
      </w:r>
    </w:p>
    <w:p w:rsidR="0000246D" w:rsidRPr="00DE6BF0" w:rsidRDefault="00945864" w:rsidP="00E370E5">
      <w:pPr>
        <w:tabs>
          <w:tab w:val="clear" w:pos="-720"/>
          <w:tab w:val="clear" w:pos="0"/>
          <w:tab w:val="clear" w:pos="720"/>
          <w:tab w:val="clear" w:pos="1440"/>
          <w:tab w:val="clear" w:pos="2160"/>
          <w:tab w:val="clear" w:pos="2880"/>
          <w:tab w:val="clear" w:pos="3600"/>
          <w:tab w:val="clear" w:pos="4320"/>
        </w:tabs>
        <w:spacing w:before="0" w:line="240" w:lineRule="auto"/>
        <w:ind w:left="1122" w:hanging="1122"/>
        <w:jc w:val="left"/>
        <w:rPr>
          <w:b w:val="0"/>
          <w:sz w:val="20"/>
          <w:szCs w:val="20"/>
          <w:lang w:val="en-AU"/>
        </w:rPr>
      </w:pPr>
      <w:r>
        <w:rPr>
          <w:bCs/>
          <w:sz w:val="22"/>
          <w:szCs w:val="22"/>
          <w:lang w:val="en-AU"/>
        </w:rPr>
        <w:br w:type="page"/>
      </w:r>
      <w:r w:rsidR="00E370E5" w:rsidRPr="00DE6BF0">
        <w:rPr>
          <w:bCs/>
          <w:sz w:val="22"/>
          <w:szCs w:val="22"/>
          <w:lang w:val="en-AU"/>
        </w:rPr>
        <w:lastRenderedPageBreak/>
        <w:t xml:space="preserve">Figure </w:t>
      </w:r>
      <w:r w:rsidR="0000246D" w:rsidRPr="00DE6BF0">
        <w:rPr>
          <w:bCs/>
          <w:sz w:val="22"/>
          <w:szCs w:val="22"/>
          <w:lang w:val="en-AU"/>
        </w:rPr>
        <w:t xml:space="preserve">1 </w:t>
      </w:r>
      <w:r w:rsidR="00E370E5" w:rsidRPr="00DE6BF0">
        <w:rPr>
          <w:bCs/>
          <w:sz w:val="22"/>
          <w:szCs w:val="22"/>
          <w:lang w:val="en-AU"/>
        </w:rPr>
        <w:tab/>
      </w:r>
      <w:r w:rsidR="0000246D" w:rsidRPr="00DE6BF0">
        <w:rPr>
          <w:bCs/>
          <w:sz w:val="22"/>
          <w:szCs w:val="22"/>
          <w:lang w:val="en-AU"/>
        </w:rPr>
        <w:t xml:space="preserve">Waterfall Plot of </w:t>
      </w:r>
      <w:proofErr w:type="spellStart"/>
      <w:r w:rsidR="0000246D" w:rsidRPr="00DE6BF0">
        <w:rPr>
          <w:bCs/>
          <w:sz w:val="22"/>
          <w:szCs w:val="22"/>
          <w:lang w:val="en-AU"/>
        </w:rPr>
        <w:t>Percent</w:t>
      </w:r>
      <w:proofErr w:type="spellEnd"/>
      <w:r w:rsidR="0000246D" w:rsidRPr="00DE6BF0">
        <w:rPr>
          <w:bCs/>
          <w:sz w:val="22"/>
          <w:szCs w:val="22"/>
          <w:lang w:val="en-AU"/>
        </w:rPr>
        <w:t xml:space="preserve"> Change From Baseline in Spleen Volume at</w:t>
      </w:r>
      <w:r w:rsidR="00E370E5" w:rsidRPr="00DE6BF0">
        <w:rPr>
          <w:bCs/>
          <w:sz w:val="22"/>
          <w:szCs w:val="22"/>
          <w:lang w:val="en-AU"/>
        </w:rPr>
        <w:t xml:space="preserve"> </w:t>
      </w:r>
      <w:r w:rsidR="0000246D" w:rsidRPr="00DE6BF0">
        <w:rPr>
          <w:bCs/>
          <w:sz w:val="22"/>
          <w:szCs w:val="22"/>
          <w:lang w:val="en-AU"/>
        </w:rPr>
        <w:t>Week 24 (Observed Cases) COMFORT- I</w:t>
      </w:r>
    </w:p>
    <w:p w:rsidR="0000246D" w:rsidRPr="00DE6BF0" w:rsidRDefault="0090440F" w:rsidP="0000246D">
      <w:pPr>
        <w:pStyle w:val="paragraph"/>
        <w:rPr>
          <w:lang w:val="en-AU"/>
        </w:rPr>
      </w:pPr>
      <w:r>
        <w:rPr>
          <w:noProof/>
          <w:lang w:val="en-AU" w:eastAsia="en-AU"/>
        </w:rPr>
        <w:drawing>
          <wp:inline distT="0" distB="0" distL="0" distR="0">
            <wp:extent cx="5229225" cy="3467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467100"/>
                    </a:xfrm>
                    <a:prstGeom prst="rect">
                      <a:avLst/>
                    </a:prstGeom>
                    <a:noFill/>
                    <a:ln>
                      <a:noFill/>
                    </a:ln>
                  </pic:spPr>
                </pic:pic>
              </a:graphicData>
            </a:graphic>
          </wp:inline>
        </w:drawing>
      </w:r>
    </w:p>
    <w:p w:rsidR="0000246D" w:rsidRPr="00DE6BF0" w:rsidRDefault="0000246D" w:rsidP="0000246D">
      <w:pPr>
        <w:rPr>
          <w:b w:val="0"/>
          <w:lang w:val="en-AU"/>
        </w:rPr>
      </w:pPr>
      <w:r w:rsidRPr="00DE6BF0">
        <w:rPr>
          <w:b w:val="0"/>
          <w:lang w:val="en-AU"/>
        </w:rPr>
        <w:t xml:space="preserve">Figure 2 shows a waterfall plot of the </w:t>
      </w:r>
      <w:proofErr w:type="spellStart"/>
      <w:r w:rsidRPr="00DE6BF0">
        <w:rPr>
          <w:b w:val="0"/>
          <w:lang w:val="en-AU"/>
        </w:rPr>
        <w:t>percent</w:t>
      </w:r>
      <w:proofErr w:type="spellEnd"/>
      <w:r w:rsidRPr="00DE6BF0">
        <w:rPr>
          <w:b w:val="0"/>
          <w:lang w:val="en-AU"/>
        </w:rPr>
        <w:t xml:space="preserve"> change from baseline in spleen volume at</w:t>
      </w:r>
      <w:r w:rsidR="00E370E5" w:rsidRPr="00DE6BF0">
        <w:rPr>
          <w:b w:val="0"/>
          <w:lang w:val="en-AU"/>
        </w:rPr>
        <w:t xml:space="preserve"> </w:t>
      </w:r>
      <w:r w:rsidRPr="00DE6BF0">
        <w:rPr>
          <w:b w:val="0"/>
          <w:lang w:val="en-AU"/>
        </w:rPr>
        <w:t xml:space="preserve">Week 48 in COMFORT-II. Among the 98 patients in the </w:t>
      </w:r>
      <w:proofErr w:type="spellStart"/>
      <w:r w:rsidRPr="00DE6BF0">
        <w:rPr>
          <w:b w:val="0"/>
          <w:lang w:val="en-AU"/>
        </w:rPr>
        <w:t>Jakavi</w:t>
      </w:r>
      <w:proofErr w:type="spellEnd"/>
      <w:r w:rsidRPr="00DE6BF0">
        <w:rPr>
          <w:b w:val="0"/>
          <w:lang w:val="en-AU"/>
        </w:rPr>
        <w:t xml:space="preserve"> group who had both baseline</w:t>
      </w:r>
      <w:r w:rsidR="00E370E5" w:rsidRPr="00DE6BF0">
        <w:rPr>
          <w:b w:val="0"/>
          <w:lang w:val="en-AU"/>
        </w:rPr>
        <w:t xml:space="preserve"> </w:t>
      </w:r>
      <w:r w:rsidRPr="00DE6BF0">
        <w:rPr>
          <w:b w:val="0"/>
          <w:lang w:val="en-AU"/>
        </w:rPr>
        <w:t>and Week 48 spleen volume evaluations, the median reduction in spleen volume at Week 48</w:t>
      </w:r>
      <w:r w:rsidR="00E370E5" w:rsidRPr="00DE6BF0">
        <w:rPr>
          <w:b w:val="0"/>
          <w:lang w:val="en-AU"/>
        </w:rPr>
        <w:t xml:space="preserve"> </w:t>
      </w:r>
      <w:r w:rsidRPr="00DE6BF0">
        <w:rPr>
          <w:b w:val="0"/>
          <w:lang w:val="en-AU"/>
        </w:rPr>
        <w:t>was 28%. Among the 34 patients in the Best Available Therapy group who had both baseline</w:t>
      </w:r>
      <w:r w:rsidR="00E370E5" w:rsidRPr="00DE6BF0">
        <w:rPr>
          <w:b w:val="0"/>
          <w:lang w:val="en-AU"/>
        </w:rPr>
        <w:t xml:space="preserve"> </w:t>
      </w:r>
      <w:r w:rsidRPr="00DE6BF0">
        <w:rPr>
          <w:b w:val="0"/>
          <w:lang w:val="en-AU"/>
        </w:rPr>
        <w:t>and Week 48 spleen volume evaluations, there was a median increase of 8.5%.</w:t>
      </w:r>
    </w:p>
    <w:p w:rsidR="0000246D" w:rsidRPr="00DE6BF0" w:rsidRDefault="0000246D" w:rsidP="0054289A">
      <w:pPr>
        <w:tabs>
          <w:tab w:val="clear" w:pos="-720"/>
          <w:tab w:val="clear" w:pos="0"/>
          <w:tab w:val="clear" w:pos="720"/>
          <w:tab w:val="clear" w:pos="1440"/>
          <w:tab w:val="clear" w:pos="2160"/>
          <w:tab w:val="clear" w:pos="2880"/>
          <w:tab w:val="clear" w:pos="3600"/>
          <w:tab w:val="clear" w:pos="4320"/>
        </w:tabs>
        <w:spacing w:before="0" w:line="240" w:lineRule="auto"/>
        <w:ind w:left="1122" w:hanging="1122"/>
        <w:jc w:val="left"/>
        <w:rPr>
          <w:lang w:val="en-AU"/>
        </w:rPr>
      </w:pPr>
      <w:r w:rsidRPr="00DE6BF0">
        <w:rPr>
          <w:bCs/>
          <w:sz w:val="22"/>
          <w:szCs w:val="22"/>
          <w:lang w:val="en-AU"/>
        </w:rPr>
        <w:lastRenderedPageBreak/>
        <w:t xml:space="preserve">Figure 2 </w:t>
      </w:r>
      <w:r w:rsidR="00E370E5" w:rsidRPr="00DE6BF0">
        <w:rPr>
          <w:bCs/>
          <w:sz w:val="22"/>
          <w:szCs w:val="22"/>
          <w:lang w:val="en-AU"/>
        </w:rPr>
        <w:tab/>
      </w:r>
      <w:r w:rsidRPr="00DE6BF0">
        <w:rPr>
          <w:bCs/>
          <w:sz w:val="22"/>
          <w:szCs w:val="22"/>
          <w:lang w:val="en-AU"/>
        </w:rPr>
        <w:t xml:space="preserve">Waterfall Plot of </w:t>
      </w:r>
      <w:proofErr w:type="spellStart"/>
      <w:r w:rsidRPr="00DE6BF0">
        <w:rPr>
          <w:bCs/>
          <w:sz w:val="22"/>
          <w:szCs w:val="22"/>
          <w:lang w:val="en-AU"/>
        </w:rPr>
        <w:t>Percent</w:t>
      </w:r>
      <w:proofErr w:type="spellEnd"/>
      <w:r w:rsidRPr="00DE6BF0">
        <w:rPr>
          <w:bCs/>
          <w:sz w:val="22"/>
          <w:szCs w:val="22"/>
          <w:lang w:val="en-AU"/>
        </w:rPr>
        <w:t xml:space="preserve"> Change from Baseline in Spleen Volume at</w:t>
      </w:r>
      <w:r w:rsidR="00E370E5" w:rsidRPr="00DE6BF0">
        <w:rPr>
          <w:bCs/>
          <w:sz w:val="22"/>
          <w:szCs w:val="22"/>
          <w:lang w:val="en-AU"/>
        </w:rPr>
        <w:t xml:space="preserve"> </w:t>
      </w:r>
      <w:r w:rsidRPr="00DE6BF0">
        <w:rPr>
          <w:bCs/>
          <w:sz w:val="22"/>
          <w:szCs w:val="22"/>
          <w:lang w:val="en-AU"/>
        </w:rPr>
        <w:t>Week 48 in COMFORT-II</w:t>
      </w:r>
      <w:r w:rsidR="0090440F">
        <w:rPr>
          <w:noProof/>
          <w:lang w:val="en-AU" w:eastAsia="en-AU"/>
        </w:rPr>
        <w:drawing>
          <wp:inline distT="0" distB="0" distL="0" distR="0">
            <wp:extent cx="5410200" cy="3686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3686175"/>
                    </a:xfrm>
                    <a:prstGeom prst="rect">
                      <a:avLst/>
                    </a:prstGeom>
                    <a:noFill/>
                    <a:ln>
                      <a:noFill/>
                    </a:ln>
                  </pic:spPr>
                </pic:pic>
              </a:graphicData>
            </a:graphic>
          </wp:inline>
        </w:drawing>
      </w:r>
    </w:p>
    <w:p w:rsidR="0000246D" w:rsidRPr="00DE6BF0" w:rsidRDefault="0000246D" w:rsidP="0000246D">
      <w:pPr>
        <w:rPr>
          <w:b w:val="0"/>
          <w:lang w:val="en-AU"/>
        </w:rPr>
      </w:pPr>
      <w:r w:rsidRPr="00DE6BF0">
        <w:rPr>
          <w:b w:val="0"/>
          <w:lang w:val="en-AU"/>
        </w:rPr>
        <w:t>The probability of duration from 1st ≥35% reduction of spleen volume to 25% increase from</w:t>
      </w:r>
      <w:r w:rsidR="00E370E5" w:rsidRPr="00DE6BF0">
        <w:rPr>
          <w:b w:val="0"/>
          <w:lang w:val="en-AU"/>
        </w:rPr>
        <w:t xml:space="preserve"> </w:t>
      </w:r>
      <w:r w:rsidRPr="00DE6BF0">
        <w:rPr>
          <w:b w:val="0"/>
          <w:lang w:val="en-AU"/>
        </w:rPr>
        <w:t>nadir and loss of response in COMFORT-I and COMFORT-II is shown in Table 2 below</w:t>
      </w:r>
      <w:r w:rsidR="00E370E5" w:rsidRPr="00DE6BF0">
        <w:rPr>
          <w:b w:val="0"/>
          <w:lang w:val="en-AU"/>
        </w:rPr>
        <w:t xml:space="preserve"> </w:t>
      </w:r>
      <w:r w:rsidRPr="00DE6BF0">
        <w:rPr>
          <w:b w:val="0"/>
          <w:lang w:val="en-AU"/>
        </w:rPr>
        <w:t>.</w:t>
      </w:r>
    </w:p>
    <w:p w:rsidR="00CF6D22" w:rsidRPr="00DE6BF0" w:rsidRDefault="00CF6D22" w:rsidP="0000246D">
      <w:pPr>
        <w:rPr>
          <w:b w:val="0"/>
          <w:lang w:val="en-AU"/>
        </w:rPr>
      </w:pPr>
    </w:p>
    <w:p w:rsidR="0000246D" w:rsidRPr="00DE6BF0" w:rsidRDefault="0000246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DE6BF0">
        <w:rPr>
          <w:rFonts w:ascii="TimesNewRomanPS-BoldMT" w:hAnsi="TimesNewRomanPS-BoldMT" w:cs="TimesNewRomanPS-BoldMT"/>
          <w:bCs/>
          <w:color w:val="000000"/>
          <w:lang w:val="en-AU"/>
        </w:rPr>
        <w:t>Table 2 Kaplan-Meier Analysis of Duration from 1st ≥ 35% Reduction of Spleen</w:t>
      </w:r>
    </w:p>
    <w:p w:rsidR="0000246D" w:rsidRPr="00DE6BF0" w:rsidRDefault="0000246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DE6BF0">
        <w:rPr>
          <w:rFonts w:ascii="TimesNewRomanPS-BoldMT" w:hAnsi="TimesNewRomanPS-BoldMT" w:cs="TimesNewRomanPS-BoldMT"/>
          <w:bCs/>
          <w:color w:val="000000"/>
          <w:lang w:val="en-AU"/>
        </w:rPr>
        <w:t xml:space="preserve">Volume to 25% Increase from Nadir and Loss of Response in </w:t>
      </w:r>
      <w:proofErr w:type="spellStart"/>
      <w:r w:rsidRPr="00DE6BF0">
        <w:rPr>
          <w:rFonts w:ascii="TimesNewRomanPS-BoldMT" w:hAnsi="TimesNewRomanPS-BoldMT" w:cs="TimesNewRomanPS-BoldMT"/>
          <w:bCs/>
          <w:color w:val="000000"/>
          <w:lang w:val="en-AU"/>
        </w:rPr>
        <w:t>Jakavi</w:t>
      </w:r>
      <w:proofErr w:type="spellEnd"/>
    </w:p>
    <w:p w:rsidR="0000246D" w:rsidRPr="00DE6BF0" w:rsidRDefault="0000246D"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DE6BF0">
        <w:rPr>
          <w:rFonts w:ascii="TimesNewRomanPS-BoldMT" w:hAnsi="TimesNewRomanPS-BoldMT" w:cs="TimesNewRomanPS-BoldMT"/>
          <w:bCs/>
          <w:color w:val="000000"/>
          <w:lang w:val="en-AU"/>
        </w:rPr>
        <w:t>Patients (COMFORT- I and -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93"/>
        <w:gridCol w:w="2756"/>
      </w:tblGrid>
      <w:tr w:rsidR="00C639E7" w:rsidRPr="00DE6BF0" w:rsidTr="00C062DE">
        <w:tc>
          <w:tcPr>
            <w:tcW w:w="3794" w:type="dxa"/>
            <w:shd w:val="clear" w:color="auto" w:fill="BFBFBF" w:themeFill="background1" w:themeFillShade="BF"/>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C062DE">
              <w:rPr>
                <w:rFonts w:ascii="TimesNewRomanPS-BoldMT" w:hAnsi="TimesNewRomanPS-BoldMT" w:cs="TimesNewRomanPS-BoldMT"/>
                <w:bCs/>
                <w:color w:val="000000"/>
                <w:lang w:val="en-AU"/>
              </w:rPr>
              <w:t xml:space="preserve">Statistics </w:t>
            </w:r>
          </w:p>
        </w:tc>
        <w:tc>
          <w:tcPr>
            <w:tcW w:w="2693" w:type="dxa"/>
            <w:shd w:val="clear" w:color="auto" w:fill="BFBFBF" w:themeFill="background1" w:themeFillShade="BF"/>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proofErr w:type="spellStart"/>
            <w:r w:rsidRPr="00C062DE">
              <w:rPr>
                <w:rFonts w:ascii="TimesNewRomanPS-BoldMT" w:hAnsi="TimesNewRomanPS-BoldMT" w:cs="TimesNewRomanPS-BoldMT"/>
                <w:bCs/>
                <w:color w:val="000000"/>
                <w:lang w:val="en-AU"/>
              </w:rPr>
              <w:t>Jakavi</w:t>
            </w:r>
            <w:proofErr w:type="spellEnd"/>
            <w:r w:rsidRPr="00C062DE">
              <w:rPr>
                <w:rFonts w:ascii="TimesNewRomanPS-BoldMT" w:hAnsi="TimesNewRomanPS-BoldMT" w:cs="TimesNewRomanPS-BoldMT"/>
                <w:bCs/>
                <w:color w:val="000000"/>
                <w:lang w:val="en-AU"/>
              </w:rPr>
              <w:t xml:space="preserve">  (COMFORT-I)</w:t>
            </w:r>
          </w:p>
        </w:tc>
        <w:tc>
          <w:tcPr>
            <w:tcW w:w="2756" w:type="dxa"/>
            <w:shd w:val="clear" w:color="auto" w:fill="BFBFBF" w:themeFill="background1" w:themeFillShade="BF"/>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proofErr w:type="spellStart"/>
            <w:r w:rsidRPr="00C062DE">
              <w:rPr>
                <w:rFonts w:ascii="TimesNewRomanPS-BoldMT" w:hAnsi="TimesNewRomanPS-BoldMT" w:cs="TimesNewRomanPS-BoldMT"/>
                <w:bCs/>
                <w:color w:val="000000"/>
                <w:lang w:val="en-AU"/>
              </w:rPr>
              <w:t>Jakavi</w:t>
            </w:r>
            <w:proofErr w:type="spellEnd"/>
            <w:r w:rsidRPr="00C062DE">
              <w:rPr>
                <w:rFonts w:ascii="TimesNewRomanPS-BoldMT" w:hAnsi="TimesNewRomanPS-BoldMT" w:cs="TimesNewRomanPS-BoldMT"/>
                <w:bCs/>
                <w:color w:val="000000"/>
                <w:lang w:val="en-AU"/>
              </w:rPr>
              <w:t xml:space="preserve"> (COMFORT-II)</w:t>
            </w:r>
          </w:p>
        </w:tc>
      </w:tr>
      <w:tr w:rsidR="00C639E7" w:rsidRPr="00DE6BF0" w:rsidTr="00C062DE">
        <w:tc>
          <w:tcPr>
            <w:tcW w:w="3794" w:type="dxa"/>
          </w:tcPr>
          <w:p w:rsidR="00C639E7" w:rsidRPr="00C062DE" w:rsidRDefault="00C639E7" w:rsidP="00C062DE">
            <w:pPr>
              <w:spacing w:before="0"/>
              <w:jc w:val="left"/>
              <w:rPr>
                <w:b w:val="0"/>
                <w:lang w:val="en-AU"/>
              </w:rPr>
            </w:pPr>
            <w:r w:rsidRPr="00C062DE">
              <w:rPr>
                <w:b w:val="0"/>
                <w:lang w:val="en-AU"/>
              </w:rPr>
              <w:t>Probability of &gt;12 weeks of duration (95% CI)</w:t>
            </w:r>
          </w:p>
        </w:tc>
        <w:tc>
          <w:tcPr>
            <w:tcW w:w="2693" w:type="dxa"/>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Arial-BoldMT" w:hAnsi="Arial-BoldMT" w:cs="Arial-BoldMT"/>
                <w:bCs/>
                <w:color w:val="000000"/>
                <w:sz w:val="22"/>
                <w:szCs w:val="22"/>
                <w:lang w:val="en-AU"/>
              </w:rPr>
            </w:pPr>
            <w:r w:rsidRPr="00C062DE">
              <w:rPr>
                <w:b w:val="0"/>
                <w:lang w:val="en-AU"/>
              </w:rPr>
              <w:t>0.98 (0.89, 1.00)</w:t>
            </w:r>
          </w:p>
        </w:tc>
        <w:tc>
          <w:tcPr>
            <w:tcW w:w="2756" w:type="dxa"/>
          </w:tcPr>
          <w:p w:rsidR="00C639E7" w:rsidRPr="00C062DE" w:rsidRDefault="00C639E7" w:rsidP="00C062DE">
            <w:pPr>
              <w:spacing w:before="0"/>
              <w:jc w:val="left"/>
              <w:rPr>
                <w:b w:val="0"/>
                <w:lang w:val="en-AU"/>
              </w:rPr>
            </w:pPr>
            <w:r w:rsidRPr="00C062DE">
              <w:rPr>
                <w:b w:val="0"/>
                <w:lang w:val="en-AU"/>
              </w:rPr>
              <w:t>0.92 (0.82, 0.97)</w:t>
            </w:r>
          </w:p>
        </w:tc>
      </w:tr>
      <w:tr w:rsidR="00C639E7" w:rsidRPr="00DE6BF0" w:rsidTr="00C062DE">
        <w:tc>
          <w:tcPr>
            <w:tcW w:w="3794" w:type="dxa"/>
          </w:tcPr>
          <w:p w:rsidR="00C639E7" w:rsidRPr="00C062DE" w:rsidRDefault="00C639E7" w:rsidP="00C062DE">
            <w:pPr>
              <w:spacing w:before="0"/>
              <w:jc w:val="left"/>
              <w:rPr>
                <w:b w:val="0"/>
                <w:lang w:val="en-AU"/>
              </w:rPr>
            </w:pPr>
            <w:r w:rsidRPr="00C062DE">
              <w:rPr>
                <w:b w:val="0"/>
                <w:lang w:val="en-AU"/>
              </w:rPr>
              <w:t>Probability of &gt;24 weeks of duration (95% CI)</w:t>
            </w:r>
          </w:p>
        </w:tc>
        <w:tc>
          <w:tcPr>
            <w:tcW w:w="2693" w:type="dxa"/>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Arial-BoldMT" w:hAnsi="Arial-BoldMT" w:cs="Arial-BoldMT"/>
                <w:bCs/>
                <w:color w:val="000000"/>
                <w:sz w:val="22"/>
                <w:szCs w:val="22"/>
                <w:lang w:val="en-AU"/>
              </w:rPr>
            </w:pPr>
            <w:r w:rsidRPr="00C062DE">
              <w:rPr>
                <w:b w:val="0"/>
                <w:lang w:val="en-AU"/>
              </w:rPr>
              <w:t>0.89 (0.75, 0.95)</w:t>
            </w:r>
          </w:p>
        </w:tc>
        <w:tc>
          <w:tcPr>
            <w:tcW w:w="2756" w:type="dxa"/>
          </w:tcPr>
          <w:p w:rsidR="00C639E7" w:rsidRPr="00C062DE" w:rsidRDefault="00C639E7" w:rsidP="00C062DE">
            <w:pPr>
              <w:spacing w:before="0"/>
              <w:jc w:val="left"/>
              <w:rPr>
                <w:b w:val="0"/>
                <w:lang w:val="en-AU"/>
              </w:rPr>
            </w:pPr>
            <w:r w:rsidRPr="00C062DE">
              <w:rPr>
                <w:b w:val="0"/>
                <w:lang w:val="en-AU"/>
              </w:rPr>
              <w:t>0.87 (0.76, 0.93)</w:t>
            </w:r>
          </w:p>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rFonts w:ascii="Arial-BoldMT" w:hAnsi="Arial-BoldMT" w:cs="Arial-BoldMT"/>
                <w:bCs/>
                <w:color w:val="000000"/>
                <w:sz w:val="22"/>
                <w:szCs w:val="22"/>
                <w:lang w:val="en-AU"/>
              </w:rPr>
            </w:pPr>
          </w:p>
        </w:tc>
      </w:tr>
      <w:tr w:rsidR="00C639E7" w:rsidRPr="00DE6BF0" w:rsidTr="00C062DE">
        <w:tc>
          <w:tcPr>
            <w:tcW w:w="3794" w:type="dxa"/>
          </w:tcPr>
          <w:p w:rsidR="00C639E7" w:rsidRPr="00C062DE" w:rsidRDefault="00C639E7" w:rsidP="00C062DE">
            <w:pPr>
              <w:spacing w:before="0"/>
              <w:jc w:val="left"/>
              <w:rPr>
                <w:b w:val="0"/>
                <w:lang w:val="en-AU"/>
              </w:rPr>
            </w:pPr>
            <w:r w:rsidRPr="00C062DE">
              <w:rPr>
                <w:b w:val="0"/>
                <w:lang w:val="en-AU"/>
              </w:rPr>
              <w:t>Probability of &gt;36 weeks of duration (95% CI)</w:t>
            </w:r>
          </w:p>
        </w:tc>
        <w:tc>
          <w:tcPr>
            <w:tcW w:w="2693" w:type="dxa"/>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lang w:val="en-AU"/>
              </w:rPr>
            </w:pPr>
            <w:r w:rsidRPr="00C062DE">
              <w:rPr>
                <w:b w:val="0"/>
                <w:lang w:val="en-AU"/>
              </w:rPr>
              <w:t>0.71 (0.41, 0.88)</w:t>
            </w:r>
          </w:p>
        </w:tc>
        <w:tc>
          <w:tcPr>
            <w:tcW w:w="2756" w:type="dxa"/>
          </w:tcPr>
          <w:p w:rsidR="00C639E7" w:rsidRPr="00C062DE" w:rsidRDefault="00C639E7" w:rsidP="00C062DE">
            <w:pPr>
              <w:spacing w:before="0"/>
              <w:jc w:val="left"/>
              <w:rPr>
                <w:b w:val="0"/>
                <w:lang w:val="en-AU"/>
              </w:rPr>
            </w:pPr>
            <w:r w:rsidRPr="00C062DE">
              <w:rPr>
                <w:b w:val="0"/>
                <w:lang w:val="en-AU"/>
              </w:rPr>
              <w:t>0.77 (0.63, 0.87)</w:t>
            </w:r>
          </w:p>
          <w:p w:rsidR="00C639E7" w:rsidRPr="00C062DE" w:rsidRDefault="00C639E7" w:rsidP="00C062DE">
            <w:pPr>
              <w:spacing w:before="0"/>
              <w:jc w:val="left"/>
              <w:rPr>
                <w:b w:val="0"/>
                <w:lang w:val="en-AU"/>
              </w:rPr>
            </w:pPr>
          </w:p>
        </w:tc>
      </w:tr>
      <w:tr w:rsidR="00C639E7" w:rsidRPr="00DE6BF0" w:rsidTr="00C062DE">
        <w:tc>
          <w:tcPr>
            <w:tcW w:w="3794" w:type="dxa"/>
          </w:tcPr>
          <w:p w:rsidR="00C639E7" w:rsidRPr="00C062DE" w:rsidRDefault="00C639E7" w:rsidP="00C062DE">
            <w:pPr>
              <w:spacing w:before="0"/>
              <w:jc w:val="left"/>
              <w:rPr>
                <w:b w:val="0"/>
                <w:lang w:val="en-AU"/>
              </w:rPr>
            </w:pPr>
            <w:r w:rsidRPr="00C062DE">
              <w:rPr>
                <w:b w:val="0"/>
                <w:lang w:val="en-AU"/>
              </w:rPr>
              <w:t>Probability of &gt;48 weeks of duration (95% CI)</w:t>
            </w:r>
          </w:p>
        </w:tc>
        <w:tc>
          <w:tcPr>
            <w:tcW w:w="2693" w:type="dxa"/>
          </w:tcPr>
          <w:p w:rsidR="00C639E7" w:rsidRPr="00C062DE" w:rsidRDefault="00C639E7"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lang w:val="en-AU"/>
              </w:rPr>
            </w:pPr>
            <w:r w:rsidRPr="00C062DE">
              <w:rPr>
                <w:b w:val="0"/>
                <w:lang w:val="en-AU"/>
              </w:rPr>
              <w:t>not applicable</w:t>
            </w:r>
          </w:p>
        </w:tc>
        <w:tc>
          <w:tcPr>
            <w:tcW w:w="2756" w:type="dxa"/>
          </w:tcPr>
          <w:p w:rsidR="00C639E7" w:rsidRPr="00C062DE" w:rsidRDefault="00C639E7" w:rsidP="00C062DE">
            <w:pPr>
              <w:spacing w:before="0"/>
              <w:jc w:val="left"/>
              <w:rPr>
                <w:b w:val="0"/>
                <w:lang w:val="en-AU"/>
              </w:rPr>
            </w:pPr>
            <w:r w:rsidRPr="00C062DE">
              <w:rPr>
                <w:b w:val="0"/>
                <w:lang w:val="en-AU"/>
              </w:rPr>
              <w:t>0.52 (0.18, 0.78)</w:t>
            </w:r>
          </w:p>
          <w:p w:rsidR="00C639E7" w:rsidRPr="00C062DE" w:rsidRDefault="00C639E7" w:rsidP="00C062DE">
            <w:pPr>
              <w:spacing w:before="0"/>
              <w:jc w:val="left"/>
              <w:rPr>
                <w:b w:val="0"/>
                <w:lang w:val="en-AU"/>
              </w:rPr>
            </w:pPr>
          </w:p>
        </w:tc>
      </w:tr>
    </w:tbl>
    <w:p w:rsidR="00C639E7" w:rsidRPr="00DE6BF0" w:rsidRDefault="00C639E7" w:rsidP="0000246D">
      <w:pPr>
        <w:tabs>
          <w:tab w:val="clear" w:pos="-720"/>
          <w:tab w:val="clear" w:pos="0"/>
          <w:tab w:val="clear" w:pos="720"/>
          <w:tab w:val="clear" w:pos="1440"/>
          <w:tab w:val="clear" w:pos="2160"/>
          <w:tab w:val="clear" w:pos="2880"/>
          <w:tab w:val="clear" w:pos="3600"/>
          <w:tab w:val="clear" w:pos="4320"/>
        </w:tabs>
        <w:spacing w:before="0" w:line="240" w:lineRule="auto"/>
        <w:jc w:val="left"/>
        <w:rPr>
          <w:rFonts w:ascii="Arial-BoldMT" w:hAnsi="Arial-BoldMT" w:cs="Arial-BoldMT"/>
          <w:bCs/>
          <w:color w:val="000000"/>
          <w:sz w:val="22"/>
          <w:szCs w:val="22"/>
          <w:lang w:val="en-AU"/>
        </w:rPr>
      </w:pPr>
    </w:p>
    <w:p w:rsidR="0000246D" w:rsidRDefault="0000246D" w:rsidP="0000246D">
      <w:pPr>
        <w:rPr>
          <w:b w:val="0"/>
          <w:lang w:val="en-AU"/>
        </w:rPr>
      </w:pPr>
      <w:r w:rsidRPr="00DE6BF0">
        <w:rPr>
          <w:b w:val="0"/>
          <w:lang w:val="en-AU"/>
        </w:rPr>
        <w:t>Among the 80 patients that showed a ≥35% reduction at any time point in COMFORT-I and of</w:t>
      </w:r>
      <w:r w:rsidR="00425D76" w:rsidRPr="00DE6BF0">
        <w:rPr>
          <w:b w:val="0"/>
          <w:lang w:val="en-AU"/>
        </w:rPr>
        <w:t xml:space="preserve"> </w:t>
      </w:r>
      <w:r w:rsidRPr="00DE6BF0">
        <w:rPr>
          <w:b w:val="0"/>
          <w:lang w:val="en-AU"/>
        </w:rPr>
        <w:t>the 69 patients in COMFORT-II, the probability that a patient would maintain a response on</w:t>
      </w:r>
      <w:r w:rsidR="00425D76" w:rsidRPr="00DE6BF0">
        <w:rPr>
          <w:b w:val="0"/>
          <w:lang w:val="en-AU"/>
        </w:rPr>
        <w:t xml:space="preserve"> </w:t>
      </w:r>
      <w:proofErr w:type="spellStart"/>
      <w:r w:rsidRPr="00DE6BF0">
        <w:rPr>
          <w:b w:val="0"/>
          <w:lang w:val="en-AU"/>
        </w:rPr>
        <w:t>Jakavi</w:t>
      </w:r>
      <w:proofErr w:type="spellEnd"/>
      <w:r w:rsidRPr="00DE6BF0">
        <w:rPr>
          <w:b w:val="0"/>
          <w:lang w:val="en-AU"/>
        </w:rPr>
        <w:t xml:space="preserve"> for at least 24 weeks was 89% and 87% in COMFORT-I and COMFORT-II </w:t>
      </w:r>
      <w:r w:rsidRPr="00DE6BF0">
        <w:rPr>
          <w:b w:val="0"/>
          <w:lang w:val="en-AU"/>
        </w:rPr>
        <w:lastRenderedPageBreak/>
        <w:t>respectively</w:t>
      </w:r>
      <w:r w:rsidR="00425D76" w:rsidRPr="00DE6BF0">
        <w:rPr>
          <w:b w:val="0"/>
          <w:lang w:val="en-AU"/>
        </w:rPr>
        <w:t xml:space="preserve"> </w:t>
      </w:r>
      <w:r w:rsidRPr="00DE6BF0">
        <w:rPr>
          <w:b w:val="0"/>
          <w:lang w:val="en-AU"/>
        </w:rPr>
        <w:t>and the probability of maintaining a response for at least 48 weeks was 52% in COMFORT -II.</w:t>
      </w:r>
    </w:p>
    <w:p w:rsidR="00C461EB" w:rsidRDefault="00C461EB" w:rsidP="00C461EB">
      <w:pPr>
        <w:rPr>
          <w:b w:val="0"/>
          <w:lang w:val="en-AU"/>
        </w:rPr>
      </w:pPr>
    </w:p>
    <w:p w:rsidR="00A16CDE" w:rsidRDefault="00C461EB" w:rsidP="00B506DB">
      <w:pPr>
        <w:rPr>
          <w:b w:val="0"/>
          <w:lang w:val="en-AU"/>
        </w:rPr>
      </w:pPr>
      <w:r w:rsidRPr="005263EC">
        <w:rPr>
          <w:b w:val="0"/>
          <w:lang w:val="en-AU"/>
        </w:rPr>
        <w:t xml:space="preserve">Overall survival (OS) was a secondary endpoint on both COMFORT studies. Median OS times had not been reached for either treatment arm in both studies. OS data from COMFORT-I demonstrate a risk of death reduced with </w:t>
      </w:r>
      <w:proofErr w:type="spellStart"/>
      <w:r w:rsidRPr="005263EC">
        <w:rPr>
          <w:b w:val="0"/>
          <w:lang w:val="en-AU"/>
        </w:rPr>
        <w:t>Jakavi</w:t>
      </w:r>
      <w:proofErr w:type="spellEnd"/>
      <w:r w:rsidRPr="005263EC">
        <w:rPr>
          <w:b w:val="0"/>
          <w:lang w:val="en-AU"/>
        </w:rPr>
        <w:t xml:space="preserve"> treatment by 50% (median follow-up: 51 weeks, HR:0.499, 95% CI, 0.254, 0.980; p=0.04), 13 out of 155 patients (8.4%) died in the </w:t>
      </w:r>
      <w:proofErr w:type="spellStart"/>
      <w:r w:rsidRPr="005263EC">
        <w:rPr>
          <w:b w:val="0"/>
          <w:lang w:val="en-AU"/>
        </w:rPr>
        <w:t>Jakavi</w:t>
      </w:r>
      <w:proofErr w:type="spellEnd"/>
      <w:r w:rsidRPr="005263EC">
        <w:rPr>
          <w:b w:val="0"/>
          <w:lang w:val="en-AU"/>
        </w:rPr>
        <w:t xml:space="preserve"> group and 24 out of 154 patients (15.6%) died in the placebo group with OS time censored for 142 (91.6%) and 130 (84.4%) in </w:t>
      </w:r>
      <w:proofErr w:type="spellStart"/>
      <w:r w:rsidRPr="005263EC">
        <w:rPr>
          <w:b w:val="0"/>
          <w:lang w:val="en-AU"/>
        </w:rPr>
        <w:t>ruxolitinib</w:t>
      </w:r>
      <w:proofErr w:type="spellEnd"/>
      <w:r w:rsidRPr="005263EC">
        <w:rPr>
          <w:b w:val="0"/>
          <w:lang w:val="en-AU"/>
        </w:rPr>
        <w:t xml:space="preserve"> and placebo arms, respectively. With 61.1 weeks of follow up COMFORT II OS did not demonstrate a difference between the </w:t>
      </w:r>
      <w:proofErr w:type="spellStart"/>
      <w:r w:rsidRPr="005263EC">
        <w:rPr>
          <w:b w:val="0"/>
          <w:lang w:val="en-AU"/>
        </w:rPr>
        <w:t>Jakavi</w:t>
      </w:r>
      <w:proofErr w:type="spellEnd"/>
      <w:r w:rsidRPr="005263EC">
        <w:rPr>
          <w:b w:val="0"/>
          <w:lang w:val="en-AU"/>
        </w:rPr>
        <w:t xml:space="preserve"> and BAT arm (median follow-up:61.1 weeks; HR:1.01, 95% CI, 0.32, 3.24; p=0.95) with 11 (7.5%) deaths in the </w:t>
      </w:r>
      <w:proofErr w:type="spellStart"/>
      <w:r w:rsidRPr="005263EC">
        <w:rPr>
          <w:b w:val="0"/>
          <w:lang w:val="en-AU"/>
        </w:rPr>
        <w:t>ruxolitinib</w:t>
      </w:r>
      <w:proofErr w:type="spellEnd"/>
      <w:r w:rsidRPr="005263EC">
        <w:rPr>
          <w:b w:val="0"/>
          <w:lang w:val="en-AU"/>
        </w:rPr>
        <w:t xml:space="preserve"> and 4 (5.5%) in the placebo arm, OS time was censored for 135 (92.5%) and 69 (94.5%) patien</w:t>
      </w:r>
      <w:r>
        <w:rPr>
          <w:b w:val="0"/>
          <w:lang w:val="en-AU"/>
        </w:rPr>
        <w:t xml:space="preserve">ts in </w:t>
      </w:r>
      <w:proofErr w:type="spellStart"/>
      <w:r>
        <w:rPr>
          <w:b w:val="0"/>
          <w:lang w:val="en-AU"/>
        </w:rPr>
        <w:t>ruxolitinib</w:t>
      </w:r>
      <w:proofErr w:type="spellEnd"/>
      <w:r>
        <w:rPr>
          <w:b w:val="0"/>
          <w:lang w:val="en-AU"/>
        </w:rPr>
        <w:t xml:space="preserve"> and BAT </w:t>
      </w:r>
      <w:proofErr w:type="spellStart"/>
      <w:r>
        <w:rPr>
          <w:b w:val="0"/>
          <w:lang w:val="en-AU"/>
        </w:rPr>
        <w:t>arms,</w:t>
      </w:r>
      <w:r w:rsidRPr="005263EC">
        <w:rPr>
          <w:b w:val="0"/>
          <w:lang w:val="en-AU"/>
        </w:rPr>
        <w:t>respectively</w:t>
      </w:r>
      <w:proofErr w:type="spellEnd"/>
      <w:r w:rsidRPr="005263EC">
        <w:rPr>
          <w:b w:val="0"/>
          <w:lang w:val="en-AU"/>
        </w:rPr>
        <w:t>.</w:t>
      </w:r>
    </w:p>
    <w:p w:rsidR="00B506DB" w:rsidRPr="00177790" w:rsidRDefault="00C461EB" w:rsidP="00B506DB">
      <w:pPr>
        <w:rPr>
          <w:rFonts w:eastAsia="MS Mincho"/>
          <w:b w:val="0"/>
          <w:lang w:val="en-AU"/>
        </w:rPr>
      </w:pPr>
      <w:r>
        <w:rPr>
          <w:b w:val="0"/>
          <w:lang w:val="en-AU"/>
        </w:rPr>
        <w:br/>
      </w:r>
      <w:r w:rsidR="00B506DB">
        <w:rPr>
          <w:rFonts w:eastAsia="MS Mincho"/>
          <w:b w:val="0"/>
          <w:lang w:val="en-AU"/>
        </w:rPr>
        <w:t xml:space="preserve">In COMFORT-I, </w:t>
      </w:r>
      <w:r w:rsidR="00B506DB" w:rsidRPr="00C80335">
        <w:rPr>
          <w:b w:val="0"/>
        </w:rPr>
        <w:t xml:space="preserve">a median follow-up analysis of 102 weeks showed that 27 out of 155 patients randomized to </w:t>
      </w:r>
      <w:proofErr w:type="spellStart"/>
      <w:r w:rsidR="00B506DB" w:rsidRPr="00C80335">
        <w:rPr>
          <w:b w:val="0"/>
        </w:rPr>
        <w:t>ruxolitinib</w:t>
      </w:r>
      <w:proofErr w:type="spellEnd"/>
      <w:r w:rsidR="00B506DB" w:rsidRPr="00C80335">
        <w:rPr>
          <w:b w:val="0"/>
        </w:rPr>
        <w:t xml:space="preserve"> and 41 out of 154 patients randomized to placebo died. This representing an overall survival (OS) benefit in favor of </w:t>
      </w:r>
      <w:proofErr w:type="spellStart"/>
      <w:r w:rsidR="00B506DB" w:rsidRPr="00C80335">
        <w:rPr>
          <w:b w:val="0"/>
        </w:rPr>
        <w:t>ruxolitinib</w:t>
      </w:r>
      <w:proofErr w:type="spellEnd"/>
      <w:r w:rsidR="00B506DB" w:rsidRPr="00C80335">
        <w:rPr>
          <w:b w:val="0"/>
        </w:rPr>
        <w:t xml:space="preserve"> (HR=0.58; 95% CI, 0.36-0.95</w:t>
      </w:r>
      <w:r w:rsidR="00B506DB">
        <w:rPr>
          <w:b w:val="0"/>
        </w:rPr>
        <w:t>).</w:t>
      </w:r>
    </w:p>
    <w:p w:rsidR="00B506DB" w:rsidRPr="008D165D" w:rsidRDefault="00B506DB" w:rsidP="00B506DB">
      <w:pPr>
        <w:rPr>
          <w:b w:val="0"/>
        </w:rPr>
      </w:pPr>
      <w:r>
        <w:rPr>
          <w:b w:val="0"/>
        </w:rPr>
        <w:t xml:space="preserve">In COMFORT-II, a median follow-up analysis of 112 weeks showed that 14% (20 out of 146 patients randomized to </w:t>
      </w:r>
      <w:proofErr w:type="spellStart"/>
      <w:r>
        <w:rPr>
          <w:b w:val="0"/>
        </w:rPr>
        <w:t>ruxolitinib</w:t>
      </w:r>
      <w:proofErr w:type="spellEnd"/>
      <w:r>
        <w:rPr>
          <w:b w:val="0"/>
        </w:rPr>
        <w:t xml:space="preserve">) and 22% (16 out of 73 patients randomized to best available therapy) died. Patients randomized to </w:t>
      </w:r>
      <w:proofErr w:type="spellStart"/>
      <w:r>
        <w:rPr>
          <w:b w:val="0"/>
        </w:rPr>
        <w:t>ruxolitinib</w:t>
      </w:r>
      <w:proofErr w:type="spellEnd"/>
      <w:r>
        <w:rPr>
          <w:b w:val="0"/>
        </w:rPr>
        <w:t xml:space="preserve"> showed longer OS than those randomized to BAT (HR = 0.51; 95% CI, 0.27-0.99).</w:t>
      </w:r>
    </w:p>
    <w:p w:rsidR="0000246D" w:rsidRDefault="00876C9F" w:rsidP="0000246D">
      <w:pPr>
        <w:rPr>
          <w:b w:val="0"/>
          <w:lang w:val="en-AU"/>
        </w:rPr>
      </w:pPr>
      <w:r>
        <w:rPr>
          <w:b w:val="0"/>
          <w:lang w:val="en-AU"/>
        </w:rPr>
        <w:t xml:space="preserve">The impact of </w:t>
      </w:r>
      <w:proofErr w:type="spellStart"/>
      <w:r>
        <w:rPr>
          <w:b w:val="0"/>
          <w:lang w:val="en-AU"/>
        </w:rPr>
        <w:t>Jakavi</w:t>
      </w:r>
      <w:proofErr w:type="spellEnd"/>
      <w:r>
        <w:rPr>
          <w:b w:val="0"/>
          <w:lang w:val="en-AU"/>
        </w:rPr>
        <w:t xml:space="preserve"> on </w:t>
      </w:r>
      <w:proofErr w:type="spellStart"/>
      <w:r w:rsidR="0000246D" w:rsidRPr="00DE6BF0">
        <w:rPr>
          <w:b w:val="0"/>
          <w:lang w:val="en-AU"/>
        </w:rPr>
        <w:t>myelofibrosis</w:t>
      </w:r>
      <w:proofErr w:type="spellEnd"/>
      <w:r w:rsidR="0000246D" w:rsidRPr="00DE6BF0">
        <w:rPr>
          <w:b w:val="0"/>
          <w:lang w:val="en-AU"/>
        </w:rPr>
        <w:t>-</w:t>
      </w:r>
      <w:r w:rsidR="00775EFE">
        <w:rPr>
          <w:b w:val="0"/>
          <w:lang w:val="en-AU"/>
        </w:rPr>
        <w:t>associated</w:t>
      </w:r>
      <w:r w:rsidR="00775EFE" w:rsidRPr="00DE6BF0">
        <w:rPr>
          <w:b w:val="0"/>
          <w:lang w:val="en-AU"/>
        </w:rPr>
        <w:t xml:space="preserve"> </w:t>
      </w:r>
      <w:r w:rsidR="0000246D" w:rsidRPr="00DE6BF0">
        <w:rPr>
          <w:b w:val="0"/>
          <w:lang w:val="en-AU"/>
        </w:rPr>
        <w:t xml:space="preserve">symptoms </w:t>
      </w:r>
      <w:r>
        <w:rPr>
          <w:b w:val="0"/>
          <w:lang w:val="en-AU"/>
        </w:rPr>
        <w:t>was assessed in COMFORT-I only.</w:t>
      </w:r>
      <w:r w:rsidR="0000246D" w:rsidRPr="00DE6BF0">
        <w:rPr>
          <w:b w:val="0"/>
          <w:lang w:val="en-AU"/>
        </w:rPr>
        <w:t xml:space="preserve"> In COMFORT-I symptoms of MF </w:t>
      </w:r>
      <w:r w:rsidR="00C461EB">
        <w:rPr>
          <w:b w:val="0"/>
          <w:lang w:val="en-AU"/>
        </w:rPr>
        <w:t xml:space="preserve">(night sweats, itchiness, abdominal discomfort, pain under the ribs, early satiety, bone or muscle pain) </w:t>
      </w:r>
      <w:r w:rsidR="0000246D" w:rsidRPr="00DE6BF0">
        <w:rPr>
          <w:b w:val="0"/>
          <w:lang w:val="en-AU"/>
        </w:rPr>
        <w:t>were captured using the</w:t>
      </w:r>
      <w:r w:rsidR="00425D76" w:rsidRPr="00DE6BF0">
        <w:rPr>
          <w:b w:val="0"/>
          <w:lang w:val="en-AU"/>
        </w:rPr>
        <w:t xml:space="preserve"> </w:t>
      </w:r>
      <w:r w:rsidR="0000246D" w:rsidRPr="00DE6BF0">
        <w:rPr>
          <w:b w:val="0"/>
          <w:lang w:val="en-AU"/>
        </w:rPr>
        <w:t>modified MFSAF diary v2.0 as an electronic diary, which subjects completed daily. The</w:t>
      </w:r>
      <w:r w:rsidR="00425D76" w:rsidRPr="00DE6BF0">
        <w:rPr>
          <w:b w:val="0"/>
          <w:lang w:val="en-AU"/>
        </w:rPr>
        <w:t xml:space="preserve"> </w:t>
      </w:r>
      <w:r w:rsidR="0000246D" w:rsidRPr="00DE6BF0">
        <w:rPr>
          <w:b w:val="0"/>
          <w:lang w:val="en-AU"/>
        </w:rPr>
        <w:t>change from Baseline in the Week 24 total score was a secondary endpoint in this study.</w:t>
      </w:r>
      <w:r w:rsidR="00425D76" w:rsidRPr="00DE6BF0">
        <w:rPr>
          <w:b w:val="0"/>
          <w:lang w:val="en-AU"/>
        </w:rPr>
        <w:t xml:space="preserve"> A </w:t>
      </w:r>
      <w:r w:rsidR="0000246D" w:rsidRPr="00DE6BF0">
        <w:rPr>
          <w:b w:val="0"/>
          <w:lang w:val="en-AU"/>
        </w:rPr>
        <w:t xml:space="preserve">significantly larger proportion of subjects in the </w:t>
      </w:r>
      <w:proofErr w:type="spellStart"/>
      <w:r w:rsidR="0000246D" w:rsidRPr="00DE6BF0">
        <w:rPr>
          <w:b w:val="0"/>
          <w:lang w:val="en-AU"/>
        </w:rPr>
        <w:t>Jakavi</w:t>
      </w:r>
      <w:proofErr w:type="spellEnd"/>
      <w:r w:rsidR="0000246D" w:rsidRPr="00DE6BF0">
        <w:rPr>
          <w:b w:val="0"/>
          <w:lang w:val="en-AU"/>
        </w:rPr>
        <w:t xml:space="preserve"> group achieved a ≥50% improvement</w:t>
      </w:r>
      <w:r w:rsidR="00425D76" w:rsidRPr="00DE6BF0">
        <w:rPr>
          <w:b w:val="0"/>
          <w:lang w:val="en-AU"/>
        </w:rPr>
        <w:t xml:space="preserve"> </w:t>
      </w:r>
      <w:r w:rsidR="0000246D" w:rsidRPr="00DE6BF0">
        <w:rPr>
          <w:b w:val="0"/>
          <w:lang w:val="en-AU"/>
        </w:rPr>
        <w:t>from Baseline in the Week 24 total symptom score compared with the placebo group (45.9%</w:t>
      </w:r>
      <w:r w:rsidR="00425D76" w:rsidRPr="00DE6BF0">
        <w:rPr>
          <w:b w:val="0"/>
          <w:lang w:val="en-AU"/>
        </w:rPr>
        <w:t xml:space="preserve"> </w:t>
      </w:r>
      <w:r w:rsidR="0000246D" w:rsidRPr="00DE6BF0">
        <w:rPr>
          <w:b w:val="0"/>
          <w:lang w:val="en-AU"/>
        </w:rPr>
        <w:t>and 5.3%, respectively, p &lt;0.0001 using the Chi-Squared test).</w:t>
      </w:r>
    </w:p>
    <w:p w:rsidR="0000246D" w:rsidRPr="00DE6BF0" w:rsidRDefault="0000246D" w:rsidP="0000246D">
      <w:pPr>
        <w:rPr>
          <w:b w:val="0"/>
          <w:lang w:val="en-AU"/>
        </w:rPr>
      </w:pPr>
      <w:r w:rsidRPr="00DE6BF0">
        <w:rPr>
          <w:b w:val="0"/>
          <w:lang w:val="en-AU"/>
        </w:rPr>
        <w:t xml:space="preserve">An improvement in overall quality of life was measured by the </w:t>
      </w:r>
      <w:r w:rsidR="00122F2C">
        <w:rPr>
          <w:b w:val="0"/>
          <w:lang w:val="en-AU"/>
        </w:rPr>
        <w:t xml:space="preserve">exploratory efficacy endpoint, </w:t>
      </w:r>
      <w:r w:rsidRPr="00DE6BF0">
        <w:rPr>
          <w:b w:val="0"/>
          <w:lang w:val="en-AU"/>
        </w:rPr>
        <w:t>EORTC QLQ-C30</w:t>
      </w:r>
      <w:r w:rsidR="00122F2C">
        <w:rPr>
          <w:b w:val="0"/>
          <w:lang w:val="en-AU"/>
        </w:rPr>
        <w:t>,</w:t>
      </w:r>
      <w:r w:rsidRPr="00DE6BF0">
        <w:rPr>
          <w:b w:val="0"/>
          <w:lang w:val="en-AU"/>
        </w:rPr>
        <w:t xml:space="preserve"> in both</w:t>
      </w:r>
      <w:r w:rsidR="00425D76" w:rsidRPr="00DE6BF0">
        <w:rPr>
          <w:b w:val="0"/>
          <w:lang w:val="en-AU"/>
        </w:rPr>
        <w:t xml:space="preserve"> </w:t>
      </w:r>
      <w:r w:rsidRPr="00DE6BF0">
        <w:rPr>
          <w:b w:val="0"/>
          <w:lang w:val="en-AU"/>
        </w:rPr>
        <w:t xml:space="preserve">COMFORT-I and COMFORT-II. COMFORT-I compared </w:t>
      </w:r>
      <w:proofErr w:type="spellStart"/>
      <w:r w:rsidRPr="00DE6BF0">
        <w:rPr>
          <w:b w:val="0"/>
          <w:lang w:val="en-AU"/>
        </w:rPr>
        <w:t>Jakavi</w:t>
      </w:r>
      <w:proofErr w:type="spellEnd"/>
      <w:r w:rsidRPr="00DE6BF0">
        <w:rPr>
          <w:b w:val="0"/>
          <w:lang w:val="en-AU"/>
        </w:rPr>
        <w:t xml:space="preserve"> to placebo at 24 weeks and</w:t>
      </w:r>
      <w:r w:rsidR="00425D76" w:rsidRPr="00DE6BF0">
        <w:rPr>
          <w:b w:val="0"/>
          <w:lang w:val="en-AU"/>
        </w:rPr>
        <w:t xml:space="preserve"> </w:t>
      </w:r>
      <w:r w:rsidRPr="00DE6BF0">
        <w:rPr>
          <w:b w:val="0"/>
          <w:lang w:val="en-AU"/>
        </w:rPr>
        <w:t xml:space="preserve">COMFORT-II compared </w:t>
      </w:r>
      <w:proofErr w:type="spellStart"/>
      <w:r w:rsidRPr="00DE6BF0">
        <w:rPr>
          <w:b w:val="0"/>
          <w:lang w:val="en-AU"/>
        </w:rPr>
        <w:t>Jakavi</w:t>
      </w:r>
      <w:proofErr w:type="spellEnd"/>
      <w:r w:rsidRPr="00DE6BF0">
        <w:rPr>
          <w:b w:val="0"/>
          <w:lang w:val="en-AU"/>
        </w:rPr>
        <w:t xml:space="preserve"> to best available therapy at 48 weeks. At baseline for both</w:t>
      </w:r>
      <w:r w:rsidR="00425D76" w:rsidRPr="00DE6BF0">
        <w:rPr>
          <w:b w:val="0"/>
          <w:lang w:val="en-AU"/>
        </w:rPr>
        <w:t xml:space="preserve"> </w:t>
      </w:r>
      <w:r w:rsidRPr="00DE6BF0">
        <w:rPr>
          <w:b w:val="0"/>
          <w:lang w:val="en-AU"/>
        </w:rPr>
        <w:t xml:space="preserve">studies, EORTC QLQ-C30 individual subscale scores for the </w:t>
      </w:r>
      <w:proofErr w:type="spellStart"/>
      <w:r w:rsidRPr="00DE6BF0">
        <w:rPr>
          <w:b w:val="0"/>
          <w:lang w:val="en-AU"/>
        </w:rPr>
        <w:t>Jakavi</w:t>
      </w:r>
      <w:proofErr w:type="spellEnd"/>
      <w:r w:rsidRPr="00DE6BF0">
        <w:rPr>
          <w:b w:val="0"/>
          <w:lang w:val="en-AU"/>
        </w:rPr>
        <w:t xml:space="preserve"> and comparator groups</w:t>
      </w:r>
      <w:r w:rsidR="00425D76" w:rsidRPr="00DE6BF0">
        <w:rPr>
          <w:b w:val="0"/>
          <w:lang w:val="en-AU"/>
        </w:rPr>
        <w:t xml:space="preserve"> </w:t>
      </w:r>
      <w:r w:rsidRPr="00DE6BF0">
        <w:rPr>
          <w:b w:val="0"/>
          <w:lang w:val="en-AU"/>
        </w:rPr>
        <w:t xml:space="preserve">were similar. At Week 24 in COMFORT-I, the </w:t>
      </w:r>
      <w:proofErr w:type="spellStart"/>
      <w:r w:rsidRPr="00DE6BF0">
        <w:rPr>
          <w:b w:val="0"/>
          <w:lang w:val="en-AU"/>
        </w:rPr>
        <w:t>Jakavi</w:t>
      </w:r>
      <w:proofErr w:type="spellEnd"/>
      <w:r w:rsidRPr="00DE6BF0">
        <w:rPr>
          <w:b w:val="0"/>
          <w:lang w:val="en-AU"/>
        </w:rPr>
        <w:t xml:space="preserve"> group showed significant improvement</w:t>
      </w:r>
      <w:r w:rsidR="00425D76" w:rsidRPr="00DE6BF0">
        <w:rPr>
          <w:b w:val="0"/>
          <w:lang w:val="en-AU"/>
        </w:rPr>
        <w:t xml:space="preserve"> </w:t>
      </w:r>
      <w:r w:rsidRPr="00DE6BF0">
        <w:rPr>
          <w:b w:val="0"/>
          <w:lang w:val="en-AU"/>
        </w:rPr>
        <w:t>in the global health status/quality of life of the EORTC QLQ-C30 compared with the placebo</w:t>
      </w:r>
      <w:r w:rsidR="00425D76" w:rsidRPr="00DE6BF0">
        <w:rPr>
          <w:b w:val="0"/>
          <w:lang w:val="en-AU"/>
        </w:rPr>
        <w:t xml:space="preserve"> </w:t>
      </w:r>
      <w:r w:rsidRPr="00DE6BF0">
        <w:rPr>
          <w:b w:val="0"/>
          <w:lang w:val="en-AU"/>
        </w:rPr>
        <w:t xml:space="preserve">group (mean change of +12.3 and -3.4 for </w:t>
      </w:r>
      <w:proofErr w:type="spellStart"/>
      <w:r w:rsidRPr="00DE6BF0">
        <w:rPr>
          <w:b w:val="0"/>
          <w:lang w:val="en-AU"/>
        </w:rPr>
        <w:t>Jakavi</w:t>
      </w:r>
      <w:proofErr w:type="spellEnd"/>
      <w:r w:rsidRPr="00DE6BF0">
        <w:rPr>
          <w:b w:val="0"/>
          <w:lang w:val="en-AU"/>
        </w:rPr>
        <w:t xml:space="preserve"> and </w:t>
      </w:r>
      <w:r w:rsidRPr="00DE6BF0">
        <w:rPr>
          <w:b w:val="0"/>
          <w:lang w:val="en-AU"/>
        </w:rPr>
        <w:lastRenderedPageBreak/>
        <w:t>placebo, respectively, p &lt;0.0001). At</w:t>
      </w:r>
      <w:r w:rsidR="00425D76" w:rsidRPr="00DE6BF0">
        <w:rPr>
          <w:b w:val="0"/>
          <w:lang w:val="en-AU"/>
        </w:rPr>
        <w:t xml:space="preserve"> </w:t>
      </w:r>
      <w:r w:rsidRPr="00DE6BF0">
        <w:rPr>
          <w:b w:val="0"/>
          <w:lang w:val="en-AU"/>
        </w:rPr>
        <w:t xml:space="preserve">week 24 and week 48, the </w:t>
      </w:r>
      <w:proofErr w:type="spellStart"/>
      <w:r w:rsidRPr="00DE6BF0">
        <w:rPr>
          <w:b w:val="0"/>
          <w:lang w:val="en-AU"/>
        </w:rPr>
        <w:t>Jakavi</w:t>
      </w:r>
      <w:proofErr w:type="spellEnd"/>
      <w:r w:rsidRPr="00DE6BF0">
        <w:rPr>
          <w:b w:val="0"/>
          <w:lang w:val="en-AU"/>
        </w:rPr>
        <w:t xml:space="preserve"> group in COMFORT-II showed a trend towards greater</w:t>
      </w:r>
      <w:r w:rsidR="00425D76" w:rsidRPr="00DE6BF0">
        <w:rPr>
          <w:b w:val="0"/>
          <w:lang w:val="en-AU"/>
        </w:rPr>
        <w:t xml:space="preserve"> </w:t>
      </w:r>
      <w:r w:rsidRPr="00DE6BF0">
        <w:rPr>
          <w:b w:val="0"/>
          <w:lang w:val="en-AU"/>
        </w:rPr>
        <w:t>improvement of global health status/quality of life compared to best available therapy</w:t>
      </w:r>
      <w:r w:rsidR="00C461EB">
        <w:rPr>
          <w:b w:val="0"/>
          <w:lang w:val="en-AU"/>
        </w:rPr>
        <w:t xml:space="preserve"> (week 24: 8.4 (</w:t>
      </w:r>
      <w:proofErr w:type="spellStart"/>
      <w:r w:rsidR="00C461EB">
        <w:rPr>
          <w:b w:val="0"/>
          <w:lang w:val="en-AU"/>
        </w:rPr>
        <w:t>Jakavi</w:t>
      </w:r>
      <w:proofErr w:type="spellEnd"/>
      <w:r w:rsidR="00C461EB">
        <w:rPr>
          <w:b w:val="0"/>
          <w:lang w:val="en-AU"/>
        </w:rPr>
        <w:t xml:space="preserve">) </w:t>
      </w:r>
      <w:proofErr w:type="spellStart"/>
      <w:r w:rsidR="00C461EB">
        <w:rPr>
          <w:b w:val="0"/>
          <w:lang w:val="en-AU"/>
        </w:rPr>
        <w:t>vs</w:t>
      </w:r>
      <w:proofErr w:type="spellEnd"/>
      <w:r w:rsidR="00C461EB">
        <w:rPr>
          <w:b w:val="0"/>
          <w:lang w:val="en-AU"/>
        </w:rPr>
        <w:t xml:space="preserve"> 5.2 (BAT); week 48: 9.1 (</w:t>
      </w:r>
      <w:proofErr w:type="spellStart"/>
      <w:r w:rsidR="00C461EB">
        <w:rPr>
          <w:b w:val="0"/>
          <w:lang w:val="en-AU"/>
        </w:rPr>
        <w:t>Jakavi</w:t>
      </w:r>
      <w:proofErr w:type="spellEnd"/>
      <w:r w:rsidR="00C461EB">
        <w:rPr>
          <w:b w:val="0"/>
          <w:lang w:val="en-AU"/>
        </w:rPr>
        <w:t xml:space="preserve">) </w:t>
      </w:r>
      <w:proofErr w:type="spellStart"/>
      <w:r w:rsidR="00C461EB">
        <w:rPr>
          <w:b w:val="0"/>
          <w:lang w:val="en-AU"/>
        </w:rPr>
        <w:t>vs</w:t>
      </w:r>
      <w:proofErr w:type="spellEnd"/>
      <w:r w:rsidR="00C461EB">
        <w:rPr>
          <w:b w:val="0"/>
          <w:lang w:val="en-AU"/>
        </w:rPr>
        <w:t xml:space="preserve"> 3.4 (BAT)</w:t>
      </w:r>
      <w:r w:rsidRPr="00DE6BF0">
        <w:rPr>
          <w:b w:val="0"/>
          <w:lang w:val="en-AU"/>
        </w:rPr>
        <w:t>, an</w:t>
      </w:r>
      <w:r w:rsidR="00425D76" w:rsidRPr="00DE6BF0">
        <w:rPr>
          <w:b w:val="0"/>
          <w:lang w:val="en-AU"/>
        </w:rPr>
        <w:t xml:space="preserve"> </w:t>
      </w:r>
      <w:r w:rsidRPr="00DE6BF0">
        <w:rPr>
          <w:b w:val="0"/>
          <w:lang w:val="en-AU"/>
        </w:rPr>
        <w:t>exploratory endpoint, consistent with the COMFORT-I findings.</w:t>
      </w:r>
    </w:p>
    <w:p w:rsidR="00CB4CA0" w:rsidRDefault="008B4395" w:rsidP="00620EF0">
      <w:pPr>
        <w:rPr>
          <w:b w:val="0"/>
        </w:rPr>
      </w:pPr>
      <w:r>
        <w:rPr>
          <w:b w:val="0"/>
        </w:rPr>
        <w:t xml:space="preserve">Recent clinical trial data from two ongoing trials (EXPAND and Study 258) support the use of </w:t>
      </w:r>
      <w:proofErr w:type="spellStart"/>
      <w:r>
        <w:rPr>
          <w:b w:val="0"/>
        </w:rPr>
        <w:t>ruxolitinib</w:t>
      </w:r>
      <w:proofErr w:type="spellEnd"/>
      <w:r>
        <w:rPr>
          <w:b w:val="0"/>
        </w:rPr>
        <w:t xml:space="preserve"> at lower starting dose of ≤ 5 mg </w:t>
      </w:r>
      <w:r w:rsidR="00BF3B5E">
        <w:rPr>
          <w:b w:val="0"/>
        </w:rPr>
        <w:t xml:space="preserve">twice daily </w:t>
      </w:r>
      <w:r>
        <w:rPr>
          <w:b w:val="0"/>
        </w:rPr>
        <w:t>for the treatment of patients with platelet counts in the range of 50 to 100 x 10</w:t>
      </w:r>
      <w:r>
        <w:rPr>
          <w:b w:val="0"/>
          <w:vertAlign w:val="superscript"/>
        </w:rPr>
        <w:t>9</w:t>
      </w:r>
      <w:r>
        <w:rPr>
          <w:b w:val="0"/>
        </w:rPr>
        <w:t>/L.</w:t>
      </w:r>
      <w:r w:rsidR="00CB4CA0">
        <w:rPr>
          <w:b w:val="0"/>
        </w:rPr>
        <w:t xml:space="preserve"> </w:t>
      </w:r>
      <w:r w:rsidR="00CB4CA0" w:rsidRPr="00C80335">
        <w:rPr>
          <w:b w:val="0"/>
        </w:rPr>
        <w:t xml:space="preserve">Data from </w:t>
      </w:r>
      <w:r w:rsidR="00CB4CA0">
        <w:rPr>
          <w:b w:val="0"/>
        </w:rPr>
        <w:t xml:space="preserve">a </w:t>
      </w:r>
      <w:r w:rsidR="00CB4CA0" w:rsidRPr="00652175">
        <w:rPr>
          <w:b w:val="0"/>
        </w:rPr>
        <w:t>retrospective observational analysis</w:t>
      </w:r>
      <w:r w:rsidR="00CB4CA0">
        <w:rPr>
          <w:b w:val="0"/>
        </w:rPr>
        <w:t xml:space="preserve"> on the use of </w:t>
      </w:r>
      <w:proofErr w:type="spellStart"/>
      <w:r w:rsidR="00CB4CA0">
        <w:rPr>
          <w:b w:val="0"/>
        </w:rPr>
        <w:t>ruxolitinib</w:t>
      </w:r>
      <w:proofErr w:type="spellEnd"/>
      <w:r w:rsidR="00CB4CA0">
        <w:rPr>
          <w:b w:val="0"/>
        </w:rPr>
        <w:t xml:space="preserve"> provided through an individual patient supply program</w:t>
      </w:r>
      <w:r w:rsidR="00CB4CA0" w:rsidRPr="00CB4CA0">
        <w:rPr>
          <w:b w:val="0"/>
        </w:rPr>
        <w:t xml:space="preserve"> </w:t>
      </w:r>
      <w:r w:rsidR="00CB4CA0" w:rsidRPr="00C80335">
        <w:rPr>
          <w:b w:val="0"/>
        </w:rPr>
        <w:t xml:space="preserve">demonstrate that patients with intermediate-1 risk disease experience a comparable benefit from </w:t>
      </w:r>
      <w:proofErr w:type="spellStart"/>
      <w:r w:rsidR="00CB4CA0" w:rsidRPr="00C80335">
        <w:rPr>
          <w:b w:val="0"/>
        </w:rPr>
        <w:t>ruxolitinib</w:t>
      </w:r>
      <w:proofErr w:type="spellEnd"/>
      <w:r w:rsidR="00CB4CA0" w:rsidRPr="00C80335">
        <w:rPr>
          <w:b w:val="0"/>
        </w:rPr>
        <w:t xml:space="preserve"> therapy to patients with intermediate-2 and high risk disease. </w:t>
      </w:r>
    </w:p>
    <w:p w:rsidR="00A16CDE" w:rsidRDefault="00A16CDE" w:rsidP="00620EF0">
      <w:pPr>
        <w:rPr>
          <w:lang w:val="en-AU"/>
        </w:rPr>
      </w:pPr>
    </w:p>
    <w:p w:rsidR="006D0C74" w:rsidRPr="00DE6BF0" w:rsidRDefault="00F22127" w:rsidP="00620EF0">
      <w:pPr>
        <w:rPr>
          <w:lang w:val="en-AU"/>
        </w:rPr>
      </w:pPr>
      <w:r w:rsidRPr="00DE6BF0">
        <w:rPr>
          <w:lang w:val="en-AU"/>
        </w:rPr>
        <w:t>INDICATIONS</w:t>
      </w:r>
    </w:p>
    <w:p w:rsidR="000F5AC6" w:rsidRDefault="000F5AC6" w:rsidP="00CF6D22">
      <w:pPr>
        <w:rPr>
          <w:b w:val="0"/>
          <w:lang w:val="en-AU"/>
        </w:rPr>
      </w:pPr>
      <w:proofErr w:type="spellStart"/>
      <w:r w:rsidRPr="00DE6BF0">
        <w:rPr>
          <w:b w:val="0"/>
          <w:lang w:val="en-AU"/>
        </w:rPr>
        <w:t>Jakavi</w:t>
      </w:r>
      <w:proofErr w:type="spellEnd"/>
      <w:r w:rsidRPr="00DE6BF0">
        <w:rPr>
          <w:b w:val="0"/>
          <w:lang w:val="en-AU"/>
        </w:rPr>
        <w:t xml:space="preserve">® is indicated for the treatment of </w:t>
      </w:r>
      <w:r w:rsidR="00B8452F">
        <w:rPr>
          <w:b w:val="0"/>
          <w:lang w:val="en-AU"/>
        </w:rPr>
        <w:t xml:space="preserve">disease-related splenomegaly or symptoms in </w:t>
      </w:r>
      <w:r w:rsidRPr="00DE6BF0">
        <w:rPr>
          <w:b w:val="0"/>
          <w:lang w:val="en-AU"/>
        </w:rPr>
        <w:t xml:space="preserve">patients with primary </w:t>
      </w:r>
      <w:proofErr w:type="spellStart"/>
      <w:r w:rsidRPr="00DE6BF0">
        <w:rPr>
          <w:b w:val="0"/>
          <w:lang w:val="en-AU"/>
        </w:rPr>
        <w:t>myelofibrosis</w:t>
      </w:r>
      <w:proofErr w:type="spellEnd"/>
      <w:r w:rsidRPr="00DE6BF0">
        <w:rPr>
          <w:b w:val="0"/>
          <w:lang w:val="en-AU"/>
        </w:rPr>
        <w:t>, post-</w:t>
      </w:r>
      <w:proofErr w:type="spellStart"/>
      <w:r w:rsidRPr="00DE6BF0">
        <w:rPr>
          <w:b w:val="0"/>
          <w:lang w:val="en-AU"/>
        </w:rPr>
        <w:t>polycythemia</w:t>
      </w:r>
      <w:proofErr w:type="spellEnd"/>
      <w:r w:rsidRPr="00DE6BF0">
        <w:rPr>
          <w:b w:val="0"/>
          <w:lang w:val="en-AU"/>
        </w:rPr>
        <w:t xml:space="preserve"> </w:t>
      </w:r>
      <w:proofErr w:type="spellStart"/>
      <w:r w:rsidRPr="00DE6BF0">
        <w:rPr>
          <w:b w:val="0"/>
          <w:lang w:val="en-AU"/>
        </w:rPr>
        <w:t>vera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 xml:space="preserve"> or post-essential </w:t>
      </w:r>
      <w:proofErr w:type="spellStart"/>
      <w:r w:rsidRPr="00DE6BF0">
        <w:rPr>
          <w:b w:val="0"/>
          <w:lang w:val="en-AU"/>
        </w:rPr>
        <w:t>thrombocythemia</w:t>
      </w:r>
      <w:proofErr w:type="spellEnd"/>
      <w:r w:rsidRPr="00DE6BF0">
        <w:rPr>
          <w:b w:val="0"/>
          <w:lang w:val="en-AU"/>
        </w:rPr>
        <w:t xml:space="preserve"> </w:t>
      </w:r>
      <w:proofErr w:type="spellStart"/>
      <w:r w:rsidRPr="00DE6BF0">
        <w:rPr>
          <w:b w:val="0"/>
          <w:lang w:val="en-AU"/>
        </w:rPr>
        <w:t>myelofibrosis</w:t>
      </w:r>
      <w:proofErr w:type="spellEnd"/>
      <w:r w:rsidRPr="00DE6BF0">
        <w:rPr>
          <w:b w:val="0"/>
          <w:lang w:val="en-AU"/>
        </w:rPr>
        <w:t>.</w:t>
      </w:r>
    </w:p>
    <w:p w:rsidR="004D0DC1" w:rsidRPr="00DE6BF0" w:rsidRDefault="004D0DC1" w:rsidP="00CF6D22">
      <w:pPr>
        <w:rPr>
          <w:b w:val="0"/>
          <w:lang w:val="en-AU"/>
        </w:rPr>
      </w:pPr>
    </w:p>
    <w:p w:rsidR="006D0C74" w:rsidRPr="00DE6BF0" w:rsidRDefault="00F22127" w:rsidP="007C7566">
      <w:pPr>
        <w:rPr>
          <w:lang w:val="en-AU"/>
        </w:rPr>
      </w:pPr>
      <w:r w:rsidRPr="00DE6BF0">
        <w:rPr>
          <w:lang w:val="en-AU"/>
        </w:rPr>
        <w:t>CONTRAINDICATIONS</w:t>
      </w:r>
    </w:p>
    <w:p w:rsidR="00BA500F" w:rsidRPr="00DE6BF0" w:rsidRDefault="00BA500F" w:rsidP="00BA500F">
      <w:pPr>
        <w:rPr>
          <w:b w:val="0"/>
          <w:lang w:val="en-AU"/>
        </w:rPr>
      </w:pPr>
      <w:r w:rsidRPr="00DE6BF0">
        <w:rPr>
          <w:b w:val="0"/>
          <w:lang w:val="en-AU"/>
        </w:rPr>
        <w:t>Hypersensitivity to the active substance or any of the excipients.</w:t>
      </w:r>
    </w:p>
    <w:p w:rsidR="00001EE6" w:rsidRDefault="00001EE6" w:rsidP="007C7566">
      <w:pPr>
        <w:rPr>
          <w:lang w:val="en-AU"/>
        </w:rPr>
      </w:pPr>
    </w:p>
    <w:p w:rsidR="00B82375" w:rsidRPr="00DE6BF0" w:rsidRDefault="00F22127" w:rsidP="00620EF0">
      <w:pPr>
        <w:rPr>
          <w:lang w:val="en-AU"/>
        </w:rPr>
      </w:pPr>
      <w:r w:rsidRPr="00DE6BF0">
        <w:rPr>
          <w:lang w:val="en-AU"/>
        </w:rPr>
        <w:t xml:space="preserve">PRECAUTIONS </w:t>
      </w:r>
    </w:p>
    <w:p w:rsidR="008B4395" w:rsidRDefault="008B4395" w:rsidP="002F5AB8">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p>
    <w:p w:rsidR="00134CF6" w:rsidRPr="00DE6BF0" w:rsidRDefault="00134CF6" w:rsidP="002F5AB8">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DE6BF0">
        <w:rPr>
          <w:rFonts w:ascii="TimesNewRomanPS-BoldMT" w:hAnsi="TimesNewRomanPS-BoldMT" w:cs="TimesNewRomanPS-BoldMT"/>
          <w:bCs/>
          <w:color w:val="000000"/>
          <w:lang w:val="en-AU"/>
        </w:rPr>
        <w:t>Decrease in blood cell count</w:t>
      </w:r>
    </w:p>
    <w:p w:rsidR="00134CF6" w:rsidRPr="00DE6BF0" w:rsidRDefault="00134CF6" w:rsidP="00A956C2">
      <w:pPr>
        <w:rPr>
          <w:b w:val="0"/>
          <w:lang w:val="en-AU"/>
        </w:rPr>
      </w:pPr>
      <w:r w:rsidRPr="00DE6BF0">
        <w:rPr>
          <w:b w:val="0"/>
          <w:lang w:val="en-AU"/>
        </w:rPr>
        <w:t xml:space="preserve">Treatment with </w:t>
      </w:r>
      <w:proofErr w:type="spellStart"/>
      <w:r w:rsidRPr="00DE6BF0">
        <w:rPr>
          <w:b w:val="0"/>
          <w:lang w:val="en-AU"/>
        </w:rPr>
        <w:t>Jakavi</w:t>
      </w:r>
      <w:proofErr w:type="spellEnd"/>
      <w:r w:rsidRPr="00DE6BF0">
        <w:rPr>
          <w:b w:val="0"/>
          <w:lang w:val="en-AU"/>
        </w:rPr>
        <w:t xml:space="preserve"> can cause h</w:t>
      </w:r>
      <w:r w:rsidR="00CD5ABA">
        <w:rPr>
          <w:b w:val="0"/>
          <w:lang w:val="en-AU"/>
        </w:rPr>
        <w:t>a</w:t>
      </w:r>
      <w:r w:rsidRPr="00DE6BF0">
        <w:rPr>
          <w:b w:val="0"/>
          <w:lang w:val="en-AU"/>
        </w:rPr>
        <w:t>ematological adverse reactions, including thrombocytopenia,</w:t>
      </w:r>
      <w:r w:rsidR="00A956C2" w:rsidRPr="00DE6BF0">
        <w:rPr>
          <w:b w:val="0"/>
          <w:lang w:val="en-AU"/>
        </w:rPr>
        <w:t xml:space="preserve"> </w:t>
      </w:r>
      <w:r w:rsidRPr="00DE6BF0">
        <w:rPr>
          <w:b w:val="0"/>
          <w:lang w:val="en-AU"/>
        </w:rPr>
        <w:t>an</w:t>
      </w:r>
      <w:r w:rsidR="00CD5ABA">
        <w:rPr>
          <w:b w:val="0"/>
          <w:lang w:val="en-AU"/>
        </w:rPr>
        <w:t>a</w:t>
      </w:r>
      <w:r w:rsidRPr="00DE6BF0">
        <w:rPr>
          <w:b w:val="0"/>
          <w:lang w:val="en-AU"/>
        </w:rPr>
        <w:t>emia and neutropenia. A complete blood count must be performed before initiating therapy</w:t>
      </w:r>
      <w:r w:rsidR="00A956C2" w:rsidRPr="00DE6BF0">
        <w:rPr>
          <w:b w:val="0"/>
          <w:lang w:val="en-AU"/>
        </w:rPr>
        <w:t xml:space="preserve"> </w:t>
      </w:r>
      <w:r w:rsidRPr="00DE6BF0">
        <w:rPr>
          <w:b w:val="0"/>
          <w:lang w:val="en-AU"/>
        </w:rPr>
        <w:t xml:space="preserve">with </w:t>
      </w:r>
      <w:proofErr w:type="spellStart"/>
      <w:r w:rsidRPr="00DE6BF0">
        <w:rPr>
          <w:b w:val="0"/>
          <w:lang w:val="en-AU"/>
        </w:rPr>
        <w:t>Jakavi</w:t>
      </w:r>
      <w:proofErr w:type="spellEnd"/>
      <w:r w:rsidRPr="00DE6BF0">
        <w:rPr>
          <w:b w:val="0"/>
          <w:lang w:val="en-AU"/>
        </w:rPr>
        <w:t xml:space="preserve"> (for monitoring frequency see </w:t>
      </w:r>
      <w:r w:rsidR="00CF6D22" w:rsidRPr="00DE6BF0">
        <w:rPr>
          <w:b w:val="0"/>
          <w:lang w:val="en-AU"/>
        </w:rPr>
        <w:t>Dosage and A</w:t>
      </w:r>
      <w:r w:rsidRPr="00DE6BF0">
        <w:rPr>
          <w:b w:val="0"/>
          <w:lang w:val="en-AU"/>
        </w:rPr>
        <w:t>dministration</w:t>
      </w:r>
      <w:r w:rsidR="00CF6D22" w:rsidRPr="00DE6BF0">
        <w:rPr>
          <w:b w:val="0"/>
          <w:lang w:val="en-AU"/>
        </w:rPr>
        <w:t xml:space="preserve"> section</w:t>
      </w:r>
      <w:r w:rsidRPr="00DE6BF0">
        <w:rPr>
          <w:b w:val="0"/>
          <w:lang w:val="en-AU"/>
        </w:rPr>
        <w:t>).</w:t>
      </w:r>
    </w:p>
    <w:p w:rsidR="00134CF6" w:rsidRPr="00DE6BF0" w:rsidRDefault="00134CF6" w:rsidP="00A956C2">
      <w:pPr>
        <w:rPr>
          <w:b w:val="0"/>
          <w:lang w:val="en-AU"/>
        </w:rPr>
      </w:pPr>
      <w:r w:rsidRPr="00DE6BF0">
        <w:rPr>
          <w:b w:val="0"/>
          <w:lang w:val="en-AU"/>
        </w:rPr>
        <w:t>It has been observed that patients with low platelet counts (&lt;200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at the start of</w:t>
      </w:r>
      <w:r w:rsidR="00A956C2" w:rsidRPr="00DE6BF0">
        <w:rPr>
          <w:b w:val="0"/>
          <w:lang w:val="en-AU"/>
        </w:rPr>
        <w:t xml:space="preserve"> </w:t>
      </w:r>
      <w:r w:rsidRPr="00DE6BF0">
        <w:rPr>
          <w:b w:val="0"/>
          <w:lang w:val="en-AU"/>
        </w:rPr>
        <w:t>therapy are more likely to develop thrombocytopenia during treatment.</w:t>
      </w:r>
    </w:p>
    <w:p w:rsidR="00134CF6" w:rsidRPr="00DE6BF0" w:rsidRDefault="00134CF6" w:rsidP="00A956C2">
      <w:pPr>
        <w:rPr>
          <w:b w:val="0"/>
          <w:lang w:val="en-AU"/>
        </w:rPr>
      </w:pPr>
      <w:r w:rsidRPr="00DE6BF0">
        <w:rPr>
          <w:b w:val="0"/>
          <w:lang w:val="en-AU"/>
        </w:rPr>
        <w:t>Thrombocytopenia was generally reversible and was usually managed by reducing the dose or</w:t>
      </w:r>
      <w:r w:rsidR="00A956C2" w:rsidRPr="00DE6BF0">
        <w:rPr>
          <w:b w:val="0"/>
          <w:lang w:val="en-AU"/>
        </w:rPr>
        <w:t xml:space="preserve"> </w:t>
      </w:r>
      <w:r w:rsidRPr="00DE6BF0">
        <w:rPr>
          <w:b w:val="0"/>
          <w:lang w:val="en-AU"/>
        </w:rPr>
        <w:t xml:space="preserve">temporarily withholding </w:t>
      </w:r>
      <w:proofErr w:type="spellStart"/>
      <w:r w:rsidRPr="00DE6BF0">
        <w:rPr>
          <w:b w:val="0"/>
          <w:lang w:val="en-AU"/>
        </w:rPr>
        <w:t>Jakavi</w:t>
      </w:r>
      <w:proofErr w:type="spellEnd"/>
      <w:r w:rsidRPr="00DE6BF0">
        <w:rPr>
          <w:b w:val="0"/>
          <w:lang w:val="en-AU"/>
        </w:rPr>
        <w:t>. However, platelet transfusions may be required as clinically</w:t>
      </w:r>
      <w:r w:rsidR="00A956C2" w:rsidRPr="00DE6BF0">
        <w:rPr>
          <w:b w:val="0"/>
          <w:lang w:val="en-AU"/>
        </w:rPr>
        <w:t xml:space="preserve"> </w:t>
      </w:r>
      <w:r w:rsidR="00CF6D22" w:rsidRPr="00DE6BF0">
        <w:rPr>
          <w:b w:val="0"/>
          <w:lang w:val="en-AU"/>
        </w:rPr>
        <w:t>indicated (see Dosage and Administration</w:t>
      </w:r>
      <w:r w:rsidRPr="00DE6BF0">
        <w:rPr>
          <w:b w:val="0"/>
          <w:lang w:val="en-AU"/>
        </w:rPr>
        <w:t xml:space="preserve"> and Adverse </w:t>
      </w:r>
      <w:r w:rsidR="00CF6D22" w:rsidRPr="00DE6BF0">
        <w:rPr>
          <w:b w:val="0"/>
          <w:lang w:val="en-AU"/>
        </w:rPr>
        <w:t>Effects sections</w:t>
      </w:r>
      <w:r w:rsidRPr="00DE6BF0">
        <w:rPr>
          <w:b w:val="0"/>
          <w:lang w:val="en-AU"/>
        </w:rPr>
        <w:t>).</w:t>
      </w:r>
    </w:p>
    <w:p w:rsidR="00134CF6" w:rsidRPr="00DE6BF0" w:rsidRDefault="00134CF6" w:rsidP="00A956C2">
      <w:pPr>
        <w:rPr>
          <w:b w:val="0"/>
          <w:lang w:val="en-AU"/>
        </w:rPr>
      </w:pPr>
      <w:r w:rsidRPr="00DE6BF0">
        <w:rPr>
          <w:b w:val="0"/>
          <w:lang w:val="en-AU"/>
        </w:rPr>
        <w:t>Patients developing an</w:t>
      </w:r>
      <w:r w:rsidR="00CD5ABA">
        <w:rPr>
          <w:b w:val="0"/>
          <w:lang w:val="en-AU"/>
        </w:rPr>
        <w:t>a</w:t>
      </w:r>
      <w:r w:rsidRPr="00DE6BF0">
        <w:rPr>
          <w:b w:val="0"/>
          <w:lang w:val="en-AU"/>
        </w:rPr>
        <w:t>emia may require blood transfusions. Dose modifications for patients</w:t>
      </w:r>
      <w:r w:rsidR="00A956C2" w:rsidRPr="00DE6BF0">
        <w:rPr>
          <w:b w:val="0"/>
          <w:lang w:val="en-AU"/>
        </w:rPr>
        <w:t xml:space="preserve"> </w:t>
      </w:r>
      <w:r w:rsidRPr="00DE6BF0">
        <w:rPr>
          <w:b w:val="0"/>
          <w:lang w:val="en-AU"/>
        </w:rPr>
        <w:t>developing an</w:t>
      </w:r>
      <w:r w:rsidR="00CD5ABA">
        <w:rPr>
          <w:b w:val="0"/>
          <w:lang w:val="en-AU"/>
        </w:rPr>
        <w:t>a</w:t>
      </w:r>
      <w:r w:rsidRPr="00DE6BF0">
        <w:rPr>
          <w:b w:val="0"/>
          <w:lang w:val="en-AU"/>
        </w:rPr>
        <w:t>emia may also be considered.</w:t>
      </w:r>
    </w:p>
    <w:p w:rsidR="00134CF6" w:rsidRPr="00DE6BF0" w:rsidRDefault="00134CF6" w:rsidP="00A956C2">
      <w:pPr>
        <w:rPr>
          <w:b w:val="0"/>
          <w:lang w:val="en-AU"/>
        </w:rPr>
      </w:pPr>
      <w:r w:rsidRPr="00DE6BF0">
        <w:rPr>
          <w:b w:val="0"/>
          <w:lang w:val="en-AU"/>
        </w:rPr>
        <w:lastRenderedPageBreak/>
        <w:t xml:space="preserve">Neutropenia (Absolute Neutrophil Count (ANC) </w:t>
      </w:r>
      <w:r w:rsidRPr="00D421C4">
        <w:rPr>
          <w:b w:val="0"/>
          <w:lang w:val="en-AU"/>
        </w:rPr>
        <w:t>&lt;</w:t>
      </w:r>
      <w:r w:rsidR="00983ACA" w:rsidRPr="0054289A">
        <w:rPr>
          <w:b w:val="0"/>
          <w:lang w:val="en-AU"/>
        </w:rPr>
        <w:t>0.</w:t>
      </w:r>
      <w:r w:rsidRPr="00D421C4">
        <w:rPr>
          <w:b w:val="0"/>
          <w:lang w:val="en-AU"/>
        </w:rPr>
        <w:t>5</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was generally reversible and was</w:t>
      </w:r>
      <w:r w:rsidR="00A956C2" w:rsidRPr="00DE6BF0">
        <w:rPr>
          <w:b w:val="0"/>
          <w:lang w:val="en-AU"/>
        </w:rPr>
        <w:t xml:space="preserve"> </w:t>
      </w:r>
      <w:r w:rsidRPr="00DE6BF0">
        <w:rPr>
          <w:b w:val="0"/>
          <w:lang w:val="en-AU"/>
        </w:rPr>
        <w:t xml:space="preserve">managed by temporarily withholding </w:t>
      </w:r>
      <w:proofErr w:type="spellStart"/>
      <w:r w:rsidRPr="00DE6BF0">
        <w:rPr>
          <w:b w:val="0"/>
          <w:lang w:val="en-AU"/>
        </w:rPr>
        <w:t>Jakavi</w:t>
      </w:r>
      <w:proofErr w:type="spellEnd"/>
      <w:r w:rsidRPr="00DE6BF0">
        <w:rPr>
          <w:b w:val="0"/>
          <w:lang w:val="en-AU"/>
        </w:rPr>
        <w:t xml:space="preserve"> (see </w:t>
      </w:r>
      <w:r w:rsidR="00A956C2" w:rsidRPr="00DE6BF0">
        <w:rPr>
          <w:b w:val="0"/>
          <w:lang w:val="en-AU"/>
        </w:rPr>
        <w:t>Dosage and A</w:t>
      </w:r>
      <w:r w:rsidRPr="00DE6BF0">
        <w:rPr>
          <w:b w:val="0"/>
          <w:lang w:val="en-AU"/>
        </w:rPr>
        <w:t>dministration, and</w:t>
      </w:r>
      <w:r w:rsidR="00A956C2" w:rsidRPr="00DE6BF0">
        <w:rPr>
          <w:b w:val="0"/>
          <w:lang w:val="en-AU"/>
        </w:rPr>
        <w:t xml:space="preserve"> </w:t>
      </w:r>
      <w:r w:rsidRPr="00DE6BF0">
        <w:rPr>
          <w:b w:val="0"/>
          <w:lang w:val="en-AU"/>
        </w:rPr>
        <w:t xml:space="preserve">Adverse </w:t>
      </w:r>
      <w:r w:rsidR="00A956C2" w:rsidRPr="00DE6BF0">
        <w:rPr>
          <w:b w:val="0"/>
          <w:lang w:val="en-AU"/>
        </w:rPr>
        <w:t>Effects sections</w:t>
      </w:r>
      <w:r w:rsidRPr="00DE6BF0">
        <w:rPr>
          <w:b w:val="0"/>
          <w:lang w:val="en-AU"/>
        </w:rPr>
        <w:t>).</w:t>
      </w:r>
    </w:p>
    <w:p w:rsidR="00134CF6" w:rsidRPr="00DE6BF0" w:rsidRDefault="00134CF6" w:rsidP="00A956C2">
      <w:pPr>
        <w:rPr>
          <w:b w:val="0"/>
          <w:lang w:val="en-AU"/>
        </w:rPr>
      </w:pPr>
      <w:r w:rsidRPr="00DE6BF0">
        <w:rPr>
          <w:b w:val="0"/>
          <w:lang w:val="en-AU"/>
        </w:rPr>
        <w:t>Complete blood counts should be monitored as clinically indicated and dose adjusted as</w:t>
      </w:r>
      <w:r w:rsidR="00A956C2" w:rsidRPr="00DE6BF0">
        <w:rPr>
          <w:b w:val="0"/>
          <w:lang w:val="en-AU"/>
        </w:rPr>
        <w:t xml:space="preserve"> </w:t>
      </w:r>
      <w:r w:rsidRPr="00DE6BF0">
        <w:rPr>
          <w:b w:val="0"/>
          <w:lang w:val="en-AU"/>
        </w:rPr>
        <w:t>required (</w:t>
      </w:r>
      <w:r w:rsidR="00A956C2" w:rsidRPr="00DE6BF0">
        <w:rPr>
          <w:b w:val="0"/>
          <w:lang w:val="en-AU"/>
        </w:rPr>
        <w:t>see Dosage and Administration, and Adverse Effects sections</w:t>
      </w:r>
      <w:r w:rsidRPr="00DE6BF0">
        <w:rPr>
          <w:b w:val="0"/>
          <w:lang w:val="en-AU"/>
        </w:rPr>
        <w:t>).</w:t>
      </w:r>
    </w:p>
    <w:p w:rsidR="00A16CDE" w:rsidRDefault="00A16CDE">
      <w:pPr>
        <w:tabs>
          <w:tab w:val="clear" w:pos="-720"/>
          <w:tab w:val="clear" w:pos="0"/>
          <w:tab w:val="clear" w:pos="720"/>
          <w:tab w:val="clear" w:pos="1440"/>
          <w:tab w:val="clear" w:pos="2160"/>
          <w:tab w:val="clear" w:pos="2880"/>
          <w:tab w:val="clear" w:pos="3600"/>
          <w:tab w:val="clear" w:pos="4320"/>
        </w:tabs>
        <w:autoSpaceDE/>
        <w:autoSpaceDN/>
        <w:adjustRightInd/>
        <w:spacing w:before="0" w:line="240" w:lineRule="auto"/>
        <w:jc w:val="left"/>
      </w:pPr>
    </w:p>
    <w:p w:rsidR="00134CF6" w:rsidRPr="00DE6BF0" w:rsidRDefault="00134CF6" w:rsidP="00001EE6">
      <w:r w:rsidRPr="00DE6BF0">
        <w:t>Infections</w:t>
      </w:r>
    </w:p>
    <w:p w:rsidR="00134CF6" w:rsidRDefault="00134CF6" w:rsidP="00A956C2">
      <w:pPr>
        <w:rPr>
          <w:b w:val="0"/>
          <w:lang w:val="en-AU"/>
        </w:rPr>
      </w:pPr>
      <w:r w:rsidRPr="00DE6BF0">
        <w:rPr>
          <w:b w:val="0"/>
          <w:lang w:val="en-AU"/>
        </w:rPr>
        <w:t>Patients should be assessed for the risk of developing serious bacterial, mycobacterial, fungal</w:t>
      </w:r>
      <w:r w:rsidR="00A956C2" w:rsidRPr="00DE6BF0">
        <w:rPr>
          <w:b w:val="0"/>
          <w:lang w:val="en-AU"/>
        </w:rPr>
        <w:t xml:space="preserve"> </w:t>
      </w:r>
      <w:r w:rsidRPr="00DE6BF0">
        <w:rPr>
          <w:b w:val="0"/>
          <w:lang w:val="en-AU"/>
        </w:rPr>
        <w:t xml:space="preserve">and viral infections. </w:t>
      </w:r>
      <w:r w:rsidR="00620EF0" w:rsidRPr="00620EF0">
        <w:rPr>
          <w:b w:val="0"/>
        </w:rPr>
        <w:t xml:space="preserve">Tuberculosis has been reported in patients receiving </w:t>
      </w:r>
      <w:proofErr w:type="spellStart"/>
      <w:r w:rsidR="00620EF0" w:rsidRPr="00620EF0">
        <w:rPr>
          <w:b w:val="0"/>
        </w:rPr>
        <w:t>Jakavi</w:t>
      </w:r>
      <w:proofErr w:type="spellEnd"/>
      <w:r w:rsidR="00620EF0" w:rsidRPr="00620EF0">
        <w:rPr>
          <w:b w:val="0"/>
        </w:rPr>
        <w:t xml:space="preserve"> for </w:t>
      </w:r>
      <w:proofErr w:type="spellStart"/>
      <w:r w:rsidR="00620EF0" w:rsidRPr="00620EF0">
        <w:rPr>
          <w:b w:val="0"/>
        </w:rPr>
        <w:t>myelofibrosis</w:t>
      </w:r>
      <w:proofErr w:type="spellEnd"/>
      <w:r w:rsidR="00620EF0" w:rsidRPr="00620EF0">
        <w:rPr>
          <w:b w:val="0"/>
        </w:rPr>
        <w:t>. Attention should be given to the possibility of latent or active tuberculosis</w:t>
      </w:r>
      <w:r w:rsidR="00620EF0">
        <w:rPr>
          <w:b w:val="0"/>
          <w:lang w:val="en-AU"/>
        </w:rPr>
        <w:t xml:space="preserve">. </w:t>
      </w:r>
      <w:proofErr w:type="spellStart"/>
      <w:r w:rsidRPr="00DE6BF0">
        <w:rPr>
          <w:b w:val="0"/>
          <w:lang w:val="en-AU"/>
        </w:rPr>
        <w:t>Jakavi</w:t>
      </w:r>
      <w:proofErr w:type="spellEnd"/>
      <w:r w:rsidRPr="00DE6BF0">
        <w:rPr>
          <w:b w:val="0"/>
          <w:lang w:val="en-AU"/>
        </w:rPr>
        <w:t xml:space="preserve"> therapy should not be started until active serious infections have</w:t>
      </w:r>
      <w:r w:rsidR="00A956C2" w:rsidRPr="00DE6BF0">
        <w:rPr>
          <w:b w:val="0"/>
          <w:lang w:val="en-AU"/>
        </w:rPr>
        <w:t xml:space="preserve"> </w:t>
      </w:r>
      <w:r w:rsidRPr="00DE6BF0">
        <w:rPr>
          <w:b w:val="0"/>
          <w:lang w:val="en-AU"/>
        </w:rPr>
        <w:t xml:space="preserve">resolved. Physicians should carefully observe patients receiving </w:t>
      </w:r>
      <w:proofErr w:type="spellStart"/>
      <w:r w:rsidRPr="00DE6BF0">
        <w:rPr>
          <w:b w:val="0"/>
          <w:lang w:val="en-AU"/>
        </w:rPr>
        <w:t>Jakavi</w:t>
      </w:r>
      <w:proofErr w:type="spellEnd"/>
      <w:r w:rsidRPr="00DE6BF0">
        <w:rPr>
          <w:b w:val="0"/>
          <w:lang w:val="en-AU"/>
        </w:rPr>
        <w:t xml:space="preserve"> for signs and symptoms</w:t>
      </w:r>
      <w:r w:rsidR="00A956C2" w:rsidRPr="00DE6BF0">
        <w:rPr>
          <w:b w:val="0"/>
          <w:lang w:val="en-AU"/>
        </w:rPr>
        <w:t xml:space="preserve"> </w:t>
      </w:r>
      <w:r w:rsidRPr="00DE6BF0">
        <w:rPr>
          <w:b w:val="0"/>
          <w:lang w:val="en-AU"/>
        </w:rPr>
        <w:t xml:space="preserve">of infections and initiate appropriate treatment promptly (see Adverse </w:t>
      </w:r>
      <w:r w:rsidR="00CF6D22" w:rsidRPr="00DE6BF0">
        <w:rPr>
          <w:b w:val="0"/>
          <w:lang w:val="en-AU"/>
        </w:rPr>
        <w:t>Effects section</w:t>
      </w:r>
      <w:r w:rsidRPr="00DE6BF0">
        <w:rPr>
          <w:b w:val="0"/>
          <w:lang w:val="en-AU"/>
        </w:rPr>
        <w:t>).</w:t>
      </w:r>
    </w:p>
    <w:p w:rsidR="008E160C" w:rsidRPr="00DE6BF0" w:rsidRDefault="008E160C" w:rsidP="00A956C2">
      <w:pPr>
        <w:rPr>
          <w:b w:val="0"/>
          <w:lang w:val="en-AU"/>
        </w:rPr>
      </w:pPr>
    </w:p>
    <w:p w:rsidR="00134CF6" w:rsidRPr="00DE6BF0" w:rsidRDefault="00134CF6" w:rsidP="00134CF6">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DE6BF0">
        <w:rPr>
          <w:rFonts w:ascii="TimesNewRomanPS-BoldMT" w:hAnsi="TimesNewRomanPS-BoldMT" w:cs="TimesNewRomanPS-BoldMT"/>
          <w:bCs/>
          <w:color w:val="000000"/>
          <w:lang w:val="en-AU"/>
        </w:rPr>
        <w:t>Herpes Zoster</w:t>
      </w:r>
    </w:p>
    <w:p w:rsidR="00134CF6" w:rsidRDefault="00134CF6" w:rsidP="00A956C2">
      <w:pPr>
        <w:rPr>
          <w:b w:val="0"/>
          <w:lang w:val="en-AU"/>
        </w:rPr>
      </w:pPr>
      <w:r w:rsidRPr="00DE6BF0">
        <w:rPr>
          <w:b w:val="0"/>
          <w:lang w:val="en-AU"/>
        </w:rPr>
        <w:t>Physicians should educate patients about early signs and symptoms of herpes zoster, advising</w:t>
      </w:r>
      <w:r w:rsidR="00A956C2" w:rsidRPr="00DE6BF0">
        <w:rPr>
          <w:b w:val="0"/>
          <w:lang w:val="en-AU"/>
        </w:rPr>
        <w:t xml:space="preserve"> </w:t>
      </w:r>
      <w:r w:rsidRPr="00DE6BF0">
        <w:rPr>
          <w:b w:val="0"/>
          <w:lang w:val="en-AU"/>
        </w:rPr>
        <w:t>that treatment should be sought as early as possible.</w:t>
      </w:r>
    </w:p>
    <w:p w:rsidR="00620EF0" w:rsidRPr="00620EF0" w:rsidRDefault="00620EF0" w:rsidP="00620EF0">
      <w:pPr>
        <w:pStyle w:val="Text"/>
      </w:pPr>
      <w:r w:rsidRPr="00620EF0">
        <w:t xml:space="preserve">Progressive Multifocal </w:t>
      </w:r>
      <w:proofErr w:type="spellStart"/>
      <w:r w:rsidRPr="00620EF0">
        <w:t>Leukencephalopathy</w:t>
      </w:r>
      <w:proofErr w:type="spellEnd"/>
    </w:p>
    <w:p w:rsidR="00620EF0" w:rsidRPr="00620EF0" w:rsidRDefault="00620EF0" w:rsidP="00620EF0">
      <w:pPr>
        <w:pStyle w:val="Text"/>
        <w:rPr>
          <w:b w:val="0"/>
        </w:rPr>
      </w:pPr>
      <w:r w:rsidRPr="00620EF0">
        <w:rPr>
          <w:b w:val="0"/>
        </w:rPr>
        <w:t xml:space="preserve">Progressive Multifocal </w:t>
      </w:r>
      <w:proofErr w:type="spellStart"/>
      <w:r>
        <w:rPr>
          <w:b w:val="0"/>
        </w:rPr>
        <w:t>L</w:t>
      </w:r>
      <w:r w:rsidRPr="00620EF0">
        <w:rPr>
          <w:b w:val="0"/>
        </w:rPr>
        <w:t>eukencephalopathy</w:t>
      </w:r>
      <w:proofErr w:type="spellEnd"/>
      <w:r w:rsidRPr="00620EF0">
        <w:rPr>
          <w:b w:val="0"/>
        </w:rPr>
        <w:t xml:space="preserve"> (PML) has been reported with </w:t>
      </w:r>
      <w:proofErr w:type="spellStart"/>
      <w:r w:rsidRPr="00620EF0">
        <w:rPr>
          <w:b w:val="0"/>
        </w:rPr>
        <w:t>ruxolitinib</w:t>
      </w:r>
      <w:proofErr w:type="spellEnd"/>
      <w:r w:rsidRPr="00620EF0">
        <w:rPr>
          <w:b w:val="0"/>
        </w:rPr>
        <w:t xml:space="preserve"> treatment for </w:t>
      </w:r>
      <w:proofErr w:type="spellStart"/>
      <w:r w:rsidRPr="00620EF0">
        <w:rPr>
          <w:b w:val="0"/>
        </w:rPr>
        <w:t>myelofibrosis</w:t>
      </w:r>
      <w:proofErr w:type="spellEnd"/>
      <w:r w:rsidRPr="00620EF0">
        <w:rPr>
          <w:b w:val="0"/>
        </w:rPr>
        <w:t>. Physicians should be alert for neuropsychiatric symptoms suggestive of PML.</w:t>
      </w:r>
    </w:p>
    <w:p w:rsidR="00620EF0" w:rsidRDefault="00620EF0" w:rsidP="00A956C2">
      <w:pPr>
        <w:rPr>
          <w:b w:val="0"/>
          <w:lang w:val="en-AU"/>
        </w:rPr>
      </w:pPr>
    </w:p>
    <w:p w:rsidR="00161722" w:rsidRPr="00E61538" w:rsidRDefault="00DE4BA5" w:rsidP="00E61538">
      <w:pPr>
        <w:tabs>
          <w:tab w:val="clear" w:pos="-720"/>
          <w:tab w:val="clear" w:pos="0"/>
          <w:tab w:val="clear" w:pos="720"/>
          <w:tab w:val="clear" w:pos="1440"/>
          <w:tab w:val="clear" w:pos="2160"/>
          <w:tab w:val="clear" w:pos="2880"/>
          <w:tab w:val="clear" w:pos="3600"/>
          <w:tab w:val="clear" w:pos="4320"/>
        </w:tabs>
        <w:spacing w:before="0" w:line="240" w:lineRule="auto"/>
        <w:jc w:val="left"/>
        <w:rPr>
          <w:rFonts w:ascii="TimesNewRomanPS-BoldMT" w:hAnsi="TimesNewRomanPS-BoldMT" w:cs="TimesNewRomanPS-BoldMT"/>
          <w:bCs/>
          <w:color w:val="000000"/>
          <w:lang w:val="en-AU"/>
        </w:rPr>
      </w:pPr>
      <w:r w:rsidRPr="00E61538">
        <w:rPr>
          <w:rFonts w:ascii="TimesNewRomanPS-BoldMT" w:hAnsi="TimesNewRomanPS-BoldMT" w:cs="TimesNewRomanPS-BoldMT"/>
          <w:bCs/>
          <w:color w:val="000000"/>
          <w:lang w:val="en-AU"/>
        </w:rPr>
        <w:t xml:space="preserve">Withdrawal </w:t>
      </w:r>
      <w:r w:rsidR="008E160C">
        <w:rPr>
          <w:rFonts w:ascii="TimesNewRomanPS-BoldMT" w:hAnsi="TimesNewRomanPS-BoldMT" w:cs="TimesNewRomanPS-BoldMT"/>
          <w:bCs/>
          <w:color w:val="000000"/>
          <w:lang w:val="en-AU"/>
        </w:rPr>
        <w:t>E</w:t>
      </w:r>
      <w:r w:rsidRPr="00E61538">
        <w:rPr>
          <w:rFonts w:ascii="TimesNewRomanPS-BoldMT" w:hAnsi="TimesNewRomanPS-BoldMT" w:cs="TimesNewRomanPS-BoldMT"/>
          <w:bCs/>
          <w:color w:val="000000"/>
          <w:lang w:val="en-AU"/>
        </w:rPr>
        <w:t>ffects</w:t>
      </w:r>
    </w:p>
    <w:p w:rsidR="008E160C" w:rsidRPr="00DE6BF0" w:rsidRDefault="008E160C" w:rsidP="00A956C2">
      <w:pPr>
        <w:rPr>
          <w:b w:val="0"/>
          <w:lang w:val="en-AU"/>
        </w:rPr>
      </w:pPr>
      <w:r>
        <w:rPr>
          <w:b w:val="0"/>
          <w:lang w:val="en-AU"/>
        </w:rPr>
        <w:t xml:space="preserve">Following interruption or discontinuation of </w:t>
      </w:r>
      <w:proofErr w:type="spellStart"/>
      <w:r>
        <w:rPr>
          <w:b w:val="0"/>
          <w:lang w:val="en-AU"/>
        </w:rPr>
        <w:t>ruxolitinib</w:t>
      </w:r>
      <w:proofErr w:type="spellEnd"/>
      <w:r>
        <w:rPr>
          <w:b w:val="0"/>
          <w:lang w:val="en-AU"/>
        </w:rPr>
        <w:t xml:space="preserve">, symptoms of </w:t>
      </w:r>
      <w:proofErr w:type="spellStart"/>
      <w:r>
        <w:rPr>
          <w:b w:val="0"/>
          <w:lang w:val="en-AU"/>
        </w:rPr>
        <w:t>myelofibrosis</w:t>
      </w:r>
      <w:proofErr w:type="spellEnd"/>
      <w:r>
        <w:rPr>
          <w:b w:val="0"/>
          <w:lang w:val="en-AU"/>
        </w:rPr>
        <w:t xml:space="preserve"> may return over a period of approximately 1 week. There have been cases of patients discontinuing </w:t>
      </w:r>
      <w:proofErr w:type="spellStart"/>
      <w:r>
        <w:rPr>
          <w:b w:val="0"/>
          <w:lang w:val="en-AU"/>
        </w:rPr>
        <w:t>ruxolitinib</w:t>
      </w:r>
      <w:proofErr w:type="spellEnd"/>
      <w:r>
        <w:rPr>
          <w:b w:val="0"/>
          <w:lang w:val="en-AU"/>
        </w:rPr>
        <w:t xml:space="preserve"> who sustained more severe events, particularly in the presence of acute </w:t>
      </w:r>
      <w:proofErr w:type="spellStart"/>
      <w:r>
        <w:rPr>
          <w:b w:val="0"/>
          <w:lang w:val="en-AU"/>
        </w:rPr>
        <w:t>intercurrent</w:t>
      </w:r>
      <w:proofErr w:type="spellEnd"/>
      <w:r>
        <w:rPr>
          <w:b w:val="0"/>
          <w:lang w:val="en-AU"/>
        </w:rPr>
        <w:t xml:space="preserve"> illness. It has not been established whether abrupt discontinuation of </w:t>
      </w:r>
      <w:proofErr w:type="spellStart"/>
      <w:r>
        <w:rPr>
          <w:b w:val="0"/>
          <w:lang w:val="en-AU"/>
        </w:rPr>
        <w:t>ruxolitinib</w:t>
      </w:r>
      <w:proofErr w:type="spellEnd"/>
      <w:r>
        <w:rPr>
          <w:b w:val="0"/>
          <w:lang w:val="en-AU"/>
        </w:rPr>
        <w:t xml:space="preserve"> contributed to these events. Unless abrupt discontinuation is required, gradual tapering of the dose of </w:t>
      </w:r>
      <w:proofErr w:type="spellStart"/>
      <w:r>
        <w:rPr>
          <w:b w:val="0"/>
          <w:lang w:val="en-AU"/>
        </w:rPr>
        <w:t>ruxolitinib</w:t>
      </w:r>
      <w:proofErr w:type="spellEnd"/>
      <w:r>
        <w:rPr>
          <w:b w:val="0"/>
          <w:lang w:val="en-AU"/>
        </w:rPr>
        <w:t xml:space="preserve"> may be considered, although the utility of the tapering is unproven.</w:t>
      </w:r>
    </w:p>
    <w:p w:rsidR="00B82375" w:rsidRPr="00DE6BF0" w:rsidRDefault="00F22127" w:rsidP="007F46FD">
      <w:pPr>
        <w:pStyle w:val="Heading2"/>
        <w:rPr>
          <w:lang w:val="en-AU"/>
        </w:rPr>
      </w:pPr>
      <w:r w:rsidRPr="00DE6BF0">
        <w:rPr>
          <w:lang w:val="en-AU"/>
        </w:rPr>
        <w:t>Effects on Fertility</w:t>
      </w:r>
    </w:p>
    <w:p w:rsidR="00134CF6" w:rsidRPr="00DE6BF0" w:rsidRDefault="00134CF6" w:rsidP="002F5AB8">
      <w:pPr>
        <w:rPr>
          <w:b w:val="0"/>
          <w:lang w:val="en-AU"/>
        </w:rPr>
      </w:pPr>
      <w:r w:rsidRPr="00DE6BF0">
        <w:rPr>
          <w:b w:val="0"/>
          <w:lang w:val="en-AU"/>
        </w:rPr>
        <w:t xml:space="preserve">There are no human data on the effect of </w:t>
      </w:r>
      <w:proofErr w:type="spellStart"/>
      <w:r w:rsidRPr="00DE6BF0">
        <w:rPr>
          <w:b w:val="0"/>
          <w:lang w:val="en-AU"/>
        </w:rPr>
        <w:t>ruxolitinib</w:t>
      </w:r>
      <w:proofErr w:type="spellEnd"/>
      <w:r w:rsidRPr="00DE6BF0">
        <w:rPr>
          <w:b w:val="0"/>
          <w:lang w:val="en-AU"/>
        </w:rPr>
        <w:t xml:space="preserve"> on fertility. In </w:t>
      </w:r>
      <w:r w:rsidR="00001EE6">
        <w:rPr>
          <w:b w:val="0"/>
          <w:lang w:val="en-AU"/>
        </w:rPr>
        <w:t xml:space="preserve">an </w:t>
      </w:r>
      <w:r w:rsidRPr="00DE6BF0">
        <w:rPr>
          <w:b w:val="0"/>
          <w:lang w:val="en-AU"/>
        </w:rPr>
        <w:t>animal stud</w:t>
      </w:r>
      <w:r w:rsidR="00001EE6">
        <w:rPr>
          <w:b w:val="0"/>
          <w:lang w:val="en-AU"/>
        </w:rPr>
        <w:t>y</w:t>
      </w:r>
      <w:r w:rsidRPr="00DE6BF0">
        <w:rPr>
          <w:b w:val="0"/>
          <w:lang w:val="en-AU"/>
        </w:rPr>
        <w:t xml:space="preserve">, </w:t>
      </w:r>
      <w:proofErr w:type="spellStart"/>
      <w:r w:rsidR="00001EE6">
        <w:rPr>
          <w:b w:val="0"/>
          <w:lang w:val="en-AU"/>
        </w:rPr>
        <w:t>ruxolitinib</w:t>
      </w:r>
      <w:proofErr w:type="spellEnd"/>
      <w:r w:rsidR="00001EE6">
        <w:rPr>
          <w:b w:val="0"/>
          <w:lang w:val="en-AU"/>
        </w:rPr>
        <w:t xml:space="preserve"> was administered to male rats prior to and throughout mating and to female rats prior to mating and up to the implantation day. </w:t>
      </w:r>
      <w:proofErr w:type="spellStart"/>
      <w:r w:rsidR="00001EE6">
        <w:rPr>
          <w:b w:val="0"/>
          <w:lang w:val="en-AU"/>
        </w:rPr>
        <w:t>Ruxolitinib</w:t>
      </w:r>
      <w:proofErr w:type="spellEnd"/>
      <w:r w:rsidR="00001EE6">
        <w:rPr>
          <w:b w:val="0"/>
          <w:lang w:val="en-AU"/>
        </w:rPr>
        <w:t xml:space="preserve"> had </w:t>
      </w:r>
      <w:r w:rsidRPr="00DE6BF0">
        <w:rPr>
          <w:b w:val="0"/>
          <w:lang w:val="en-AU"/>
        </w:rPr>
        <w:t>no effect</w:t>
      </w:r>
      <w:r w:rsidR="00F67214" w:rsidRPr="00DE6BF0">
        <w:rPr>
          <w:b w:val="0"/>
          <w:lang w:val="en-AU"/>
        </w:rPr>
        <w:t xml:space="preserve"> </w:t>
      </w:r>
      <w:r w:rsidRPr="00DE6BF0">
        <w:rPr>
          <w:b w:val="0"/>
          <w:lang w:val="en-AU"/>
        </w:rPr>
        <w:t xml:space="preserve"> on fertility or reproductive </w:t>
      </w:r>
      <w:r w:rsidR="00001EE6">
        <w:rPr>
          <w:b w:val="0"/>
          <w:lang w:val="en-AU"/>
        </w:rPr>
        <w:t>function in</w:t>
      </w:r>
      <w:r w:rsidRPr="00DE6BF0">
        <w:rPr>
          <w:b w:val="0"/>
          <w:lang w:val="en-AU"/>
        </w:rPr>
        <w:t xml:space="preserve"> male or female rats</w:t>
      </w:r>
      <w:r w:rsidR="00001EE6">
        <w:rPr>
          <w:b w:val="0"/>
          <w:lang w:val="en-AU"/>
        </w:rPr>
        <w:t xml:space="preserve"> at doses up to 60 mg/kg/day</w:t>
      </w:r>
      <w:r w:rsidRPr="00DE6BF0">
        <w:rPr>
          <w:b w:val="0"/>
          <w:lang w:val="en-AU"/>
        </w:rPr>
        <w:t xml:space="preserve">. </w:t>
      </w:r>
      <w:r w:rsidR="00001EE6">
        <w:rPr>
          <w:b w:val="0"/>
          <w:lang w:val="en-AU"/>
        </w:rPr>
        <w:t xml:space="preserve">However, in female rats doses of greater than or equal to 30 mg/kg/day resulted in increased post-implantation </w:t>
      </w:r>
      <w:r w:rsidR="00001EE6">
        <w:rPr>
          <w:b w:val="0"/>
          <w:lang w:val="en-AU"/>
        </w:rPr>
        <w:lastRenderedPageBreak/>
        <w:t xml:space="preserve">loss. </w:t>
      </w:r>
      <w:r w:rsidR="002B2297">
        <w:rPr>
          <w:b w:val="0"/>
          <w:lang w:val="en-AU"/>
        </w:rPr>
        <w:t>The exposure (</w:t>
      </w:r>
      <w:r w:rsidR="008B4395">
        <w:rPr>
          <w:b w:val="0"/>
          <w:lang w:val="en-AU"/>
        </w:rPr>
        <w:t xml:space="preserve">free </w:t>
      </w:r>
      <w:r w:rsidR="002B2297">
        <w:rPr>
          <w:b w:val="0"/>
          <w:lang w:val="en-AU"/>
        </w:rPr>
        <w:t xml:space="preserve">AUC) at the dose of 30 mg/kg/day is approximately equivalent to the clinical exposure at the maximum recommended dose of 25 mg twice daily. </w:t>
      </w:r>
      <w:r w:rsidR="00F67214" w:rsidRPr="00DE6BF0">
        <w:rPr>
          <w:b w:val="0"/>
          <w:lang w:val="en-AU"/>
        </w:rPr>
        <w:t xml:space="preserve"> </w:t>
      </w:r>
    </w:p>
    <w:p w:rsidR="00134CF6" w:rsidRPr="00DE6BF0" w:rsidRDefault="00134CF6" w:rsidP="00134CF6">
      <w:pPr>
        <w:pStyle w:val="Heading2"/>
        <w:rPr>
          <w:lang w:val="en-AU"/>
        </w:rPr>
      </w:pPr>
      <w:r w:rsidRPr="00DE6BF0">
        <w:rPr>
          <w:lang w:val="en-AU"/>
        </w:rPr>
        <w:t>Women of child-bearing potential</w:t>
      </w:r>
    </w:p>
    <w:p w:rsidR="00134CF6" w:rsidRPr="00DE6BF0" w:rsidRDefault="00134CF6" w:rsidP="002F5AB8">
      <w:pPr>
        <w:rPr>
          <w:b w:val="0"/>
          <w:lang w:val="en-AU"/>
        </w:rPr>
      </w:pPr>
      <w:r w:rsidRPr="00DE6BF0">
        <w:rPr>
          <w:b w:val="0"/>
          <w:lang w:val="en-AU"/>
        </w:rPr>
        <w:t>Women of child-bearing potential must take appropriate precautions to avoid becoming</w:t>
      </w:r>
      <w:r w:rsidR="002F5AB8" w:rsidRPr="00DE6BF0">
        <w:rPr>
          <w:b w:val="0"/>
          <w:lang w:val="en-AU"/>
        </w:rPr>
        <w:t xml:space="preserve"> </w:t>
      </w:r>
      <w:r w:rsidRPr="00DE6BF0">
        <w:rPr>
          <w:b w:val="0"/>
          <w:lang w:val="en-AU"/>
        </w:rPr>
        <w:t>pregnant during treatment.</w:t>
      </w:r>
      <w:r w:rsidR="002F5AB8" w:rsidRPr="00DE6BF0">
        <w:rPr>
          <w:b w:val="0"/>
          <w:lang w:val="en-AU"/>
        </w:rPr>
        <w:t xml:space="preserve"> </w:t>
      </w:r>
      <w:r w:rsidRPr="00DE6BF0">
        <w:rPr>
          <w:b w:val="0"/>
          <w:lang w:val="en-AU"/>
        </w:rPr>
        <w:t>In case pregnancy occurs, risk/benefit evaluations must be carried out on an individual basis</w:t>
      </w:r>
      <w:r w:rsidR="002F5AB8" w:rsidRPr="00DE6BF0">
        <w:rPr>
          <w:b w:val="0"/>
          <w:lang w:val="en-AU"/>
        </w:rPr>
        <w:t xml:space="preserve"> </w:t>
      </w:r>
      <w:r w:rsidRPr="00DE6BF0">
        <w:rPr>
          <w:b w:val="0"/>
          <w:lang w:val="en-AU"/>
        </w:rPr>
        <w:t xml:space="preserve">with careful </w:t>
      </w:r>
      <w:r w:rsidR="00CD5ABA" w:rsidRPr="00DE6BF0">
        <w:rPr>
          <w:b w:val="0"/>
          <w:lang w:val="en-AU"/>
        </w:rPr>
        <w:t>counselling</w:t>
      </w:r>
      <w:r w:rsidRPr="00DE6BF0">
        <w:rPr>
          <w:b w:val="0"/>
          <w:lang w:val="en-AU"/>
        </w:rPr>
        <w:t xml:space="preserve"> regarding potential risk to the </w:t>
      </w:r>
      <w:proofErr w:type="spellStart"/>
      <w:r w:rsidRPr="00DE6BF0">
        <w:rPr>
          <w:b w:val="0"/>
          <w:lang w:val="en-AU"/>
        </w:rPr>
        <w:t>fetus</w:t>
      </w:r>
      <w:proofErr w:type="spellEnd"/>
      <w:r w:rsidRPr="00DE6BF0">
        <w:rPr>
          <w:b w:val="0"/>
          <w:lang w:val="en-AU"/>
        </w:rPr>
        <w:t xml:space="preserve"> using the most recent data available.</w:t>
      </w:r>
    </w:p>
    <w:p w:rsidR="00134CF6" w:rsidRPr="00DE6BF0" w:rsidRDefault="00F22127" w:rsidP="00134CF6">
      <w:pPr>
        <w:pStyle w:val="Heading2"/>
        <w:rPr>
          <w:lang w:val="en-AU"/>
        </w:rPr>
      </w:pPr>
      <w:r w:rsidRPr="00DE6BF0">
        <w:rPr>
          <w:lang w:val="en-AU"/>
        </w:rPr>
        <w:t xml:space="preserve">Use in Pregnancy (Category </w:t>
      </w:r>
      <w:r w:rsidR="009C344F">
        <w:rPr>
          <w:lang w:val="en-AU"/>
        </w:rPr>
        <w:t>C</w:t>
      </w:r>
      <w:r w:rsidRPr="00DE6BF0">
        <w:rPr>
          <w:lang w:val="en-AU"/>
        </w:rPr>
        <w:t>)</w:t>
      </w:r>
    </w:p>
    <w:p w:rsidR="00134CF6" w:rsidRPr="00DE6BF0" w:rsidRDefault="00134CF6" w:rsidP="002F5AB8">
      <w:pPr>
        <w:rPr>
          <w:b w:val="0"/>
          <w:lang w:val="en-AU"/>
        </w:rPr>
      </w:pPr>
      <w:r w:rsidRPr="00DE6BF0">
        <w:rPr>
          <w:b w:val="0"/>
          <w:lang w:val="en-AU"/>
        </w:rPr>
        <w:t xml:space="preserve">There are no adequate and well-controlled studies of </w:t>
      </w:r>
      <w:proofErr w:type="spellStart"/>
      <w:r w:rsidRPr="00DE6BF0">
        <w:rPr>
          <w:b w:val="0"/>
          <w:lang w:val="en-AU"/>
        </w:rPr>
        <w:t>Jakavi</w:t>
      </w:r>
      <w:proofErr w:type="spellEnd"/>
      <w:r w:rsidRPr="00DE6BF0">
        <w:rPr>
          <w:b w:val="0"/>
          <w:lang w:val="en-AU"/>
        </w:rPr>
        <w:t xml:space="preserve"> in pregnant women.</w:t>
      </w:r>
      <w:r w:rsidR="002F5AB8" w:rsidRPr="00DE6BF0">
        <w:rPr>
          <w:b w:val="0"/>
          <w:lang w:val="en-AU"/>
        </w:rPr>
        <w:t xml:space="preserve"> </w:t>
      </w:r>
      <w:proofErr w:type="spellStart"/>
      <w:r w:rsidR="002B2297">
        <w:rPr>
          <w:b w:val="0"/>
          <w:lang w:val="en-AU"/>
        </w:rPr>
        <w:t>Ruxolitinib</w:t>
      </w:r>
      <w:proofErr w:type="spellEnd"/>
      <w:r w:rsidR="002B2297">
        <w:rPr>
          <w:b w:val="0"/>
          <w:lang w:val="en-AU"/>
        </w:rPr>
        <w:t xml:space="preserve"> and/or its metabolites crossed the placental barrier in pregnant rats. JAK2 is required for definitive erythropoiesis during embryogenesis. When administered during the period of organogenesis, </w:t>
      </w:r>
      <w:proofErr w:type="spellStart"/>
      <w:r w:rsidR="002B2297">
        <w:rPr>
          <w:b w:val="0"/>
          <w:lang w:val="en-AU"/>
        </w:rPr>
        <w:t>ruxolitinib</w:t>
      </w:r>
      <w:proofErr w:type="spellEnd"/>
      <w:r w:rsidR="002B2297">
        <w:rPr>
          <w:b w:val="0"/>
          <w:lang w:val="en-AU"/>
        </w:rPr>
        <w:t xml:space="preserve"> was </w:t>
      </w:r>
      <w:proofErr w:type="spellStart"/>
      <w:r w:rsidR="002B2297">
        <w:rPr>
          <w:b w:val="0"/>
          <w:lang w:val="en-AU"/>
        </w:rPr>
        <w:t>embryolethal</w:t>
      </w:r>
      <w:proofErr w:type="spellEnd"/>
      <w:r w:rsidR="002B2297">
        <w:rPr>
          <w:b w:val="0"/>
          <w:lang w:val="en-AU"/>
        </w:rPr>
        <w:t xml:space="preserve"> and </w:t>
      </w:r>
      <w:proofErr w:type="spellStart"/>
      <w:r w:rsidR="002B2297">
        <w:rPr>
          <w:b w:val="0"/>
          <w:lang w:val="en-AU"/>
        </w:rPr>
        <w:t>fetotoxic</w:t>
      </w:r>
      <w:proofErr w:type="spellEnd"/>
      <w:r w:rsidR="002B2297">
        <w:rPr>
          <w:b w:val="0"/>
          <w:lang w:val="en-AU"/>
        </w:rPr>
        <w:t xml:space="preserve"> in both rats and rabbits </w:t>
      </w:r>
      <w:r w:rsidRPr="00DE6BF0">
        <w:rPr>
          <w:b w:val="0"/>
          <w:lang w:val="en-AU"/>
        </w:rPr>
        <w:t xml:space="preserve">(increases in </w:t>
      </w:r>
      <w:proofErr w:type="spellStart"/>
      <w:r w:rsidRPr="00DE6BF0">
        <w:rPr>
          <w:b w:val="0"/>
          <w:lang w:val="en-AU"/>
        </w:rPr>
        <w:t>postimplantation</w:t>
      </w:r>
      <w:proofErr w:type="spellEnd"/>
      <w:r w:rsidR="002F5AB8" w:rsidRPr="00DE6BF0">
        <w:rPr>
          <w:b w:val="0"/>
          <w:lang w:val="en-AU"/>
        </w:rPr>
        <w:t xml:space="preserve"> </w:t>
      </w:r>
      <w:r w:rsidRPr="00DE6BF0">
        <w:rPr>
          <w:b w:val="0"/>
          <w:lang w:val="en-AU"/>
        </w:rPr>
        <w:t xml:space="preserve">loss and </w:t>
      </w:r>
      <w:r w:rsidR="00CF6D22" w:rsidRPr="00DE6BF0">
        <w:rPr>
          <w:b w:val="0"/>
          <w:lang w:val="en-AU"/>
        </w:rPr>
        <w:t xml:space="preserve">reduced </w:t>
      </w:r>
      <w:proofErr w:type="spellStart"/>
      <w:r w:rsidR="00CF6D22" w:rsidRPr="00DE6BF0">
        <w:rPr>
          <w:b w:val="0"/>
          <w:lang w:val="en-AU"/>
        </w:rPr>
        <w:t>fetal</w:t>
      </w:r>
      <w:proofErr w:type="spellEnd"/>
      <w:r w:rsidR="00CF6D22" w:rsidRPr="00DE6BF0">
        <w:rPr>
          <w:b w:val="0"/>
          <w:lang w:val="en-AU"/>
        </w:rPr>
        <w:t xml:space="preserve"> weights)</w:t>
      </w:r>
      <w:r w:rsidRPr="00DE6BF0">
        <w:rPr>
          <w:b w:val="0"/>
          <w:lang w:val="en-AU"/>
        </w:rPr>
        <w:t>.</w:t>
      </w:r>
      <w:r w:rsidR="002F5AB8" w:rsidRPr="00DE6BF0">
        <w:rPr>
          <w:b w:val="0"/>
          <w:lang w:val="en-AU"/>
        </w:rPr>
        <w:t xml:space="preserve"> </w:t>
      </w:r>
      <w:r w:rsidR="002B2297">
        <w:rPr>
          <w:b w:val="0"/>
          <w:lang w:val="en-AU"/>
        </w:rPr>
        <w:t xml:space="preserve">Exposures (AUC) at the no effect level were subclinical. There was no evidence of teratogenicity. </w:t>
      </w:r>
      <w:r w:rsidRPr="00DE6BF0">
        <w:rPr>
          <w:b w:val="0"/>
          <w:lang w:val="en-AU"/>
        </w:rPr>
        <w:t xml:space="preserve">The use of </w:t>
      </w:r>
      <w:proofErr w:type="spellStart"/>
      <w:r w:rsidRPr="00DE6BF0">
        <w:rPr>
          <w:b w:val="0"/>
          <w:lang w:val="en-AU"/>
        </w:rPr>
        <w:t>Jakavi</w:t>
      </w:r>
      <w:proofErr w:type="spellEnd"/>
      <w:r w:rsidRPr="00DE6BF0">
        <w:rPr>
          <w:b w:val="0"/>
          <w:lang w:val="en-AU"/>
        </w:rPr>
        <w:t xml:space="preserve"> during pregnancy is not</w:t>
      </w:r>
      <w:r w:rsidR="002F5AB8" w:rsidRPr="00DE6BF0">
        <w:rPr>
          <w:b w:val="0"/>
          <w:lang w:val="en-AU"/>
        </w:rPr>
        <w:t xml:space="preserve"> </w:t>
      </w:r>
      <w:r w:rsidRPr="00DE6BF0">
        <w:rPr>
          <w:b w:val="0"/>
          <w:lang w:val="en-AU"/>
        </w:rPr>
        <w:t>recommended.</w:t>
      </w:r>
    </w:p>
    <w:p w:rsidR="006D0C74" w:rsidRPr="00DE6BF0" w:rsidRDefault="00F22127" w:rsidP="007F46FD">
      <w:pPr>
        <w:pStyle w:val="Heading2"/>
        <w:rPr>
          <w:lang w:val="en-AU"/>
        </w:rPr>
      </w:pPr>
      <w:r w:rsidRPr="00DE6BF0">
        <w:rPr>
          <w:lang w:val="en-AU"/>
        </w:rPr>
        <w:t>Use in Lactation</w:t>
      </w:r>
    </w:p>
    <w:p w:rsidR="00134CF6" w:rsidRDefault="0026266A" w:rsidP="002F5AB8">
      <w:pPr>
        <w:rPr>
          <w:b w:val="0"/>
          <w:lang w:val="en-AU"/>
        </w:rPr>
      </w:pPr>
      <w:proofErr w:type="spellStart"/>
      <w:r>
        <w:rPr>
          <w:b w:val="0"/>
          <w:lang w:val="en-AU"/>
        </w:rPr>
        <w:t>Jakavi</w:t>
      </w:r>
      <w:proofErr w:type="spellEnd"/>
      <w:r>
        <w:rPr>
          <w:b w:val="0"/>
          <w:lang w:val="en-AU"/>
        </w:rPr>
        <w:t xml:space="preserve"> must not be used during breast-feeding and breast-feeding should therefore be discontinued when treatment is started. It is unknown whether </w:t>
      </w:r>
      <w:proofErr w:type="spellStart"/>
      <w:r>
        <w:rPr>
          <w:b w:val="0"/>
          <w:lang w:val="en-AU"/>
        </w:rPr>
        <w:t>ruxolitinib</w:t>
      </w:r>
      <w:proofErr w:type="spellEnd"/>
      <w:r>
        <w:rPr>
          <w:b w:val="0"/>
          <w:lang w:val="en-AU"/>
        </w:rPr>
        <w:t xml:space="preserve"> and/or its metabolites are excreted in human milk. A risk to the breast-fed child cannot be excluded. </w:t>
      </w:r>
      <w:r w:rsidR="00134CF6" w:rsidRPr="00DE6BF0">
        <w:rPr>
          <w:b w:val="0"/>
          <w:lang w:val="en-AU"/>
        </w:rPr>
        <w:t xml:space="preserve">In lactating rats, </w:t>
      </w:r>
      <w:proofErr w:type="spellStart"/>
      <w:r w:rsidR="00134CF6" w:rsidRPr="00DE6BF0">
        <w:rPr>
          <w:b w:val="0"/>
          <w:lang w:val="en-AU"/>
        </w:rPr>
        <w:t>ruxolitinib</w:t>
      </w:r>
      <w:proofErr w:type="spellEnd"/>
      <w:r w:rsidR="00134CF6" w:rsidRPr="00DE6BF0">
        <w:rPr>
          <w:b w:val="0"/>
          <w:lang w:val="en-AU"/>
        </w:rPr>
        <w:t xml:space="preserve"> and/or its metabolites were excreted into the milk with a</w:t>
      </w:r>
      <w:r w:rsidR="002F5AB8" w:rsidRPr="00DE6BF0">
        <w:rPr>
          <w:b w:val="0"/>
          <w:lang w:val="en-AU"/>
        </w:rPr>
        <w:t xml:space="preserve"> </w:t>
      </w:r>
      <w:r w:rsidR="00134CF6" w:rsidRPr="00DE6BF0">
        <w:rPr>
          <w:b w:val="0"/>
          <w:lang w:val="en-AU"/>
        </w:rPr>
        <w:t>concentration that was 13-fold higher than the maternal plasma concentration.</w:t>
      </w:r>
    </w:p>
    <w:p w:rsidR="00A0067C" w:rsidRPr="00DE6BF0" w:rsidRDefault="00A0067C" w:rsidP="002F5AB8">
      <w:pPr>
        <w:rPr>
          <w:b w:val="0"/>
          <w:lang w:val="en-AU"/>
        </w:rPr>
      </w:pPr>
      <w:r>
        <w:rPr>
          <w:b w:val="0"/>
          <w:lang w:val="en-AU"/>
        </w:rPr>
        <w:t xml:space="preserve">In a study in which pregnant rats were dosed with </w:t>
      </w:r>
      <w:proofErr w:type="spellStart"/>
      <w:r>
        <w:rPr>
          <w:b w:val="0"/>
          <w:lang w:val="en-AU"/>
        </w:rPr>
        <w:t>ruxolitinib</w:t>
      </w:r>
      <w:proofErr w:type="spellEnd"/>
      <w:r>
        <w:rPr>
          <w:b w:val="0"/>
          <w:lang w:val="en-AU"/>
        </w:rPr>
        <w:t xml:space="preserve"> from implantation through lactation at oral doses up to 30 mg/kg/day, there were no adverse effects on postnatal survival, pup development or pup reproductive function. Maternal exposure (AUC) at the highest dose level was subclinical.</w:t>
      </w:r>
    </w:p>
    <w:p w:rsidR="00B82375" w:rsidRPr="00DE6BF0" w:rsidRDefault="00F22127" w:rsidP="007F46FD">
      <w:pPr>
        <w:pStyle w:val="Heading2"/>
        <w:rPr>
          <w:lang w:val="en-AU"/>
        </w:rPr>
      </w:pPr>
      <w:r w:rsidRPr="00DE6BF0">
        <w:rPr>
          <w:lang w:val="en-AU"/>
        </w:rPr>
        <w:t>P</w:t>
      </w:r>
      <w:r w:rsidR="00A44381" w:rsidRPr="00DE6BF0">
        <w:rPr>
          <w:lang w:val="en-AU"/>
        </w:rPr>
        <w:t>a</w:t>
      </w:r>
      <w:r w:rsidRPr="00DE6BF0">
        <w:rPr>
          <w:lang w:val="en-AU"/>
        </w:rPr>
        <w:t>ediatric Use</w:t>
      </w:r>
    </w:p>
    <w:p w:rsidR="00134CF6" w:rsidRPr="00DE6BF0" w:rsidRDefault="00DE6BF0" w:rsidP="002F5AB8">
      <w:pPr>
        <w:rPr>
          <w:b w:val="0"/>
          <w:lang w:val="en-AU"/>
        </w:rPr>
      </w:pPr>
      <w:r w:rsidRPr="00DE6BF0">
        <w:rPr>
          <w:b w:val="0"/>
          <w:lang w:val="en-AU"/>
        </w:rPr>
        <w:t>The s</w:t>
      </w:r>
      <w:r w:rsidR="00134CF6" w:rsidRPr="00DE6BF0">
        <w:rPr>
          <w:b w:val="0"/>
          <w:lang w:val="en-AU"/>
        </w:rPr>
        <w:t xml:space="preserve">afety and efficacy of </w:t>
      </w:r>
      <w:proofErr w:type="spellStart"/>
      <w:r w:rsidR="00134CF6" w:rsidRPr="00DE6BF0">
        <w:rPr>
          <w:b w:val="0"/>
          <w:lang w:val="en-AU"/>
        </w:rPr>
        <w:t>Jakavi</w:t>
      </w:r>
      <w:proofErr w:type="spellEnd"/>
      <w:r w:rsidR="00134CF6" w:rsidRPr="00DE6BF0">
        <w:rPr>
          <w:b w:val="0"/>
          <w:lang w:val="en-AU"/>
        </w:rPr>
        <w:t xml:space="preserve"> in p</w:t>
      </w:r>
      <w:r w:rsidRPr="00DE6BF0">
        <w:rPr>
          <w:b w:val="0"/>
          <w:lang w:val="en-AU"/>
        </w:rPr>
        <w:t>a</w:t>
      </w:r>
      <w:r w:rsidR="00134CF6" w:rsidRPr="00DE6BF0">
        <w:rPr>
          <w:b w:val="0"/>
          <w:lang w:val="en-AU"/>
        </w:rPr>
        <w:t>ediatric patients have not been established.</w:t>
      </w:r>
    </w:p>
    <w:p w:rsidR="00B82375" w:rsidRPr="00DE6BF0" w:rsidRDefault="00F22127" w:rsidP="007F46FD">
      <w:pPr>
        <w:pStyle w:val="Heading2"/>
        <w:rPr>
          <w:lang w:val="en-AU"/>
        </w:rPr>
      </w:pPr>
      <w:r w:rsidRPr="00DE6BF0">
        <w:rPr>
          <w:lang w:val="en-AU"/>
        </w:rPr>
        <w:t>Use in the Elderly</w:t>
      </w:r>
    </w:p>
    <w:p w:rsidR="00DE6BF0" w:rsidRPr="00DE6BF0" w:rsidRDefault="00DE6BF0" w:rsidP="00DE6BF0">
      <w:pPr>
        <w:rPr>
          <w:b w:val="0"/>
          <w:lang w:val="en-AU"/>
        </w:rPr>
      </w:pPr>
      <w:r w:rsidRPr="00DE6BF0">
        <w:rPr>
          <w:b w:val="0"/>
          <w:lang w:val="en-AU"/>
        </w:rPr>
        <w:t>No additional dose adjustments are recommended for elderly patients.</w:t>
      </w:r>
    </w:p>
    <w:p w:rsidR="00C17653" w:rsidRPr="00DE6BF0" w:rsidRDefault="00C17653" w:rsidP="00C17653">
      <w:pPr>
        <w:pStyle w:val="Heading2"/>
        <w:rPr>
          <w:lang w:val="en-AU"/>
        </w:rPr>
      </w:pPr>
      <w:proofErr w:type="spellStart"/>
      <w:r w:rsidRPr="00DE6BF0">
        <w:rPr>
          <w:lang w:val="en-AU"/>
        </w:rPr>
        <w:lastRenderedPageBreak/>
        <w:t>Genotoxicity</w:t>
      </w:r>
      <w:proofErr w:type="spellEnd"/>
    </w:p>
    <w:p w:rsidR="00C17653" w:rsidRPr="00A16CDE" w:rsidRDefault="00C17653" w:rsidP="00C17653">
      <w:pPr>
        <w:pStyle w:val="Heading2"/>
        <w:rPr>
          <w:u w:val="none"/>
          <w:lang w:val="en-AU"/>
        </w:rPr>
      </w:pPr>
      <w:proofErr w:type="spellStart"/>
      <w:r w:rsidRPr="00A16CDE">
        <w:rPr>
          <w:b w:val="0"/>
          <w:u w:val="none"/>
          <w:lang w:val="en-AU"/>
        </w:rPr>
        <w:t>Ruxolitinib</w:t>
      </w:r>
      <w:proofErr w:type="spellEnd"/>
      <w:r w:rsidRPr="00A16CDE">
        <w:rPr>
          <w:b w:val="0"/>
          <w:u w:val="none"/>
          <w:lang w:val="en-AU"/>
        </w:rPr>
        <w:t xml:space="preserve"> was not mutagenic in a bacterial mutagenicity assay (Ames test) or </w:t>
      </w:r>
      <w:proofErr w:type="spellStart"/>
      <w:r w:rsidRPr="00A16CDE">
        <w:rPr>
          <w:b w:val="0"/>
          <w:u w:val="none"/>
          <w:lang w:val="en-AU"/>
        </w:rPr>
        <w:t>clastogenic</w:t>
      </w:r>
      <w:proofErr w:type="spellEnd"/>
      <w:r w:rsidRPr="00A16CDE">
        <w:rPr>
          <w:b w:val="0"/>
          <w:u w:val="none"/>
          <w:lang w:val="en-AU"/>
        </w:rPr>
        <w:t xml:space="preserve"> in an </w:t>
      </w:r>
      <w:r w:rsidRPr="00A16CDE">
        <w:rPr>
          <w:b w:val="0"/>
          <w:i/>
          <w:u w:val="none"/>
          <w:lang w:val="en-AU"/>
        </w:rPr>
        <w:t>in vitro</w:t>
      </w:r>
      <w:r w:rsidRPr="00A16CDE">
        <w:rPr>
          <w:b w:val="0"/>
          <w:u w:val="none"/>
          <w:lang w:val="en-AU"/>
        </w:rPr>
        <w:t xml:space="preserve"> chromosomal aberration assay (cultural human peripheral blood lymphocytes) or an </w:t>
      </w:r>
      <w:r w:rsidRPr="00A16CDE">
        <w:rPr>
          <w:b w:val="0"/>
          <w:i/>
          <w:u w:val="none"/>
          <w:lang w:val="en-AU"/>
        </w:rPr>
        <w:t>in vivo</w:t>
      </w:r>
      <w:r w:rsidRPr="00A16CDE">
        <w:rPr>
          <w:b w:val="0"/>
          <w:u w:val="none"/>
          <w:lang w:val="en-AU"/>
        </w:rPr>
        <w:t xml:space="preserve"> rat bone marrow micronucleus assay.</w:t>
      </w:r>
    </w:p>
    <w:p w:rsidR="00B82375" w:rsidRPr="00DE6BF0" w:rsidRDefault="00F22127" w:rsidP="007F46FD">
      <w:pPr>
        <w:pStyle w:val="Heading2"/>
        <w:rPr>
          <w:lang w:val="en-AU"/>
        </w:rPr>
      </w:pPr>
      <w:r w:rsidRPr="00DE6BF0">
        <w:rPr>
          <w:lang w:val="en-AU"/>
        </w:rPr>
        <w:t xml:space="preserve">Carcinogenicity </w:t>
      </w:r>
    </w:p>
    <w:p w:rsidR="00134CF6" w:rsidRPr="00DE6BF0" w:rsidRDefault="00C17653" w:rsidP="002F5AB8">
      <w:pPr>
        <w:rPr>
          <w:b w:val="0"/>
          <w:lang w:val="en-AU"/>
        </w:rPr>
      </w:pPr>
      <w:r>
        <w:rPr>
          <w:b w:val="0"/>
          <w:lang w:val="en-AU"/>
        </w:rPr>
        <w:t xml:space="preserve">No evidence of carcinogenicity was observed in a 6 month study </w:t>
      </w:r>
      <w:r w:rsidR="00134CF6" w:rsidRPr="00DE6BF0">
        <w:rPr>
          <w:b w:val="0"/>
          <w:lang w:val="en-AU"/>
        </w:rPr>
        <w:t xml:space="preserve"> in the Tg.rasH2 transgenic mouse</w:t>
      </w:r>
      <w:r w:rsidR="002F5AB8" w:rsidRPr="00DE6BF0">
        <w:rPr>
          <w:b w:val="0"/>
          <w:lang w:val="en-AU"/>
        </w:rPr>
        <w:t xml:space="preserve"> </w:t>
      </w:r>
      <w:r w:rsidR="00134CF6" w:rsidRPr="00DE6BF0">
        <w:rPr>
          <w:b w:val="0"/>
          <w:lang w:val="en-AU"/>
        </w:rPr>
        <w:t>model</w:t>
      </w:r>
      <w:r>
        <w:rPr>
          <w:b w:val="0"/>
          <w:lang w:val="en-AU"/>
        </w:rPr>
        <w:t xml:space="preserve"> at oral doses of </w:t>
      </w:r>
      <w:proofErr w:type="spellStart"/>
      <w:r>
        <w:rPr>
          <w:b w:val="0"/>
          <w:lang w:val="en-AU"/>
        </w:rPr>
        <w:t>ruxolitinib</w:t>
      </w:r>
      <w:proofErr w:type="spellEnd"/>
      <w:r>
        <w:rPr>
          <w:b w:val="0"/>
          <w:lang w:val="en-AU"/>
        </w:rPr>
        <w:t xml:space="preserve"> up to 125 mg/kg/day, resulting in approximately 9 times the human exposure (AUC) at the maximum recommended dose of 25 mg twice daily.</w:t>
      </w:r>
    </w:p>
    <w:p w:rsidR="00B82375" w:rsidRPr="00DE6BF0" w:rsidRDefault="00B53986" w:rsidP="007C7566">
      <w:pPr>
        <w:rPr>
          <w:lang w:val="en-AU"/>
        </w:rPr>
      </w:pPr>
      <w:r w:rsidRPr="00DE6BF0">
        <w:rPr>
          <w:lang w:val="en-AU"/>
        </w:rPr>
        <w:t>INTERACTIONS WITH OTHER MEDICINES</w:t>
      </w:r>
    </w:p>
    <w:p w:rsidR="004D179A" w:rsidRDefault="004D179A" w:rsidP="00ED33F0">
      <w:pPr>
        <w:widowControl w:val="0"/>
        <w:spacing w:line="240" w:lineRule="auto"/>
        <w:rPr>
          <w:b w:val="0"/>
          <w:lang w:val="en-AU"/>
        </w:rPr>
      </w:pPr>
      <w:r w:rsidRPr="00DE6BF0">
        <w:rPr>
          <w:b w:val="0"/>
          <w:lang w:val="en-AU"/>
        </w:rPr>
        <w:t xml:space="preserve">At clinically relevant concentrations, </w:t>
      </w:r>
      <w:proofErr w:type="spellStart"/>
      <w:r w:rsidRPr="00DE6BF0">
        <w:rPr>
          <w:b w:val="0"/>
          <w:lang w:val="en-AU"/>
        </w:rPr>
        <w:t>ruxolitinib</w:t>
      </w:r>
      <w:proofErr w:type="spellEnd"/>
      <w:r w:rsidRPr="00DE6BF0">
        <w:rPr>
          <w:b w:val="0"/>
          <w:lang w:val="en-AU"/>
        </w:rPr>
        <w:t xml:space="preserve"> does not inhibit CYP1A2, CYP2B6, CYP2C8, CYP2C9, CYP2C19, CYP2D6 or CYP3A4 and is not a potent inducer of CYP1A2, CYP2B6 or CYP3A4 based on in vitro studies</w:t>
      </w:r>
      <w:r>
        <w:rPr>
          <w:b w:val="0"/>
          <w:lang w:val="en-AU"/>
        </w:rPr>
        <w:t>.</w:t>
      </w:r>
    </w:p>
    <w:p w:rsidR="004D179A" w:rsidRDefault="004D179A" w:rsidP="00ED33F0">
      <w:pPr>
        <w:widowControl w:val="0"/>
        <w:spacing w:line="240" w:lineRule="auto"/>
        <w:rPr>
          <w:b w:val="0"/>
        </w:rPr>
      </w:pPr>
      <w:r w:rsidRPr="004D179A">
        <w:rPr>
          <w:b w:val="0"/>
          <w:i/>
          <w:lang w:val="en-AU"/>
        </w:rPr>
        <w:t>In vitro</w:t>
      </w:r>
      <w:r>
        <w:rPr>
          <w:b w:val="0"/>
          <w:lang w:val="en-AU"/>
        </w:rPr>
        <w:t xml:space="preserve">, </w:t>
      </w:r>
      <w:proofErr w:type="spellStart"/>
      <w:r>
        <w:rPr>
          <w:b w:val="0"/>
          <w:lang w:val="en-AU"/>
        </w:rPr>
        <w:t>ruxolitinib</w:t>
      </w:r>
      <w:proofErr w:type="spellEnd"/>
      <w:r>
        <w:rPr>
          <w:b w:val="0"/>
          <w:lang w:val="en-AU"/>
        </w:rPr>
        <w:t xml:space="preserve"> was not an inhibitor of the OATP1B1, OATP1B3, OCT1, OCT2, OAT1 or OAT3 transporters at clinically-relevant concentration. </w:t>
      </w:r>
      <w:proofErr w:type="spellStart"/>
      <w:r>
        <w:rPr>
          <w:b w:val="0"/>
          <w:lang w:val="en-AU"/>
        </w:rPr>
        <w:t>Ruxolitinib</w:t>
      </w:r>
      <w:proofErr w:type="spellEnd"/>
      <w:r>
        <w:rPr>
          <w:b w:val="0"/>
          <w:lang w:val="en-AU"/>
        </w:rPr>
        <w:t xml:space="preserve"> is not a substrate for the P-glycoprotein transporter but was shown to be a weak inhibitor of this transporter. The effect of </w:t>
      </w:r>
      <w:proofErr w:type="spellStart"/>
      <w:r>
        <w:rPr>
          <w:b w:val="0"/>
          <w:lang w:val="en-AU"/>
        </w:rPr>
        <w:t>ruxolitinib</w:t>
      </w:r>
      <w:proofErr w:type="spellEnd"/>
      <w:r>
        <w:rPr>
          <w:b w:val="0"/>
          <w:lang w:val="en-AU"/>
        </w:rPr>
        <w:t xml:space="preserve"> on medicines which are substrates of P-glycoprotein are unknown.</w:t>
      </w:r>
    </w:p>
    <w:p w:rsidR="00ED33F0" w:rsidRPr="008208A1" w:rsidRDefault="00ED33F0" w:rsidP="00ED33F0">
      <w:pPr>
        <w:widowControl w:val="0"/>
        <w:spacing w:line="240" w:lineRule="auto"/>
        <w:rPr>
          <w:b w:val="0"/>
          <w:noProof/>
          <w:szCs w:val="22"/>
        </w:rPr>
      </w:pPr>
      <w:r w:rsidRPr="008208A1">
        <w:rPr>
          <w:b w:val="0"/>
          <w:noProof/>
          <w:szCs w:val="22"/>
        </w:rPr>
        <w:t>Ruxolitinib is eliminated through metabolism catalysed by CYP3A4 and CYP2C9. Thus, medicinal products inhibiting these enzymes can give rise to increased ruxolitinib exposure.</w:t>
      </w:r>
    </w:p>
    <w:p w:rsidR="00134CF6" w:rsidRPr="00DE6BF0" w:rsidRDefault="00134CF6" w:rsidP="002F5AB8">
      <w:pPr>
        <w:rPr>
          <w:b w:val="0"/>
          <w:lang w:val="en-AU"/>
        </w:rPr>
      </w:pPr>
      <w:r w:rsidRPr="00DE6BF0">
        <w:rPr>
          <w:lang w:val="en-AU"/>
        </w:rPr>
        <w:t>Interactions resulting in dose reduction</w:t>
      </w:r>
      <w:r w:rsidR="002F5AB8" w:rsidRPr="00DE6BF0">
        <w:rPr>
          <w:lang w:val="en-AU"/>
        </w:rPr>
        <w:t xml:space="preserve"> </w:t>
      </w:r>
      <w:r w:rsidRPr="00DE6BF0">
        <w:rPr>
          <w:lang w:val="en-AU"/>
        </w:rPr>
        <w:t>Strong CYP3A4 inhibitors</w:t>
      </w:r>
      <w:r w:rsidR="00ED33F0">
        <w:rPr>
          <w:lang w:val="en-AU"/>
        </w:rPr>
        <w:t xml:space="preserve"> </w:t>
      </w:r>
      <w:r w:rsidR="00ED33F0" w:rsidRPr="00ED33F0">
        <w:rPr>
          <w:b w:val="0"/>
          <w:noProof/>
          <w:szCs w:val="22"/>
        </w:rPr>
        <w:t>(such as, but not limited to, boceprevir, clarithromycin, indinavir, itraconazole, ketoconazole, lopinavir/ritonavir, ritonavir, nelfinavir, posaconazole, saquinavir, telaprevir, telithromycin, voriconazole)</w:t>
      </w:r>
      <w:r w:rsidRPr="00DE6BF0">
        <w:rPr>
          <w:lang w:val="en-AU"/>
        </w:rPr>
        <w:t>:</w:t>
      </w:r>
      <w:r w:rsidRPr="00DE6BF0">
        <w:rPr>
          <w:b w:val="0"/>
          <w:lang w:val="en-AU"/>
        </w:rPr>
        <w:t xml:space="preserve"> in healthy subjects receiving ketoconazole, a strong CYP3A4</w:t>
      </w:r>
      <w:r w:rsidR="002F5AB8" w:rsidRPr="00DE6BF0">
        <w:rPr>
          <w:b w:val="0"/>
          <w:lang w:val="en-AU"/>
        </w:rPr>
        <w:t xml:space="preserve"> </w:t>
      </w:r>
      <w:r w:rsidRPr="00DE6BF0">
        <w:rPr>
          <w:b w:val="0"/>
          <w:lang w:val="en-AU"/>
        </w:rPr>
        <w:t xml:space="preserve">inhibitor, at 200 mg twice daily for four days, the AUC of </w:t>
      </w:r>
      <w:proofErr w:type="spellStart"/>
      <w:r w:rsidRPr="00DE6BF0">
        <w:rPr>
          <w:b w:val="0"/>
          <w:lang w:val="en-AU"/>
        </w:rPr>
        <w:t>Jakavi</w:t>
      </w:r>
      <w:proofErr w:type="spellEnd"/>
      <w:r w:rsidRPr="00DE6BF0">
        <w:rPr>
          <w:b w:val="0"/>
          <w:lang w:val="en-AU"/>
        </w:rPr>
        <w:t xml:space="preserve"> increased by 91% and the</w:t>
      </w:r>
      <w:r w:rsidR="002F5AB8" w:rsidRPr="00DE6BF0">
        <w:rPr>
          <w:b w:val="0"/>
          <w:lang w:val="en-AU"/>
        </w:rPr>
        <w:t xml:space="preserve"> </w:t>
      </w:r>
      <w:r w:rsidRPr="00DE6BF0">
        <w:rPr>
          <w:b w:val="0"/>
          <w:lang w:val="en-AU"/>
        </w:rPr>
        <w:t>half-life was prolonged from 3.7 to 6.0 hours.</w:t>
      </w:r>
    </w:p>
    <w:p w:rsidR="00134CF6" w:rsidRPr="00DE6BF0" w:rsidRDefault="00134CF6" w:rsidP="002F5AB8">
      <w:pPr>
        <w:rPr>
          <w:b w:val="0"/>
          <w:lang w:val="en-AU"/>
        </w:rPr>
      </w:pPr>
      <w:r w:rsidRPr="00DE6BF0">
        <w:rPr>
          <w:b w:val="0"/>
          <w:lang w:val="en-AU"/>
        </w:rPr>
        <w:t xml:space="preserve">When administering </w:t>
      </w:r>
      <w:proofErr w:type="spellStart"/>
      <w:r w:rsidRPr="00DE6BF0">
        <w:rPr>
          <w:b w:val="0"/>
          <w:lang w:val="en-AU"/>
        </w:rPr>
        <w:t>Jakavi</w:t>
      </w:r>
      <w:proofErr w:type="spellEnd"/>
      <w:r w:rsidRPr="00DE6BF0">
        <w:rPr>
          <w:b w:val="0"/>
          <w:lang w:val="en-AU"/>
        </w:rPr>
        <w:t xml:space="preserve"> with strong CYP3A4 inhibitors the total daily dose of </w:t>
      </w:r>
      <w:proofErr w:type="spellStart"/>
      <w:r w:rsidRPr="00DE6BF0">
        <w:rPr>
          <w:b w:val="0"/>
          <w:lang w:val="en-AU"/>
        </w:rPr>
        <w:t>Jakavi</w:t>
      </w:r>
      <w:proofErr w:type="spellEnd"/>
      <w:r w:rsidRPr="00DE6BF0">
        <w:rPr>
          <w:b w:val="0"/>
          <w:lang w:val="en-AU"/>
        </w:rPr>
        <w:t xml:space="preserve"> should</w:t>
      </w:r>
      <w:r w:rsidR="002F5AB8" w:rsidRPr="00DE6BF0">
        <w:rPr>
          <w:b w:val="0"/>
          <w:lang w:val="en-AU"/>
        </w:rPr>
        <w:t xml:space="preserve"> </w:t>
      </w:r>
      <w:r w:rsidRPr="00DE6BF0">
        <w:rPr>
          <w:b w:val="0"/>
          <w:lang w:val="en-AU"/>
        </w:rPr>
        <w:t>be reduced by approximately 50%</w:t>
      </w:r>
      <w:r w:rsidR="00C60306">
        <w:rPr>
          <w:b w:val="0"/>
          <w:lang w:val="en-AU"/>
        </w:rPr>
        <w:t xml:space="preserve"> </w:t>
      </w:r>
      <w:r w:rsidR="00C60306" w:rsidRPr="00DE6BF0">
        <w:rPr>
          <w:b w:val="0"/>
          <w:lang w:val="en-AU"/>
        </w:rPr>
        <w:t>(for monitoring frequency see Dosage and Administration section)</w:t>
      </w:r>
      <w:r w:rsidRPr="00DE6BF0">
        <w:rPr>
          <w:b w:val="0"/>
          <w:lang w:val="en-AU"/>
        </w:rPr>
        <w:t>.</w:t>
      </w:r>
    </w:p>
    <w:p w:rsidR="00134CF6" w:rsidRPr="00DE6BF0" w:rsidRDefault="00134CF6" w:rsidP="002F5AB8">
      <w:pPr>
        <w:rPr>
          <w:b w:val="0"/>
          <w:lang w:val="en-AU"/>
        </w:rPr>
      </w:pPr>
      <w:r w:rsidRPr="00DE6BF0">
        <w:rPr>
          <w:b w:val="0"/>
          <w:lang w:val="en-AU"/>
        </w:rPr>
        <w:t xml:space="preserve">Patients should be closely monitored for </w:t>
      </w:r>
      <w:proofErr w:type="spellStart"/>
      <w:r w:rsidRPr="00DE6BF0">
        <w:rPr>
          <w:b w:val="0"/>
          <w:lang w:val="en-AU"/>
        </w:rPr>
        <w:t>cytopenias</w:t>
      </w:r>
      <w:proofErr w:type="spellEnd"/>
      <w:r w:rsidRPr="00DE6BF0">
        <w:rPr>
          <w:b w:val="0"/>
          <w:lang w:val="en-AU"/>
        </w:rPr>
        <w:t xml:space="preserve"> and dose titrated based on safety and</w:t>
      </w:r>
      <w:r w:rsidR="002F5AB8" w:rsidRPr="00DE6BF0">
        <w:rPr>
          <w:b w:val="0"/>
          <w:lang w:val="en-AU"/>
        </w:rPr>
        <w:t xml:space="preserve"> </w:t>
      </w:r>
      <w:r w:rsidRPr="00DE6BF0">
        <w:rPr>
          <w:b w:val="0"/>
          <w:lang w:val="en-AU"/>
        </w:rPr>
        <w:t xml:space="preserve">efficacy (see </w:t>
      </w:r>
      <w:r w:rsidR="00CF6D22" w:rsidRPr="00DE6BF0">
        <w:rPr>
          <w:b w:val="0"/>
          <w:lang w:val="en-AU"/>
        </w:rPr>
        <w:t>Dosage and A</w:t>
      </w:r>
      <w:r w:rsidRPr="00DE6BF0">
        <w:rPr>
          <w:b w:val="0"/>
          <w:lang w:val="en-AU"/>
        </w:rPr>
        <w:t>dministration</w:t>
      </w:r>
      <w:r w:rsidR="00CF6D22" w:rsidRPr="00DE6BF0">
        <w:rPr>
          <w:b w:val="0"/>
          <w:lang w:val="en-AU"/>
        </w:rPr>
        <w:t xml:space="preserve"> section</w:t>
      </w:r>
      <w:r w:rsidRPr="00DE6BF0">
        <w:rPr>
          <w:b w:val="0"/>
          <w:lang w:val="en-AU"/>
        </w:rPr>
        <w:t>).</w:t>
      </w:r>
    </w:p>
    <w:p w:rsidR="00134CF6" w:rsidRPr="00DE6BF0" w:rsidRDefault="00134CF6" w:rsidP="002F5AB8">
      <w:pPr>
        <w:rPr>
          <w:lang w:val="en-AU"/>
        </w:rPr>
      </w:pPr>
      <w:r w:rsidRPr="00DE6BF0">
        <w:rPr>
          <w:lang w:val="en-AU"/>
        </w:rPr>
        <w:t>Other interactions to be considered</w:t>
      </w:r>
    </w:p>
    <w:p w:rsidR="00134CF6" w:rsidRPr="00DE6BF0" w:rsidRDefault="00134CF6" w:rsidP="002F5AB8">
      <w:pPr>
        <w:rPr>
          <w:b w:val="0"/>
          <w:lang w:val="en-AU"/>
        </w:rPr>
      </w:pPr>
      <w:r w:rsidRPr="00DE6BF0">
        <w:rPr>
          <w:lang w:val="en-AU"/>
        </w:rPr>
        <w:t>Mild or moderate CYP3A4 inhibitors</w:t>
      </w:r>
      <w:r w:rsidR="00C60306">
        <w:rPr>
          <w:lang w:val="en-AU"/>
        </w:rPr>
        <w:t xml:space="preserve"> </w:t>
      </w:r>
      <w:r w:rsidR="00C60306" w:rsidRPr="00C60306">
        <w:rPr>
          <w:b w:val="0"/>
          <w:noProof/>
          <w:szCs w:val="22"/>
        </w:rPr>
        <w:t>(such as, but not limited to, ciprofloxacin, erythromycin, amprenavir, atazanavir, diltiazem, cimetidine)</w:t>
      </w:r>
      <w:r w:rsidRPr="00DE6BF0">
        <w:rPr>
          <w:lang w:val="en-AU"/>
        </w:rPr>
        <w:t>:</w:t>
      </w:r>
      <w:r w:rsidRPr="00DE6BF0">
        <w:rPr>
          <w:b w:val="0"/>
          <w:lang w:val="en-AU"/>
        </w:rPr>
        <w:t xml:space="preserve"> in healthy subjects receiving erythromycin, a</w:t>
      </w:r>
      <w:r w:rsidR="002F5AB8" w:rsidRPr="00DE6BF0">
        <w:rPr>
          <w:b w:val="0"/>
          <w:lang w:val="en-AU"/>
        </w:rPr>
        <w:t xml:space="preserve"> </w:t>
      </w:r>
      <w:r w:rsidRPr="00DE6BF0">
        <w:rPr>
          <w:b w:val="0"/>
          <w:lang w:val="en-AU"/>
        </w:rPr>
        <w:t>moderate CYP3A4 inhibitor, at 500 mg twice daily for four days, there was a 27% increase in</w:t>
      </w:r>
      <w:r w:rsidR="002F5AB8" w:rsidRPr="00DE6BF0">
        <w:rPr>
          <w:b w:val="0"/>
          <w:lang w:val="en-AU"/>
        </w:rPr>
        <w:t xml:space="preserve"> </w:t>
      </w:r>
      <w:r w:rsidRPr="00DE6BF0">
        <w:rPr>
          <w:b w:val="0"/>
          <w:lang w:val="en-AU"/>
        </w:rPr>
        <w:t xml:space="preserve">the AUC of </w:t>
      </w:r>
      <w:proofErr w:type="spellStart"/>
      <w:r w:rsidRPr="00DE6BF0">
        <w:rPr>
          <w:b w:val="0"/>
          <w:lang w:val="en-AU"/>
        </w:rPr>
        <w:t>Jakavi</w:t>
      </w:r>
      <w:proofErr w:type="spellEnd"/>
      <w:r w:rsidRPr="00DE6BF0">
        <w:rPr>
          <w:b w:val="0"/>
          <w:lang w:val="en-AU"/>
        </w:rPr>
        <w:t>.</w:t>
      </w:r>
    </w:p>
    <w:p w:rsidR="00134CF6" w:rsidRDefault="00134CF6" w:rsidP="002F5AB8">
      <w:pPr>
        <w:rPr>
          <w:b w:val="0"/>
          <w:lang w:val="en-AU"/>
        </w:rPr>
      </w:pPr>
      <w:r w:rsidRPr="00DE6BF0">
        <w:rPr>
          <w:b w:val="0"/>
          <w:lang w:val="en-AU"/>
        </w:rPr>
        <w:lastRenderedPageBreak/>
        <w:t xml:space="preserve">No dose adjustment is recommended when </w:t>
      </w:r>
      <w:proofErr w:type="spellStart"/>
      <w:r w:rsidRPr="00DE6BF0">
        <w:rPr>
          <w:b w:val="0"/>
          <w:lang w:val="en-AU"/>
        </w:rPr>
        <w:t>Jakavi</w:t>
      </w:r>
      <w:proofErr w:type="spellEnd"/>
      <w:r w:rsidRPr="00DE6BF0">
        <w:rPr>
          <w:b w:val="0"/>
          <w:lang w:val="en-AU"/>
        </w:rPr>
        <w:t xml:space="preserve"> is co administered with mild or moderate</w:t>
      </w:r>
      <w:r w:rsidR="002F5AB8" w:rsidRPr="00DE6BF0">
        <w:rPr>
          <w:b w:val="0"/>
          <w:lang w:val="en-AU"/>
        </w:rPr>
        <w:t xml:space="preserve"> </w:t>
      </w:r>
      <w:r w:rsidRPr="00DE6BF0">
        <w:rPr>
          <w:b w:val="0"/>
          <w:lang w:val="en-AU"/>
        </w:rPr>
        <w:t xml:space="preserve">CYP3A4 inhibitors (e.g. erythromycin). Patients should be closely monitored for </w:t>
      </w:r>
      <w:proofErr w:type="spellStart"/>
      <w:r w:rsidRPr="00DE6BF0">
        <w:rPr>
          <w:b w:val="0"/>
          <w:lang w:val="en-AU"/>
        </w:rPr>
        <w:t>cytopenias</w:t>
      </w:r>
      <w:proofErr w:type="spellEnd"/>
      <w:r w:rsidR="002F5AB8" w:rsidRPr="00DE6BF0">
        <w:rPr>
          <w:b w:val="0"/>
          <w:lang w:val="en-AU"/>
        </w:rPr>
        <w:t xml:space="preserve"> </w:t>
      </w:r>
      <w:r w:rsidRPr="00DE6BF0">
        <w:rPr>
          <w:b w:val="0"/>
          <w:lang w:val="en-AU"/>
        </w:rPr>
        <w:t>when initiating therapy with a moderate CYP3A4 inhibitor.</w:t>
      </w:r>
    </w:p>
    <w:p w:rsidR="00CC5878" w:rsidRPr="00CC5878" w:rsidRDefault="00CC5878" w:rsidP="00CC5878">
      <w:pPr>
        <w:keepNext/>
        <w:widowControl w:val="0"/>
        <w:spacing w:line="240" w:lineRule="auto"/>
        <w:rPr>
          <w:b w:val="0"/>
          <w:noProof/>
          <w:szCs w:val="22"/>
        </w:rPr>
      </w:pPr>
      <w:r w:rsidRPr="00CC5878">
        <w:rPr>
          <w:noProof/>
          <w:szCs w:val="22"/>
        </w:rPr>
        <w:t>Dual CYP2C9 and CYP3A4 inhibitors:</w:t>
      </w:r>
      <w:r>
        <w:rPr>
          <w:b w:val="0"/>
          <w:noProof/>
          <w:szCs w:val="22"/>
        </w:rPr>
        <w:t xml:space="preserve"> </w:t>
      </w:r>
      <w:r w:rsidRPr="00CC5878">
        <w:rPr>
          <w:b w:val="0"/>
          <w:noProof/>
          <w:szCs w:val="22"/>
        </w:rPr>
        <w:t xml:space="preserve">On the basis of </w:t>
      </w:r>
      <w:r w:rsidRPr="00CC5878">
        <w:rPr>
          <w:b w:val="0"/>
          <w:i/>
          <w:noProof/>
          <w:szCs w:val="22"/>
        </w:rPr>
        <w:t>in silico</w:t>
      </w:r>
      <w:r w:rsidRPr="00CC5878">
        <w:rPr>
          <w:b w:val="0"/>
          <w:noProof/>
          <w:szCs w:val="22"/>
        </w:rPr>
        <w:t xml:space="preserve"> modelling 50% dose reduction should be considered when using medicinal products which are dual inhibitors of CYP2C9 and CYP3A4 enzymes (e.g. fluconazole).</w:t>
      </w:r>
    </w:p>
    <w:p w:rsidR="00134CF6" w:rsidRPr="00DE6BF0" w:rsidRDefault="00134CF6" w:rsidP="002F5AB8">
      <w:pPr>
        <w:rPr>
          <w:b w:val="0"/>
          <w:lang w:val="en-AU"/>
        </w:rPr>
      </w:pPr>
      <w:r w:rsidRPr="00DE6BF0">
        <w:rPr>
          <w:lang w:val="en-AU"/>
        </w:rPr>
        <w:t>CYP3A4 inducers</w:t>
      </w:r>
      <w:r w:rsidR="00C60306">
        <w:rPr>
          <w:lang w:val="en-AU"/>
        </w:rPr>
        <w:t xml:space="preserve"> </w:t>
      </w:r>
      <w:r w:rsidR="00C60306" w:rsidRPr="00C60306">
        <w:rPr>
          <w:b w:val="0"/>
          <w:noProof/>
          <w:szCs w:val="22"/>
        </w:rPr>
        <w:t xml:space="preserve">(such as, but not limited to, </w:t>
      </w:r>
      <w:r w:rsidR="00C60306">
        <w:rPr>
          <w:b w:val="0"/>
          <w:noProof/>
          <w:szCs w:val="22"/>
        </w:rPr>
        <w:t xml:space="preserve">dexamethasone, </w:t>
      </w:r>
      <w:r w:rsidR="00C60306" w:rsidRPr="00C60306">
        <w:rPr>
          <w:b w:val="0"/>
          <w:noProof/>
          <w:szCs w:val="22"/>
        </w:rPr>
        <w:t xml:space="preserve">carbamazepine, phenobarbital, phenytoin, rifabutin, rifampin (rifampicin), </w:t>
      </w:r>
      <w:r w:rsidR="00C60306">
        <w:rPr>
          <w:b w:val="0"/>
          <w:noProof/>
          <w:szCs w:val="22"/>
        </w:rPr>
        <w:t xml:space="preserve">rifapentine, </w:t>
      </w:r>
      <w:r w:rsidR="00C60306" w:rsidRPr="00C60306">
        <w:rPr>
          <w:b w:val="0"/>
          <w:noProof/>
          <w:szCs w:val="22"/>
        </w:rPr>
        <w:t>St.John’s wort (Hypericum perforatum))</w:t>
      </w:r>
      <w:r w:rsidRPr="00DE6BF0">
        <w:rPr>
          <w:lang w:val="en-AU"/>
        </w:rPr>
        <w:t>:</w:t>
      </w:r>
      <w:r w:rsidRPr="00DE6BF0">
        <w:rPr>
          <w:b w:val="0"/>
          <w:lang w:val="en-AU"/>
        </w:rPr>
        <w:t xml:space="preserve"> Upon initiation of a CYP3A4 inducer, no dose adjustment is</w:t>
      </w:r>
      <w:r w:rsidR="002F5AB8" w:rsidRPr="00DE6BF0">
        <w:rPr>
          <w:b w:val="0"/>
          <w:lang w:val="en-AU"/>
        </w:rPr>
        <w:t xml:space="preserve"> </w:t>
      </w:r>
      <w:r w:rsidRPr="00DE6BF0">
        <w:rPr>
          <w:b w:val="0"/>
          <w:lang w:val="en-AU"/>
        </w:rPr>
        <w:t xml:space="preserve">recommended. </w:t>
      </w:r>
      <w:r w:rsidR="00822F15">
        <w:rPr>
          <w:b w:val="0"/>
          <w:lang w:val="en-AU"/>
        </w:rPr>
        <w:t>Patients should be closely monitored and the dose titrated based on safety and efficacy.</w:t>
      </w:r>
    </w:p>
    <w:p w:rsidR="00134CF6" w:rsidRDefault="00134CF6" w:rsidP="002F5AB8">
      <w:pPr>
        <w:rPr>
          <w:b w:val="0"/>
          <w:lang w:val="en-AU"/>
        </w:rPr>
      </w:pPr>
      <w:r w:rsidRPr="00DE6BF0">
        <w:rPr>
          <w:b w:val="0"/>
          <w:lang w:val="en-AU"/>
        </w:rPr>
        <w:t xml:space="preserve">In healthy subjects receiving </w:t>
      </w:r>
      <w:proofErr w:type="spellStart"/>
      <w:r w:rsidRPr="00DE6BF0">
        <w:rPr>
          <w:b w:val="0"/>
          <w:lang w:val="en-AU"/>
        </w:rPr>
        <w:t>rifampin</w:t>
      </w:r>
      <w:proofErr w:type="spellEnd"/>
      <w:r w:rsidRPr="00DE6BF0">
        <w:rPr>
          <w:b w:val="0"/>
          <w:lang w:val="en-AU"/>
        </w:rPr>
        <w:t>, a potent CYP3A4 inducer, at 600 mg once daily for ten</w:t>
      </w:r>
      <w:r w:rsidR="002F5AB8" w:rsidRPr="00DE6BF0">
        <w:rPr>
          <w:b w:val="0"/>
          <w:lang w:val="en-AU"/>
        </w:rPr>
        <w:t xml:space="preserve"> </w:t>
      </w:r>
      <w:r w:rsidRPr="00DE6BF0">
        <w:rPr>
          <w:b w:val="0"/>
          <w:lang w:val="en-AU"/>
        </w:rPr>
        <w:t xml:space="preserve">days, the AUC of </w:t>
      </w:r>
      <w:proofErr w:type="spellStart"/>
      <w:r w:rsidRPr="00DE6BF0">
        <w:rPr>
          <w:b w:val="0"/>
          <w:lang w:val="en-AU"/>
        </w:rPr>
        <w:t>Jakavi</w:t>
      </w:r>
      <w:proofErr w:type="spellEnd"/>
      <w:r w:rsidRPr="00DE6BF0">
        <w:rPr>
          <w:b w:val="0"/>
          <w:lang w:val="en-AU"/>
        </w:rPr>
        <w:t xml:space="preserve"> following a single dose decreased by 71% and the half-life decreased</w:t>
      </w:r>
      <w:r w:rsidR="002F5AB8" w:rsidRPr="00DE6BF0">
        <w:rPr>
          <w:b w:val="0"/>
          <w:lang w:val="en-AU"/>
        </w:rPr>
        <w:t xml:space="preserve"> </w:t>
      </w:r>
      <w:r w:rsidRPr="00DE6BF0">
        <w:rPr>
          <w:b w:val="0"/>
          <w:lang w:val="en-AU"/>
        </w:rPr>
        <w:t>from 3.3 to 1.7 hours. The relative amount of active metabolites increased in relation to parent</w:t>
      </w:r>
      <w:r w:rsidR="002F5AB8" w:rsidRPr="00DE6BF0">
        <w:rPr>
          <w:b w:val="0"/>
          <w:lang w:val="en-AU"/>
        </w:rPr>
        <w:t xml:space="preserve"> </w:t>
      </w:r>
      <w:r w:rsidRPr="00DE6BF0">
        <w:rPr>
          <w:b w:val="0"/>
          <w:lang w:val="en-AU"/>
        </w:rPr>
        <w:t>compound.</w:t>
      </w:r>
    </w:p>
    <w:p w:rsidR="00CC5878" w:rsidRPr="00334D50" w:rsidRDefault="00CC5878" w:rsidP="00334D50">
      <w:pPr>
        <w:pStyle w:val="CommentText"/>
        <w:rPr>
          <w:b w:val="0"/>
          <w:noProof/>
          <w:sz w:val="24"/>
        </w:rPr>
      </w:pPr>
      <w:r w:rsidRPr="00334D50">
        <w:rPr>
          <w:noProof/>
          <w:sz w:val="24"/>
        </w:rPr>
        <w:t>Substances metabolised by CYP3A4:</w:t>
      </w:r>
      <w:r w:rsidRPr="00334D50">
        <w:rPr>
          <w:b w:val="0"/>
          <w:noProof/>
          <w:sz w:val="24"/>
        </w:rPr>
        <w:t xml:space="preserve"> It cannot be excluded that ruxolitinib inhibits CYP3A4 in the intestine. Increased systemic exposure may be obtained for substances which are metabolised by CYP3A4, and particularly those that undergo extensive intestinal metabolism. </w:t>
      </w:r>
      <w:r w:rsidR="00334D50" w:rsidRPr="00334D50">
        <w:rPr>
          <w:b w:val="0"/>
          <w:sz w:val="24"/>
        </w:rPr>
        <w:t xml:space="preserve">Some sensitive CYP3A substrates </w:t>
      </w:r>
      <w:r w:rsidR="00334D50">
        <w:rPr>
          <w:b w:val="0"/>
          <w:sz w:val="24"/>
        </w:rPr>
        <w:t>include l</w:t>
      </w:r>
      <w:r w:rsidR="00334D50" w:rsidRPr="00334D50">
        <w:rPr>
          <w:b w:val="0"/>
          <w:sz w:val="24"/>
        </w:rPr>
        <w:t>ovastatin</w:t>
      </w:r>
      <w:r w:rsidR="00334D50">
        <w:rPr>
          <w:b w:val="0"/>
          <w:sz w:val="24"/>
        </w:rPr>
        <w:t>,</w:t>
      </w:r>
      <w:r w:rsidR="00334D50" w:rsidRPr="00334D50">
        <w:rPr>
          <w:b w:val="0"/>
          <w:sz w:val="24"/>
        </w:rPr>
        <w:t xml:space="preserve"> </w:t>
      </w:r>
      <w:proofErr w:type="spellStart"/>
      <w:r w:rsidR="00334D50" w:rsidRPr="00334D50">
        <w:rPr>
          <w:b w:val="0"/>
          <w:sz w:val="24"/>
        </w:rPr>
        <w:t>aprepitant</w:t>
      </w:r>
      <w:proofErr w:type="spellEnd"/>
      <w:r w:rsidR="00334D50" w:rsidRPr="00334D50">
        <w:rPr>
          <w:b w:val="0"/>
          <w:sz w:val="24"/>
        </w:rPr>
        <w:t xml:space="preserve">, budesonide, </w:t>
      </w:r>
      <w:proofErr w:type="spellStart"/>
      <w:r w:rsidR="00334D50" w:rsidRPr="00334D50">
        <w:rPr>
          <w:b w:val="0"/>
          <w:sz w:val="24"/>
        </w:rPr>
        <w:t>conivaptan</w:t>
      </w:r>
      <w:proofErr w:type="spellEnd"/>
      <w:r w:rsidR="00334D50" w:rsidRPr="00334D50">
        <w:rPr>
          <w:b w:val="0"/>
          <w:sz w:val="24"/>
        </w:rPr>
        <w:t xml:space="preserve">, </w:t>
      </w:r>
      <w:proofErr w:type="spellStart"/>
      <w:r w:rsidR="00334D50" w:rsidRPr="00334D50">
        <w:rPr>
          <w:b w:val="0"/>
          <w:sz w:val="24"/>
        </w:rPr>
        <w:t>darifenacin</w:t>
      </w:r>
      <w:proofErr w:type="spellEnd"/>
      <w:r w:rsidR="00334D50" w:rsidRPr="00334D50">
        <w:rPr>
          <w:b w:val="0"/>
          <w:sz w:val="24"/>
        </w:rPr>
        <w:t xml:space="preserve">, </w:t>
      </w:r>
      <w:proofErr w:type="spellStart"/>
      <w:r w:rsidR="00334D50" w:rsidRPr="00334D50">
        <w:rPr>
          <w:b w:val="0"/>
          <w:sz w:val="24"/>
        </w:rPr>
        <w:t>darunavir</w:t>
      </w:r>
      <w:proofErr w:type="spellEnd"/>
      <w:r w:rsidR="00334D50" w:rsidRPr="00334D50">
        <w:rPr>
          <w:b w:val="0"/>
          <w:sz w:val="24"/>
        </w:rPr>
        <w:t xml:space="preserve">, </w:t>
      </w:r>
      <w:proofErr w:type="spellStart"/>
      <w:r w:rsidR="00334D50" w:rsidRPr="00334D50">
        <w:rPr>
          <w:b w:val="0"/>
          <w:sz w:val="24"/>
        </w:rPr>
        <w:t>everolimus</w:t>
      </w:r>
      <w:proofErr w:type="spellEnd"/>
      <w:r w:rsidR="00334D50" w:rsidRPr="00334D50">
        <w:rPr>
          <w:b w:val="0"/>
          <w:sz w:val="24"/>
        </w:rPr>
        <w:t xml:space="preserve">, </w:t>
      </w:r>
      <w:proofErr w:type="spellStart"/>
      <w:r w:rsidR="00334D50" w:rsidRPr="00334D50">
        <w:rPr>
          <w:b w:val="0"/>
          <w:sz w:val="24"/>
        </w:rPr>
        <w:t>sirolimus</w:t>
      </w:r>
      <w:proofErr w:type="spellEnd"/>
      <w:r w:rsidR="00334D50" w:rsidRPr="00334D50">
        <w:rPr>
          <w:b w:val="0"/>
          <w:sz w:val="24"/>
        </w:rPr>
        <w:t>,</w:t>
      </w:r>
      <w:r w:rsidR="00334D50">
        <w:rPr>
          <w:b w:val="0"/>
          <w:sz w:val="24"/>
        </w:rPr>
        <w:t xml:space="preserve"> and</w:t>
      </w:r>
      <w:r w:rsidR="00334D50" w:rsidRPr="00334D50">
        <w:rPr>
          <w:b w:val="0"/>
          <w:sz w:val="24"/>
        </w:rPr>
        <w:t xml:space="preserve"> midazolam</w:t>
      </w:r>
      <w:r w:rsidR="00334D50">
        <w:rPr>
          <w:b w:val="0"/>
          <w:sz w:val="24"/>
        </w:rPr>
        <w:t>.</w:t>
      </w:r>
      <w:r w:rsidR="00334D50" w:rsidRPr="00334D50">
        <w:rPr>
          <w:b w:val="0"/>
          <w:noProof/>
          <w:sz w:val="24"/>
        </w:rPr>
        <w:t xml:space="preserve"> </w:t>
      </w:r>
      <w:r w:rsidRPr="00334D50">
        <w:rPr>
          <w:b w:val="0"/>
          <w:noProof/>
          <w:sz w:val="24"/>
        </w:rPr>
        <w:t>Safety monitoring of orally administered CYP3A4 metabolised substances is advised when combined with ruxolitinib. The interaction is likely to be minimised if the time between co</w:t>
      </w:r>
      <w:r w:rsidRPr="00334D50">
        <w:rPr>
          <w:b w:val="0"/>
          <w:noProof/>
          <w:sz w:val="24"/>
        </w:rPr>
        <w:noBreakHyphen/>
        <w:t>administrations is kept as long as possible.</w:t>
      </w:r>
    </w:p>
    <w:p w:rsidR="00CC1ED2" w:rsidRPr="00CC1ED2" w:rsidRDefault="00CC1ED2" w:rsidP="00CC1ED2">
      <w:pPr>
        <w:widowControl w:val="0"/>
        <w:spacing w:line="240" w:lineRule="auto"/>
        <w:rPr>
          <w:b w:val="0"/>
          <w:noProof/>
          <w:szCs w:val="22"/>
        </w:rPr>
      </w:pPr>
      <w:r>
        <w:rPr>
          <w:lang w:val="en-AU"/>
        </w:rPr>
        <w:t xml:space="preserve">Substances transported by </w:t>
      </w:r>
      <w:r w:rsidR="00134CF6" w:rsidRPr="00DE6BF0">
        <w:rPr>
          <w:lang w:val="en-AU"/>
        </w:rPr>
        <w:t xml:space="preserve">P-glycoprotein </w:t>
      </w:r>
      <w:r>
        <w:rPr>
          <w:lang w:val="en-AU"/>
        </w:rPr>
        <w:t>or</w:t>
      </w:r>
      <w:r w:rsidRPr="00DE6BF0">
        <w:rPr>
          <w:lang w:val="en-AU"/>
        </w:rPr>
        <w:t xml:space="preserve"> </w:t>
      </w:r>
      <w:r w:rsidR="00134CF6" w:rsidRPr="00DE6BF0">
        <w:rPr>
          <w:lang w:val="en-AU"/>
        </w:rPr>
        <w:t>other transporters:</w:t>
      </w:r>
      <w:r w:rsidR="00134CF6" w:rsidRPr="00DE6BF0">
        <w:rPr>
          <w:b w:val="0"/>
          <w:lang w:val="en-AU"/>
        </w:rPr>
        <w:t xml:space="preserve"> </w:t>
      </w:r>
      <w:r w:rsidRPr="00CC1ED2">
        <w:rPr>
          <w:b w:val="0"/>
          <w:noProof/>
          <w:szCs w:val="22"/>
        </w:rPr>
        <w:t>Ruxolitinib may inhibit P</w:t>
      </w:r>
      <w:r w:rsidRPr="00CC1ED2">
        <w:rPr>
          <w:b w:val="0"/>
          <w:noProof/>
          <w:szCs w:val="22"/>
        </w:rPr>
        <w:noBreakHyphen/>
        <w:t>glycoprotein and breast cancer resistance protein (BCRP) in the intestine. This may result in increased sytemic exposure of substrates of these transporters, such as dabigatran etixilate, c</w:t>
      </w:r>
      <w:r>
        <w:rPr>
          <w:b w:val="0"/>
          <w:noProof/>
          <w:szCs w:val="22"/>
        </w:rPr>
        <w:t>y</w:t>
      </w:r>
      <w:r w:rsidRPr="00CC1ED2">
        <w:rPr>
          <w:b w:val="0"/>
          <w:noProof/>
          <w:szCs w:val="22"/>
        </w:rPr>
        <w:t>closporin, rosuvastatin and potentially digoxin.</w:t>
      </w:r>
      <w:r>
        <w:rPr>
          <w:b w:val="0"/>
          <w:noProof/>
          <w:szCs w:val="22"/>
        </w:rPr>
        <w:t xml:space="preserve"> </w:t>
      </w:r>
      <w:r w:rsidRPr="00CC1ED2">
        <w:rPr>
          <w:b w:val="0"/>
          <w:noProof/>
          <w:szCs w:val="22"/>
        </w:rPr>
        <w:t>Therapeutic drug monitoring (TDM) or clinical monitoring of the affected substance is advised.</w:t>
      </w:r>
    </w:p>
    <w:p w:rsidR="00CC1ED2" w:rsidRPr="00CC1ED2" w:rsidRDefault="00CC1ED2" w:rsidP="00CC1ED2">
      <w:pPr>
        <w:widowControl w:val="0"/>
        <w:spacing w:line="240" w:lineRule="auto"/>
        <w:rPr>
          <w:b w:val="0"/>
          <w:szCs w:val="22"/>
        </w:rPr>
      </w:pPr>
      <w:r>
        <w:rPr>
          <w:b w:val="0"/>
          <w:noProof/>
          <w:szCs w:val="22"/>
        </w:rPr>
        <w:t xml:space="preserve">Drugs that inhibit P-glycoprotein include tacrolimus, cyclosporine, diltiazem, amiodarone, carvedilol, nifedipine, verapamil, ketoconazole, itraconazole, quinidine, ritonavir, saquinavir, nelfinavir, ranolazine valspodar and isradipine. </w:t>
      </w:r>
      <w:r w:rsidRPr="00CC1ED2">
        <w:rPr>
          <w:b w:val="0"/>
          <w:noProof/>
          <w:szCs w:val="22"/>
        </w:rPr>
        <w:t>It is possible that the potential inhibition of P</w:t>
      </w:r>
      <w:r w:rsidRPr="00CC1ED2">
        <w:rPr>
          <w:b w:val="0"/>
          <w:noProof/>
          <w:szCs w:val="22"/>
        </w:rPr>
        <w:noBreakHyphen/>
        <w:t>gp and BCRP in the intestine can be minimised if the time between administrations is kept apart as long as possible.</w:t>
      </w:r>
    </w:p>
    <w:p w:rsidR="00134CF6" w:rsidRDefault="00134CF6" w:rsidP="002F5AB8">
      <w:pPr>
        <w:rPr>
          <w:b w:val="0"/>
          <w:lang w:val="en-AU"/>
        </w:rPr>
      </w:pPr>
      <w:r w:rsidRPr="00DE6BF0">
        <w:rPr>
          <w:b w:val="0"/>
          <w:lang w:val="en-AU"/>
        </w:rPr>
        <w:t xml:space="preserve">No dose adjustment is recommended when </w:t>
      </w:r>
      <w:proofErr w:type="spellStart"/>
      <w:r w:rsidRPr="00DE6BF0">
        <w:rPr>
          <w:b w:val="0"/>
          <w:lang w:val="en-AU"/>
        </w:rPr>
        <w:t>Jakavi</w:t>
      </w:r>
      <w:proofErr w:type="spellEnd"/>
      <w:r w:rsidRPr="00DE6BF0">
        <w:rPr>
          <w:b w:val="0"/>
          <w:lang w:val="en-AU"/>
        </w:rPr>
        <w:t xml:space="preserve"> is</w:t>
      </w:r>
      <w:r w:rsidR="002F5AB8" w:rsidRPr="00DE6BF0">
        <w:rPr>
          <w:b w:val="0"/>
          <w:lang w:val="en-AU"/>
        </w:rPr>
        <w:t xml:space="preserve"> </w:t>
      </w:r>
      <w:r w:rsidRPr="00DE6BF0">
        <w:rPr>
          <w:b w:val="0"/>
          <w:lang w:val="en-AU"/>
        </w:rPr>
        <w:t>co-administered with substances that interact with P-</w:t>
      </w:r>
      <w:proofErr w:type="spellStart"/>
      <w:r w:rsidRPr="00DE6BF0">
        <w:rPr>
          <w:b w:val="0"/>
          <w:lang w:val="en-AU"/>
        </w:rPr>
        <w:t>gp</w:t>
      </w:r>
      <w:proofErr w:type="spellEnd"/>
      <w:r w:rsidRPr="00DE6BF0">
        <w:rPr>
          <w:b w:val="0"/>
          <w:lang w:val="en-AU"/>
        </w:rPr>
        <w:t xml:space="preserve"> and other transporters.</w:t>
      </w:r>
    </w:p>
    <w:p w:rsidR="00CC1ED2" w:rsidRPr="00CC1ED2" w:rsidRDefault="00CC1ED2" w:rsidP="008208A1">
      <w:pPr>
        <w:keepNext/>
        <w:widowControl w:val="0"/>
        <w:spacing w:line="240" w:lineRule="auto"/>
        <w:rPr>
          <w:b w:val="0"/>
          <w:lang w:val="en-AU"/>
        </w:rPr>
      </w:pPr>
      <w:r w:rsidRPr="00CC1ED2">
        <w:rPr>
          <w:noProof/>
          <w:szCs w:val="22"/>
        </w:rPr>
        <w:t>Cytoreductive therapies</w:t>
      </w:r>
      <w:r w:rsidR="008208A1">
        <w:rPr>
          <w:noProof/>
          <w:szCs w:val="22"/>
        </w:rPr>
        <w:t xml:space="preserve">: </w:t>
      </w:r>
      <w:r w:rsidRPr="00CC1ED2">
        <w:rPr>
          <w:b w:val="0"/>
          <w:noProof/>
          <w:szCs w:val="22"/>
        </w:rPr>
        <w:t xml:space="preserve">The concomitant use of cytoreductive therapies and Jakavi has not been studied. </w:t>
      </w:r>
      <w:r w:rsidR="00A53666">
        <w:rPr>
          <w:b w:val="0"/>
          <w:noProof/>
          <w:szCs w:val="22"/>
        </w:rPr>
        <w:t>Some c</w:t>
      </w:r>
      <w:r w:rsidR="00A53666" w:rsidRPr="00CC1ED2">
        <w:rPr>
          <w:b w:val="0"/>
          <w:noProof/>
          <w:szCs w:val="22"/>
        </w:rPr>
        <w:t>ytoreductive therapies</w:t>
      </w:r>
      <w:r w:rsidR="00A53666">
        <w:rPr>
          <w:b w:val="0"/>
          <w:noProof/>
          <w:szCs w:val="22"/>
        </w:rPr>
        <w:t xml:space="preserve"> include hydr</w:t>
      </w:r>
      <w:r w:rsidR="008F261A">
        <w:rPr>
          <w:b w:val="0"/>
          <w:noProof/>
          <w:szCs w:val="22"/>
        </w:rPr>
        <w:t>oxyurea</w:t>
      </w:r>
      <w:r w:rsidR="00A53666">
        <w:rPr>
          <w:b w:val="0"/>
          <w:noProof/>
          <w:szCs w:val="22"/>
        </w:rPr>
        <w:t>, mercaptopurine, melphalan, chlorambucil and cytarabine.</w:t>
      </w:r>
      <w:r w:rsidR="00A53666" w:rsidRPr="00CC1ED2">
        <w:rPr>
          <w:b w:val="0"/>
          <w:noProof/>
          <w:szCs w:val="22"/>
        </w:rPr>
        <w:t xml:space="preserve"> </w:t>
      </w:r>
      <w:r w:rsidRPr="00CC1ED2">
        <w:rPr>
          <w:b w:val="0"/>
          <w:noProof/>
          <w:szCs w:val="22"/>
        </w:rPr>
        <w:t>The safety and efficacy of this co</w:t>
      </w:r>
      <w:r w:rsidRPr="00CC1ED2">
        <w:rPr>
          <w:b w:val="0"/>
          <w:noProof/>
          <w:szCs w:val="22"/>
        </w:rPr>
        <w:noBreakHyphen/>
        <w:t>administration is not known</w:t>
      </w:r>
      <w:r w:rsidR="008208A1">
        <w:rPr>
          <w:b w:val="0"/>
          <w:noProof/>
          <w:szCs w:val="22"/>
        </w:rPr>
        <w:t>.</w:t>
      </w:r>
    </w:p>
    <w:p w:rsidR="006D0C74" w:rsidRPr="00DE6BF0" w:rsidRDefault="00F22127" w:rsidP="007C7566">
      <w:pPr>
        <w:rPr>
          <w:lang w:val="en-AU"/>
        </w:rPr>
      </w:pPr>
      <w:r w:rsidRPr="00DE6BF0">
        <w:rPr>
          <w:lang w:val="en-AU"/>
        </w:rPr>
        <w:t xml:space="preserve">ADVERSE </w:t>
      </w:r>
      <w:r w:rsidR="00B53986" w:rsidRPr="00DE6BF0">
        <w:rPr>
          <w:lang w:val="en-AU"/>
        </w:rPr>
        <w:t>EFFECTS</w:t>
      </w:r>
    </w:p>
    <w:p w:rsidR="00134CF6" w:rsidRPr="00DE6BF0" w:rsidRDefault="00134CF6" w:rsidP="00F1542A">
      <w:pPr>
        <w:pStyle w:val="Heading2"/>
        <w:rPr>
          <w:lang w:val="en-AU"/>
        </w:rPr>
      </w:pPr>
      <w:r w:rsidRPr="00DE6BF0">
        <w:rPr>
          <w:lang w:val="en-AU"/>
        </w:rPr>
        <w:lastRenderedPageBreak/>
        <w:t>Summary of the safety profile</w:t>
      </w:r>
    </w:p>
    <w:p w:rsidR="00134CF6" w:rsidRPr="00DE6BF0" w:rsidRDefault="00134CF6" w:rsidP="003D0A20">
      <w:pPr>
        <w:rPr>
          <w:b w:val="0"/>
          <w:lang w:val="en-AU"/>
        </w:rPr>
      </w:pPr>
      <w:r w:rsidRPr="00DE6BF0">
        <w:rPr>
          <w:b w:val="0"/>
          <w:lang w:val="en-AU"/>
        </w:rPr>
        <w:t xml:space="preserve">The safety profile of </w:t>
      </w:r>
      <w:proofErr w:type="spellStart"/>
      <w:r w:rsidRPr="00DE6BF0">
        <w:rPr>
          <w:b w:val="0"/>
          <w:lang w:val="en-AU"/>
        </w:rPr>
        <w:t>Jakavi</w:t>
      </w:r>
      <w:proofErr w:type="spellEnd"/>
      <w:r w:rsidRPr="00DE6BF0">
        <w:rPr>
          <w:b w:val="0"/>
          <w:lang w:val="en-AU"/>
        </w:rPr>
        <w:t xml:space="preserve"> has been assessed in 617 patients treated in 6 studies evaluating</w:t>
      </w:r>
      <w:r w:rsidR="003D0A20" w:rsidRPr="00DE6BF0">
        <w:rPr>
          <w:b w:val="0"/>
          <w:lang w:val="en-AU"/>
        </w:rPr>
        <w:t xml:space="preserve"> </w:t>
      </w:r>
      <w:r w:rsidRPr="00DE6BF0">
        <w:rPr>
          <w:b w:val="0"/>
          <w:lang w:val="en-AU"/>
        </w:rPr>
        <w:t xml:space="preserve">subjects with </w:t>
      </w:r>
      <w:proofErr w:type="spellStart"/>
      <w:r w:rsidRPr="00DE6BF0">
        <w:rPr>
          <w:b w:val="0"/>
          <w:lang w:val="en-AU"/>
        </w:rPr>
        <w:t>myelofibrosis</w:t>
      </w:r>
      <w:proofErr w:type="spellEnd"/>
      <w:r w:rsidRPr="00DE6BF0">
        <w:rPr>
          <w:b w:val="0"/>
          <w:lang w:val="en-AU"/>
        </w:rPr>
        <w:t xml:space="preserve">, prostate cancer, multiple myeloma, essential </w:t>
      </w:r>
      <w:proofErr w:type="spellStart"/>
      <w:r w:rsidRPr="00DE6BF0">
        <w:rPr>
          <w:b w:val="0"/>
          <w:lang w:val="en-AU"/>
        </w:rPr>
        <w:t>thrombocythemia</w:t>
      </w:r>
      <w:proofErr w:type="spellEnd"/>
      <w:r w:rsidR="003D0A20" w:rsidRPr="00DE6BF0">
        <w:rPr>
          <w:b w:val="0"/>
          <w:lang w:val="en-AU"/>
        </w:rPr>
        <w:t xml:space="preserve"> </w:t>
      </w:r>
      <w:r w:rsidRPr="00DE6BF0">
        <w:rPr>
          <w:b w:val="0"/>
          <w:lang w:val="en-AU"/>
        </w:rPr>
        <w:t xml:space="preserve">and </w:t>
      </w:r>
      <w:proofErr w:type="spellStart"/>
      <w:r w:rsidRPr="00DE6BF0">
        <w:rPr>
          <w:b w:val="0"/>
          <w:lang w:val="en-AU"/>
        </w:rPr>
        <w:t>polycythemia</w:t>
      </w:r>
      <w:proofErr w:type="spellEnd"/>
      <w:r w:rsidRPr="00DE6BF0">
        <w:rPr>
          <w:b w:val="0"/>
          <w:lang w:val="en-AU"/>
        </w:rPr>
        <w:t xml:space="preserve"> </w:t>
      </w:r>
      <w:proofErr w:type="spellStart"/>
      <w:r w:rsidRPr="00DE6BF0">
        <w:rPr>
          <w:b w:val="0"/>
          <w:lang w:val="en-AU"/>
        </w:rPr>
        <w:t>vera</w:t>
      </w:r>
      <w:proofErr w:type="spellEnd"/>
      <w:r w:rsidRPr="00DE6BF0">
        <w:rPr>
          <w:b w:val="0"/>
          <w:lang w:val="en-AU"/>
        </w:rPr>
        <w:t>. In the clinical studies program the severity of adverse drug reactions</w:t>
      </w:r>
      <w:r w:rsidR="003D0A20" w:rsidRPr="00DE6BF0">
        <w:rPr>
          <w:b w:val="0"/>
          <w:lang w:val="en-AU"/>
        </w:rPr>
        <w:t xml:space="preserve"> </w:t>
      </w:r>
      <w:r w:rsidRPr="00DE6BF0">
        <w:rPr>
          <w:b w:val="0"/>
          <w:lang w:val="en-AU"/>
        </w:rPr>
        <w:t>was assessed based on the Common Terminology Criteria for Adverse Events (CTCAE)</w:t>
      </w:r>
      <w:r w:rsidR="003D0A20" w:rsidRPr="00DE6BF0">
        <w:rPr>
          <w:b w:val="0"/>
          <w:lang w:val="en-AU"/>
        </w:rPr>
        <w:t xml:space="preserve"> </w:t>
      </w:r>
      <w:r w:rsidRPr="00DE6BF0">
        <w:rPr>
          <w:b w:val="0"/>
          <w:lang w:val="en-AU"/>
        </w:rPr>
        <w:t>defining grade 1=mild, grade 2= moderate, Grade 3=severe and grade 4=life-threatening or</w:t>
      </w:r>
      <w:r w:rsidR="003D0A20" w:rsidRPr="00DE6BF0">
        <w:rPr>
          <w:b w:val="0"/>
          <w:lang w:val="en-AU"/>
        </w:rPr>
        <w:t xml:space="preserve"> </w:t>
      </w:r>
      <w:r w:rsidRPr="00DE6BF0">
        <w:rPr>
          <w:b w:val="0"/>
          <w:lang w:val="en-AU"/>
        </w:rPr>
        <w:t>disabling.</w:t>
      </w:r>
    </w:p>
    <w:p w:rsidR="00134CF6" w:rsidRPr="00DE6BF0" w:rsidRDefault="00134CF6" w:rsidP="003D0A20">
      <w:pPr>
        <w:rPr>
          <w:b w:val="0"/>
          <w:lang w:val="en-AU"/>
        </w:rPr>
      </w:pPr>
      <w:r w:rsidRPr="00DE6BF0">
        <w:rPr>
          <w:b w:val="0"/>
          <w:lang w:val="en-AU"/>
        </w:rPr>
        <w:t>In the two pivotal studies COMFORT-I and COMFORT-II</w:t>
      </w:r>
      <w:r w:rsidR="00BF3B5E">
        <w:rPr>
          <w:b w:val="0"/>
          <w:lang w:val="en-AU"/>
        </w:rPr>
        <w:t>,</w:t>
      </w:r>
      <w:r w:rsidRPr="00DE6BF0">
        <w:rPr>
          <w:b w:val="0"/>
          <w:lang w:val="en-AU"/>
        </w:rPr>
        <w:t xml:space="preserve"> 301 patients had a median duration</w:t>
      </w:r>
      <w:r w:rsidR="003D0A20" w:rsidRPr="00DE6BF0">
        <w:rPr>
          <w:b w:val="0"/>
          <w:lang w:val="en-AU"/>
        </w:rPr>
        <w:t xml:space="preserve"> </w:t>
      </w:r>
      <w:r w:rsidRPr="00DE6BF0">
        <w:rPr>
          <w:b w:val="0"/>
          <w:lang w:val="en-AU"/>
        </w:rPr>
        <w:t xml:space="preserve">of exposure to </w:t>
      </w:r>
      <w:proofErr w:type="spellStart"/>
      <w:r w:rsidRPr="00DE6BF0">
        <w:rPr>
          <w:b w:val="0"/>
          <w:lang w:val="en-AU"/>
        </w:rPr>
        <w:t>Jakavi</w:t>
      </w:r>
      <w:proofErr w:type="spellEnd"/>
      <w:r w:rsidRPr="00DE6BF0">
        <w:rPr>
          <w:b w:val="0"/>
          <w:lang w:val="en-AU"/>
        </w:rPr>
        <w:t xml:space="preserve"> of 9.6 months (range 2 weeks to 17 months). The majority of patients</w:t>
      </w:r>
      <w:r w:rsidR="003D0A20" w:rsidRPr="00DE6BF0">
        <w:rPr>
          <w:b w:val="0"/>
          <w:lang w:val="en-AU"/>
        </w:rPr>
        <w:t xml:space="preserve"> </w:t>
      </w:r>
      <w:r w:rsidRPr="00DE6BF0">
        <w:rPr>
          <w:b w:val="0"/>
          <w:lang w:val="en-AU"/>
        </w:rPr>
        <w:t>(55.8%) were treated for at least 9 months</w:t>
      </w:r>
      <w:r w:rsidR="006C4D7C">
        <w:rPr>
          <w:b w:val="0"/>
          <w:lang w:val="en-AU"/>
        </w:rPr>
        <w:t>, with 74 patients (24.6%) treated for 12 months or longer</w:t>
      </w:r>
      <w:r w:rsidRPr="00DE6BF0">
        <w:rPr>
          <w:b w:val="0"/>
          <w:lang w:val="en-AU"/>
        </w:rPr>
        <w:t>. Of the 301 patients, 111 (36.9%) had a baseline</w:t>
      </w:r>
      <w:r w:rsidR="003D0A20" w:rsidRPr="00DE6BF0">
        <w:rPr>
          <w:b w:val="0"/>
          <w:lang w:val="en-AU"/>
        </w:rPr>
        <w:t xml:space="preserve"> </w:t>
      </w:r>
      <w:r w:rsidRPr="00DE6BF0">
        <w:rPr>
          <w:b w:val="0"/>
          <w:lang w:val="en-AU"/>
        </w:rPr>
        <w:t>platelet count between 100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and 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and 190 (63.1%) had a baseline platelet</w:t>
      </w:r>
      <w:r w:rsidR="003D0A20" w:rsidRPr="00DE6BF0">
        <w:rPr>
          <w:b w:val="0"/>
          <w:lang w:val="en-AU"/>
        </w:rPr>
        <w:t xml:space="preserve"> </w:t>
      </w:r>
      <w:r w:rsidRPr="00DE6BF0">
        <w:rPr>
          <w:b w:val="0"/>
          <w:lang w:val="en-AU"/>
        </w:rPr>
        <w:t>count &gt;200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[Table 3-5].</w:t>
      </w:r>
    </w:p>
    <w:p w:rsidR="003D0A20" w:rsidRPr="00DE6BF0" w:rsidRDefault="00134CF6" w:rsidP="003D0A20">
      <w:pPr>
        <w:rPr>
          <w:b w:val="0"/>
          <w:lang w:val="en-AU"/>
        </w:rPr>
      </w:pPr>
      <w:r w:rsidRPr="00DE6BF0">
        <w:rPr>
          <w:b w:val="0"/>
          <w:lang w:val="en-AU"/>
        </w:rPr>
        <w:t>The most frequently reported adverse drug reactions were thrombocytopenia and an</w:t>
      </w:r>
      <w:r w:rsidR="00CD5ABA">
        <w:rPr>
          <w:b w:val="0"/>
          <w:lang w:val="en-AU"/>
        </w:rPr>
        <w:t>a</w:t>
      </w:r>
      <w:r w:rsidRPr="00DE6BF0">
        <w:rPr>
          <w:b w:val="0"/>
          <w:lang w:val="en-AU"/>
        </w:rPr>
        <w:t>emia.</w:t>
      </w:r>
      <w:r w:rsidR="003D0A20" w:rsidRPr="00DE6BF0">
        <w:rPr>
          <w:b w:val="0"/>
          <w:lang w:val="en-AU"/>
        </w:rPr>
        <w:t xml:space="preserve"> </w:t>
      </w:r>
    </w:p>
    <w:p w:rsidR="003D0A20" w:rsidRPr="00DE6BF0" w:rsidRDefault="00134CF6" w:rsidP="003D0A20">
      <w:pPr>
        <w:rPr>
          <w:b w:val="0"/>
          <w:lang w:val="en-AU"/>
        </w:rPr>
      </w:pPr>
      <w:r w:rsidRPr="00DE6BF0">
        <w:rPr>
          <w:b w:val="0"/>
          <w:lang w:val="en-AU"/>
        </w:rPr>
        <w:t>H</w:t>
      </w:r>
      <w:r w:rsidR="00CD5ABA">
        <w:rPr>
          <w:b w:val="0"/>
          <w:lang w:val="en-AU"/>
        </w:rPr>
        <w:t>a</w:t>
      </w:r>
      <w:r w:rsidRPr="00DE6BF0">
        <w:rPr>
          <w:b w:val="0"/>
          <w:lang w:val="en-AU"/>
        </w:rPr>
        <w:t>ematological adverse reactions (any CTCAE grade) included an</w:t>
      </w:r>
      <w:r w:rsidR="00CD5ABA">
        <w:rPr>
          <w:b w:val="0"/>
          <w:lang w:val="en-AU"/>
        </w:rPr>
        <w:t>a</w:t>
      </w:r>
      <w:r w:rsidRPr="00DE6BF0">
        <w:rPr>
          <w:b w:val="0"/>
          <w:lang w:val="en-AU"/>
        </w:rPr>
        <w:t>emia (81.7%),</w:t>
      </w:r>
      <w:r w:rsidR="003D0A20" w:rsidRPr="00DE6BF0">
        <w:rPr>
          <w:b w:val="0"/>
          <w:lang w:val="en-AU"/>
        </w:rPr>
        <w:t xml:space="preserve"> </w:t>
      </w:r>
      <w:r w:rsidRPr="00DE6BF0">
        <w:rPr>
          <w:b w:val="0"/>
          <w:lang w:val="en-AU"/>
        </w:rPr>
        <w:t>thrombocytopenia (67.4%) and neutropenia (15.3 %).</w:t>
      </w:r>
      <w:r w:rsidR="003D0A20" w:rsidRPr="00DE6BF0">
        <w:rPr>
          <w:b w:val="0"/>
          <w:lang w:val="en-AU"/>
        </w:rPr>
        <w:t xml:space="preserve"> </w:t>
      </w:r>
    </w:p>
    <w:p w:rsidR="003D0A20" w:rsidRPr="00DE6BF0" w:rsidRDefault="00134CF6" w:rsidP="003D0A20">
      <w:pPr>
        <w:rPr>
          <w:b w:val="0"/>
          <w:lang w:val="en-AU"/>
        </w:rPr>
      </w:pPr>
      <w:r w:rsidRPr="00DE6BF0">
        <w:rPr>
          <w:b w:val="0"/>
          <w:lang w:val="en-AU"/>
        </w:rPr>
        <w:t>An</w:t>
      </w:r>
      <w:r w:rsidR="00CD5ABA">
        <w:rPr>
          <w:b w:val="0"/>
          <w:lang w:val="en-AU"/>
        </w:rPr>
        <w:t>a</w:t>
      </w:r>
      <w:r w:rsidRPr="00DE6BF0">
        <w:rPr>
          <w:b w:val="0"/>
          <w:lang w:val="en-AU"/>
        </w:rPr>
        <w:t>emia, thrombocytopenia and neutropenia are dose related effects.</w:t>
      </w:r>
      <w:r w:rsidR="003D0A20" w:rsidRPr="00DE6BF0">
        <w:rPr>
          <w:b w:val="0"/>
          <w:lang w:val="en-AU"/>
        </w:rPr>
        <w:t xml:space="preserve"> </w:t>
      </w:r>
    </w:p>
    <w:p w:rsidR="00134CF6" w:rsidRPr="00DE6BF0" w:rsidRDefault="00134CF6" w:rsidP="003D0A20">
      <w:pPr>
        <w:rPr>
          <w:b w:val="0"/>
          <w:lang w:val="en-AU"/>
        </w:rPr>
      </w:pPr>
      <w:r w:rsidRPr="00DE6BF0">
        <w:rPr>
          <w:b w:val="0"/>
          <w:lang w:val="en-AU"/>
        </w:rPr>
        <w:t>The three most frequent non-haematological adverse reactions were bruising (</w:t>
      </w:r>
      <w:r w:rsidR="008E160C">
        <w:rPr>
          <w:b w:val="0"/>
          <w:lang w:val="en-AU"/>
        </w:rPr>
        <w:t>19.3</w:t>
      </w:r>
      <w:r w:rsidRPr="00DE6BF0">
        <w:rPr>
          <w:b w:val="0"/>
          <w:lang w:val="en-AU"/>
        </w:rPr>
        <w:t>%), dizziness</w:t>
      </w:r>
      <w:r w:rsidR="003D0A20" w:rsidRPr="00DE6BF0">
        <w:rPr>
          <w:b w:val="0"/>
          <w:lang w:val="en-AU"/>
        </w:rPr>
        <w:t xml:space="preserve"> </w:t>
      </w:r>
      <w:r w:rsidRPr="00DE6BF0">
        <w:rPr>
          <w:b w:val="0"/>
          <w:lang w:val="en-AU"/>
        </w:rPr>
        <w:t>(14.</w:t>
      </w:r>
      <w:r w:rsidR="008E160C">
        <w:rPr>
          <w:b w:val="0"/>
          <w:lang w:val="en-AU"/>
        </w:rPr>
        <w:t>3</w:t>
      </w:r>
      <w:r w:rsidRPr="00DE6BF0">
        <w:rPr>
          <w:b w:val="0"/>
          <w:lang w:val="en-AU"/>
        </w:rPr>
        <w:t>%) and headache (12.6%).</w:t>
      </w:r>
      <w:r w:rsidR="003D0A20" w:rsidRPr="00DE6BF0">
        <w:rPr>
          <w:b w:val="0"/>
          <w:lang w:val="en-AU"/>
        </w:rPr>
        <w:t xml:space="preserve"> </w:t>
      </w:r>
      <w:r w:rsidRPr="00DE6BF0">
        <w:rPr>
          <w:b w:val="0"/>
          <w:lang w:val="en-AU"/>
        </w:rPr>
        <w:t>The three most frequent non-haematological laboratory abnormalities were raised alanine</w:t>
      </w:r>
      <w:r w:rsidR="003D0A20" w:rsidRPr="00DE6BF0">
        <w:rPr>
          <w:b w:val="0"/>
          <w:lang w:val="en-AU"/>
        </w:rPr>
        <w:t xml:space="preserve"> </w:t>
      </w:r>
      <w:r w:rsidRPr="00DE6BF0">
        <w:rPr>
          <w:b w:val="0"/>
          <w:lang w:val="en-AU"/>
        </w:rPr>
        <w:t>aminotransferase (26.2%), raised aspartate aminotransferase (18.6%) and</w:t>
      </w:r>
      <w:r w:rsidR="003D0A20" w:rsidRPr="00DE6BF0">
        <w:rPr>
          <w:b w:val="0"/>
          <w:lang w:val="en-AU"/>
        </w:rPr>
        <w:t xml:space="preserve"> </w:t>
      </w:r>
      <w:proofErr w:type="spellStart"/>
      <w:r w:rsidRPr="00DE6BF0">
        <w:rPr>
          <w:b w:val="0"/>
          <w:lang w:val="en-AU"/>
        </w:rPr>
        <w:t>hypercholesterolaemia</w:t>
      </w:r>
      <w:proofErr w:type="spellEnd"/>
      <w:r w:rsidRPr="00DE6BF0">
        <w:rPr>
          <w:b w:val="0"/>
          <w:lang w:val="en-AU"/>
        </w:rPr>
        <w:t xml:space="preserve"> (16.6%).</w:t>
      </w:r>
    </w:p>
    <w:p w:rsidR="003D0A20" w:rsidRPr="00DE6BF0" w:rsidRDefault="00134CF6" w:rsidP="003D0A20">
      <w:pPr>
        <w:rPr>
          <w:b w:val="0"/>
          <w:lang w:val="en-AU"/>
        </w:rPr>
      </w:pPr>
      <w:r w:rsidRPr="00DE6BF0">
        <w:rPr>
          <w:b w:val="0"/>
          <w:lang w:val="en-AU"/>
        </w:rPr>
        <w:t>In Phase 3 clinical studies discontinuation due to adverse events, regardless of causality was</w:t>
      </w:r>
      <w:r w:rsidR="003D0A20" w:rsidRPr="00DE6BF0">
        <w:rPr>
          <w:b w:val="0"/>
          <w:lang w:val="en-AU"/>
        </w:rPr>
        <w:t xml:space="preserve"> </w:t>
      </w:r>
      <w:r w:rsidRPr="00DE6BF0">
        <w:rPr>
          <w:b w:val="0"/>
          <w:lang w:val="en-AU"/>
        </w:rPr>
        <w:t>observed in 9.6% of patients.</w:t>
      </w:r>
      <w:r w:rsidR="003D0A20" w:rsidRPr="00DE6BF0">
        <w:rPr>
          <w:b w:val="0"/>
          <w:lang w:val="en-AU"/>
        </w:rPr>
        <w:t xml:space="preserve"> </w:t>
      </w:r>
    </w:p>
    <w:p w:rsidR="003D0A20" w:rsidRPr="00DE6BF0" w:rsidRDefault="00134CF6" w:rsidP="00F1542A">
      <w:pPr>
        <w:pStyle w:val="Heading2"/>
        <w:rPr>
          <w:lang w:val="en-AU"/>
        </w:rPr>
      </w:pPr>
      <w:r w:rsidRPr="00DE6BF0">
        <w:rPr>
          <w:lang w:val="en-AU"/>
        </w:rPr>
        <w:t>Tabulated summary of adverse drug reactions from clinical trials</w:t>
      </w:r>
      <w:r w:rsidR="003D0A20" w:rsidRPr="00DE6BF0">
        <w:rPr>
          <w:lang w:val="en-AU"/>
        </w:rPr>
        <w:t xml:space="preserve"> </w:t>
      </w:r>
    </w:p>
    <w:p w:rsidR="003D0A20" w:rsidRPr="00DE6BF0" w:rsidRDefault="00134CF6" w:rsidP="003D0A20">
      <w:pPr>
        <w:rPr>
          <w:b w:val="0"/>
          <w:lang w:val="en-AU"/>
        </w:rPr>
      </w:pPr>
      <w:r w:rsidRPr="00DE6BF0">
        <w:rPr>
          <w:b w:val="0"/>
          <w:lang w:val="en-AU"/>
        </w:rPr>
        <w:t xml:space="preserve">Adverse drug reactions from clinical trials (Table </w:t>
      </w:r>
      <w:r w:rsidR="00C639E7" w:rsidRPr="00DE6BF0">
        <w:rPr>
          <w:b w:val="0"/>
          <w:lang w:val="en-AU"/>
        </w:rPr>
        <w:t>3</w:t>
      </w:r>
      <w:r w:rsidRPr="00DE6BF0">
        <w:rPr>
          <w:b w:val="0"/>
          <w:lang w:val="en-AU"/>
        </w:rPr>
        <w:t xml:space="preserve">) are listed by </w:t>
      </w:r>
      <w:proofErr w:type="spellStart"/>
      <w:r w:rsidRPr="00DE6BF0">
        <w:rPr>
          <w:b w:val="0"/>
          <w:lang w:val="en-AU"/>
        </w:rPr>
        <w:t>MedDRA</w:t>
      </w:r>
      <w:proofErr w:type="spellEnd"/>
      <w:r w:rsidRPr="00DE6BF0">
        <w:rPr>
          <w:b w:val="0"/>
          <w:lang w:val="en-AU"/>
        </w:rPr>
        <w:t xml:space="preserve"> system organ class.</w:t>
      </w:r>
      <w:r w:rsidR="003D0A20" w:rsidRPr="00DE6BF0">
        <w:rPr>
          <w:b w:val="0"/>
          <w:lang w:val="en-AU"/>
        </w:rPr>
        <w:t xml:space="preserve"> </w:t>
      </w:r>
      <w:r w:rsidRPr="00DE6BF0">
        <w:rPr>
          <w:b w:val="0"/>
          <w:lang w:val="en-AU"/>
        </w:rPr>
        <w:t>Within each system organ class, the adverse drug reactions are ranked by frequency, with the most</w:t>
      </w:r>
      <w:r w:rsidR="003D0A20" w:rsidRPr="00DE6BF0">
        <w:rPr>
          <w:b w:val="0"/>
          <w:lang w:val="en-AU"/>
        </w:rPr>
        <w:t xml:space="preserve"> </w:t>
      </w:r>
      <w:r w:rsidRPr="00DE6BF0">
        <w:rPr>
          <w:b w:val="0"/>
          <w:lang w:val="en-AU"/>
        </w:rPr>
        <w:t>frequent reactions first. In addition, the corresponding frequency category for each adverse drug</w:t>
      </w:r>
      <w:r w:rsidR="003D0A20" w:rsidRPr="00DE6BF0">
        <w:rPr>
          <w:b w:val="0"/>
          <w:lang w:val="en-AU"/>
        </w:rPr>
        <w:t xml:space="preserve"> </w:t>
      </w:r>
      <w:r w:rsidRPr="00DE6BF0">
        <w:rPr>
          <w:b w:val="0"/>
          <w:lang w:val="en-AU"/>
        </w:rPr>
        <w:t>reaction is based on the following convention (CIOMS III): very common (≥1/10); common (≥1/100 to</w:t>
      </w:r>
      <w:r w:rsidR="003D0A20" w:rsidRPr="00DE6BF0">
        <w:rPr>
          <w:b w:val="0"/>
          <w:lang w:val="en-AU"/>
        </w:rPr>
        <w:t xml:space="preserve"> </w:t>
      </w:r>
      <w:r w:rsidRPr="00DE6BF0">
        <w:rPr>
          <w:b w:val="0"/>
          <w:lang w:val="en-AU"/>
        </w:rPr>
        <w:t>&lt;1/10); uncommon (≥1/1,000 to &lt;1/100); rare (≥1/10,000 to &lt;1/1,000); very rare (&lt;1/10,000).</w:t>
      </w:r>
    </w:p>
    <w:p w:rsidR="003D0A20" w:rsidRPr="00DE6BF0" w:rsidRDefault="00CD5ABA" w:rsidP="003D0A20">
      <w:pPr>
        <w:rPr>
          <w:lang w:val="en-AU"/>
        </w:rPr>
      </w:pPr>
      <w:r>
        <w:rPr>
          <w:lang w:val="en-AU"/>
        </w:rPr>
        <w:br w:type="page"/>
      </w:r>
      <w:r w:rsidR="003D0A20" w:rsidRPr="00DE6BF0">
        <w:rPr>
          <w:lang w:val="en-AU"/>
        </w:rPr>
        <w:lastRenderedPageBreak/>
        <w:t xml:space="preserve">Table </w:t>
      </w:r>
      <w:r w:rsidR="00C639E7" w:rsidRPr="00DE6BF0">
        <w:rPr>
          <w:lang w:val="en-AU"/>
        </w:rPr>
        <w:t>3</w:t>
      </w:r>
      <w:r w:rsidR="003D0A20" w:rsidRPr="00DE6BF0">
        <w:rPr>
          <w:lang w:val="en-AU"/>
        </w:rPr>
        <w:t xml:space="preserve"> Percentage of patients with adverse drug reactions in clinical studies</w:t>
      </w:r>
      <w:r w:rsidR="003D0A20" w:rsidRPr="00DE6BF0">
        <w:rPr>
          <w:vertAlign w:val="superscript"/>
          <w:lang w:val="en-AU"/>
        </w:rPr>
        <w:t>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51"/>
        <w:gridCol w:w="1205"/>
        <w:gridCol w:w="1251"/>
        <w:gridCol w:w="1222"/>
        <w:gridCol w:w="1252"/>
        <w:gridCol w:w="1477"/>
      </w:tblGrid>
      <w:tr w:rsidR="003D0A20" w:rsidRPr="00DE6BF0" w:rsidTr="00C062DE">
        <w:tc>
          <w:tcPr>
            <w:tcW w:w="1982" w:type="dxa"/>
            <w:vMerge w:val="restart"/>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Cs/>
                <w:sz w:val="18"/>
                <w:szCs w:val="18"/>
                <w:lang w:val="en-AU"/>
              </w:rPr>
            </w:pPr>
            <w:r w:rsidRPr="00C062DE">
              <w:rPr>
                <w:bCs/>
                <w:sz w:val="18"/>
                <w:szCs w:val="18"/>
                <w:lang w:val="en-AU"/>
              </w:rPr>
              <w:t>Adverse drug reactions and</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Cs/>
                <w:sz w:val="18"/>
                <w:szCs w:val="18"/>
                <w:lang w:val="en-AU"/>
              </w:rPr>
              <w:t>CTCAE grade</w:t>
            </w:r>
          </w:p>
        </w:tc>
        <w:tc>
          <w:tcPr>
            <w:tcW w:w="2456" w:type="dxa"/>
            <w:gridSpan w:val="2"/>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Comfort 1</w:t>
            </w:r>
          </w:p>
        </w:tc>
        <w:tc>
          <w:tcPr>
            <w:tcW w:w="2473" w:type="dxa"/>
            <w:gridSpan w:val="2"/>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Comfort 2</w:t>
            </w:r>
          </w:p>
        </w:tc>
        <w:tc>
          <w:tcPr>
            <w:tcW w:w="1252" w:type="dxa"/>
            <w:vMerge w:val="restart"/>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Total for</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proofErr w:type="spellStart"/>
            <w:r w:rsidRPr="00C062DE">
              <w:rPr>
                <w:b w:val="0"/>
                <w:sz w:val="18"/>
                <w:szCs w:val="18"/>
                <w:lang w:val="en-AU"/>
              </w:rPr>
              <w:t>Ruxolitinib</w:t>
            </w:r>
            <w:proofErr w:type="spellEnd"/>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N=301</w:t>
            </w:r>
          </w:p>
        </w:tc>
        <w:tc>
          <w:tcPr>
            <w:tcW w:w="1477" w:type="dxa"/>
            <w:vMerge w:val="restart"/>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Frequency</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category</w:t>
            </w:r>
          </w:p>
        </w:tc>
      </w:tr>
      <w:tr w:rsidR="003D0A20" w:rsidRPr="00DE6BF0" w:rsidTr="00C062DE">
        <w:tc>
          <w:tcPr>
            <w:tcW w:w="1982" w:type="dxa"/>
            <w:vMerge/>
          </w:tcPr>
          <w:p w:rsidR="003D0A20" w:rsidRPr="00C062DE" w:rsidRDefault="003D0A20" w:rsidP="00C062DE">
            <w:pPr>
              <w:spacing w:before="0" w:line="240" w:lineRule="auto"/>
              <w:rPr>
                <w:b w:val="0"/>
                <w:sz w:val="18"/>
                <w:szCs w:val="18"/>
                <w:lang w:val="en-AU"/>
              </w:rPr>
            </w:pPr>
          </w:p>
        </w:tc>
        <w:tc>
          <w:tcPr>
            <w:tcW w:w="1251" w:type="dxa"/>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proofErr w:type="spellStart"/>
            <w:r w:rsidRPr="00C062DE">
              <w:rPr>
                <w:sz w:val="18"/>
                <w:szCs w:val="18"/>
                <w:lang w:val="en-AU"/>
              </w:rPr>
              <w:t>Ruxolitinib</w:t>
            </w:r>
            <w:proofErr w:type="spellEnd"/>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N=155</w:t>
            </w:r>
          </w:p>
          <w:p w:rsidR="003D0A20" w:rsidRPr="00C062DE" w:rsidRDefault="003D0A20" w:rsidP="00C062DE">
            <w:pPr>
              <w:spacing w:before="0" w:line="240" w:lineRule="auto"/>
              <w:rPr>
                <w:sz w:val="18"/>
                <w:szCs w:val="18"/>
                <w:lang w:val="en-AU"/>
              </w:rPr>
            </w:pPr>
          </w:p>
        </w:tc>
        <w:tc>
          <w:tcPr>
            <w:tcW w:w="1205" w:type="dxa"/>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Placebo</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N=151</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p>
        </w:tc>
        <w:tc>
          <w:tcPr>
            <w:tcW w:w="1251" w:type="dxa"/>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proofErr w:type="spellStart"/>
            <w:r w:rsidRPr="00C062DE">
              <w:rPr>
                <w:sz w:val="18"/>
                <w:szCs w:val="18"/>
                <w:lang w:val="en-AU"/>
              </w:rPr>
              <w:t>Ruxolitinib</w:t>
            </w:r>
            <w:proofErr w:type="spellEnd"/>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N=146</w:t>
            </w:r>
          </w:p>
        </w:tc>
        <w:tc>
          <w:tcPr>
            <w:tcW w:w="1222" w:type="dxa"/>
          </w:tcPr>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Best</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available</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therapy</w:t>
            </w:r>
          </w:p>
          <w:p w:rsidR="003D0A20"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sz w:val="18"/>
                <w:szCs w:val="18"/>
                <w:lang w:val="en-AU"/>
              </w:rPr>
            </w:pPr>
            <w:r w:rsidRPr="00C062DE">
              <w:rPr>
                <w:sz w:val="18"/>
                <w:szCs w:val="18"/>
                <w:lang w:val="en-AU"/>
              </w:rPr>
              <w:t>N=73</w:t>
            </w:r>
          </w:p>
        </w:tc>
        <w:tc>
          <w:tcPr>
            <w:tcW w:w="1252" w:type="dxa"/>
            <w:vMerge/>
          </w:tcPr>
          <w:p w:rsidR="003D0A20" w:rsidRPr="00C062DE" w:rsidRDefault="003D0A20" w:rsidP="00C062DE">
            <w:pPr>
              <w:spacing w:before="0" w:line="240" w:lineRule="auto"/>
              <w:rPr>
                <w:b w:val="0"/>
                <w:sz w:val="18"/>
                <w:szCs w:val="18"/>
                <w:lang w:val="en-AU"/>
              </w:rPr>
            </w:pPr>
          </w:p>
        </w:tc>
        <w:tc>
          <w:tcPr>
            <w:tcW w:w="1477" w:type="dxa"/>
            <w:vMerge/>
          </w:tcPr>
          <w:p w:rsidR="003D0A20" w:rsidRPr="00C062DE" w:rsidRDefault="003D0A20" w:rsidP="00C062DE">
            <w:pPr>
              <w:spacing w:before="0" w:line="240" w:lineRule="auto"/>
              <w:rPr>
                <w:b w:val="0"/>
                <w:sz w:val="18"/>
                <w:szCs w:val="18"/>
                <w:lang w:val="en-AU"/>
              </w:rPr>
            </w:pPr>
          </w:p>
        </w:tc>
      </w:tr>
      <w:tr w:rsidR="00134CF6" w:rsidRPr="00DE6BF0" w:rsidTr="00C062DE">
        <w:tc>
          <w:tcPr>
            <w:tcW w:w="1982" w:type="dxa"/>
          </w:tcPr>
          <w:p w:rsidR="00134CF6" w:rsidRPr="00C062DE" w:rsidRDefault="00134CF6" w:rsidP="00C062DE">
            <w:pPr>
              <w:spacing w:before="0" w:line="240" w:lineRule="auto"/>
              <w:rPr>
                <w:b w:val="0"/>
                <w:sz w:val="18"/>
                <w:szCs w:val="18"/>
                <w:lang w:val="en-AU"/>
              </w:rPr>
            </w:pPr>
          </w:p>
        </w:tc>
        <w:tc>
          <w:tcPr>
            <w:tcW w:w="1251" w:type="dxa"/>
          </w:tcPr>
          <w:p w:rsidR="00134CF6" w:rsidRPr="00C062DE" w:rsidRDefault="003D0A20" w:rsidP="00C062DE">
            <w:pPr>
              <w:spacing w:before="0" w:line="240" w:lineRule="auto"/>
              <w:rPr>
                <w:b w:val="0"/>
                <w:sz w:val="18"/>
                <w:szCs w:val="18"/>
                <w:lang w:val="en-AU"/>
              </w:rPr>
            </w:pPr>
            <w:r w:rsidRPr="00C062DE">
              <w:rPr>
                <w:b w:val="0"/>
                <w:sz w:val="18"/>
                <w:szCs w:val="18"/>
                <w:lang w:val="en-AU"/>
              </w:rPr>
              <w:t>%</w:t>
            </w:r>
          </w:p>
        </w:tc>
        <w:tc>
          <w:tcPr>
            <w:tcW w:w="1205" w:type="dxa"/>
          </w:tcPr>
          <w:p w:rsidR="00134CF6" w:rsidRPr="00C062DE" w:rsidRDefault="003D0A20" w:rsidP="00C062DE">
            <w:pPr>
              <w:spacing w:before="0" w:line="240" w:lineRule="auto"/>
              <w:rPr>
                <w:b w:val="0"/>
                <w:sz w:val="18"/>
                <w:szCs w:val="18"/>
                <w:lang w:val="en-AU"/>
              </w:rPr>
            </w:pPr>
            <w:r w:rsidRPr="00C062DE">
              <w:rPr>
                <w:b w:val="0"/>
                <w:sz w:val="18"/>
                <w:szCs w:val="18"/>
                <w:lang w:val="en-AU"/>
              </w:rPr>
              <w:t>%</w:t>
            </w:r>
          </w:p>
        </w:tc>
        <w:tc>
          <w:tcPr>
            <w:tcW w:w="1251" w:type="dxa"/>
          </w:tcPr>
          <w:p w:rsidR="00134CF6" w:rsidRPr="00C062DE" w:rsidRDefault="003D0A20" w:rsidP="00C062DE">
            <w:pPr>
              <w:spacing w:before="0" w:line="240" w:lineRule="auto"/>
              <w:rPr>
                <w:b w:val="0"/>
                <w:sz w:val="18"/>
                <w:szCs w:val="18"/>
                <w:lang w:val="en-AU"/>
              </w:rPr>
            </w:pPr>
            <w:r w:rsidRPr="00C062DE">
              <w:rPr>
                <w:b w:val="0"/>
                <w:sz w:val="18"/>
                <w:szCs w:val="18"/>
                <w:lang w:val="en-AU"/>
              </w:rPr>
              <w:t>%</w:t>
            </w:r>
          </w:p>
        </w:tc>
        <w:tc>
          <w:tcPr>
            <w:tcW w:w="1222" w:type="dxa"/>
          </w:tcPr>
          <w:p w:rsidR="00134CF6" w:rsidRPr="00C062DE" w:rsidRDefault="003D0A20" w:rsidP="00C062DE">
            <w:pPr>
              <w:spacing w:before="0" w:line="240" w:lineRule="auto"/>
              <w:rPr>
                <w:b w:val="0"/>
                <w:sz w:val="18"/>
                <w:szCs w:val="18"/>
                <w:lang w:val="en-AU"/>
              </w:rPr>
            </w:pPr>
            <w:r w:rsidRPr="00C062DE">
              <w:rPr>
                <w:b w:val="0"/>
                <w:sz w:val="18"/>
                <w:szCs w:val="18"/>
                <w:lang w:val="en-AU"/>
              </w:rPr>
              <w:t>%</w:t>
            </w:r>
          </w:p>
        </w:tc>
        <w:tc>
          <w:tcPr>
            <w:tcW w:w="1252" w:type="dxa"/>
          </w:tcPr>
          <w:p w:rsidR="00134CF6" w:rsidRPr="00C062DE" w:rsidRDefault="003D0A20" w:rsidP="00C062DE">
            <w:pPr>
              <w:spacing w:before="0" w:line="240" w:lineRule="auto"/>
              <w:rPr>
                <w:b w:val="0"/>
                <w:sz w:val="18"/>
                <w:szCs w:val="18"/>
                <w:lang w:val="en-AU"/>
              </w:rPr>
            </w:pPr>
            <w:r w:rsidRPr="00C062DE">
              <w:rPr>
                <w:b w:val="0"/>
                <w:sz w:val="18"/>
                <w:szCs w:val="18"/>
                <w:lang w:val="en-AU"/>
              </w:rPr>
              <w:t>%</w:t>
            </w:r>
          </w:p>
        </w:tc>
        <w:tc>
          <w:tcPr>
            <w:tcW w:w="1477" w:type="dxa"/>
          </w:tcPr>
          <w:p w:rsidR="00134CF6" w:rsidRPr="00C062DE" w:rsidRDefault="00134CF6" w:rsidP="00C062DE">
            <w:pPr>
              <w:spacing w:before="0" w:line="240" w:lineRule="auto"/>
              <w:rPr>
                <w:b w:val="0"/>
                <w:sz w:val="18"/>
                <w:szCs w:val="18"/>
                <w:lang w:val="en-AU"/>
              </w:rPr>
            </w:pPr>
          </w:p>
        </w:tc>
      </w:tr>
      <w:tr w:rsidR="003D0A20" w:rsidRPr="00DE6BF0" w:rsidTr="00C062DE">
        <w:tc>
          <w:tcPr>
            <w:tcW w:w="9640" w:type="dxa"/>
            <w:gridSpan w:val="7"/>
          </w:tcPr>
          <w:p w:rsidR="003D0A20" w:rsidRPr="00C062DE" w:rsidRDefault="003D0A20" w:rsidP="00C062DE">
            <w:pPr>
              <w:spacing w:before="0" w:line="240" w:lineRule="auto"/>
              <w:rPr>
                <w:b w:val="0"/>
                <w:sz w:val="18"/>
                <w:szCs w:val="18"/>
                <w:lang w:val="en-AU"/>
              </w:rPr>
            </w:pPr>
            <w:r w:rsidRPr="00C062DE">
              <w:rPr>
                <w:bCs/>
                <w:sz w:val="18"/>
                <w:szCs w:val="18"/>
                <w:lang w:val="en-AU"/>
              </w:rPr>
              <w:t>Infections and infestations</w:t>
            </w:r>
          </w:p>
        </w:tc>
      </w:tr>
      <w:tr w:rsidR="00134CF6" w:rsidRPr="00DE6BF0" w:rsidTr="00C062DE">
        <w:tc>
          <w:tcPr>
            <w:tcW w:w="1982" w:type="dxa"/>
          </w:tcPr>
          <w:p w:rsidR="00134CF6"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Urinary Tract infections</w:t>
            </w:r>
            <w:r w:rsidRPr="00C062DE">
              <w:rPr>
                <w:b w:val="0"/>
                <w:sz w:val="18"/>
                <w:szCs w:val="18"/>
                <w:vertAlign w:val="superscript"/>
                <w:lang w:val="en-AU"/>
              </w:rPr>
              <w:t>1</w:t>
            </w:r>
          </w:p>
        </w:tc>
        <w:tc>
          <w:tcPr>
            <w:tcW w:w="1251" w:type="dxa"/>
          </w:tcPr>
          <w:p w:rsidR="00134CF6" w:rsidRPr="00C062DE" w:rsidRDefault="00414C0D" w:rsidP="00C062DE">
            <w:pPr>
              <w:spacing w:before="0" w:line="240" w:lineRule="auto"/>
              <w:rPr>
                <w:b w:val="0"/>
                <w:sz w:val="18"/>
                <w:szCs w:val="18"/>
                <w:lang w:val="en-AU"/>
              </w:rPr>
            </w:pPr>
            <w:r w:rsidRPr="00C062DE">
              <w:rPr>
                <w:b w:val="0"/>
                <w:sz w:val="18"/>
                <w:szCs w:val="18"/>
                <w:lang w:val="en-AU"/>
              </w:rPr>
              <w:t>9</w:t>
            </w:r>
          </w:p>
        </w:tc>
        <w:tc>
          <w:tcPr>
            <w:tcW w:w="1205" w:type="dxa"/>
          </w:tcPr>
          <w:p w:rsidR="00134CF6" w:rsidRPr="00C062DE" w:rsidRDefault="00AF10A6" w:rsidP="00C062DE">
            <w:pPr>
              <w:spacing w:before="0" w:line="240" w:lineRule="auto"/>
              <w:rPr>
                <w:b w:val="0"/>
                <w:sz w:val="18"/>
                <w:szCs w:val="18"/>
                <w:lang w:val="en-AU"/>
              </w:rPr>
            </w:pPr>
            <w:r w:rsidRPr="00C062DE">
              <w:rPr>
                <w:b w:val="0"/>
                <w:sz w:val="18"/>
                <w:szCs w:val="18"/>
                <w:lang w:val="en-AU"/>
              </w:rPr>
              <w:t>5.3</w:t>
            </w:r>
          </w:p>
        </w:tc>
        <w:tc>
          <w:tcPr>
            <w:tcW w:w="1251" w:type="dxa"/>
          </w:tcPr>
          <w:p w:rsidR="00134CF6" w:rsidRPr="00C062DE" w:rsidRDefault="00AF10A6" w:rsidP="00C062DE">
            <w:pPr>
              <w:spacing w:before="0" w:line="240" w:lineRule="auto"/>
              <w:rPr>
                <w:b w:val="0"/>
                <w:sz w:val="18"/>
                <w:szCs w:val="18"/>
                <w:lang w:val="en-AU"/>
              </w:rPr>
            </w:pPr>
            <w:r w:rsidRPr="00C062DE">
              <w:rPr>
                <w:b w:val="0"/>
                <w:sz w:val="18"/>
                <w:szCs w:val="18"/>
                <w:lang w:val="en-AU"/>
              </w:rPr>
              <w:t>14.4</w:t>
            </w:r>
          </w:p>
        </w:tc>
        <w:tc>
          <w:tcPr>
            <w:tcW w:w="1222" w:type="dxa"/>
          </w:tcPr>
          <w:p w:rsidR="00134CF6" w:rsidRPr="00C062DE" w:rsidRDefault="00AF10A6" w:rsidP="00C062DE">
            <w:pPr>
              <w:spacing w:before="0" w:line="240" w:lineRule="auto"/>
              <w:rPr>
                <w:b w:val="0"/>
                <w:sz w:val="18"/>
                <w:szCs w:val="18"/>
                <w:lang w:val="en-AU"/>
              </w:rPr>
            </w:pPr>
            <w:r w:rsidRPr="00C062DE">
              <w:rPr>
                <w:b w:val="0"/>
                <w:sz w:val="18"/>
                <w:szCs w:val="18"/>
                <w:lang w:val="en-AU"/>
              </w:rPr>
              <w:t>6.8</w:t>
            </w:r>
          </w:p>
        </w:tc>
        <w:tc>
          <w:tcPr>
            <w:tcW w:w="1252" w:type="dxa"/>
          </w:tcPr>
          <w:p w:rsidR="00134CF6" w:rsidRPr="00C062DE" w:rsidRDefault="00AF10A6" w:rsidP="00C062DE">
            <w:pPr>
              <w:spacing w:before="0" w:line="240" w:lineRule="auto"/>
              <w:rPr>
                <w:b w:val="0"/>
                <w:sz w:val="18"/>
                <w:szCs w:val="18"/>
                <w:lang w:val="en-AU"/>
              </w:rPr>
            </w:pPr>
            <w:r w:rsidRPr="00C062DE">
              <w:rPr>
                <w:b w:val="0"/>
                <w:sz w:val="18"/>
                <w:szCs w:val="18"/>
                <w:lang w:val="en-AU"/>
              </w:rPr>
              <w:t>11.6</w:t>
            </w:r>
          </w:p>
        </w:tc>
        <w:tc>
          <w:tcPr>
            <w:tcW w:w="1477" w:type="dxa"/>
          </w:tcPr>
          <w:p w:rsidR="00134CF6"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134CF6" w:rsidRPr="00DE6BF0" w:rsidTr="00C062DE">
        <w:tc>
          <w:tcPr>
            <w:tcW w:w="1982" w:type="dxa"/>
          </w:tcPr>
          <w:p w:rsidR="00134CF6" w:rsidRPr="00C062DE" w:rsidRDefault="003D0A20"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Herpes zoster</w:t>
            </w:r>
            <w:r w:rsidRPr="00C062DE">
              <w:rPr>
                <w:b w:val="0"/>
                <w:sz w:val="18"/>
                <w:szCs w:val="18"/>
                <w:vertAlign w:val="superscript"/>
                <w:lang w:val="en-AU"/>
              </w:rPr>
              <w:t>1</w:t>
            </w:r>
          </w:p>
        </w:tc>
        <w:tc>
          <w:tcPr>
            <w:tcW w:w="1251" w:type="dxa"/>
          </w:tcPr>
          <w:p w:rsidR="00134CF6" w:rsidRPr="00C062DE" w:rsidRDefault="00414C0D" w:rsidP="00C062DE">
            <w:pPr>
              <w:spacing w:before="0" w:line="240" w:lineRule="auto"/>
              <w:rPr>
                <w:b w:val="0"/>
                <w:sz w:val="18"/>
                <w:szCs w:val="18"/>
                <w:lang w:val="en-AU"/>
              </w:rPr>
            </w:pPr>
            <w:r w:rsidRPr="00C062DE">
              <w:rPr>
                <w:b w:val="0"/>
                <w:sz w:val="18"/>
                <w:szCs w:val="18"/>
                <w:lang w:val="en-AU"/>
              </w:rPr>
              <w:t>1.9</w:t>
            </w:r>
          </w:p>
        </w:tc>
        <w:tc>
          <w:tcPr>
            <w:tcW w:w="1205" w:type="dxa"/>
          </w:tcPr>
          <w:p w:rsidR="00134CF6" w:rsidRPr="00C062DE" w:rsidRDefault="00AF10A6" w:rsidP="00C062DE">
            <w:pPr>
              <w:spacing w:before="0" w:line="240" w:lineRule="auto"/>
              <w:rPr>
                <w:b w:val="0"/>
                <w:sz w:val="18"/>
                <w:szCs w:val="18"/>
                <w:lang w:val="en-AU"/>
              </w:rPr>
            </w:pPr>
            <w:r w:rsidRPr="00C062DE">
              <w:rPr>
                <w:b w:val="0"/>
                <w:sz w:val="18"/>
                <w:szCs w:val="18"/>
                <w:lang w:val="en-AU"/>
              </w:rPr>
              <w:t>0.7</w:t>
            </w:r>
          </w:p>
        </w:tc>
        <w:tc>
          <w:tcPr>
            <w:tcW w:w="1251" w:type="dxa"/>
          </w:tcPr>
          <w:p w:rsidR="00134CF6" w:rsidRPr="00C062DE" w:rsidRDefault="008E160C" w:rsidP="00C062DE">
            <w:pPr>
              <w:spacing w:before="0" w:line="240" w:lineRule="auto"/>
              <w:rPr>
                <w:b w:val="0"/>
                <w:sz w:val="18"/>
                <w:szCs w:val="18"/>
                <w:lang w:val="en-AU"/>
              </w:rPr>
            </w:pPr>
            <w:r>
              <w:rPr>
                <w:b w:val="0"/>
                <w:sz w:val="18"/>
                <w:szCs w:val="18"/>
                <w:lang w:val="en-AU"/>
              </w:rPr>
              <w:t>5.5</w:t>
            </w:r>
          </w:p>
        </w:tc>
        <w:tc>
          <w:tcPr>
            <w:tcW w:w="1222" w:type="dxa"/>
          </w:tcPr>
          <w:p w:rsidR="00134CF6" w:rsidRPr="00C062DE" w:rsidRDefault="00AF10A6" w:rsidP="00C062DE">
            <w:pPr>
              <w:spacing w:before="0" w:line="240" w:lineRule="auto"/>
              <w:rPr>
                <w:b w:val="0"/>
                <w:sz w:val="18"/>
                <w:szCs w:val="18"/>
                <w:lang w:val="en-AU"/>
              </w:rPr>
            </w:pPr>
            <w:r w:rsidRPr="00C062DE">
              <w:rPr>
                <w:b w:val="0"/>
                <w:sz w:val="18"/>
                <w:szCs w:val="18"/>
                <w:lang w:val="en-AU"/>
              </w:rPr>
              <w:t>0</w:t>
            </w:r>
          </w:p>
        </w:tc>
        <w:tc>
          <w:tcPr>
            <w:tcW w:w="1252" w:type="dxa"/>
          </w:tcPr>
          <w:p w:rsidR="00134CF6" w:rsidRPr="00C062DE" w:rsidRDefault="008E160C" w:rsidP="00C062DE">
            <w:pPr>
              <w:spacing w:before="0" w:line="240" w:lineRule="auto"/>
              <w:rPr>
                <w:b w:val="0"/>
                <w:sz w:val="18"/>
                <w:szCs w:val="18"/>
                <w:lang w:val="en-AU"/>
              </w:rPr>
            </w:pPr>
            <w:r>
              <w:rPr>
                <w:b w:val="0"/>
                <w:sz w:val="18"/>
                <w:szCs w:val="18"/>
                <w:lang w:val="en-AU"/>
              </w:rPr>
              <w:t>3.7</w:t>
            </w:r>
          </w:p>
        </w:tc>
        <w:tc>
          <w:tcPr>
            <w:tcW w:w="1477" w:type="dxa"/>
          </w:tcPr>
          <w:p w:rsidR="00134CF6" w:rsidRPr="00C062DE" w:rsidRDefault="00AF10A6" w:rsidP="00C062DE">
            <w:pPr>
              <w:spacing w:before="0" w:line="240" w:lineRule="auto"/>
              <w:rPr>
                <w:b w:val="0"/>
                <w:sz w:val="18"/>
                <w:szCs w:val="18"/>
                <w:lang w:val="en-AU"/>
              </w:rPr>
            </w:pPr>
            <w:r w:rsidRPr="00C062DE">
              <w:rPr>
                <w:b w:val="0"/>
                <w:sz w:val="18"/>
                <w:szCs w:val="18"/>
                <w:lang w:val="en-AU"/>
              </w:rPr>
              <w:t>Common</w:t>
            </w:r>
          </w:p>
        </w:tc>
      </w:tr>
      <w:tr w:rsidR="00E52724" w:rsidRPr="00DE6BF0" w:rsidTr="00C062DE">
        <w:tc>
          <w:tcPr>
            <w:tcW w:w="1982" w:type="dxa"/>
          </w:tcPr>
          <w:p w:rsidR="00E52724" w:rsidRPr="00C062DE" w:rsidRDefault="00E52724"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Pr>
                <w:b w:val="0"/>
                <w:sz w:val="18"/>
                <w:szCs w:val="18"/>
                <w:lang w:val="en-AU"/>
              </w:rPr>
              <w:t>Tuberculosis</w:t>
            </w:r>
          </w:p>
        </w:tc>
        <w:tc>
          <w:tcPr>
            <w:tcW w:w="1251" w:type="dxa"/>
          </w:tcPr>
          <w:p w:rsidR="00E52724" w:rsidRPr="00C062DE" w:rsidRDefault="00E52724" w:rsidP="00C062DE">
            <w:pPr>
              <w:spacing w:before="0" w:line="240" w:lineRule="auto"/>
              <w:rPr>
                <w:b w:val="0"/>
                <w:sz w:val="18"/>
                <w:szCs w:val="18"/>
                <w:lang w:val="en-AU"/>
              </w:rPr>
            </w:pPr>
            <w:r>
              <w:rPr>
                <w:b w:val="0"/>
                <w:sz w:val="18"/>
                <w:szCs w:val="18"/>
                <w:lang w:val="en-AU"/>
              </w:rPr>
              <w:t>0.6</w:t>
            </w:r>
          </w:p>
        </w:tc>
        <w:tc>
          <w:tcPr>
            <w:tcW w:w="1205" w:type="dxa"/>
          </w:tcPr>
          <w:p w:rsidR="00E52724" w:rsidRPr="00C062DE" w:rsidRDefault="00E52724" w:rsidP="00C062DE">
            <w:pPr>
              <w:spacing w:before="0" w:line="240" w:lineRule="auto"/>
              <w:rPr>
                <w:b w:val="0"/>
                <w:sz w:val="18"/>
                <w:szCs w:val="18"/>
                <w:lang w:val="en-AU"/>
              </w:rPr>
            </w:pPr>
            <w:r>
              <w:rPr>
                <w:b w:val="0"/>
                <w:sz w:val="18"/>
                <w:szCs w:val="18"/>
                <w:lang w:val="en-AU"/>
              </w:rPr>
              <w:t>0</w:t>
            </w:r>
          </w:p>
        </w:tc>
        <w:tc>
          <w:tcPr>
            <w:tcW w:w="1251" w:type="dxa"/>
          </w:tcPr>
          <w:p w:rsidR="00E52724" w:rsidRDefault="00E52724" w:rsidP="00C062DE">
            <w:pPr>
              <w:spacing w:before="0" w:line="240" w:lineRule="auto"/>
              <w:rPr>
                <w:b w:val="0"/>
                <w:sz w:val="18"/>
                <w:szCs w:val="18"/>
                <w:lang w:val="en-AU"/>
              </w:rPr>
            </w:pPr>
            <w:r>
              <w:rPr>
                <w:b w:val="0"/>
                <w:sz w:val="18"/>
                <w:szCs w:val="18"/>
                <w:lang w:val="en-AU"/>
              </w:rPr>
              <w:t>1.4</w:t>
            </w:r>
          </w:p>
        </w:tc>
        <w:tc>
          <w:tcPr>
            <w:tcW w:w="1222" w:type="dxa"/>
          </w:tcPr>
          <w:p w:rsidR="00E52724" w:rsidRPr="00C062DE" w:rsidRDefault="00E52724" w:rsidP="00C062DE">
            <w:pPr>
              <w:spacing w:before="0" w:line="240" w:lineRule="auto"/>
              <w:rPr>
                <w:b w:val="0"/>
                <w:sz w:val="18"/>
                <w:szCs w:val="18"/>
                <w:lang w:val="en-AU"/>
              </w:rPr>
            </w:pPr>
            <w:r>
              <w:rPr>
                <w:b w:val="0"/>
                <w:sz w:val="18"/>
                <w:szCs w:val="18"/>
                <w:lang w:val="en-AU"/>
              </w:rPr>
              <w:t>0</w:t>
            </w:r>
          </w:p>
        </w:tc>
        <w:tc>
          <w:tcPr>
            <w:tcW w:w="1252" w:type="dxa"/>
          </w:tcPr>
          <w:p w:rsidR="00E52724" w:rsidRDefault="00E52724" w:rsidP="00C062DE">
            <w:pPr>
              <w:spacing w:before="0" w:line="240" w:lineRule="auto"/>
              <w:rPr>
                <w:b w:val="0"/>
                <w:sz w:val="18"/>
                <w:szCs w:val="18"/>
                <w:lang w:val="en-AU"/>
              </w:rPr>
            </w:pPr>
            <w:r>
              <w:rPr>
                <w:b w:val="0"/>
                <w:sz w:val="18"/>
                <w:szCs w:val="18"/>
                <w:lang w:val="en-AU"/>
              </w:rPr>
              <w:t>1</w:t>
            </w:r>
          </w:p>
        </w:tc>
        <w:tc>
          <w:tcPr>
            <w:tcW w:w="1477" w:type="dxa"/>
          </w:tcPr>
          <w:p w:rsidR="00E52724" w:rsidRPr="00C062DE" w:rsidRDefault="00E52724" w:rsidP="00C062DE">
            <w:pPr>
              <w:spacing w:before="0" w:line="240" w:lineRule="auto"/>
              <w:rPr>
                <w:b w:val="0"/>
                <w:sz w:val="18"/>
                <w:szCs w:val="18"/>
                <w:lang w:val="en-AU"/>
              </w:rPr>
            </w:pPr>
            <w:r>
              <w:rPr>
                <w:b w:val="0"/>
                <w:sz w:val="18"/>
                <w:szCs w:val="18"/>
                <w:lang w:val="en-AU"/>
              </w:rPr>
              <w:t>Common</w:t>
            </w:r>
          </w:p>
        </w:tc>
      </w:tr>
      <w:tr w:rsidR="003D0A20" w:rsidRPr="00DE6BF0" w:rsidTr="00C062DE">
        <w:tc>
          <w:tcPr>
            <w:tcW w:w="9640" w:type="dxa"/>
            <w:gridSpan w:val="7"/>
          </w:tcPr>
          <w:p w:rsidR="003D0A20" w:rsidRPr="00C062DE" w:rsidRDefault="003D0A20" w:rsidP="00C062DE">
            <w:pPr>
              <w:spacing w:before="0" w:line="240" w:lineRule="auto"/>
              <w:rPr>
                <w:b w:val="0"/>
                <w:sz w:val="18"/>
                <w:szCs w:val="18"/>
                <w:lang w:val="en-AU"/>
              </w:rPr>
            </w:pPr>
            <w:r w:rsidRPr="00C062DE">
              <w:rPr>
                <w:bCs/>
                <w:sz w:val="18"/>
                <w:szCs w:val="18"/>
                <w:lang w:val="en-AU"/>
              </w:rPr>
              <w:t>Blood and lymphatic system disorders</w:t>
            </w:r>
          </w:p>
        </w:tc>
      </w:tr>
      <w:tr w:rsidR="00134CF6" w:rsidRPr="00DE6BF0" w:rsidTr="00C062DE">
        <w:tc>
          <w:tcPr>
            <w:tcW w:w="1982" w:type="dxa"/>
          </w:tcPr>
          <w:p w:rsidR="00134CF6"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Anemia2</w:t>
            </w:r>
          </w:p>
        </w:tc>
        <w:tc>
          <w:tcPr>
            <w:tcW w:w="1251" w:type="dxa"/>
          </w:tcPr>
          <w:p w:rsidR="00134CF6" w:rsidRPr="00C062DE" w:rsidRDefault="00134CF6" w:rsidP="00C062DE">
            <w:pPr>
              <w:spacing w:before="0" w:line="240" w:lineRule="auto"/>
              <w:rPr>
                <w:b w:val="0"/>
                <w:sz w:val="18"/>
                <w:szCs w:val="18"/>
                <w:lang w:val="en-AU"/>
              </w:rPr>
            </w:pPr>
          </w:p>
        </w:tc>
        <w:tc>
          <w:tcPr>
            <w:tcW w:w="1205" w:type="dxa"/>
          </w:tcPr>
          <w:p w:rsidR="00134CF6" w:rsidRPr="00C062DE" w:rsidRDefault="00134CF6" w:rsidP="00C062DE">
            <w:pPr>
              <w:spacing w:before="0" w:line="240" w:lineRule="auto"/>
              <w:rPr>
                <w:b w:val="0"/>
                <w:sz w:val="18"/>
                <w:szCs w:val="18"/>
                <w:lang w:val="en-AU"/>
              </w:rPr>
            </w:pPr>
          </w:p>
        </w:tc>
        <w:tc>
          <w:tcPr>
            <w:tcW w:w="1251" w:type="dxa"/>
          </w:tcPr>
          <w:p w:rsidR="00134CF6" w:rsidRPr="00C062DE" w:rsidRDefault="00134CF6" w:rsidP="00C062DE">
            <w:pPr>
              <w:spacing w:before="0" w:line="240" w:lineRule="auto"/>
              <w:rPr>
                <w:b w:val="0"/>
                <w:sz w:val="18"/>
                <w:szCs w:val="18"/>
                <w:lang w:val="en-AU"/>
              </w:rPr>
            </w:pPr>
          </w:p>
        </w:tc>
        <w:tc>
          <w:tcPr>
            <w:tcW w:w="1222" w:type="dxa"/>
          </w:tcPr>
          <w:p w:rsidR="00134CF6" w:rsidRPr="00C062DE" w:rsidRDefault="00134CF6" w:rsidP="00C062DE">
            <w:pPr>
              <w:spacing w:before="0" w:line="240" w:lineRule="auto"/>
              <w:rPr>
                <w:b w:val="0"/>
                <w:sz w:val="18"/>
                <w:szCs w:val="18"/>
                <w:lang w:val="en-AU"/>
              </w:rPr>
            </w:pPr>
          </w:p>
        </w:tc>
        <w:tc>
          <w:tcPr>
            <w:tcW w:w="1252" w:type="dxa"/>
          </w:tcPr>
          <w:p w:rsidR="00134CF6" w:rsidRPr="00C062DE" w:rsidRDefault="00134CF6" w:rsidP="00C062DE">
            <w:pPr>
              <w:spacing w:before="0" w:line="240" w:lineRule="auto"/>
              <w:rPr>
                <w:b w:val="0"/>
                <w:sz w:val="18"/>
                <w:szCs w:val="18"/>
                <w:lang w:val="en-AU"/>
              </w:rPr>
            </w:pPr>
          </w:p>
        </w:tc>
        <w:tc>
          <w:tcPr>
            <w:tcW w:w="1477" w:type="dxa"/>
          </w:tcPr>
          <w:p w:rsidR="00134CF6" w:rsidRPr="00C062DE" w:rsidRDefault="00134CF6" w:rsidP="00C062DE">
            <w:pPr>
              <w:spacing w:before="0" w:line="240" w:lineRule="auto"/>
              <w:rPr>
                <w:b w:val="0"/>
                <w:sz w:val="18"/>
                <w:szCs w:val="18"/>
                <w:lang w:val="en-AU"/>
              </w:rPr>
            </w:pP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3 grade 4</w:t>
            </w:r>
          </w:p>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(&lt;6.5g/</w:t>
            </w:r>
            <w:proofErr w:type="spellStart"/>
            <w:r w:rsidRPr="00C062DE">
              <w:rPr>
                <w:b w:val="0"/>
                <w:sz w:val="18"/>
                <w:szCs w:val="18"/>
                <w:lang w:val="en-AU"/>
              </w:rPr>
              <w:t>dL</w:t>
            </w:r>
            <w:proofErr w:type="spellEnd"/>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11.0</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2.6</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8.2</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9.6</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9.6</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3</w:t>
            </w:r>
          </w:p>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(&lt;8.0 – 6.5g/</w:t>
            </w:r>
            <w:proofErr w:type="spellStart"/>
            <w:r w:rsidRPr="00C062DE">
              <w:rPr>
                <w:b w:val="0"/>
                <w:sz w:val="18"/>
                <w:szCs w:val="18"/>
                <w:lang w:val="en-AU"/>
              </w:rPr>
              <w:t>dL</w:t>
            </w:r>
            <w:proofErr w:type="spellEnd"/>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31.6</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12.6</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30.1</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11.0</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30.9</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81.9</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41.7</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81.5</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49.3</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81.7</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Thrombocytopenia</w:t>
            </w:r>
            <w:r w:rsidRPr="00C062DE">
              <w:rPr>
                <w:b w:val="0"/>
                <w:sz w:val="18"/>
                <w:szCs w:val="18"/>
                <w:vertAlign w:val="superscript"/>
                <w:lang w:val="en-AU"/>
              </w:rPr>
              <w:t>2</w:t>
            </w:r>
          </w:p>
        </w:tc>
        <w:tc>
          <w:tcPr>
            <w:tcW w:w="1251" w:type="dxa"/>
          </w:tcPr>
          <w:p w:rsidR="00414C0D" w:rsidRPr="00C062DE" w:rsidRDefault="00414C0D" w:rsidP="00C062DE">
            <w:pPr>
              <w:spacing w:before="0" w:line="240" w:lineRule="auto"/>
              <w:rPr>
                <w:b w:val="0"/>
                <w:sz w:val="18"/>
                <w:szCs w:val="18"/>
                <w:lang w:val="en-AU"/>
              </w:rPr>
            </w:pPr>
          </w:p>
        </w:tc>
        <w:tc>
          <w:tcPr>
            <w:tcW w:w="1205" w:type="dxa"/>
          </w:tcPr>
          <w:p w:rsidR="00414C0D" w:rsidRPr="00C062DE" w:rsidRDefault="00414C0D" w:rsidP="00C062DE">
            <w:pPr>
              <w:spacing w:before="0" w:line="240" w:lineRule="auto"/>
              <w:rPr>
                <w:b w:val="0"/>
                <w:sz w:val="18"/>
                <w:szCs w:val="18"/>
                <w:lang w:val="en-AU"/>
              </w:rPr>
            </w:pPr>
          </w:p>
        </w:tc>
        <w:tc>
          <w:tcPr>
            <w:tcW w:w="1251" w:type="dxa"/>
          </w:tcPr>
          <w:p w:rsidR="00414C0D" w:rsidRPr="00C062DE" w:rsidRDefault="00414C0D" w:rsidP="00C062DE">
            <w:pPr>
              <w:spacing w:before="0" w:line="240" w:lineRule="auto"/>
              <w:rPr>
                <w:b w:val="0"/>
                <w:sz w:val="18"/>
                <w:szCs w:val="18"/>
                <w:lang w:val="en-AU"/>
              </w:rPr>
            </w:pPr>
          </w:p>
        </w:tc>
        <w:tc>
          <w:tcPr>
            <w:tcW w:w="1222" w:type="dxa"/>
          </w:tcPr>
          <w:p w:rsidR="00414C0D" w:rsidRPr="00C062DE" w:rsidRDefault="00414C0D" w:rsidP="00C062DE">
            <w:pPr>
              <w:spacing w:before="0" w:line="240" w:lineRule="auto"/>
              <w:rPr>
                <w:b w:val="0"/>
                <w:sz w:val="18"/>
                <w:szCs w:val="18"/>
                <w:lang w:val="en-AU"/>
              </w:rPr>
            </w:pPr>
          </w:p>
        </w:tc>
        <w:tc>
          <w:tcPr>
            <w:tcW w:w="1252" w:type="dxa"/>
          </w:tcPr>
          <w:p w:rsidR="00414C0D" w:rsidRPr="00C062DE" w:rsidRDefault="00414C0D" w:rsidP="00C062DE">
            <w:pPr>
              <w:spacing w:before="0" w:line="240" w:lineRule="auto"/>
              <w:rPr>
                <w:b w:val="0"/>
                <w:sz w:val="18"/>
                <w:szCs w:val="18"/>
                <w:lang w:val="en-AU"/>
              </w:rPr>
            </w:pPr>
          </w:p>
        </w:tc>
        <w:tc>
          <w:tcPr>
            <w:tcW w:w="1477" w:type="dxa"/>
          </w:tcPr>
          <w:p w:rsidR="00414C0D" w:rsidRPr="00C062DE" w:rsidRDefault="00414C0D" w:rsidP="00C062DE">
            <w:pPr>
              <w:spacing w:before="0" w:line="240" w:lineRule="auto"/>
              <w:rPr>
                <w:b w:val="0"/>
                <w:sz w:val="18"/>
                <w:szCs w:val="18"/>
                <w:lang w:val="en-AU"/>
              </w:rPr>
            </w:pP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4</w:t>
            </w:r>
          </w:p>
          <w:p w:rsidR="00414C0D" w:rsidRPr="00C062DE" w:rsidRDefault="00414C0D" w:rsidP="00983ACA">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(&lt;25</w:t>
            </w:r>
            <w:r w:rsidR="001D393A">
              <w:rPr>
                <w:b w:val="0"/>
                <w:sz w:val="18"/>
                <w:szCs w:val="18"/>
                <w:lang w:val="en-AU"/>
              </w:rPr>
              <w:t>X 10</w:t>
            </w:r>
            <w:r w:rsidR="001D393A" w:rsidRPr="0054289A">
              <w:rPr>
                <w:b w:val="0"/>
                <w:sz w:val="18"/>
                <w:szCs w:val="18"/>
                <w:vertAlign w:val="superscript"/>
                <w:lang w:val="en-AU"/>
              </w:rPr>
              <w:t>9</w:t>
            </w:r>
            <w:r w:rsidR="001D393A">
              <w:rPr>
                <w:b w:val="0"/>
                <w:sz w:val="18"/>
                <w:szCs w:val="18"/>
                <w:lang w:val="en-AU"/>
              </w:rPr>
              <w:t>/L</w:t>
            </w:r>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3.9</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0</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2.1</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2.7</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3.0</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3</w:t>
            </w:r>
          </w:p>
          <w:p w:rsidR="00414C0D" w:rsidRPr="00C062DE" w:rsidRDefault="00414C0D" w:rsidP="00983ACA">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(50 – 25</w:t>
            </w:r>
            <w:r w:rsidR="001D393A">
              <w:rPr>
                <w:b w:val="0"/>
                <w:sz w:val="18"/>
                <w:szCs w:val="18"/>
                <w:lang w:val="en-AU"/>
              </w:rPr>
              <w:t>X 10</w:t>
            </w:r>
            <w:r w:rsidR="001D393A" w:rsidRPr="0054289A">
              <w:rPr>
                <w:b w:val="0"/>
                <w:sz w:val="18"/>
                <w:szCs w:val="18"/>
                <w:vertAlign w:val="superscript"/>
                <w:lang w:val="en-AU"/>
              </w:rPr>
              <w:t>9</w:t>
            </w:r>
            <w:r w:rsidR="001D393A">
              <w:rPr>
                <w:b w:val="0"/>
                <w:sz w:val="18"/>
                <w:szCs w:val="18"/>
                <w:lang w:val="en-AU"/>
              </w:rPr>
              <w:t>/L</w:t>
            </w:r>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9.0</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1.3</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6.2</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4.1</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7.6</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68.4</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19.2</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66.4</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26.0</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67.4</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Neutropenia</w:t>
            </w:r>
            <w:r w:rsidRPr="00C062DE">
              <w:rPr>
                <w:b w:val="0"/>
                <w:sz w:val="18"/>
                <w:szCs w:val="18"/>
                <w:vertAlign w:val="superscript"/>
                <w:lang w:val="en-AU"/>
              </w:rPr>
              <w:t>2</w:t>
            </w:r>
          </w:p>
        </w:tc>
        <w:tc>
          <w:tcPr>
            <w:tcW w:w="1251" w:type="dxa"/>
          </w:tcPr>
          <w:p w:rsidR="00414C0D" w:rsidRPr="00C062DE" w:rsidRDefault="00414C0D" w:rsidP="00C062DE">
            <w:pPr>
              <w:spacing w:before="0" w:line="240" w:lineRule="auto"/>
              <w:rPr>
                <w:b w:val="0"/>
                <w:sz w:val="18"/>
                <w:szCs w:val="18"/>
                <w:lang w:val="en-AU"/>
              </w:rPr>
            </w:pPr>
          </w:p>
        </w:tc>
        <w:tc>
          <w:tcPr>
            <w:tcW w:w="1205" w:type="dxa"/>
          </w:tcPr>
          <w:p w:rsidR="00414C0D" w:rsidRPr="00C062DE" w:rsidRDefault="00414C0D" w:rsidP="00C062DE">
            <w:pPr>
              <w:spacing w:before="0" w:line="240" w:lineRule="auto"/>
              <w:rPr>
                <w:b w:val="0"/>
                <w:sz w:val="18"/>
                <w:szCs w:val="18"/>
                <w:lang w:val="en-AU"/>
              </w:rPr>
            </w:pPr>
          </w:p>
        </w:tc>
        <w:tc>
          <w:tcPr>
            <w:tcW w:w="1251" w:type="dxa"/>
          </w:tcPr>
          <w:p w:rsidR="00414C0D" w:rsidRPr="00C062DE" w:rsidRDefault="00414C0D" w:rsidP="00C062DE">
            <w:pPr>
              <w:spacing w:before="0" w:line="240" w:lineRule="auto"/>
              <w:rPr>
                <w:b w:val="0"/>
                <w:sz w:val="18"/>
                <w:szCs w:val="18"/>
                <w:lang w:val="en-AU"/>
              </w:rPr>
            </w:pPr>
          </w:p>
        </w:tc>
        <w:tc>
          <w:tcPr>
            <w:tcW w:w="1222" w:type="dxa"/>
          </w:tcPr>
          <w:p w:rsidR="00414C0D" w:rsidRPr="00C062DE" w:rsidRDefault="00414C0D" w:rsidP="00C062DE">
            <w:pPr>
              <w:spacing w:before="0" w:line="240" w:lineRule="auto"/>
              <w:rPr>
                <w:b w:val="0"/>
                <w:sz w:val="18"/>
                <w:szCs w:val="18"/>
                <w:lang w:val="en-AU"/>
              </w:rPr>
            </w:pPr>
          </w:p>
        </w:tc>
        <w:tc>
          <w:tcPr>
            <w:tcW w:w="1252" w:type="dxa"/>
          </w:tcPr>
          <w:p w:rsidR="00414C0D" w:rsidRPr="00C062DE" w:rsidRDefault="00414C0D" w:rsidP="00C062DE">
            <w:pPr>
              <w:spacing w:before="0" w:line="240" w:lineRule="auto"/>
              <w:rPr>
                <w:b w:val="0"/>
                <w:sz w:val="18"/>
                <w:szCs w:val="18"/>
                <w:lang w:val="en-AU"/>
              </w:rPr>
            </w:pPr>
          </w:p>
        </w:tc>
        <w:tc>
          <w:tcPr>
            <w:tcW w:w="1477" w:type="dxa"/>
          </w:tcPr>
          <w:p w:rsidR="00414C0D" w:rsidRPr="00C062DE" w:rsidRDefault="00414C0D" w:rsidP="00C062DE">
            <w:pPr>
              <w:spacing w:before="0" w:line="240" w:lineRule="auto"/>
              <w:rPr>
                <w:b w:val="0"/>
                <w:sz w:val="18"/>
                <w:szCs w:val="18"/>
                <w:lang w:val="en-AU"/>
              </w:rPr>
            </w:pP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4</w:t>
            </w:r>
          </w:p>
          <w:p w:rsidR="00414C0D" w:rsidRPr="00C062DE" w:rsidRDefault="00414C0D" w:rsidP="00983ACA">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(&lt;</w:t>
            </w:r>
            <w:r w:rsidR="00983ACA">
              <w:rPr>
                <w:b w:val="0"/>
                <w:sz w:val="18"/>
                <w:szCs w:val="18"/>
                <w:lang w:val="en-AU"/>
              </w:rPr>
              <w:t>0.</w:t>
            </w:r>
            <w:r w:rsidRPr="00C062DE">
              <w:rPr>
                <w:b w:val="0"/>
                <w:sz w:val="18"/>
                <w:szCs w:val="18"/>
                <w:lang w:val="en-AU"/>
              </w:rPr>
              <w:t>5</w:t>
            </w:r>
            <w:r w:rsidR="001D393A">
              <w:rPr>
                <w:b w:val="0"/>
                <w:sz w:val="18"/>
                <w:szCs w:val="18"/>
                <w:lang w:val="en-AU"/>
              </w:rPr>
              <w:t>X 10</w:t>
            </w:r>
            <w:r w:rsidR="001D393A" w:rsidRPr="0054289A">
              <w:rPr>
                <w:b w:val="0"/>
                <w:sz w:val="18"/>
                <w:szCs w:val="18"/>
                <w:vertAlign w:val="superscript"/>
                <w:lang w:val="en-AU"/>
              </w:rPr>
              <w:t>9</w:t>
            </w:r>
            <w:r w:rsidR="001D393A">
              <w:rPr>
                <w:b w:val="0"/>
                <w:sz w:val="18"/>
                <w:szCs w:val="18"/>
                <w:lang w:val="en-AU"/>
              </w:rPr>
              <w:t>/L</w:t>
            </w:r>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1.9</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1.3</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2.7</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1.4</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2.3</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3</w:t>
            </w:r>
          </w:p>
          <w:p w:rsidR="00414C0D" w:rsidRPr="00C062DE" w:rsidRDefault="00414C0D" w:rsidP="00983ACA">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 xml:space="preserve">(&lt;1 – </w:t>
            </w:r>
            <w:r w:rsidR="00983ACA">
              <w:rPr>
                <w:b w:val="0"/>
                <w:sz w:val="18"/>
                <w:szCs w:val="18"/>
                <w:lang w:val="en-AU"/>
              </w:rPr>
              <w:t>0.</w:t>
            </w:r>
            <w:r w:rsidRPr="00C062DE">
              <w:rPr>
                <w:b w:val="0"/>
                <w:sz w:val="18"/>
                <w:szCs w:val="18"/>
                <w:lang w:val="en-AU"/>
              </w:rPr>
              <w:t>5</w:t>
            </w:r>
            <w:r w:rsidR="001D393A">
              <w:rPr>
                <w:b w:val="0"/>
                <w:sz w:val="18"/>
                <w:szCs w:val="18"/>
                <w:lang w:val="en-AU"/>
              </w:rPr>
              <w:t>X 10</w:t>
            </w:r>
            <w:r w:rsidR="001D393A" w:rsidRPr="0054289A">
              <w:rPr>
                <w:b w:val="0"/>
                <w:sz w:val="18"/>
                <w:szCs w:val="18"/>
                <w:vertAlign w:val="superscript"/>
                <w:lang w:val="en-AU"/>
              </w:rPr>
              <w:t>9</w:t>
            </w:r>
            <w:r w:rsidR="001D393A">
              <w:rPr>
                <w:b w:val="0"/>
                <w:sz w:val="18"/>
                <w:szCs w:val="18"/>
                <w:lang w:val="en-AU"/>
              </w:rPr>
              <w:t>/L</w:t>
            </w:r>
            <w:r w:rsidRPr="00C062DE">
              <w:rPr>
                <w:b w:val="0"/>
                <w:sz w:val="18"/>
                <w:szCs w:val="18"/>
                <w:lang w:val="en-AU"/>
              </w:rPr>
              <w:t>)</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4.5</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0.7</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3.4</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0</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4.0</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18.1</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4.0</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12.3</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8.2</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15.3</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9640" w:type="dxa"/>
            <w:gridSpan w:val="7"/>
          </w:tcPr>
          <w:p w:rsidR="00414C0D" w:rsidRPr="00C062DE" w:rsidRDefault="00414C0D" w:rsidP="00C062DE">
            <w:pPr>
              <w:spacing w:before="0" w:line="240" w:lineRule="auto"/>
              <w:rPr>
                <w:b w:val="0"/>
                <w:sz w:val="18"/>
                <w:szCs w:val="18"/>
                <w:lang w:val="en-AU"/>
              </w:rPr>
            </w:pPr>
            <w:r w:rsidRPr="00C062DE">
              <w:rPr>
                <w:bCs/>
                <w:sz w:val="18"/>
                <w:szCs w:val="18"/>
                <w:lang w:val="en-AU"/>
              </w:rPr>
              <w:t>Metabolism and nutrition disorders</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Weight gain</w:t>
            </w:r>
            <w:r w:rsidRPr="00C062DE">
              <w:rPr>
                <w:b w:val="0"/>
                <w:sz w:val="18"/>
                <w:szCs w:val="18"/>
                <w:vertAlign w:val="superscript"/>
                <w:lang w:val="en-AU"/>
              </w:rPr>
              <w:t>1</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7.1</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1.3</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9.6</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0</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8.3</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Hypercholesterolemia</w:t>
            </w:r>
            <w:r w:rsidRPr="00C062DE">
              <w:rPr>
                <w:b w:val="0"/>
                <w:sz w:val="18"/>
                <w:szCs w:val="18"/>
                <w:vertAlign w:val="superscript"/>
                <w:lang w:val="en-AU"/>
              </w:rPr>
              <w:t>2,4</w:t>
            </w:r>
          </w:p>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17.4</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0.7</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15.8</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6.8</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16.6</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9640" w:type="dxa"/>
            <w:gridSpan w:val="7"/>
          </w:tcPr>
          <w:p w:rsidR="00414C0D" w:rsidRPr="00C062DE" w:rsidRDefault="00414C0D" w:rsidP="00C062DE">
            <w:pPr>
              <w:spacing w:before="0" w:line="240" w:lineRule="auto"/>
              <w:rPr>
                <w:b w:val="0"/>
                <w:sz w:val="18"/>
                <w:szCs w:val="18"/>
                <w:lang w:val="en-AU"/>
              </w:rPr>
            </w:pPr>
            <w:r w:rsidRPr="00C062DE">
              <w:rPr>
                <w:bCs/>
                <w:sz w:val="18"/>
                <w:szCs w:val="18"/>
                <w:lang w:val="en-AU"/>
              </w:rPr>
              <w:t>Nervous system disorders</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Dizziness</w:t>
            </w:r>
            <w:r w:rsidRPr="00C062DE">
              <w:rPr>
                <w:b w:val="0"/>
                <w:sz w:val="18"/>
                <w:szCs w:val="18"/>
                <w:vertAlign w:val="superscript"/>
                <w:lang w:val="en-AU"/>
              </w:rPr>
              <w:t>1</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18.1</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7.3</w:t>
            </w:r>
          </w:p>
        </w:tc>
        <w:tc>
          <w:tcPr>
            <w:tcW w:w="1251" w:type="dxa"/>
          </w:tcPr>
          <w:p w:rsidR="00414C0D" w:rsidRPr="00C062DE" w:rsidRDefault="008E160C" w:rsidP="00C062DE">
            <w:pPr>
              <w:spacing w:before="0" w:line="240" w:lineRule="auto"/>
              <w:rPr>
                <w:b w:val="0"/>
                <w:sz w:val="18"/>
                <w:szCs w:val="18"/>
                <w:lang w:val="en-AU"/>
              </w:rPr>
            </w:pPr>
            <w:r>
              <w:rPr>
                <w:b w:val="0"/>
                <w:sz w:val="18"/>
                <w:szCs w:val="18"/>
                <w:lang w:val="en-AU"/>
              </w:rPr>
              <w:t>10.3</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8.2</w:t>
            </w:r>
          </w:p>
        </w:tc>
        <w:tc>
          <w:tcPr>
            <w:tcW w:w="1252" w:type="dxa"/>
          </w:tcPr>
          <w:p w:rsidR="00414C0D" w:rsidRPr="00C062DE" w:rsidRDefault="008E160C" w:rsidP="00C062DE">
            <w:pPr>
              <w:spacing w:before="0" w:line="240" w:lineRule="auto"/>
              <w:rPr>
                <w:b w:val="0"/>
                <w:sz w:val="18"/>
                <w:szCs w:val="18"/>
                <w:lang w:val="en-AU"/>
              </w:rPr>
            </w:pPr>
            <w:r>
              <w:rPr>
                <w:b w:val="0"/>
                <w:sz w:val="18"/>
                <w:szCs w:val="18"/>
                <w:lang w:val="en-AU"/>
              </w:rPr>
              <w:t>14.3</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Headache</w:t>
            </w:r>
            <w:r w:rsidRPr="00C062DE">
              <w:rPr>
                <w:b w:val="0"/>
                <w:sz w:val="18"/>
                <w:szCs w:val="18"/>
                <w:vertAlign w:val="superscript"/>
                <w:lang w:val="en-AU"/>
              </w:rPr>
              <w:t>1</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14.8</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5.3</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10.3</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4.1</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12.6</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414C0D" w:rsidRPr="00DE6BF0" w:rsidTr="00C062DE">
        <w:tc>
          <w:tcPr>
            <w:tcW w:w="9640" w:type="dxa"/>
            <w:gridSpan w:val="7"/>
          </w:tcPr>
          <w:p w:rsidR="00414C0D" w:rsidRPr="00C062DE" w:rsidRDefault="00414C0D" w:rsidP="00C062DE">
            <w:pPr>
              <w:spacing w:before="0" w:line="240" w:lineRule="auto"/>
              <w:rPr>
                <w:b w:val="0"/>
                <w:sz w:val="18"/>
                <w:szCs w:val="18"/>
                <w:lang w:val="en-AU"/>
              </w:rPr>
            </w:pPr>
            <w:r w:rsidRPr="00C062DE">
              <w:rPr>
                <w:bCs/>
                <w:sz w:val="18"/>
                <w:szCs w:val="18"/>
                <w:lang w:val="en-AU"/>
              </w:rPr>
              <w:t>Gastrointestinal disorders</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Flatulence1</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5.2</w:t>
            </w:r>
          </w:p>
        </w:tc>
        <w:tc>
          <w:tcPr>
            <w:tcW w:w="1205" w:type="dxa"/>
          </w:tcPr>
          <w:p w:rsidR="00414C0D" w:rsidRPr="00C062DE" w:rsidRDefault="00AF10A6" w:rsidP="00C062DE">
            <w:pPr>
              <w:spacing w:before="0" w:line="240" w:lineRule="auto"/>
              <w:rPr>
                <w:b w:val="0"/>
                <w:sz w:val="18"/>
                <w:szCs w:val="18"/>
                <w:lang w:val="en-AU"/>
              </w:rPr>
            </w:pPr>
            <w:r w:rsidRPr="00C062DE">
              <w:rPr>
                <w:b w:val="0"/>
                <w:sz w:val="18"/>
                <w:szCs w:val="18"/>
                <w:lang w:val="en-AU"/>
              </w:rPr>
              <w:t>0.7</w:t>
            </w:r>
          </w:p>
        </w:tc>
        <w:tc>
          <w:tcPr>
            <w:tcW w:w="1251" w:type="dxa"/>
          </w:tcPr>
          <w:p w:rsidR="00414C0D" w:rsidRPr="00C062DE" w:rsidRDefault="00AF10A6" w:rsidP="00C062DE">
            <w:pPr>
              <w:spacing w:before="0" w:line="240" w:lineRule="auto"/>
              <w:rPr>
                <w:b w:val="0"/>
                <w:sz w:val="18"/>
                <w:szCs w:val="18"/>
                <w:lang w:val="en-AU"/>
              </w:rPr>
            </w:pPr>
            <w:r w:rsidRPr="00C062DE">
              <w:rPr>
                <w:b w:val="0"/>
                <w:sz w:val="18"/>
                <w:szCs w:val="18"/>
                <w:lang w:val="en-AU"/>
              </w:rPr>
              <w:t>1.4</w:t>
            </w:r>
          </w:p>
        </w:tc>
        <w:tc>
          <w:tcPr>
            <w:tcW w:w="1222" w:type="dxa"/>
          </w:tcPr>
          <w:p w:rsidR="00414C0D" w:rsidRPr="00C062DE" w:rsidRDefault="00AF10A6" w:rsidP="00C062DE">
            <w:pPr>
              <w:spacing w:before="0" w:line="240" w:lineRule="auto"/>
              <w:rPr>
                <w:b w:val="0"/>
                <w:sz w:val="18"/>
                <w:szCs w:val="18"/>
                <w:lang w:val="en-AU"/>
              </w:rPr>
            </w:pPr>
            <w:r w:rsidRPr="00C062DE">
              <w:rPr>
                <w:b w:val="0"/>
                <w:sz w:val="18"/>
                <w:szCs w:val="18"/>
                <w:lang w:val="en-AU"/>
              </w:rPr>
              <w:t>0</w:t>
            </w:r>
          </w:p>
        </w:tc>
        <w:tc>
          <w:tcPr>
            <w:tcW w:w="1252" w:type="dxa"/>
          </w:tcPr>
          <w:p w:rsidR="00414C0D" w:rsidRPr="00C062DE" w:rsidRDefault="00AF10A6" w:rsidP="00C062DE">
            <w:pPr>
              <w:spacing w:before="0" w:line="240" w:lineRule="auto"/>
              <w:rPr>
                <w:b w:val="0"/>
                <w:sz w:val="18"/>
                <w:szCs w:val="18"/>
                <w:lang w:val="en-AU"/>
              </w:rPr>
            </w:pPr>
            <w:r w:rsidRPr="00C062DE">
              <w:rPr>
                <w:b w:val="0"/>
                <w:sz w:val="18"/>
                <w:szCs w:val="18"/>
                <w:lang w:val="en-AU"/>
              </w:rPr>
              <w:t>3.3</w:t>
            </w:r>
          </w:p>
        </w:tc>
        <w:tc>
          <w:tcPr>
            <w:tcW w:w="1477" w:type="dxa"/>
          </w:tcPr>
          <w:p w:rsidR="00414C0D" w:rsidRPr="00C062DE" w:rsidRDefault="00AF10A6" w:rsidP="00C062DE">
            <w:pPr>
              <w:spacing w:before="0" w:line="240" w:lineRule="auto"/>
              <w:rPr>
                <w:b w:val="0"/>
                <w:sz w:val="18"/>
                <w:szCs w:val="18"/>
                <w:lang w:val="en-AU"/>
              </w:rPr>
            </w:pPr>
            <w:r w:rsidRPr="00C062DE">
              <w:rPr>
                <w:b w:val="0"/>
                <w:sz w:val="18"/>
                <w:szCs w:val="18"/>
                <w:lang w:val="en-AU"/>
              </w:rPr>
              <w:t>Common</w:t>
            </w:r>
          </w:p>
        </w:tc>
      </w:tr>
      <w:tr w:rsidR="00414C0D" w:rsidRPr="00DE6BF0" w:rsidTr="00C062DE">
        <w:tc>
          <w:tcPr>
            <w:tcW w:w="9640" w:type="dxa"/>
            <w:gridSpan w:val="7"/>
          </w:tcPr>
          <w:p w:rsidR="00414C0D" w:rsidRPr="00C062DE" w:rsidRDefault="00414C0D" w:rsidP="00C062DE">
            <w:pPr>
              <w:spacing w:before="0" w:line="240" w:lineRule="auto"/>
              <w:rPr>
                <w:b w:val="0"/>
                <w:sz w:val="18"/>
                <w:szCs w:val="18"/>
                <w:lang w:val="en-AU"/>
              </w:rPr>
            </w:pPr>
            <w:proofErr w:type="spellStart"/>
            <w:r w:rsidRPr="00C062DE">
              <w:rPr>
                <w:bCs/>
                <w:sz w:val="18"/>
                <w:szCs w:val="18"/>
                <w:lang w:val="en-AU"/>
              </w:rPr>
              <w:t>Hepatobiliary</w:t>
            </w:r>
            <w:proofErr w:type="spellEnd"/>
            <w:r w:rsidRPr="00C062DE">
              <w:rPr>
                <w:bCs/>
                <w:sz w:val="18"/>
                <w:szCs w:val="18"/>
                <w:lang w:val="en-AU"/>
              </w:rPr>
              <w:t xml:space="preserve"> disorders</w:t>
            </w:r>
          </w:p>
        </w:tc>
      </w:tr>
      <w:tr w:rsidR="00414C0D" w:rsidRPr="00DE6BF0" w:rsidTr="00C062DE">
        <w:tc>
          <w:tcPr>
            <w:tcW w:w="1982" w:type="dxa"/>
          </w:tcPr>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Raised</w:t>
            </w:r>
          </w:p>
          <w:p w:rsidR="00414C0D" w:rsidRPr="00C062DE" w:rsidRDefault="00414C0D"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alanine aminotransferase</w:t>
            </w:r>
            <w:r w:rsidRPr="00C062DE">
              <w:rPr>
                <w:b w:val="0"/>
                <w:sz w:val="18"/>
                <w:szCs w:val="18"/>
                <w:vertAlign w:val="superscript"/>
                <w:lang w:val="en-AU"/>
              </w:rPr>
              <w:t>2, 5</w:t>
            </w:r>
          </w:p>
        </w:tc>
        <w:tc>
          <w:tcPr>
            <w:tcW w:w="1251" w:type="dxa"/>
          </w:tcPr>
          <w:p w:rsidR="00414C0D" w:rsidRPr="00C062DE" w:rsidRDefault="00414C0D" w:rsidP="00C062DE">
            <w:pPr>
              <w:spacing w:before="0" w:line="240" w:lineRule="auto"/>
              <w:rPr>
                <w:b w:val="0"/>
                <w:sz w:val="18"/>
                <w:szCs w:val="18"/>
                <w:lang w:val="en-AU"/>
              </w:rPr>
            </w:pPr>
          </w:p>
        </w:tc>
        <w:tc>
          <w:tcPr>
            <w:tcW w:w="1205" w:type="dxa"/>
          </w:tcPr>
          <w:p w:rsidR="00414C0D" w:rsidRPr="00C062DE" w:rsidRDefault="00414C0D" w:rsidP="00C062DE">
            <w:pPr>
              <w:spacing w:before="0" w:line="240" w:lineRule="auto"/>
              <w:rPr>
                <w:b w:val="0"/>
                <w:sz w:val="18"/>
                <w:szCs w:val="18"/>
                <w:lang w:val="en-AU"/>
              </w:rPr>
            </w:pPr>
          </w:p>
        </w:tc>
        <w:tc>
          <w:tcPr>
            <w:tcW w:w="1251" w:type="dxa"/>
          </w:tcPr>
          <w:p w:rsidR="00414C0D" w:rsidRPr="00C062DE" w:rsidRDefault="00414C0D" w:rsidP="00C062DE">
            <w:pPr>
              <w:spacing w:before="0" w:line="240" w:lineRule="auto"/>
              <w:rPr>
                <w:b w:val="0"/>
                <w:sz w:val="18"/>
                <w:szCs w:val="18"/>
                <w:lang w:val="en-AU"/>
              </w:rPr>
            </w:pPr>
          </w:p>
        </w:tc>
        <w:tc>
          <w:tcPr>
            <w:tcW w:w="1222" w:type="dxa"/>
          </w:tcPr>
          <w:p w:rsidR="00414C0D" w:rsidRPr="00C062DE" w:rsidRDefault="00414C0D" w:rsidP="00C062DE">
            <w:pPr>
              <w:spacing w:before="0" w:line="240" w:lineRule="auto"/>
              <w:rPr>
                <w:b w:val="0"/>
                <w:sz w:val="18"/>
                <w:szCs w:val="18"/>
                <w:lang w:val="en-AU"/>
              </w:rPr>
            </w:pPr>
          </w:p>
        </w:tc>
        <w:tc>
          <w:tcPr>
            <w:tcW w:w="1252" w:type="dxa"/>
          </w:tcPr>
          <w:p w:rsidR="00414C0D" w:rsidRPr="00C062DE" w:rsidRDefault="00414C0D" w:rsidP="00C062DE">
            <w:pPr>
              <w:spacing w:before="0" w:line="240" w:lineRule="auto"/>
              <w:rPr>
                <w:b w:val="0"/>
                <w:sz w:val="18"/>
                <w:szCs w:val="18"/>
                <w:lang w:val="en-AU"/>
              </w:rPr>
            </w:pPr>
          </w:p>
        </w:tc>
        <w:tc>
          <w:tcPr>
            <w:tcW w:w="1477" w:type="dxa"/>
          </w:tcPr>
          <w:p w:rsidR="00414C0D" w:rsidRPr="00C062DE" w:rsidRDefault="00414C0D" w:rsidP="00C062DE">
            <w:pPr>
              <w:spacing w:before="0" w:line="240" w:lineRule="auto"/>
              <w:rPr>
                <w:b w:val="0"/>
                <w:sz w:val="18"/>
                <w:szCs w:val="18"/>
                <w:lang w:val="en-AU"/>
              </w:rPr>
            </w:pPr>
          </w:p>
        </w:tc>
      </w:tr>
      <w:tr w:rsidR="00AF10A6" w:rsidRPr="00DE6BF0" w:rsidTr="00C062DE">
        <w:tc>
          <w:tcPr>
            <w:tcW w:w="1982" w:type="dxa"/>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CTCAE grade 3</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(&gt; 5x – 20 x ULN)</w:t>
            </w:r>
          </w:p>
        </w:tc>
        <w:tc>
          <w:tcPr>
            <w:tcW w:w="1251" w:type="dxa"/>
          </w:tcPr>
          <w:p w:rsidR="00AF10A6" w:rsidRPr="00C062DE" w:rsidRDefault="00B37D6E" w:rsidP="00C062DE">
            <w:pPr>
              <w:spacing w:before="0" w:line="240" w:lineRule="auto"/>
              <w:rPr>
                <w:b w:val="0"/>
                <w:sz w:val="18"/>
                <w:szCs w:val="18"/>
                <w:lang w:val="en-AU"/>
              </w:rPr>
            </w:pPr>
            <w:r w:rsidRPr="00C062DE">
              <w:rPr>
                <w:b w:val="0"/>
                <w:sz w:val="18"/>
                <w:szCs w:val="18"/>
                <w:lang w:val="en-AU"/>
              </w:rPr>
              <w:t>18.1</w:t>
            </w:r>
          </w:p>
        </w:tc>
        <w:tc>
          <w:tcPr>
            <w:tcW w:w="1205" w:type="dxa"/>
          </w:tcPr>
          <w:p w:rsidR="00AF10A6" w:rsidRPr="00C062DE" w:rsidRDefault="00B37D6E" w:rsidP="00C062DE">
            <w:pPr>
              <w:spacing w:before="0" w:line="240" w:lineRule="auto"/>
              <w:rPr>
                <w:b w:val="0"/>
                <w:sz w:val="18"/>
                <w:szCs w:val="18"/>
                <w:lang w:val="en-AU"/>
              </w:rPr>
            </w:pPr>
            <w:r w:rsidRPr="00C062DE">
              <w:rPr>
                <w:b w:val="0"/>
                <w:sz w:val="18"/>
                <w:szCs w:val="18"/>
                <w:lang w:val="en-AU"/>
              </w:rPr>
              <w:t>6.6</w:t>
            </w:r>
            <w:r w:rsidR="00AF10A6" w:rsidRPr="00C062DE">
              <w:rPr>
                <w:b w:val="0"/>
                <w:sz w:val="18"/>
                <w:szCs w:val="18"/>
                <w:lang w:val="en-AU"/>
              </w:rPr>
              <w:t>0</w:t>
            </w:r>
          </w:p>
        </w:tc>
        <w:tc>
          <w:tcPr>
            <w:tcW w:w="1251" w:type="dxa"/>
          </w:tcPr>
          <w:p w:rsidR="00AF10A6" w:rsidRPr="00C062DE" w:rsidRDefault="00AF10A6" w:rsidP="00C062DE">
            <w:pPr>
              <w:spacing w:before="0" w:line="240" w:lineRule="auto"/>
              <w:rPr>
                <w:b w:val="0"/>
                <w:sz w:val="18"/>
                <w:szCs w:val="18"/>
                <w:lang w:val="en-AU"/>
              </w:rPr>
            </w:pPr>
            <w:r w:rsidRPr="00C062DE">
              <w:rPr>
                <w:b w:val="0"/>
                <w:sz w:val="18"/>
                <w:szCs w:val="18"/>
                <w:lang w:val="en-AU"/>
              </w:rPr>
              <w:t>1.4</w:t>
            </w:r>
          </w:p>
        </w:tc>
        <w:tc>
          <w:tcPr>
            <w:tcW w:w="1222" w:type="dxa"/>
          </w:tcPr>
          <w:p w:rsidR="00AF10A6" w:rsidRPr="00C062DE" w:rsidRDefault="00AF10A6" w:rsidP="00C062DE">
            <w:pPr>
              <w:spacing w:before="0" w:line="240" w:lineRule="auto"/>
              <w:rPr>
                <w:b w:val="0"/>
                <w:sz w:val="18"/>
                <w:szCs w:val="18"/>
                <w:lang w:val="en-AU"/>
              </w:rPr>
            </w:pPr>
            <w:r w:rsidRPr="00C062DE">
              <w:rPr>
                <w:b w:val="0"/>
                <w:sz w:val="18"/>
                <w:szCs w:val="18"/>
                <w:lang w:val="en-AU"/>
              </w:rPr>
              <w:t>0</w:t>
            </w:r>
          </w:p>
        </w:tc>
        <w:tc>
          <w:tcPr>
            <w:tcW w:w="1252" w:type="dxa"/>
          </w:tcPr>
          <w:p w:rsidR="00AF10A6" w:rsidRPr="00C062DE" w:rsidRDefault="00AF10A6" w:rsidP="00C062DE">
            <w:pPr>
              <w:spacing w:before="0" w:line="240" w:lineRule="auto"/>
              <w:rPr>
                <w:b w:val="0"/>
                <w:sz w:val="18"/>
                <w:szCs w:val="18"/>
                <w:lang w:val="en-AU"/>
              </w:rPr>
            </w:pPr>
            <w:r w:rsidRPr="00C062DE">
              <w:rPr>
                <w:b w:val="0"/>
                <w:sz w:val="18"/>
                <w:szCs w:val="18"/>
                <w:lang w:val="en-AU"/>
              </w:rPr>
              <w:t>1.3</w:t>
            </w:r>
          </w:p>
        </w:tc>
        <w:tc>
          <w:tcPr>
            <w:tcW w:w="1477" w:type="dxa"/>
          </w:tcPr>
          <w:p w:rsidR="00AF10A6" w:rsidRPr="00C062DE" w:rsidRDefault="00AF10A6" w:rsidP="00C062DE">
            <w:pPr>
              <w:spacing w:before="0" w:line="240" w:lineRule="auto"/>
              <w:rPr>
                <w:b w:val="0"/>
                <w:sz w:val="18"/>
                <w:szCs w:val="18"/>
                <w:lang w:val="en-AU"/>
              </w:rPr>
            </w:pPr>
            <w:r w:rsidRPr="00C062DE">
              <w:rPr>
                <w:b w:val="0"/>
                <w:sz w:val="18"/>
                <w:szCs w:val="18"/>
                <w:lang w:val="en-AU"/>
              </w:rPr>
              <w:t>Common</w:t>
            </w:r>
          </w:p>
        </w:tc>
      </w:tr>
      <w:tr w:rsidR="00AF10A6" w:rsidRPr="00DE6BF0" w:rsidTr="00C062DE">
        <w:tc>
          <w:tcPr>
            <w:tcW w:w="1982" w:type="dxa"/>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AF10A6" w:rsidRPr="00C062DE" w:rsidRDefault="00AF10A6" w:rsidP="00C062DE">
            <w:pPr>
              <w:spacing w:before="0" w:line="240" w:lineRule="auto"/>
              <w:rPr>
                <w:b w:val="0"/>
                <w:sz w:val="18"/>
                <w:szCs w:val="18"/>
                <w:lang w:val="en-AU"/>
              </w:rPr>
            </w:pPr>
            <w:r w:rsidRPr="00C062DE">
              <w:rPr>
                <w:b w:val="0"/>
                <w:sz w:val="18"/>
                <w:szCs w:val="18"/>
                <w:lang w:val="en-AU"/>
              </w:rPr>
              <w:t>27.1</w:t>
            </w:r>
          </w:p>
        </w:tc>
        <w:tc>
          <w:tcPr>
            <w:tcW w:w="1205" w:type="dxa"/>
          </w:tcPr>
          <w:p w:rsidR="00AF10A6" w:rsidRPr="00C062DE" w:rsidRDefault="00AF10A6" w:rsidP="00C062DE">
            <w:pPr>
              <w:spacing w:before="0" w:line="240" w:lineRule="auto"/>
              <w:rPr>
                <w:b w:val="0"/>
                <w:sz w:val="18"/>
                <w:szCs w:val="18"/>
                <w:lang w:val="en-AU"/>
              </w:rPr>
            </w:pPr>
            <w:r w:rsidRPr="00C062DE">
              <w:rPr>
                <w:b w:val="0"/>
                <w:sz w:val="18"/>
                <w:szCs w:val="18"/>
                <w:lang w:val="en-AU"/>
              </w:rPr>
              <w:t>7.9</w:t>
            </w:r>
          </w:p>
        </w:tc>
        <w:tc>
          <w:tcPr>
            <w:tcW w:w="1251" w:type="dxa"/>
          </w:tcPr>
          <w:p w:rsidR="00AF10A6" w:rsidRPr="00C062DE" w:rsidRDefault="00AF10A6" w:rsidP="00C062DE">
            <w:pPr>
              <w:spacing w:before="0" w:line="240" w:lineRule="auto"/>
              <w:rPr>
                <w:b w:val="0"/>
                <w:sz w:val="18"/>
                <w:szCs w:val="18"/>
                <w:lang w:val="en-AU"/>
              </w:rPr>
            </w:pPr>
            <w:r w:rsidRPr="00C062DE">
              <w:rPr>
                <w:b w:val="0"/>
                <w:sz w:val="18"/>
                <w:szCs w:val="18"/>
                <w:lang w:val="en-AU"/>
              </w:rPr>
              <w:t>25.3</w:t>
            </w:r>
          </w:p>
        </w:tc>
        <w:tc>
          <w:tcPr>
            <w:tcW w:w="1222" w:type="dxa"/>
          </w:tcPr>
          <w:p w:rsidR="00AF10A6" w:rsidRPr="00C062DE" w:rsidRDefault="00AF10A6" w:rsidP="00C062DE">
            <w:pPr>
              <w:spacing w:before="0" w:line="240" w:lineRule="auto"/>
              <w:rPr>
                <w:b w:val="0"/>
                <w:sz w:val="18"/>
                <w:szCs w:val="18"/>
                <w:lang w:val="en-AU"/>
              </w:rPr>
            </w:pPr>
            <w:r w:rsidRPr="00C062DE">
              <w:rPr>
                <w:b w:val="0"/>
                <w:sz w:val="18"/>
                <w:szCs w:val="18"/>
                <w:lang w:val="en-AU"/>
              </w:rPr>
              <w:t>6.8</w:t>
            </w:r>
          </w:p>
        </w:tc>
        <w:tc>
          <w:tcPr>
            <w:tcW w:w="1252" w:type="dxa"/>
          </w:tcPr>
          <w:p w:rsidR="00AF10A6" w:rsidRPr="00C062DE" w:rsidRDefault="00AF10A6" w:rsidP="00C062DE">
            <w:pPr>
              <w:spacing w:before="0" w:line="240" w:lineRule="auto"/>
              <w:rPr>
                <w:b w:val="0"/>
                <w:sz w:val="18"/>
                <w:szCs w:val="18"/>
                <w:lang w:val="en-AU"/>
              </w:rPr>
            </w:pPr>
            <w:r w:rsidRPr="00C062DE">
              <w:rPr>
                <w:b w:val="0"/>
                <w:sz w:val="18"/>
                <w:szCs w:val="18"/>
                <w:lang w:val="en-AU"/>
              </w:rPr>
              <w:t>26.2</w:t>
            </w:r>
          </w:p>
        </w:tc>
        <w:tc>
          <w:tcPr>
            <w:tcW w:w="1477" w:type="dxa"/>
          </w:tcPr>
          <w:p w:rsidR="00AF10A6" w:rsidRPr="00C062DE" w:rsidRDefault="00AF10A6" w:rsidP="00C062DE">
            <w:pPr>
              <w:spacing w:before="0" w:line="240" w:lineRule="auto"/>
              <w:rPr>
                <w:b w:val="0"/>
                <w:sz w:val="18"/>
                <w:szCs w:val="18"/>
                <w:lang w:val="en-AU"/>
              </w:rPr>
            </w:pPr>
            <w:r w:rsidRPr="00C062DE">
              <w:rPr>
                <w:b w:val="0"/>
                <w:sz w:val="18"/>
                <w:szCs w:val="18"/>
                <w:lang w:val="en-AU"/>
              </w:rPr>
              <w:t>Very common</w:t>
            </w:r>
          </w:p>
        </w:tc>
      </w:tr>
      <w:tr w:rsidR="00AF10A6" w:rsidRPr="00DE6BF0" w:rsidTr="00C062DE">
        <w:tc>
          <w:tcPr>
            <w:tcW w:w="1982" w:type="dxa"/>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Raised aspartate</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aminotransferase</w:t>
            </w:r>
            <w:r w:rsidRPr="00C062DE">
              <w:rPr>
                <w:b w:val="0"/>
                <w:sz w:val="18"/>
                <w:szCs w:val="18"/>
                <w:vertAlign w:val="superscript"/>
                <w:lang w:val="en-AU"/>
              </w:rPr>
              <w:t>2,5</w:t>
            </w:r>
          </w:p>
        </w:tc>
        <w:tc>
          <w:tcPr>
            <w:tcW w:w="1251" w:type="dxa"/>
          </w:tcPr>
          <w:p w:rsidR="00AF10A6" w:rsidRPr="00C062DE" w:rsidRDefault="00AF10A6" w:rsidP="00C062DE">
            <w:pPr>
              <w:spacing w:before="0" w:line="240" w:lineRule="auto"/>
              <w:rPr>
                <w:b w:val="0"/>
                <w:sz w:val="18"/>
                <w:szCs w:val="18"/>
                <w:lang w:val="en-AU"/>
              </w:rPr>
            </w:pPr>
          </w:p>
        </w:tc>
        <w:tc>
          <w:tcPr>
            <w:tcW w:w="1205" w:type="dxa"/>
          </w:tcPr>
          <w:p w:rsidR="00AF10A6" w:rsidRPr="00C062DE" w:rsidRDefault="00AF10A6" w:rsidP="00C062DE">
            <w:pPr>
              <w:spacing w:before="0" w:line="240" w:lineRule="auto"/>
              <w:rPr>
                <w:b w:val="0"/>
                <w:sz w:val="18"/>
                <w:szCs w:val="18"/>
                <w:lang w:val="en-AU"/>
              </w:rPr>
            </w:pPr>
          </w:p>
        </w:tc>
        <w:tc>
          <w:tcPr>
            <w:tcW w:w="1251" w:type="dxa"/>
          </w:tcPr>
          <w:p w:rsidR="00AF10A6" w:rsidRPr="00C062DE" w:rsidRDefault="00AF10A6" w:rsidP="00C062DE">
            <w:pPr>
              <w:spacing w:before="0" w:line="240" w:lineRule="auto"/>
              <w:rPr>
                <w:b w:val="0"/>
                <w:sz w:val="18"/>
                <w:szCs w:val="18"/>
                <w:lang w:val="en-AU"/>
              </w:rPr>
            </w:pPr>
          </w:p>
        </w:tc>
        <w:tc>
          <w:tcPr>
            <w:tcW w:w="1222" w:type="dxa"/>
          </w:tcPr>
          <w:p w:rsidR="00AF10A6" w:rsidRPr="00C062DE" w:rsidRDefault="00AF10A6" w:rsidP="00C062DE">
            <w:pPr>
              <w:spacing w:before="0" w:line="240" w:lineRule="auto"/>
              <w:rPr>
                <w:b w:val="0"/>
                <w:sz w:val="18"/>
                <w:szCs w:val="18"/>
                <w:lang w:val="en-AU"/>
              </w:rPr>
            </w:pPr>
          </w:p>
        </w:tc>
        <w:tc>
          <w:tcPr>
            <w:tcW w:w="1252" w:type="dxa"/>
          </w:tcPr>
          <w:p w:rsidR="00AF10A6" w:rsidRPr="00C062DE" w:rsidRDefault="00AF10A6" w:rsidP="00C062DE">
            <w:pPr>
              <w:spacing w:before="0" w:line="240" w:lineRule="auto"/>
              <w:rPr>
                <w:b w:val="0"/>
                <w:sz w:val="18"/>
                <w:szCs w:val="18"/>
                <w:lang w:val="en-AU"/>
              </w:rPr>
            </w:pPr>
          </w:p>
        </w:tc>
        <w:tc>
          <w:tcPr>
            <w:tcW w:w="1477" w:type="dxa"/>
          </w:tcPr>
          <w:p w:rsidR="00AF10A6" w:rsidRPr="00C062DE" w:rsidRDefault="00AF10A6" w:rsidP="00C062DE">
            <w:pPr>
              <w:spacing w:before="0" w:line="240" w:lineRule="auto"/>
              <w:rPr>
                <w:b w:val="0"/>
                <w:sz w:val="18"/>
                <w:szCs w:val="18"/>
                <w:lang w:val="en-AU"/>
              </w:rPr>
            </w:pPr>
          </w:p>
        </w:tc>
      </w:tr>
      <w:tr w:rsidR="00AF10A6" w:rsidRPr="00DE6BF0" w:rsidTr="00C062DE">
        <w:tc>
          <w:tcPr>
            <w:tcW w:w="1982" w:type="dxa"/>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Any CTCAE grade</w:t>
            </w:r>
          </w:p>
        </w:tc>
        <w:tc>
          <w:tcPr>
            <w:tcW w:w="1251" w:type="dxa"/>
          </w:tcPr>
          <w:p w:rsidR="00AF10A6" w:rsidRPr="00C062DE" w:rsidRDefault="00B37D6E" w:rsidP="00C062DE">
            <w:pPr>
              <w:spacing w:before="0" w:line="240" w:lineRule="auto"/>
              <w:rPr>
                <w:b w:val="0"/>
                <w:sz w:val="18"/>
                <w:szCs w:val="18"/>
                <w:lang w:val="en-AU"/>
              </w:rPr>
            </w:pPr>
            <w:r w:rsidRPr="00C062DE">
              <w:rPr>
                <w:b w:val="0"/>
                <w:sz w:val="18"/>
                <w:szCs w:val="18"/>
                <w:lang w:val="en-AU"/>
              </w:rPr>
              <w:t>18.1</w:t>
            </w:r>
          </w:p>
        </w:tc>
        <w:tc>
          <w:tcPr>
            <w:tcW w:w="1205" w:type="dxa"/>
          </w:tcPr>
          <w:p w:rsidR="00AF10A6" w:rsidRPr="00C062DE" w:rsidRDefault="00B37D6E" w:rsidP="00C062DE">
            <w:pPr>
              <w:spacing w:before="0" w:line="240" w:lineRule="auto"/>
              <w:rPr>
                <w:b w:val="0"/>
                <w:sz w:val="18"/>
                <w:szCs w:val="18"/>
                <w:lang w:val="en-AU"/>
              </w:rPr>
            </w:pPr>
            <w:r w:rsidRPr="00C062DE">
              <w:rPr>
                <w:b w:val="0"/>
                <w:sz w:val="18"/>
                <w:szCs w:val="18"/>
                <w:lang w:val="en-AU"/>
              </w:rPr>
              <w:t>6.6</w:t>
            </w:r>
          </w:p>
        </w:tc>
        <w:tc>
          <w:tcPr>
            <w:tcW w:w="1251" w:type="dxa"/>
          </w:tcPr>
          <w:p w:rsidR="00AF10A6" w:rsidRPr="00C062DE" w:rsidRDefault="00B37D6E" w:rsidP="00C062DE">
            <w:pPr>
              <w:spacing w:before="0" w:line="240" w:lineRule="auto"/>
              <w:rPr>
                <w:b w:val="0"/>
                <w:sz w:val="18"/>
                <w:szCs w:val="18"/>
                <w:lang w:val="en-AU"/>
              </w:rPr>
            </w:pPr>
            <w:r w:rsidRPr="00C062DE">
              <w:rPr>
                <w:b w:val="0"/>
                <w:sz w:val="18"/>
                <w:szCs w:val="18"/>
                <w:lang w:val="en-AU"/>
              </w:rPr>
              <w:t>19.2</w:t>
            </w:r>
          </w:p>
        </w:tc>
        <w:tc>
          <w:tcPr>
            <w:tcW w:w="1222" w:type="dxa"/>
          </w:tcPr>
          <w:p w:rsidR="00AF10A6" w:rsidRPr="00C062DE" w:rsidRDefault="00B37D6E" w:rsidP="00C062DE">
            <w:pPr>
              <w:spacing w:before="0" w:line="240" w:lineRule="auto"/>
              <w:rPr>
                <w:b w:val="0"/>
                <w:sz w:val="18"/>
                <w:szCs w:val="18"/>
                <w:lang w:val="en-AU"/>
              </w:rPr>
            </w:pPr>
            <w:r w:rsidRPr="00C062DE">
              <w:rPr>
                <w:b w:val="0"/>
                <w:sz w:val="18"/>
                <w:szCs w:val="18"/>
                <w:lang w:val="en-AU"/>
              </w:rPr>
              <w:t>2.7</w:t>
            </w:r>
          </w:p>
        </w:tc>
        <w:tc>
          <w:tcPr>
            <w:tcW w:w="1252" w:type="dxa"/>
          </w:tcPr>
          <w:p w:rsidR="00AF10A6" w:rsidRPr="00C062DE" w:rsidRDefault="00B37D6E" w:rsidP="00C062DE">
            <w:pPr>
              <w:spacing w:before="0" w:line="240" w:lineRule="auto"/>
              <w:rPr>
                <w:b w:val="0"/>
                <w:sz w:val="18"/>
                <w:szCs w:val="18"/>
                <w:lang w:val="en-AU"/>
              </w:rPr>
            </w:pPr>
            <w:r w:rsidRPr="00C062DE">
              <w:rPr>
                <w:b w:val="0"/>
                <w:sz w:val="18"/>
                <w:szCs w:val="18"/>
                <w:lang w:val="en-AU"/>
              </w:rPr>
              <w:t>18.6</w:t>
            </w:r>
          </w:p>
        </w:tc>
        <w:tc>
          <w:tcPr>
            <w:tcW w:w="1477" w:type="dxa"/>
          </w:tcPr>
          <w:p w:rsidR="00AF10A6" w:rsidRPr="00C062DE" w:rsidRDefault="00B37D6E" w:rsidP="00C062DE">
            <w:pPr>
              <w:spacing w:before="0" w:line="240" w:lineRule="auto"/>
              <w:rPr>
                <w:b w:val="0"/>
                <w:sz w:val="18"/>
                <w:szCs w:val="18"/>
                <w:lang w:val="en-AU"/>
              </w:rPr>
            </w:pPr>
            <w:r w:rsidRPr="00C062DE">
              <w:rPr>
                <w:b w:val="0"/>
                <w:sz w:val="18"/>
                <w:szCs w:val="18"/>
                <w:lang w:val="en-AU"/>
              </w:rPr>
              <w:t>Very common</w:t>
            </w:r>
          </w:p>
        </w:tc>
      </w:tr>
      <w:tr w:rsidR="00AF10A6" w:rsidRPr="00DE6BF0" w:rsidTr="00C062DE">
        <w:tc>
          <w:tcPr>
            <w:tcW w:w="9640" w:type="dxa"/>
            <w:gridSpan w:val="7"/>
          </w:tcPr>
          <w:p w:rsidR="00AF10A6" w:rsidRPr="00C062DE" w:rsidRDefault="00AF10A6" w:rsidP="00C062DE">
            <w:pPr>
              <w:spacing w:before="0" w:line="240" w:lineRule="auto"/>
              <w:rPr>
                <w:b w:val="0"/>
                <w:sz w:val="18"/>
                <w:szCs w:val="18"/>
                <w:lang w:val="en-AU"/>
              </w:rPr>
            </w:pPr>
            <w:r w:rsidRPr="00C062DE">
              <w:rPr>
                <w:bCs/>
                <w:sz w:val="18"/>
                <w:szCs w:val="18"/>
                <w:lang w:val="en-AU"/>
              </w:rPr>
              <w:t>Skin and subcutaneous tissue disorders</w:t>
            </w:r>
          </w:p>
        </w:tc>
      </w:tr>
      <w:tr w:rsidR="00AF10A6" w:rsidRPr="00DE6BF0" w:rsidTr="00C062DE">
        <w:tc>
          <w:tcPr>
            <w:tcW w:w="1982" w:type="dxa"/>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Bruising</w:t>
            </w:r>
            <w:r w:rsidRPr="00C062DE">
              <w:rPr>
                <w:b w:val="0"/>
                <w:sz w:val="18"/>
                <w:szCs w:val="18"/>
                <w:vertAlign w:val="superscript"/>
                <w:lang w:val="en-AU"/>
              </w:rPr>
              <w:t>1</w:t>
            </w:r>
          </w:p>
        </w:tc>
        <w:tc>
          <w:tcPr>
            <w:tcW w:w="1251" w:type="dxa"/>
          </w:tcPr>
          <w:p w:rsidR="00AF10A6" w:rsidRPr="00C062DE" w:rsidRDefault="00B37D6E" w:rsidP="00C062DE">
            <w:pPr>
              <w:spacing w:before="0" w:line="240" w:lineRule="auto"/>
              <w:rPr>
                <w:b w:val="0"/>
                <w:sz w:val="18"/>
                <w:szCs w:val="18"/>
                <w:lang w:val="en-AU"/>
              </w:rPr>
            </w:pPr>
            <w:r w:rsidRPr="00C062DE">
              <w:rPr>
                <w:b w:val="0"/>
                <w:sz w:val="18"/>
                <w:szCs w:val="18"/>
                <w:lang w:val="en-AU"/>
              </w:rPr>
              <w:t>23.2</w:t>
            </w:r>
          </w:p>
        </w:tc>
        <w:tc>
          <w:tcPr>
            <w:tcW w:w="1205" w:type="dxa"/>
          </w:tcPr>
          <w:p w:rsidR="00AF10A6" w:rsidRPr="00C062DE" w:rsidRDefault="00B37D6E" w:rsidP="00C062DE">
            <w:pPr>
              <w:spacing w:before="0" w:line="240" w:lineRule="auto"/>
              <w:rPr>
                <w:b w:val="0"/>
                <w:sz w:val="18"/>
                <w:szCs w:val="18"/>
                <w:lang w:val="en-AU"/>
              </w:rPr>
            </w:pPr>
            <w:r w:rsidRPr="00C062DE">
              <w:rPr>
                <w:b w:val="0"/>
                <w:sz w:val="18"/>
                <w:szCs w:val="18"/>
                <w:lang w:val="en-AU"/>
              </w:rPr>
              <w:t>14.6</w:t>
            </w:r>
          </w:p>
        </w:tc>
        <w:tc>
          <w:tcPr>
            <w:tcW w:w="1251" w:type="dxa"/>
          </w:tcPr>
          <w:p w:rsidR="00AF10A6" w:rsidRPr="00C062DE" w:rsidRDefault="008E160C" w:rsidP="00C062DE">
            <w:pPr>
              <w:spacing w:before="0" w:line="240" w:lineRule="auto"/>
              <w:rPr>
                <w:b w:val="0"/>
                <w:sz w:val="18"/>
                <w:szCs w:val="18"/>
                <w:lang w:val="en-AU"/>
              </w:rPr>
            </w:pPr>
            <w:r>
              <w:rPr>
                <w:b w:val="0"/>
                <w:sz w:val="18"/>
                <w:szCs w:val="18"/>
                <w:lang w:val="en-AU"/>
              </w:rPr>
              <w:t>15.1</w:t>
            </w:r>
          </w:p>
        </w:tc>
        <w:tc>
          <w:tcPr>
            <w:tcW w:w="1222" w:type="dxa"/>
          </w:tcPr>
          <w:p w:rsidR="00AF10A6" w:rsidRPr="00C062DE" w:rsidRDefault="00B37D6E" w:rsidP="00C062DE">
            <w:pPr>
              <w:spacing w:before="0" w:line="240" w:lineRule="auto"/>
              <w:rPr>
                <w:b w:val="0"/>
                <w:sz w:val="18"/>
                <w:szCs w:val="18"/>
                <w:lang w:val="en-AU"/>
              </w:rPr>
            </w:pPr>
            <w:r w:rsidRPr="00C062DE">
              <w:rPr>
                <w:b w:val="0"/>
                <w:sz w:val="18"/>
                <w:szCs w:val="18"/>
                <w:lang w:val="en-AU"/>
              </w:rPr>
              <w:t>5.5</w:t>
            </w:r>
          </w:p>
        </w:tc>
        <w:tc>
          <w:tcPr>
            <w:tcW w:w="1252" w:type="dxa"/>
          </w:tcPr>
          <w:p w:rsidR="00AF10A6" w:rsidRPr="00C062DE" w:rsidRDefault="008E160C" w:rsidP="00C062DE">
            <w:pPr>
              <w:spacing w:before="0" w:line="240" w:lineRule="auto"/>
              <w:rPr>
                <w:b w:val="0"/>
                <w:sz w:val="18"/>
                <w:szCs w:val="18"/>
                <w:lang w:val="en-AU"/>
              </w:rPr>
            </w:pPr>
            <w:r>
              <w:rPr>
                <w:b w:val="0"/>
                <w:sz w:val="18"/>
                <w:szCs w:val="18"/>
                <w:lang w:val="en-AU"/>
              </w:rPr>
              <w:t>19.3</w:t>
            </w:r>
          </w:p>
        </w:tc>
        <w:tc>
          <w:tcPr>
            <w:tcW w:w="1477" w:type="dxa"/>
          </w:tcPr>
          <w:p w:rsidR="00AF10A6" w:rsidRPr="00C062DE" w:rsidRDefault="00B37D6E" w:rsidP="00C062DE">
            <w:pPr>
              <w:spacing w:before="0" w:line="240" w:lineRule="auto"/>
              <w:rPr>
                <w:b w:val="0"/>
                <w:sz w:val="18"/>
                <w:szCs w:val="18"/>
                <w:lang w:val="en-AU"/>
              </w:rPr>
            </w:pPr>
            <w:r w:rsidRPr="00C062DE">
              <w:rPr>
                <w:b w:val="0"/>
                <w:sz w:val="18"/>
                <w:szCs w:val="18"/>
                <w:lang w:val="en-AU"/>
              </w:rPr>
              <w:t>Very common</w:t>
            </w:r>
          </w:p>
        </w:tc>
      </w:tr>
      <w:tr w:rsidR="00AF10A6" w:rsidRPr="00DE6BF0" w:rsidTr="00C062DE">
        <w:trPr>
          <w:trHeight w:val="576"/>
        </w:trPr>
        <w:tc>
          <w:tcPr>
            <w:tcW w:w="9640" w:type="dxa"/>
            <w:gridSpan w:val="7"/>
          </w:tcPr>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1 Frequency is based on adverse event data.</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2 Frequency is based on laboratory values.</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 subject with multiple occurrences of an ADR is counted only once in that ADR category.</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-ADRs reported are on treatment or up to 28 days post treatment end date.</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3 Common Terminology Criteria for Adverse Events (CTCAE) Version 3.0;</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Grade 1=mild, Grade 2= moderate, Grade 3=severe, grade 4=life-threatening or disabling.</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 xml:space="preserve">4 In phase 3 clinical studies no CTCAE grade 3 or 4 </w:t>
            </w:r>
            <w:proofErr w:type="spellStart"/>
            <w:r w:rsidRPr="00C062DE">
              <w:rPr>
                <w:b w:val="0"/>
                <w:sz w:val="18"/>
                <w:szCs w:val="18"/>
                <w:lang w:val="en-AU"/>
              </w:rPr>
              <w:t>hypercholesterolaemia</w:t>
            </w:r>
            <w:proofErr w:type="spellEnd"/>
            <w:r w:rsidRPr="00C062DE">
              <w:rPr>
                <w:b w:val="0"/>
                <w:sz w:val="18"/>
                <w:szCs w:val="18"/>
                <w:lang w:val="en-AU"/>
              </w:rPr>
              <w:t xml:space="preserve"> was observed.</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lastRenderedPageBreak/>
              <w:t>5 In phase 3 clinical studies no CTCAE grade 4 raised alanine aminotransferase was observed and no CTCAE</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grade 3 or 4 raised aspartate aminotransferase was observed.</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ULN = upper limit of normal</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 subject with multiple occurrences of an ADR is counted only once in that ADR category.</w:t>
            </w:r>
          </w:p>
          <w:p w:rsidR="00AF10A6" w:rsidRPr="00C062DE" w:rsidRDefault="00AF10A6" w:rsidP="00C062DE">
            <w:pPr>
              <w:tabs>
                <w:tab w:val="clear" w:pos="-720"/>
                <w:tab w:val="clear" w:pos="0"/>
                <w:tab w:val="clear" w:pos="720"/>
                <w:tab w:val="clear" w:pos="1440"/>
                <w:tab w:val="clear" w:pos="2160"/>
                <w:tab w:val="clear" w:pos="2880"/>
                <w:tab w:val="clear" w:pos="3600"/>
                <w:tab w:val="clear" w:pos="4320"/>
              </w:tabs>
              <w:spacing w:before="0" w:line="240" w:lineRule="auto"/>
              <w:jc w:val="left"/>
              <w:rPr>
                <w:b w:val="0"/>
                <w:sz w:val="18"/>
                <w:szCs w:val="18"/>
                <w:lang w:val="en-AU"/>
              </w:rPr>
            </w:pPr>
            <w:r w:rsidRPr="00C062DE">
              <w:rPr>
                <w:b w:val="0"/>
                <w:sz w:val="18"/>
                <w:szCs w:val="18"/>
                <w:lang w:val="en-AU"/>
              </w:rPr>
              <w:t>-ADRs reported are on treatment or up to 28 days post treatment end date.</w:t>
            </w:r>
          </w:p>
        </w:tc>
      </w:tr>
    </w:tbl>
    <w:p w:rsidR="00134CF6" w:rsidRPr="00DE6BF0" w:rsidRDefault="00134CF6" w:rsidP="003D0A20">
      <w:pPr>
        <w:rPr>
          <w:b w:val="0"/>
          <w:lang w:val="en-AU"/>
        </w:rPr>
      </w:pPr>
      <w:r w:rsidRPr="00DE6BF0">
        <w:rPr>
          <w:b w:val="0"/>
          <w:lang w:val="en-AU"/>
        </w:rPr>
        <w:lastRenderedPageBreak/>
        <w:t xml:space="preserve">Upon discontinuation patients may experience a return of </w:t>
      </w:r>
      <w:proofErr w:type="spellStart"/>
      <w:r w:rsidRPr="00DE6BF0">
        <w:rPr>
          <w:b w:val="0"/>
          <w:lang w:val="en-AU"/>
        </w:rPr>
        <w:t>myelofibrosis</w:t>
      </w:r>
      <w:proofErr w:type="spellEnd"/>
      <w:r w:rsidRPr="00DE6BF0">
        <w:rPr>
          <w:b w:val="0"/>
          <w:lang w:val="en-AU"/>
        </w:rPr>
        <w:t xml:space="preserve"> symptoms such as</w:t>
      </w:r>
      <w:r w:rsidR="00F1542A" w:rsidRPr="00DE6BF0">
        <w:rPr>
          <w:b w:val="0"/>
          <w:lang w:val="en-AU"/>
        </w:rPr>
        <w:t xml:space="preserve"> </w:t>
      </w:r>
      <w:r w:rsidRPr="00DE6BF0">
        <w:rPr>
          <w:b w:val="0"/>
          <w:lang w:val="en-AU"/>
        </w:rPr>
        <w:t>fatigue, bone pain, fever, pruritus, night sweats, symptomatic splenomegaly and weight loss. In</w:t>
      </w:r>
      <w:r w:rsidR="00F1542A" w:rsidRPr="00DE6BF0">
        <w:rPr>
          <w:b w:val="0"/>
          <w:lang w:val="en-AU"/>
        </w:rPr>
        <w:t xml:space="preserve"> </w:t>
      </w:r>
      <w:r w:rsidRPr="00DE6BF0">
        <w:rPr>
          <w:b w:val="0"/>
          <w:lang w:val="en-AU"/>
        </w:rPr>
        <w:t xml:space="preserve">clinical studies the total symptom score for </w:t>
      </w:r>
      <w:proofErr w:type="spellStart"/>
      <w:r w:rsidRPr="00DE6BF0">
        <w:rPr>
          <w:b w:val="0"/>
          <w:lang w:val="en-AU"/>
        </w:rPr>
        <w:t>myelofibrosis</w:t>
      </w:r>
      <w:proofErr w:type="spellEnd"/>
      <w:r w:rsidRPr="00DE6BF0">
        <w:rPr>
          <w:b w:val="0"/>
          <w:lang w:val="en-AU"/>
        </w:rPr>
        <w:t xml:space="preserve"> symptoms gradually returned to</w:t>
      </w:r>
      <w:r w:rsidR="00F1542A" w:rsidRPr="00DE6BF0">
        <w:rPr>
          <w:b w:val="0"/>
          <w:lang w:val="en-AU"/>
        </w:rPr>
        <w:t xml:space="preserve"> </w:t>
      </w:r>
      <w:r w:rsidRPr="00DE6BF0">
        <w:rPr>
          <w:b w:val="0"/>
          <w:lang w:val="en-AU"/>
        </w:rPr>
        <w:t>baseline values within 7 days after dose discontinuation.</w:t>
      </w:r>
    </w:p>
    <w:p w:rsidR="00134CF6" w:rsidRPr="00DE6BF0" w:rsidRDefault="00134CF6" w:rsidP="00F1542A">
      <w:pPr>
        <w:pStyle w:val="Heading2"/>
        <w:rPr>
          <w:lang w:val="en-AU"/>
        </w:rPr>
      </w:pPr>
      <w:r w:rsidRPr="00DE6BF0">
        <w:rPr>
          <w:lang w:val="en-AU"/>
        </w:rPr>
        <w:t>Description of selected adverse drug reactions</w:t>
      </w:r>
    </w:p>
    <w:p w:rsidR="00134CF6" w:rsidRPr="00DE6BF0" w:rsidRDefault="00134CF6" w:rsidP="003D0A20">
      <w:pPr>
        <w:rPr>
          <w:lang w:val="en-AU"/>
        </w:rPr>
      </w:pPr>
      <w:r w:rsidRPr="00DE6BF0">
        <w:rPr>
          <w:lang w:val="en-AU"/>
        </w:rPr>
        <w:t>An</w:t>
      </w:r>
      <w:r w:rsidR="00CD643E">
        <w:rPr>
          <w:lang w:val="en-AU"/>
        </w:rPr>
        <w:t>a</w:t>
      </w:r>
      <w:r w:rsidRPr="00DE6BF0">
        <w:rPr>
          <w:lang w:val="en-AU"/>
        </w:rPr>
        <w:t>emia</w:t>
      </w:r>
    </w:p>
    <w:p w:rsidR="00F1542A" w:rsidRPr="00DE6BF0" w:rsidRDefault="00134CF6" w:rsidP="003D0A20">
      <w:pPr>
        <w:rPr>
          <w:b w:val="0"/>
          <w:lang w:val="en-AU"/>
        </w:rPr>
      </w:pPr>
      <w:r w:rsidRPr="00DE6BF0">
        <w:rPr>
          <w:b w:val="0"/>
          <w:lang w:val="en-AU"/>
        </w:rPr>
        <w:t>In phase 3 clinical studies, median time to onset of first CTCAE grade 2 or higher an</w:t>
      </w:r>
      <w:r w:rsidR="00CD643E">
        <w:rPr>
          <w:b w:val="0"/>
          <w:lang w:val="en-AU"/>
        </w:rPr>
        <w:t>a</w:t>
      </w:r>
      <w:r w:rsidRPr="00DE6BF0">
        <w:rPr>
          <w:b w:val="0"/>
          <w:lang w:val="en-AU"/>
        </w:rPr>
        <w:t>emia was</w:t>
      </w:r>
      <w:r w:rsidR="00F1542A" w:rsidRPr="00DE6BF0">
        <w:rPr>
          <w:b w:val="0"/>
          <w:lang w:val="en-AU"/>
        </w:rPr>
        <w:t xml:space="preserve"> </w:t>
      </w:r>
      <w:r w:rsidRPr="00DE6BF0">
        <w:rPr>
          <w:b w:val="0"/>
          <w:lang w:val="en-AU"/>
        </w:rPr>
        <w:t>1.5 months. One patient (0.3%) discontinued treatment because of an</w:t>
      </w:r>
      <w:r w:rsidR="00CD643E">
        <w:rPr>
          <w:b w:val="0"/>
          <w:lang w:val="en-AU"/>
        </w:rPr>
        <w:t>a</w:t>
      </w:r>
      <w:r w:rsidRPr="00DE6BF0">
        <w:rPr>
          <w:b w:val="0"/>
          <w:lang w:val="en-AU"/>
        </w:rPr>
        <w:t>emia.</w:t>
      </w:r>
      <w:r w:rsidR="00F1542A" w:rsidRPr="00DE6BF0">
        <w:rPr>
          <w:b w:val="0"/>
          <w:lang w:val="en-AU"/>
        </w:rPr>
        <w:t xml:space="preserve"> </w:t>
      </w:r>
    </w:p>
    <w:p w:rsidR="00134CF6" w:rsidRPr="00DE6BF0" w:rsidRDefault="00134CF6" w:rsidP="003D0A20">
      <w:pPr>
        <w:rPr>
          <w:b w:val="0"/>
          <w:lang w:val="en-AU"/>
        </w:rPr>
      </w:pPr>
      <w:r w:rsidRPr="00DE6BF0">
        <w:rPr>
          <w:b w:val="0"/>
          <w:lang w:val="en-AU"/>
        </w:rPr>
        <w:t xml:space="preserve">In patients receiving </w:t>
      </w:r>
      <w:proofErr w:type="spellStart"/>
      <w:r w:rsidRPr="00DE6BF0">
        <w:rPr>
          <w:b w:val="0"/>
          <w:lang w:val="en-AU"/>
        </w:rPr>
        <w:t>Jakavi</w:t>
      </w:r>
      <w:proofErr w:type="spellEnd"/>
      <w:r w:rsidRPr="00DE6BF0">
        <w:rPr>
          <w:b w:val="0"/>
          <w:lang w:val="en-AU"/>
        </w:rPr>
        <w:t xml:space="preserve"> mean decreases in h</w:t>
      </w:r>
      <w:r w:rsidR="00CD643E">
        <w:rPr>
          <w:b w:val="0"/>
          <w:lang w:val="en-AU"/>
        </w:rPr>
        <w:t>a</w:t>
      </w:r>
      <w:r w:rsidRPr="00DE6BF0">
        <w:rPr>
          <w:b w:val="0"/>
          <w:lang w:val="en-AU"/>
        </w:rPr>
        <w:t>emoglobin reached a nadir of approximately 15</w:t>
      </w:r>
      <w:r w:rsidR="00F1542A" w:rsidRPr="00DE6BF0">
        <w:rPr>
          <w:b w:val="0"/>
          <w:lang w:val="en-AU"/>
        </w:rPr>
        <w:t xml:space="preserve"> </w:t>
      </w:r>
      <w:r w:rsidRPr="00DE6BF0">
        <w:rPr>
          <w:b w:val="0"/>
          <w:lang w:val="en-AU"/>
        </w:rPr>
        <w:t>to 20 g/L below baseline after 8 to 12 weeks of therapy and then gradually recovered to reach a</w:t>
      </w:r>
      <w:r w:rsidR="00F1542A" w:rsidRPr="00DE6BF0">
        <w:rPr>
          <w:b w:val="0"/>
          <w:lang w:val="en-AU"/>
        </w:rPr>
        <w:t xml:space="preserve"> </w:t>
      </w:r>
      <w:r w:rsidRPr="00DE6BF0">
        <w:rPr>
          <w:b w:val="0"/>
          <w:lang w:val="en-AU"/>
        </w:rPr>
        <w:t>new steady state that was approximately 10 g/L below baseline. This pattern was observed in</w:t>
      </w:r>
      <w:r w:rsidR="00F1542A" w:rsidRPr="00DE6BF0">
        <w:rPr>
          <w:b w:val="0"/>
          <w:lang w:val="en-AU"/>
        </w:rPr>
        <w:t xml:space="preserve"> </w:t>
      </w:r>
      <w:r w:rsidRPr="00DE6BF0">
        <w:rPr>
          <w:b w:val="0"/>
          <w:lang w:val="en-AU"/>
        </w:rPr>
        <w:t>patients regardless of whether they had received transfusion during therapy.</w:t>
      </w:r>
    </w:p>
    <w:p w:rsidR="00134CF6" w:rsidRPr="00DE6BF0" w:rsidRDefault="00134CF6" w:rsidP="003D0A20">
      <w:pPr>
        <w:rPr>
          <w:b w:val="0"/>
          <w:lang w:val="en-AU"/>
        </w:rPr>
      </w:pPr>
      <w:r w:rsidRPr="00DE6BF0">
        <w:rPr>
          <w:b w:val="0"/>
          <w:lang w:val="en-AU"/>
        </w:rPr>
        <w:t xml:space="preserve">In the randomized, placebo controlled study (COMFORT-I), 59.4% of </w:t>
      </w:r>
      <w:proofErr w:type="spellStart"/>
      <w:r w:rsidRPr="00DE6BF0">
        <w:rPr>
          <w:b w:val="0"/>
          <w:lang w:val="en-AU"/>
        </w:rPr>
        <w:t>Jakavi</w:t>
      </w:r>
      <w:proofErr w:type="spellEnd"/>
      <w:r w:rsidRPr="00DE6BF0">
        <w:rPr>
          <w:b w:val="0"/>
          <w:lang w:val="en-AU"/>
        </w:rPr>
        <w:t xml:space="preserve"> treated patients</w:t>
      </w:r>
      <w:r w:rsidR="00F1542A" w:rsidRPr="00DE6BF0">
        <w:rPr>
          <w:b w:val="0"/>
          <w:lang w:val="en-AU"/>
        </w:rPr>
        <w:t xml:space="preserve"> </w:t>
      </w:r>
      <w:r w:rsidRPr="00DE6BF0">
        <w:rPr>
          <w:b w:val="0"/>
          <w:lang w:val="en-AU"/>
        </w:rPr>
        <w:t>and 37.1% of patients receiving placebo received red blood cell transfusions during randomized</w:t>
      </w:r>
      <w:r w:rsidR="00F1542A" w:rsidRPr="00DE6BF0">
        <w:rPr>
          <w:b w:val="0"/>
          <w:lang w:val="en-AU"/>
        </w:rPr>
        <w:t xml:space="preserve"> </w:t>
      </w:r>
      <w:r w:rsidRPr="00DE6BF0">
        <w:rPr>
          <w:b w:val="0"/>
          <w:lang w:val="en-AU"/>
        </w:rPr>
        <w:t>treatment. In the COMFORT-II study, the rate of packed red blood cell transfusions was 51.4%</w:t>
      </w:r>
      <w:r w:rsidR="00F1542A" w:rsidRPr="00DE6BF0">
        <w:rPr>
          <w:b w:val="0"/>
          <w:lang w:val="en-AU"/>
        </w:rPr>
        <w:t xml:space="preserve"> </w:t>
      </w:r>
      <w:r w:rsidRPr="00DE6BF0">
        <w:rPr>
          <w:b w:val="0"/>
          <w:lang w:val="en-AU"/>
        </w:rPr>
        <w:t xml:space="preserve">in the </w:t>
      </w:r>
      <w:proofErr w:type="spellStart"/>
      <w:r w:rsidRPr="00DE6BF0">
        <w:rPr>
          <w:b w:val="0"/>
          <w:lang w:val="en-AU"/>
        </w:rPr>
        <w:t>Jakavi</w:t>
      </w:r>
      <w:proofErr w:type="spellEnd"/>
      <w:r w:rsidRPr="00DE6BF0">
        <w:rPr>
          <w:b w:val="0"/>
          <w:lang w:val="en-AU"/>
        </w:rPr>
        <w:t xml:space="preserve"> arm and 38.4% in the best available therapy arm (BAT).</w:t>
      </w:r>
    </w:p>
    <w:p w:rsidR="00134CF6" w:rsidRPr="00DE6BF0" w:rsidRDefault="00134CF6" w:rsidP="003D0A20">
      <w:pPr>
        <w:rPr>
          <w:lang w:val="en-AU"/>
        </w:rPr>
      </w:pPr>
      <w:r w:rsidRPr="00DE6BF0">
        <w:rPr>
          <w:lang w:val="en-AU"/>
        </w:rPr>
        <w:t>Thrombocytopenia</w:t>
      </w:r>
    </w:p>
    <w:p w:rsidR="00134CF6" w:rsidRPr="00DE6BF0" w:rsidRDefault="00134CF6" w:rsidP="003D0A20">
      <w:pPr>
        <w:rPr>
          <w:b w:val="0"/>
          <w:lang w:val="en-AU"/>
        </w:rPr>
      </w:pPr>
      <w:r w:rsidRPr="00DE6BF0">
        <w:rPr>
          <w:b w:val="0"/>
          <w:lang w:val="en-AU"/>
        </w:rPr>
        <w:t>In the Phase 3 clinical studies, in patients who developed grade 3 or 4 thrombocytopenia, the</w:t>
      </w:r>
      <w:r w:rsidR="00F1542A" w:rsidRPr="00DE6BF0">
        <w:rPr>
          <w:b w:val="0"/>
          <w:lang w:val="en-AU"/>
        </w:rPr>
        <w:t xml:space="preserve"> </w:t>
      </w:r>
      <w:r w:rsidRPr="00DE6BF0">
        <w:rPr>
          <w:b w:val="0"/>
          <w:lang w:val="en-AU"/>
        </w:rPr>
        <w:t>median time to onset was approximately 8 weeks. Thrombocytopenia</w:t>
      </w:r>
      <w:r w:rsidR="00F1542A" w:rsidRPr="00DE6BF0">
        <w:rPr>
          <w:b w:val="0"/>
          <w:lang w:val="en-AU"/>
        </w:rPr>
        <w:t xml:space="preserve"> </w:t>
      </w:r>
      <w:r w:rsidRPr="00DE6BF0">
        <w:rPr>
          <w:b w:val="0"/>
          <w:lang w:val="en-AU"/>
        </w:rPr>
        <w:t>was generally reversible with dose reduction or dose interruption. The median time to recovery</w:t>
      </w:r>
      <w:r w:rsidR="00F1542A" w:rsidRPr="00DE6BF0">
        <w:rPr>
          <w:b w:val="0"/>
          <w:lang w:val="en-AU"/>
        </w:rPr>
        <w:t xml:space="preserve"> </w:t>
      </w:r>
      <w:r w:rsidRPr="00DE6BF0">
        <w:rPr>
          <w:b w:val="0"/>
          <w:lang w:val="en-AU"/>
        </w:rPr>
        <w:t>of platelet counts above 50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was 14 days. Platelet transfusions were administered to</w:t>
      </w:r>
      <w:r w:rsidR="00F1542A" w:rsidRPr="00DE6BF0">
        <w:rPr>
          <w:b w:val="0"/>
          <w:lang w:val="en-AU"/>
        </w:rPr>
        <w:t xml:space="preserve"> </w:t>
      </w:r>
      <w:r w:rsidRPr="00DE6BF0">
        <w:rPr>
          <w:b w:val="0"/>
          <w:lang w:val="en-AU"/>
        </w:rPr>
        <w:t xml:space="preserve">4.5% of patients receiving </w:t>
      </w:r>
      <w:proofErr w:type="spellStart"/>
      <w:r w:rsidRPr="00DE6BF0">
        <w:rPr>
          <w:b w:val="0"/>
          <w:lang w:val="en-AU"/>
        </w:rPr>
        <w:t>Jakavi</w:t>
      </w:r>
      <w:proofErr w:type="spellEnd"/>
      <w:r w:rsidRPr="00DE6BF0">
        <w:rPr>
          <w:b w:val="0"/>
          <w:lang w:val="en-AU"/>
        </w:rPr>
        <w:t xml:space="preserve"> and to 5.8% of patients receiving control regimens. Discontinuation of treatment because of thrombocytopenia occurred in 0.7% of patients</w:t>
      </w:r>
      <w:r w:rsidR="00F1542A" w:rsidRPr="00DE6BF0">
        <w:rPr>
          <w:b w:val="0"/>
          <w:lang w:val="en-AU"/>
        </w:rPr>
        <w:t xml:space="preserve"> </w:t>
      </w:r>
      <w:r w:rsidRPr="00DE6BF0">
        <w:rPr>
          <w:b w:val="0"/>
          <w:lang w:val="en-AU"/>
        </w:rPr>
        <w:t xml:space="preserve">receiving </w:t>
      </w:r>
      <w:proofErr w:type="spellStart"/>
      <w:r w:rsidRPr="00DE6BF0">
        <w:rPr>
          <w:b w:val="0"/>
          <w:lang w:val="en-AU"/>
        </w:rPr>
        <w:t>Jakavi</w:t>
      </w:r>
      <w:proofErr w:type="spellEnd"/>
      <w:r w:rsidRPr="00DE6BF0">
        <w:rPr>
          <w:b w:val="0"/>
          <w:lang w:val="en-AU"/>
        </w:rPr>
        <w:t xml:space="preserve"> and 0.9% of patients receiving control regimens. Patients with a platelet count</w:t>
      </w:r>
      <w:r w:rsidR="00F1542A" w:rsidRPr="00DE6BF0">
        <w:rPr>
          <w:b w:val="0"/>
          <w:lang w:val="en-AU"/>
        </w:rPr>
        <w:t xml:space="preserve"> </w:t>
      </w:r>
      <w:r w:rsidRPr="00DE6BF0">
        <w:rPr>
          <w:b w:val="0"/>
          <w:lang w:val="en-AU"/>
        </w:rPr>
        <w:t>of 100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to 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before starting </w:t>
      </w:r>
      <w:proofErr w:type="spellStart"/>
      <w:r w:rsidRPr="00DE6BF0">
        <w:rPr>
          <w:b w:val="0"/>
          <w:lang w:val="en-AU"/>
        </w:rPr>
        <w:t>Jakavi</w:t>
      </w:r>
      <w:proofErr w:type="spellEnd"/>
      <w:r w:rsidRPr="00DE6BF0">
        <w:rPr>
          <w:b w:val="0"/>
          <w:lang w:val="en-AU"/>
        </w:rPr>
        <w:t xml:space="preserve"> had a higher frequency of grade 3 or 4</w:t>
      </w:r>
      <w:r w:rsidR="00F1542A" w:rsidRPr="00DE6BF0">
        <w:rPr>
          <w:b w:val="0"/>
          <w:lang w:val="en-AU"/>
        </w:rPr>
        <w:t xml:space="preserve"> </w:t>
      </w:r>
      <w:r w:rsidRPr="00DE6BF0">
        <w:rPr>
          <w:b w:val="0"/>
          <w:lang w:val="en-AU"/>
        </w:rPr>
        <w:t>thrombocytopenia compared to patients with platelet count &gt;200</w:t>
      </w:r>
      <w:r w:rsidR="001D393A">
        <w:rPr>
          <w:b w:val="0"/>
          <w:lang w:val="en-AU"/>
        </w:rPr>
        <w:t>X 10</w:t>
      </w:r>
      <w:r w:rsidR="001D393A" w:rsidRPr="0054289A">
        <w:rPr>
          <w:b w:val="0"/>
          <w:vertAlign w:val="superscript"/>
          <w:lang w:val="en-AU"/>
        </w:rPr>
        <w:t>9</w:t>
      </w:r>
      <w:r w:rsidR="001D393A">
        <w:rPr>
          <w:b w:val="0"/>
          <w:lang w:val="en-AU"/>
        </w:rPr>
        <w:t>/L</w:t>
      </w:r>
      <w:r w:rsidRPr="00DE6BF0">
        <w:rPr>
          <w:b w:val="0"/>
          <w:lang w:val="en-AU"/>
        </w:rPr>
        <w:t xml:space="preserve"> (64.2% versus</w:t>
      </w:r>
      <w:r w:rsidR="00F1542A" w:rsidRPr="00DE6BF0">
        <w:rPr>
          <w:b w:val="0"/>
          <w:lang w:val="en-AU"/>
        </w:rPr>
        <w:t xml:space="preserve"> </w:t>
      </w:r>
      <w:r w:rsidRPr="00DE6BF0">
        <w:rPr>
          <w:b w:val="0"/>
          <w:lang w:val="en-AU"/>
        </w:rPr>
        <w:t>35.4%).</w:t>
      </w:r>
    </w:p>
    <w:p w:rsidR="00134CF6" w:rsidRPr="00DE6BF0" w:rsidRDefault="00134CF6" w:rsidP="003D0A20">
      <w:pPr>
        <w:rPr>
          <w:lang w:val="en-AU"/>
        </w:rPr>
      </w:pPr>
      <w:r w:rsidRPr="00DE6BF0">
        <w:rPr>
          <w:lang w:val="en-AU"/>
        </w:rPr>
        <w:t>Neutropenia</w:t>
      </w:r>
    </w:p>
    <w:p w:rsidR="00134CF6" w:rsidRPr="00DE6BF0" w:rsidRDefault="00134CF6" w:rsidP="003D0A20">
      <w:pPr>
        <w:rPr>
          <w:b w:val="0"/>
          <w:lang w:val="en-AU"/>
        </w:rPr>
      </w:pPr>
      <w:r w:rsidRPr="00DE6BF0">
        <w:rPr>
          <w:b w:val="0"/>
          <w:lang w:val="en-AU"/>
        </w:rPr>
        <w:t>In the phase 3 clinical studies, in patients who developed grade 3 or 4 neutropenia, the median</w:t>
      </w:r>
      <w:r w:rsidR="00F1542A" w:rsidRPr="00DE6BF0">
        <w:rPr>
          <w:b w:val="0"/>
          <w:lang w:val="en-AU"/>
        </w:rPr>
        <w:t xml:space="preserve"> </w:t>
      </w:r>
      <w:r w:rsidRPr="00DE6BF0">
        <w:rPr>
          <w:b w:val="0"/>
          <w:lang w:val="en-AU"/>
        </w:rPr>
        <w:t>time of onset was 12 weeks. Dose holding or reductions</w:t>
      </w:r>
      <w:r w:rsidR="00F1542A" w:rsidRPr="00DE6BF0">
        <w:rPr>
          <w:b w:val="0"/>
          <w:lang w:val="en-AU"/>
        </w:rPr>
        <w:t xml:space="preserve"> </w:t>
      </w:r>
      <w:r w:rsidRPr="00DE6BF0">
        <w:rPr>
          <w:b w:val="0"/>
          <w:lang w:val="en-AU"/>
        </w:rPr>
        <w:t>due to neutropenia were reported in 1.3% of patients and 0.3% of patients discontinued</w:t>
      </w:r>
      <w:r w:rsidR="00F1542A" w:rsidRPr="00DE6BF0">
        <w:rPr>
          <w:b w:val="0"/>
          <w:lang w:val="en-AU"/>
        </w:rPr>
        <w:t xml:space="preserve"> </w:t>
      </w:r>
      <w:r w:rsidRPr="00DE6BF0">
        <w:rPr>
          <w:b w:val="0"/>
          <w:lang w:val="en-AU"/>
        </w:rPr>
        <w:t>treatment because of neutropenia.</w:t>
      </w:r>
    </w:p>
    <w:p w:rsidR="00134CF6" w:rsidRPr="00DE6BF0" w:rsidRDefault="00134CF6" w:rsidP="003D0A20">
      <w:pPr>
        <w:rPr>
          <w:lang w:val="en-AU"/>
        </w:rPr>
      </w:pPr>
      <w:r w:rsidRPr="00DE6BF0">
        <w:rPr>
          <w:lang w:val="en-AU"/>
        </w:rPr>
        <w:t>Urinary tract infections</w:t>
      </w:r>
    </w:p>
    <w:p w:rsidR="00134CF6" w:rsidRPr="00DE6BF0" w:rsidRDefault="00134CF6" w:rsidP="003D0A20">
      <w:pPr>
        <w:rPr>
          <w:b w:val="0"/>
          <w:lang w:val="en-AU"/>
        </w:rPr>
      </w:pPr>
      <w:r w:rsidRPr="00DE6BF0">
        <w:rPr>
          <w:b w:val="0"/>
          <w:lang w:val="en-AU"/>
        </w:rPr>
        <w:lastRenderedPageBreak/>
        <w:t>In phase 3 clinical studies grade 3 or 4 urinary tract infection was reported for 1.0% of patients.</w:t>
      </w:r>
      <w:r w:rsidR="00F1542A" w:rsidRPr="00DE6BF0">
        <w:rPr>
          <w:b w:val="0"/>
          <w:lang w:val="en-AU"/>
        </w:rPr>
        <w:t xml:space="preserve"> </w:t>
      </w:r>
      <w:proofErr w:type="spellStart"/>
      <w:r w:rsidRPr="00DE6BF0">
        <w:rPr>
          <w:b w:val="0"/>
          <w:lang w:val="en-AU"/>
        </w:rPr>
        <w:t>Urosepsis</w:t>
      </w:r>
      <w:proofErr w:type="spellEnd"/>
      <w:r w:rsidRPr="00DE6BF0">
        <w:rPr>
          <w:b w:val="0"/>
          <w:lang w:val="en-AU"/>
        </w:rPr>
        <w:t xml:space="preserve"> was reported in 1.0% of patients and kidney infection 1 patient.</w:t>
      </w:r>
    </w:p>
    <w:p w:rsidR="00134CF6" w:rsidRPr="00DE6BF0" w:rsidRDefault="00134CF6" w:rsidP="003D0A20">
      <w:pPr>
        <w:rPr>
          <w:lang w:val="en-AU"/>
        </w:rPr>
      </w:pPr>
      <w:r w:rsidRPr="00DE6BF0">
        <w:rPr>
          <w:lang w:val="en-AU"/>
        </w:rPr>
        <w:t>Herpes zoster</w:t>
      </w:r>
    </w:p>
    <w:p w:rsidR="00134CF6" w:rsidRDefault="00134CF6" w:rsidP="00F1542A">
      <w:pPr>
        <w:rPr>
          <w:b w:val="0"/>
          <w:lang w:val="en-AU"/>
        </w:rPr>
      </w:pPr>
      <w:r w:rsidRPr="00DE6BF0">
        <w:rPr>
          <w:b w:val="0"/>
          <w:lang w:val="en-AU"/>
        </w:rPr>
        <w:t>In phase 3 clinical studies grade 3 or 4 herpes zoster was reported in 1 patient.</w:t>
      </w:r>
    </w:p>
    <w:p w:rsidR="00692833" w:rsidRPr="00692833" w:rsidRDefault="00692833" w:rsidP="00692833">
      <w:pPr>
        <w:pStyle w:val="Text"/>
        <w:keepNext/>
        <w:widowControl w:val="0"/>
        <w:spacing w:before="0"/>
        <w:jc w:val="left"/>
        <w:rPr>
          <w:i/>
        </w:rPr>
      </w:pPr>
    </w:p>
    <w:p w:rsidR="00692833" w:rsidRPr="00692833" w:rsidRDefault="00692833" w:rsidP="00692833">
      <w:pPr>
        <w:pStyle w:val="Text"/>
        <w:keepNext/>
        <w:widowControl w:val="0"/>
        <w:spacing w:before="0"/>
        <w:jc w:val="left"/>
      </w:pPr>
      <w:r w:rsidRPr="00692833">
        <w:t>Increased systolic blood pressure</w:t>
      </w:r>
    </w:p>
    <w:p w:rsidR="00692833" w:rsidRPr="00692833" w:rsidRDefault="00692833" w:rsidP="00692833">
      <w:pPr>
        <w:pStyle w:val="Text"/>
        <w:widowControl w:val="0"/>
        <w:spacing w:before="0"/>
        <w:jc w:val="left"/>
        <w:rPr>
          <w:b w:val="0"/>
        </w:rPr>
      </w:pPr>
      <w:r w:rsidRPr="00692833">
        <w:rPr>
          <w:b w:val="0"/>
        </w:rPr>
        <w:t>In the phase 3 pivotal clinical studies an increase in systolic blood pressure of 20 mmHg or more from baseline was recorded in 31.5% of patients on at least one visit compared with 19.5% of the control</w:t>
      </w:r>
      <w:r w:rsidRPr="00692833">
        <w:rPr>
          <w:b w:val="0"/>
        </w:rPr>
        <w:noBreakHyphen/>
        <w:t>treated patients. In COMFORT</w:t>
      </w:r>
      <w:r w:rsidRPr="00692833">
        <w:rPr>
          <w:b w:val="0"/>
        </w:rPr>
        <w:noBreakHyphen/>
        <w:t>I the mean increase from baseline in systolic BP was 0</w:t>
      </w:r>
      <w:r w:rsidRPr="00692833">
        <w:rPr>
          <w:b w:val="0"/>
        </w:rPr>
        <w:noBreakHyphen/>
        <w:t xml:space="preserve">2 mmHg on </w:t>
      </w:r>
      <w:proofErr w:type="spellStart"/>
      <w:r w:rsidRPr="00692833">
        <w:rPr>
          <w:b w:val="0"/>
        </w:rPr>
        <w:t>Jakavi</w:t>
      </w:r>
      <w:proofErr w:type="spellEnd"/>
      <w:r w:rsidRPr="00692833">
        <w:rPr>
          <w:b w:val="0"/>
        </w:rPr>
        <w:t xml:space="preserve"> versus a decrease of 2</w:t>
      </w:r>
      <w:r w:rsidRPr="00692833">
        <w:rPr>
          <w:b w:val="0"/>
        </w:rPr>
        <w:noBreakHyphen/>
        <w:t>5 mmHg in the placebo arm. In COMFORT</w:t>
      </w:r>
      <w:r w:rsidRPr="00692833">
        <w:rPr>
          <w:b w:val="0"/>
        </w:rPr>
        <w:noBreakHyphen/>
        <w:t xml:space="preserve">II mean values showed little difference between the </w:t>
      </w:r>
      <w:proofErr w:type="spellStart"/>
      <w:r w:rsidRPr="00692833">
        <w:rPr>
          <w:b w:val="0"/>
        </w:rPr>
        <w:t>ruxolitinib</w:t>
      </w:r>
      <w:proofErr w:type="spellEnd"/>
      <w:r w:rsidRPr="00692833">
        <w:rPr>
          <w:b w:val="0"/>
        </w:rPr>
        <w:noBreakHyphen/>
        <w:t>treated and the control</w:t>
      </w:r>
      <w:r w:rsidRPr="00692833">
        <w:rPr>
          <w:b w:val="0"/>
        </w:rPr>
        <w:noBreakHyphen/>
        <w:t>treated patients.</w:t>
      </w:r>
    </w:p>
    <w:p w:rsidR="00692833" w:rsidRPr="00692833" w:rsidRDefault="00692833" w:rsidP="00F1542A">
      <w:pPr>
        <w:rPr>
          <w:b w:val="0"/>
        </w:rPr>
      </w:pPr>
    </w:p>
    <w:p w:rsidR="006D0C74" w:rsidRPr="00DE6BF0" w:rsidRDefault="00F22127" w:rsidP="007C7566">
      <w:pPr>
        <w:rPr>
          <w:lang w:val="en-AU"/>
        </w:rPr>
      </w:pPr>
      <w:r w:rsidRPr="00DE6BF0">
        <w:rPr>
          <w:lang w:val="en-AU"/>
        </w:rPr>
        <w:t>DOSAGE AND ADMINISTRATION</w:t>
      </w:r>
    </w:p>
    <w:p w:rsidR="003A5C00" w:rsidRPr="00DE6BF0" w:rsidRDefault="003A5C00" w:rsidP="00B90B6A">
      <w:pPr>
        <w:rPr>
          <w:lang w:val="en-AU"/>
        </w:rPr>
      </w:pPr>
      <w:r w:rsidRPr="00DE6BF0">
        <w:rPr>
          <w:lang w:val="en-AU"/>
        </w:rPr>
        <w:t>Monitoring instructions</w:t>
      </w:r>
    </w:p>
    <w:p w:rsidR="003A5C00" w:rsidRPr="00DE6BF0" w:rsidRDefault="003A5C00" w:rsidP="000271A8">
      <w:pPr>
        <w:rPr>
          <w:b w:val="0"/>
          <w:lang w:val="en-AU"/>
        </w:rPr>
      </w:pPr>
      <w:r w:rsidRPr="00DE6BF0">
        <w:rPr>
          <w:lang w:val="en-AU"/>
        </w:rPr>
        <w:t>Blood cell counts:</w:t>
      </w:r>
      <w:r w:rsidRPr="00DE6BF0">
        <w:rPr>
          <w:b w:val="0"/>
          <w:lang w:val="en-AU"/>
        </w:rPr>
        <w:t xml:space="preserve"> a blood cell count must be performed before initiating therapy with </w:t>
      </w:r>
      <w:proofErr w:type="spellStart"/>
      <w:r w:rsidRPr="00DE6BF0">
        <w:rPr>
          <w:b w:val="0"/>
          <w:lang w:val="en-AU"/>
        </w:rPr>
        <w:t>Jakavi</w:t>
      </w:r>
      <w:proofErr w:type="spellEnd"/>
      <w:r w:rsidRPr="00DE6BF0">
        <w:rPr>
          <w:b w:val="0"/>
          <w:lang w:val="en-AU"/>
        </w:rPr>
        <w:t>.</w:t>
      </w:r>
      <w:r w:rsidR="000271A8" w:rsidRPr="00DE6BF0">
        <w:rPr>
          <w:b w:val="0"/>
          <w:lang w:val="en-AU"/>
        </w:rPr>
        <w:t xml:space="preserve"> </w:t>
      </w:r>
      <w:r w:rsidRPr="00DE6BF0">
        <w:rPr>
          <w:b w:val="0"/>
          <w:lang w:val="en-AU"/>
        </w:rPr>
        <w:t>Complete blood counts should be monitored every 2 to 4 weeks until doses are stabilized, and</w:t>
      </w:r>
      <w:r w:rsidR="000271A8" w:rsidRPr="00DE6BF0">
        <w:rPr>
          <w:b w:val="0"/>
          <w:lang w:val="en-AU"/>
        </w:rPr>
        <w:t xml:space="preserve"> </w:t>
      </w:r>
      <w:r w:rsidRPr="00DE6BF0">
        <w:rPr>
          <w:b w:val="0"/>
          <w:lang w:val="en-AU"/>
        </w:rPr>
        <w:t xml:space="preserve">then as clinically indicated (see </w:t>
      </w:r>
      <w:r w:rsidR="00CF6D22" w:rsidRPr="00DE6BF0">
        <w:rPr>
          <w:b w:val="0"/>
          <w:lang w:val="en-AU"/>
        </w:rPr>
        <w:t>P</w:t>
      </w:r>
      <w:r w:rsidRPr="00DE6BF0">
        <w:rPr>
          <w:b w:val="0"/>
          <w:lang w:val="en-AU"/>
        </w:rPr>
        <w:t>recautions</w:t>
      </w:r>
      <w:r w:rsidR="00CF6D22" w:rsidRPr="00DE6BF0">
        <w:rPr>
          <w:b w:val="0"/>
          <w:lang w:val="en-AU"/>
        </w:rPr>
        <w:t xml:space="preserve"> section</w:t>
      </w:r>
      <w:r w:rsidRPr="00DE6BF0">
        <w:rPr>
          <w:b w:val="0"/>
          <w:lang w:val="en-AU"/>
        </w:rPr>
        <w:t>).</w:t>
      </w:r>
    </w:p>
    <w:p w:rsidR="003A5C00" w:rsidRPr="00DE6BF0" w:rsidRDefault="003A5C00" w:rsidP="000271A8">
      <w:pPr>
        <w:rPr>
          <w:lang w:val="en-AU"/>
        </w:rPr>
      </w:pPr>
      <w:r w:rsidRPr="00DE6BF0">
        <w:rPr>
          <w:lang w:val="en-AU"/>
        </w:rPr>
        <w:t>Dose</w:t>
      </w:r>
    </w:p>
    <w:p w:rsidR="0016319B" w:rsidRDefault="0016319B" w:rsidP="000271A8">
      <w:pPr>
        <w:rPr>
          <w:b w:val="0"/>
          <w:lang w:val="en-AU"/>
        </w:rPr>
      </w:pPr>
      <w:proofErr w:type="spellStart"/>
      <w:r>
        <w:rPr>
          <w:b w:val="0"/>
          <w:lang w:val="en-AU"/>
        </w:rPr>
        <w:t>Jakavi</w:t>
      </w:r>
      <w:proofErr w:type="spellEnd"/>
      <w:r>
        <w:rPr>
          <w:b w:val="0"/>
          <w:lang w:val="en-AU"/>
        </w:rPr>
        <w:t xml:space="preserve"> is given orally twice daily with or without food. The recommended starting dose is based on platelet count (Table 4).</w:t>
      </w:r>
    </w:p>
    <w:p w:rsidR="0016319B" w:rsidRPr="00AC085E" w:rsidRDefault="009D5E93" w:rsidP="009D5E93">
      <w:pPr>
        <w:jc w:val="left"/>
        <w:rPr>
          <w:lang w:val="en-AU"/>
        </w:rPr>
      </w:pPr>
      <w:r>
        <w:rPr>
          <w:lang w:val="en-AU"/>
        </w:rPr>
        <w:tab/>
      </w:r>
      <w:r>
        <w:rPr>
          <w:lang w:val="en-AU"/>
        </w:rPr>
        <w:tab/>
      </w:r>
      <w:r w:rsidR="0016319B" w:rsidRPr="00AC085E">
        <w:rPr>
          <w:lang w:val="en-AU"/>
        </w:rPr>
        <w:t xml:space="preserve">Table 4 Recommended </w:t>
      </w:r>
      <w:proofErr w:type="spellStart"/>
      <w:r w:rsidR="0016319B" w:rsidRPr="00AC085E">
        <w:rPr>
          <w:lang w:val="en-AU"/>
        </w:rPr>
        <w:t>Jakavi</w:t>
      </w:r>
      <w:proofErr w:type="spellEnd"/>
      <w:r w:rsidR="0016319B" w:rsidRPr="00AC085E">
        <w:rPr>
          <w:lang w:val="en-AU"/>
        </w:rPr>
        <w:t xml:space="preserve"> Starting Dose</w:t>
      </w:r>
    </w:p>
    <w:tbl>
      <w:tblPr>
        <w:tblStyle w:val="TableGrid"/>
        <w:tblW w:w="0" w:type="auto"/>
        <w:tblInd w:w="1384" w:type="dxa"/>
        <w:tblLook w:val="04A0" w:firstRow="1" w:lastRow="0" w:firstColumn="1" w:lastColumn="0" w:noHBand="0" w:noVBand="1"/>
      </w:tblPr>
      <w:tblGrid>
        <w:gridCol w:w="2693"/>
        <w:gridCol w:w="2552"/>
      </w:tblGrid>
      <w:tr w:rsidR="0016319B" w:rsidTr="00AC085E">
        <w:tc>
          <w:tcPr>
            <w:tcW w:w="2693" w:type="dxa"/>
          </w:tcPr>
          <w:p w:rsidR="0016319B" w:rsidRPr="00AC085E" w:rsidRDefault="0016319B" w:rsidP="00AC085E">
            <w:pPr>
              <w:jc w:val="center"/>
              <w:rPr>
                <w:lang w:val="en-AU"/>
              </w:rPr>
            </w:pPr>
            <w:r w:rsidRPr="00AC085E">
              <w:rPr>
                <w:lang w:val="en-AU"/>
              </w:rPr>
              <w:t>Platelet Count</w:t>
            </w:r>
          </w:p>
        </w:tc>
        <w:tc>
          <w:tcPr>
            <w:tcW w:w="2552" w:type="dxa"/>
          </w:tcPr>
          <w:p w:rsidR="0016319B" w:rsidRPr="00AC085E" w:rsidRDefault="0016319B" w:rsidP="00AC085E">
            <w:pPr>
              <w:jc w:val="center"/>
              <w:rPr>
                <w:lang w:val="en-AU"/>
              </w:rPr>
            </w:pPr>
            <w:r w:rsidRPr="00AC085E">
              <w:rPr>
                <w:lang w:val="en-AU"/>
              </w:rPr>
              <w:t>Starting Dose</w:t>
            </w:r>
          </w:p>
        </w:tc>
      </w:tr>
      <w:tr w:rsidR="0016319B" w:rsidTr="00AC085E">
        <w:tc>
          <w:tcPr>
            <w:tcW w:w="2693" w:type="dxa"/>
          </w:tcPr>
          <w:p w:rsidR="0016319B" w:rsidRPr="00AC085E" w:rsidRDefault="009B2C53" w:rsidP="00AC085E">
            <w:pPr>
              <w:pStyle w:val="ListParagraph"/>
              <w:numPr>
                <w:ilvl w:val="1"/>
                <w:numId w:val="7"/>
              </w:numPr>
              <w:jc w:val="center"/>
              <w:rPr>
                <w:b w:val="0"/>
                <w:lang w:val="en-AU"/>
              </w:rPr>
            </w:pPr>
            <w:r>
              <w:rPr>
                <w:b w:val="0"/>
                <w:lang w:val="en-AU"/>
              </w:rPr>
              <w:t xml:space="preserve">x </w:t>
            </w:r>
            <w:r w:rsidRPr="00AC085E">
              <w:rPr>
                <w:b w:val="0"/>
                <w:lang w:val="en-AU"/>
              </w:rPr>
              <w:t>10</w:t>
            </w:r>
            <w:r w:rsidRPr="00AC085E">
              <w:rPr>
                <w:b w:val="0"/>
                <w:vertAlign w:val="superscript"/>
                <w:lang w:val="en-AU"/>
              </w:rPr>
              <w:t>9</w:t>
            </w:r>
            <w:r w:rsidRPr="00AC085E">
              <w:rPr>
                <w:b w:val="0"/>
                <w:lang w:val="en-AU"/>
              </w:rPr>
              <w:t>/L</w:t>
            </w:r>
          </w:p>
        </w:tc>
        <w:tc>
          <w:tcPr>
            <w:tcW w:w="2552" w:type="dxa"/>
          </w:tcPr>
          <w:p w:rsidR="0016319B" w:rsidRDefault="009B2C53" w:rsidP="00AC085E">
            <w:pPr>
              <w:jc w:val="center"/>
              <w:rPr>
                <w:b w:val="0"/>
                <w:lang w:val="en-AU"/>
              </w:rPr>
            </w:pPr>
            <w:r>
              <w:rPr>
                <w:b w:val="0"/>
                <w:lang w:val="en-AU"/>
              </w:rPr>
              <w:t xml:space="preserve">5 mg </w:t>
            </w:r>
            <w:proofErr w:type="spellStart"/>
            <w:r>
              <w:rPr>
                <w:b w:val="0"/>
                <w:lang w:val="en-AU"/>
              </w:rPr>
              <w:t>bd</w:t>
            </w:r>
            <w:proofErr w:type="spellEnd"/>
          </w:p>
        </w:tc>
      </w:tr>
      <w:tr w:rsidR="0016319B" w:rsidTr="00AC085E">
        <w:tc>
          <w:tcPr>
            <w:tcW w:w="2693" w:type="dxa"/>
          </w:tcPr>
          <w:p w:rsidR="0016319B" w:rsidRPr="00AC085E" w:rsidRDefault="009B2C53" w:rsidP="00A26E00">
            <w:pPr>
              <w:pStyle w:val="ListParagraph"/>
              <w:tabs>
                <w:tab w:val="clear" w:pos="0"/>
                <w:tab w:val="clear" w:pos="720"/>
              </w:tabs>
              <w:ind w:left="0"/>
              <w:jc w:val="center"/>
              <w:rPr>
                <w:b w:val="0"/>
                <w:lang w:val="en-AU"/>
              </w:rPr>
            </w:pPr>
            <w:r>
              <w:rPr>
                <w:b w:val="0"/>
                <w:lang w:val="en-AU"/>
              </w:rPr>
              <w:t xml:space="preserve">100-200 x </w:t>
            </w:r>
            <w:r w:rsidRPr="00AC085E">
              <w:rPr>
                <w:b w:val="0"/>
                <w:lang w:val="en-AU"/>
              </w:rPr>
              <w:t>10</w:t>
            </w:r>
            <w:r w:rsidRPr="00AC085E">
              <w:rPr>
                <w:b w:val="0"/>
                <w:vertAlign w:val="superscript"/>
                <w:lang w:val="en-AU"/>
              </w:rPr>
              <w:t>9</w:t>
            </w:r>
            <w:r w:rsidRPr="00AC085E">
              <w:rPr>
                <w:b w:val="0"/>
                <w:lang w:val="en-AU"/>
              </w:rPr>
              <w:t>/L</w:t>
            </w:r>
          </w:p>
        </w:tc>
        <w:tc>
          <w:tcPr>
            <w:tcW w:w="2552" w:type="dxa"/>
          </w:tcPr>
          <w:p w:rsidR="0016319B" w:rsidRDefault="009B2C53" w:rsidP="00AC085E">
            <w:pPr>
              <w:jc w:val="center"/>
              <w:rPr>
                <w:b w:val="0"/>
                <w:lang w:val="en-AU"/>
              </w:rPr>
            </w:pPr>
            <w:r>
              <w:rPr>
                <w:b w:val="0"/>
                <w:lang w:val="en-AU"/>
              </w:rPr>
              <w:t xml:space="preserve">15 mg </w:t>
            </w:r>
            <w:proofErr w:type="spellStart"/>
            <w:r>
              <w:rPr>
                <w:b w:val="0"/>
                <w:lang w:val="en-AU"/>
              </w:rPr>
              <w:t>bd</w:t>
            </w:r>
            <w:proofErr w:type="spellEnd"/>
          </w:p>
        </w:tc>
      </w:tr>
      <w:tr w:rsidR="0016319B" w:rsidTr="00AC085E">
        <w:tc>
          <w:tcPr>
            <w:tcW w:w="2693" w:type="dxa"/>
          </w:tcPr>
          <w:p w:rsidR="0016319B" w:rsidRPr="00AC085E" w:rsidRDefault="009B2C53" w:rsidP="00AC085E">
            <w:pPr>
              <w:jc w:val="center"/>
              <w:rPr>
                <w:b w:val="0"/>
                <w:lang w:val="en-AU"/>
              </w:rPr>
            </w:pPr>
            <w:r>
              <w:rPr>
                <w:b w:val="0"/>
                <w:lang w:val="en-AU"/>
              </w:rPr>
              <w:t>&gt;</w:t>
            </w:r>
            <w:r w:rsidR="00A26E00">
              <w:rPr>
                <w:b w:val="0"/>
                <w:lang w:val="en-AU"/>
              </w:rPr>
              <w:t xml:space="preserve"> </w:t>
            </w:r>
            <w:r w:rsidRPr="00AC085E">
              <w:rPr>
                <w:b w:val="0"/>
                <w:lang w:val="en-AU"/>
              </w:rPr>
              <w:t xml:space="preserve">200 </w:t>
            </w:r>
            <w:r>
              <w:rPr>
                <w:b w:val="0"/>
                <w:lang w:val="en-AU"/>
              </w:rPr>
              <w:t xml:space="preserve">x </w:t>
            </w:r>
            <w:r w:rsidRPr="00AC085E">
              <w:rPr>
                <w:b w:val="0"/>
                <w:lang w:val="en-AU"/>
              </w:rPr>
              <w:t>10</w:t>
            </w:r>
            <w:r w:rsidRPr="00AC085E">
              <w:rPr>
                <w:b w:val="0"/>
                <w:vertAlign w:val="superscript"/>
                <w:lang w:val="en-AU"/>
              </w:rPr>
              <w:t>9</w:t>
            </w:r>
            <w:r w:rsidRPr="00AC085E">
              <w:rPr>
                <w:b w:val="0"/>
                <w:lang w:val="en-AU"/>
              </w:rPr>
              <w:t>/L</w:t>
            </w:r>
          </w:p>
        </w:tc>
        <w:tc>
          <w:tcPr>
            <w:tcW w:w="2552" w:type="dxa"/>
          </w:tcPr>
          <w:p w:rsidR="0016319B" w:rsidRDefault="009B2C53" w:rsidP="00AC085E">
            <w:pPr>
              <w:jc w:val="center"/>
              <w:rPr>
                <w:b w:val="0"/>
                <w:lang w:val="en-AU"/>
              </w:rPr>
            </w:pPr>
            <w:r>
              <w:rPr>
                <w:b w:val="0"/>
                <w:lang w:val="en-AU"/>
              </w:rPr>
              <w:t xml:space="preserve">20 mg </w:t>
            </w:r>
            <w:proofErr w:type="spellStart"/>
            <w:r>
              <w:rPr>
                <w:b w:val="0"/>
                <w:lang w:val="en-AU"/>
              </w:rPr>
              <w:t>bd</w:t>
            </w:r>
            <w:proofErr w:type="spellEnd"/>
          </w:p>
        </w:tc>
      </w:tr>
    </w:tbl>
    <w:p w:rsidR="0016319B" w:rsidRDefault="0016319B" w:rsidP="000271A8">
      <w:pPr>
        <w:rPr>
          <w:b w:val="0"/>
          <w:lang w:val="en-AU"/>
        </w:rPr>
      </w:pPr>
    </w:p>
    <w:p w:rsidR="00AC085E" w:rsidRDefault="00AC085E" w:rsidP="00AC085E">
      <w:pPr>
        <w:pStyle w:val="CM36"/>
        <w:spacing w:after="117" w:line="280" w:lineRule="atLeast"/>
        <w:ind w:right="112"/>
        <w:rPr>
          <w:color w:val="000000"/>
        </w:rPr>
      </w:pPr>
      <w:r w:rsidRPr="00AC085E">
        <w:rPr>
          <w:lang w:val="en-AU"/>
        </w:rPr>
        <w:t>The dose is then titrated based on safety and efficacy.</w:t>
      </w:r>
      <w:r>
        <w:rPr>
          <w:b/>
          <w:lang w:val="en-AU"/>
        </w:rPr>
        <w:t xml:space="preserve"> </w:t>
      </w:r>
      <w:r w:rsidRPr="00416F4B">
        <w:rPr>
          <w:lang w:val="en-AU"/>
        </w:rPr>
        <w:t xml:space="preserve">The maximum dose of </w:t>
      </w:r>
      <w:proofErr w:type="spellStart"/>
      <w:r w:rsidRPr="00416F4B">
        <w:rPr>
          <w:lang w:val="en-AU"/>
        </w:rPr>
        <w:t>Jakavi</w:t>
      </w:r>
      <w:proofErr w:type="spellEnd"/>
      <w:r w:rsidRPr="00416F4B">
        <w:rPr>
          <w:lang w:val="en-AU"/>
        </w:rPr>
        <w:t xml:space="preserve"> is 25 mg twice daily.</w:t>
      </w:r>
      <w:r>
        <w:rPr>
          <w:b/>
          <w:lang w:val="en-AU"/>
        </w:rPr>
        <w:t xml:space="preserve"> </w:t>
      </w:r>
      <w:r w:rsidRPr="00C007D2">
        <w:rPr>
          <w:color w:val="000000"/>
        </w:rPr>
        <w:t xml:space="preserve">If a dose is missed, the patient should not take an additional dose, but should take the next usual prescribed dose. </w:t>
      </w:r>
    </w:p>
    <w:p w:rsidR="00AC085E" w:rsidRDefault="00AC085E" w:rsidP="00AC085E">
      <w:pPr>
        <w:rPr>
          <w:b w:val="0"/>
          <w:lang w:val="en-AU"/>
        </w:rPr>
      </w:pPr>
      <w:r w:rsidRPr="00DE6BF0">
        <w:rPr>
          <w:b w:val="0"/>
          <w:lang w:val="en-AU"/>
        </w:rPr>
        <w:t>Treatment may be continued as long as the benefit</w:t>
      </w:r>
      <w:r>
        <w:rPr>
          <w:b w:val="0"/>
          <w:lang w:val="en-AU"/>
        </w:rPr>
        <w:t>-</w:t>
      </w:r>
      <w:r w:rsidRPr="00DE6BF0">
        <w:rPr>
          <w:b w:val="0"/>
          <w:lang w:val="en-AU"/>
        </w:rPr>
        <w:t xml:space="preserve"> risk</w:t>
      </w:r>
      <w:r>
        <w:rPr>
          <w:b w:val="0"/>
          <w:lang w:val="en-AU"/>
        </w:rPr>
        <w:t xml:space="preserve"> ratio</w:t>
      </w:r>
      <w:r w:rsidRPr="00DE6BF0">
        <w:rPr>
          <w:b w:val="0"/>
          <w:lang w:val="en-AU"/>
        </w:rPr>
        <w:t xml:space="preserve"> remains positive.</w:t>
      </w:r>
    </w:p>
    <w:p w:rsidR="003A5C00" w:rsidRDefault="003A5C00" w:rsidP="000271A8">
      <w:pPr>
        <w:rPr>
          <w:b w:val="0"/>
          <w:lang w:val="en-AU"/>
        </w:rPr>
      </w:pPr>
      <w:r w:rsidRPr="00DE6BF0">
        <w:rPr>
          <w:b w:val="0"/>
          <w:lang w:val="en-AU"/>
        </w:rPr>
        <w:t xml:space="preserve">There </w:t>
      </w:r>
      <w:r w:rsidR="009B2C53">
        <w:rPr>
          <w:b w:val="0"/>
          <w:lang w:val="en-AU"/>
        </w:rPr>
        <w:t>are</w:t>
      </w:r>
      <w:r w:rsidRPr="00DE6BF0">
        <w:rPr>
          <w:b w:val="0"/>
          <w:lang w:val="en-AU"/>
        </w:rPr>
        <w:t xml:space="preserve"> limited </w:t>
      </w:r>
      <w:r w:rsidR="009B2C53">
        <w:rPr>
          <w:b w:val="0"/>
          <w:lang w:val="en-AU"/>
        </w:rPr>
        <w:t xml:space="preserve">data on initiating </w:t>
      </w:r>
      <w:proofErr w:type="spellStart"/>
      <w:r w:rsidR="009B2C53">
        <w:rPr>
          <w:b w:val="0"/>
          <w:lang w:val="en-AU"/>
        </w:rPr>
        <w:t>Jakavi</w:t>
      </w:r>
      <w:proofErr w:type="spellEnd"/>
      <w:r w:rsidR="009B2C53">
        <w:rPr>
          <w:b w:val="0"/>
          <w:lang w:val="en-AU"/>
        </w:rPr>
        <w:t xml:space="preserve"> in </w:t>
      </w:r>
      <w:r w:rsidRPr="00DE6BF0">
        <w:rPr>
          <w:b w:val="0"/>
          <w:lang w:val="en-AU"/>
        </w:rPr>
        <w:t xml:space="preserve">patients with platelet counts </w:t>
      </w:r>
      <w:r w:rsidR="009B2C53">
        <w:rPr>
          <w:b w:val="0"/>
          <w:lang w:val="en-AU"/>
        </w:rPr>
        <w:t xml:space="preserve">of </w:t>
      </w:r>
      <w:r w:rsidRPr="00DE6BF0">
        <w:rPr>
          <w:b w:val="0"/>
          <w:lang w:val="en-AU"/>
        </w:rPr>
        <w:t>50</w:t>
      </w:r>
      <w:r w:rsidR="009B2C53">
        <w:rPr>
          <w:b w:val="0"/>
          <w:lang w:val="en-AU"/>
        </w:rPr>
        <w:t>-100</w:t>
      </w:r>
      <w:r w:rsidR="00E52724">
        <w:rPr>
          <w:b w:val="0"/>
          <w:lang w:val="en-AU"/>
        </w:rPr>
        <w:t xml:space="preserve">  X 10</w:t>
      </w:r>
      <w:r w:rsidR="00E52724" w:rsidRPr="00E52724">
        <w:rPr>
          <w:b w:val="0"/>
          <w:vertAlign w:val="superscript"/>
          <w:lang w:val="en-AU"/>
        </w:rPr>
        <w:t>9</w:t>
      </w:r>
      <w:r w:rsidRPr="00DE6BF0">
        <w:rPr>
          <w:b w:val="0"/>
          <w:lang w:val="en-AU"/>
        </w:rPr>
        <w:t>/</w:t>
      </w:r>
      <w:r w:rsidR="00E52724">
        <w:rPr>
          <w:b w:val="0"/>
          <w:lang w:val="en-AU"/>
        </w:rPr>
        <w:t>L</w:t>
      </w:r>
      <w:r w:rsidR="00D13F01">
        <w:rPr>
          <w:b w:val="0"/>
          <w:lang w:val="en-AU"/>
        </w:rPr>
        <w:t>.</w:t>
      </w:r>
      <w:r w:rsidRPr="00DE6BF0">
        <w:rPr>
          <w:b w:val="0"/>
          <w:lang w:val="en-AU"/>
        </w:rPr>
        <w:t xml:space="preserve"> </w:t>
      </w:r>
      <w:proofErr w:type="spellStart"/>
      <w:r w:rsidR="009B2C53">
        <w:rPr>
          <w:b w:val="0"/>
          <w:lang w:val="en-AU"/>
        </w:rPr>
        <w:t>Jakavi</w:t>
      </w:r>
      <w:proofErr w:type="spellEnd"/>
      <w:r w:rsidR="009B2C53">
        <w:rPr>
          <w:b w:val="0"/>
          <w:lang w:val="en-AU"/>
        </w:rPr>
        <w:t xml:space="preserve"> should only be used in these patients if hepatic function is normal and renal function is </w:t>
      </w:r>
      <w:r w:rsidR="009B2C53">
        <w:rPr>
          <w:b w:val="0"/>
          <w:lang w:val="en-AU"/>
        </w:rPr>
        <w:lastRenderedPageBreak/>
        <w:t xml:space="preserve">normal or mildly impaired. The </w:t>
      </w:r>
      <w:proofErr w:type="spellStart"/>
      <w:r w:rsidR="009B2C53">
        <w:rPr>
          <w:b w:val="0"/>
          <w:lang w:val="en-AU"/>
        </w:rPr>
        <w:t>Jakavi</w:t>
      </w:r>
      <w:proofErr w:type="spellEnd"/>
      <w:r w:rsidR="009B2C53">
        <w:rPr>
          <w:b w:val="0"/>
          <w:lang w:val="en-AU"/>
        </w:rPr>
        <w:t xml:space="preserve"> dose </w:t>
      </w:r>
      <w:r w:rsidRPr="00DE6BF0">
        <w:rPr>
          <w:b w:val="0"/>
          <w:lang w:val="en-AU"/>
        </w:rPr>
        <w:t>should be</w:t>
      </w:r>
      <w:r w:rsidR="000271A8" w:rsidRPr="00DE6BF0">
        <w:rPr>
          <w:b w:val="0"/>
          <w:lang w:val="en-AU"/>
        </w:rPr>
        <w:t xml:space="preserve"> </w:t>
      </w:r>
      <w:r w:rsidRPr="00DE6BF0">
        <w:rPr>
          <w:b w:val="0"/>
          <w:lang w:val="en-AU"/>
        </w:rPr>
        <w:t>titrated cautiously</w:t>
      </w:r>
      <w:r w:rsidR="009B2C53">
        <w:rPr>
          <w:b w:val="0"/>
          <w:lang w:val="en-AU"/>
        </w:rPr>
        <w:t xml:space="preserve"> based on response and blood cell counts.</w:t>
      </w:r>
    </w:p>
    <w:p w:rsidR="00D90C1D" w:rsidRDefault="00D90C1D" w:rsidP="000271A8">
      <w:pPr>
        <w:rPr>
          <w:lang w:val="en-AU"/>
        </w:rPr>
      </w:pPr>
    </w:p>
    <w:p w:rsidR="00D90C1D" w:rsidRDefault="00D90C1D" w:rsidP="000271A8">
      <w:pPr>
        <w:rPr>
          <w:lang w:val="en-AU"/>
        </w:rPr>
      </w:pPr>
    </w:p>
    <w:p w:rsidR="003A5C00" w:rsidRDefault="003A5C00" w:rsidP="000271A8">
      <w:pPr>
        <w:rPr>
          <w:lang w:val="en-AU"/>
        </w:rPr>
      </w:pPr>
      <w:r w:rsidRPr="00DE6BF0">
        <w:rPr>
          <w:lang w:val="en-AU"/>
        </w:rPr>
        <w:t xml:space="preserve">Dose </w:t>
      </w:r>
      <w:r w:rsidR="00F42A94">
        <w:rPr>
          <w:lang w:val="en-AU"/>
        </w:rPr>
        <w:t>Reduction</w:t>
      </w:r>
    </w:p>
    <w:p w:rsidR="00F42A94" w:rsidRDefault="00F42A94" w:rsidP="000271A8">
      <w:pPr>
        <w:rPr>
          <w:b w:val="0"/>
          <w:lang w:val="en-AU"/>
        </w:rPr>
      </w:pPr>
      <w:r>
        <w:rPr>
          <w:b w:val="0"/>
          <w:lang w:val="en-AU"/>
        </w:rPr>
        <w:t xml:space="preserve">The </w:t>
      </w:r>
      <w:proofErr w:type="spellStart"/>
      <w:r>
        <w:rPr>
          <w:b w:val="0"/>
          <w:lang w:val="en-AU"/>
        </w:rPr>
        <w:t>Jakavi</w:t>
      </w:r>
      <w:proofErr w:type="spellEnd"/>
      <w:r>
        <w:rPr>
          <w:b w:val="0"/>
          <w:lang w:val="en-AU"/>
        </w:rPr>
        <w:t xml:space="preserve"> dose should be reduced if the platelet count decreases below 100 x 10</w:t>
      </w:r>
      <w:r w:rsidRPr="0054289A">
        <w:rPr>
          <w:b w:val="0"/>
          <w:vertAlign w:val="superscript"/>
          <w:lang w:val="en-AU"/>
        </w:rPr>
        <w:t>9</w:t>
      </w:r>
      <w:r>
        <w:rPr>
          <w:b w:val="0"/>
          <w:lang w:val="en-AU"/>
        </w:rPr>
        <w:t xml:space="preserve">/L (Table 5). </w:t>
      </w:r>
    </w:p>
    <w:p w:rsidR="003A5C00" w:rsidRPr="00DE6BF0" w:rsidRDefault="00F42A94" w:rsidP="000271A8">
      <w:pPr>
        <w:rPr>
          <w:b w:val="0"/>
          <w:lang w:val="en-AU"/>
        </w:rPr>
      </w:pPr>
      <w:proofErr w:type="spellStart"/>
      <w:r>
        <w:rPr>
          <w:b w:val="0"/>
          <w:lang w:val="en-AU"/>
        </w:rPr>
        <w:t>Jakavi</w:t>
      </w:r>
      <w:proofErr w:type="spellEnd"/>
      <w:r>
        <w:rPr>
          <w:b w:val="0"/>
          <w:lang w:val="en-AU"/>
        </w:rPr>
        <w:t xml:space="preserve"> t</w:t>
      </w:r>
      <w:r w:rsidR="003A5C00" w:rsidRPr="00DE6BF0">
        <w:rPr>
          <w:b w:val="0"/>
          <w:lang w:val="en-AU"/>
        </w:rPr>
        <w:t xml:space="preserve">reatment should be interrupted </w:t>
      </w:r>
      <w:r>
        <w:rPr>
          <w:b w:val="0"/>
          <w:lang w:val="en-AU"/>
        </w:rPr>
        <w:t xml:space="preserve">if the </w:t>
      </w:r>
      <w:r w:rsidR="003A5C00" w:rsidRPr="00DE6BF0">
        <w:rPr>
          <w:b w:val="0"/>
          <w:lang w:val="en-AU"/>
        </w:rPr>
        <w:t>platelet count</w:t>
      </w:r>
      <w:r>
        <w:rPr>
          <w:b w:val="0"/>
          <w:lang w:val="en-AU"/>
        </w:rPr>
        <w:t xml:space="preserve"> decreases below</w:t>
      </w:r>
      <w:r w:rsidR="003A5C00" w:rsidRPr="00DE6BF0">
        <w:rPr>
          <w:b w:val="0"/>
          <w:lang w:val="en-AU"/>
        </w:rPr>
        <w:t xml:space="preserve"> 50</w:t>
      </w:r>
      <w:r w:rsidR="001D393A">
        <w:rPr>
          <w:b w:val="0"/>
          <w:lang w:val="en-AU"/>
        </w:rPr>
        <w:t>X 10</w:t>
      </w:r>
      <w:r w:rsidR="001D393A" w:rsidRPr="0054289A">
        <w:rPr>
          <w:b w:val="0"/>
          <w:vertAlign w:val="superscript"/>
          <w:lang w:val="en-AU"/>
        </w:rPr>
        <w:t>9</w:t>
      </w:r>
      <w:r w:rsidR="001D393A">
        <w:rPr>
          <w:b w:val="0"/>
          <w:lang w:val="en-AU"/>
        </w:rPr>
        <w:t>/L</w:t>
      </w:r>
      <w:r w:rsidR="003A5C00" w:rsidRPr="00DE6BF0">
        <w:rPr>
          <w:b w:val="0"/>
          <w:lang w:val="en-AU"/>
        </w:rPr>
        <w:t xml:space="preserve"> or </w:t>
      </w:r>
      <w:r>
        <w:rPr>
          <w:b w:val="0"/>
          <w:lang w:val="en-AU"/>
        </w:rPr>
        <w:t xml:space="preserve">the </w:t>
      </w:r>
      <w:r w:rsidR="003A5C00" w:rsidRPr="00DE6BF0">
        <w:rPr>
          <w:b w:val="0"/>
          <w:lang w:val="en-AU"/>
        </w:rPr>
        <w:t>absolute neutrophil count</w:t>
      </w:r>
      <w:r>
        <w:rPr>
          <w:b w:val="0"/>
          <w:lang w:val="en-AU"/>
        </w:rPr>
        <w:t xml:space="preserve"> decreases below</w:t>
      </w:r>
      <w:r w:rsidR="003A5C00" w:rsidRPr="00DE6BF0">
        <w:rPr>
          <w:b w:val="0"/>
          <w:lang w:val="en-AU"/>
        </w:rPr>
        <w:t xml:space="preserve"> </w:t>
      </w:r>
      <w:r w:rsidR="00983ACA">
        <w:rPr>
          <w:b w:val="0"/>
          <w:lang w:val="en-AU"/>
        </w:rPr>
        <w:t>0.</w:t>
      </w:r>
      <w:r w:rsidR="003A5C00" w:rsidRPr="00DE6BF0">
        <w:rPr>
          <w:b w:val="0"/>
          <w:lang w:val="en-AU"/>
        </w:rPr>
        <w:t>5</w:t>
      </w:r>
      <w:r w:rsidR="001D393A">
        <w:rPr>
          <w:b w:val="0"/>
          <w:lang w:val="en-AU"/>
        </w:rPr>
        <w:t>X 10</w:t>
      </w:r>
      <w:r w:rsidR="001D393A" w:rsidRPr="0054289A">
        <w:rPr>
          <w:b w:val="0"/>
          <w:vertAlign w:val="superscript"/>
          <w:lang w:val="en-AU"/>
        </w:rPr>
        <w:t>9</w:t>
      </w:r>
      <w:r w:rsidR="001D393A">
        <w:rPr>
          <w:b w:val="0"/>
          <w:lang w:val="en-AU"/>
        </w:rPr>
        <w:t>/L</w:t>
      </w:r>
      <w:r w:rsidR="003A5C00" w:rsidRPr="00DE6BF0">
        <w:rPr>
          <w:b w:val="0"/>
          <w:lang w:val="en-AU"/>
        </w:rPr>
        <w:t>. After</w:t>
      </w:r>
      <w:r w:rsidR="000271A8" w:rsidRPr="00DE6BF0">
        <w:rPr>
          <w:b w:val="0"/>
          <w:lang w:val="en-AU"/>
        </w:rPr>
        <w:t xml:space="preserve"> </w:t>
      </w:r>
      <w:r w:rsidR="003A5C00" w:rsidRPr="00DE6BF0">
        <w:rPr>
          <w:b w:val="0"/>
          <w:lang w:val="en-AU"/>
        </w:rPr>
        <w:t xml:space="preserve">recovery of platelet and neutrophil counts above these levels, </w:t>
      </w:r>
      <w:proofErr w:type="spellStart"/>
      <w:r>
        <w:rPr>
          <w:b w:val="0"/>
          <w:lang w:val="en-AU"/>
        </w:rPr>
        <w:t>Jakavi</w:t>
      </w:r>
      <w:proofErr w:type="spellEnd"/>
      <w:r>
        <w:rPr>
          <w:b w:val="0"/>
          <w:lang w:val="en-AU"/>
        </w:rPr>
        <w:t xml:space="preserve"> </w:t>
      </w:r>
      <w:r w:rsidR="003A5C00" w:rsidRPr="00DE6BF0">
        <w:rPr>
          <w:b w:val="0"/>
          <w:lang w:val="en-AU"/>
        </w:rPr>
        <w:t>may be restarted at 5 mg</w:t>
      </w:r>
      <w:r w:rsidR="000271A8" w:rsidRPr="00DE6BF0">
        <w:rPr>
          <w:b w:val="0"/>
          <w:lang w:val="en-AU"/>
        </w:rPr>
        <w:t xml:space="preserve"> </w:t>
      </w:r>
      <w:r w:rsidR="003A5C00" w:rsidRPr="00DE6BF0">
        <w:rPr>
          <w:b w:val="0"/>
          <w:lang w:val="en-AU"/>
        </w:rPr>
        <w:t>twice daily and gradually increased based on careful monitoring of blood cell counts.</w:t>
      </w:r>
    </w:p>
    <w:p w:rsidR="000271A8" w:rsidRPr="00DE6BF0" w:rsidRDefault="000271A8" w:rsidP="000271A8">
      <w:pPr>
        <w:rPr>
          <w:b w:val="0"/>
          <w:lang w:val="en-AU"/>
        </w:rPr>
      </w:pPr>
    </w:p>
    <w:p w:rsidR="00496ECB" w:rsidRPr="00DA2D72" w:rsidRDefault="00496ECB" w:rsidP="00DA2D72">
      <w:pPr>
        <w:pStyle w:val="Default"/>
        <w:rPr>
          <w:b/>
        </w:rPr>
      </w:pPr>
      <w:r w:rsidRPr="00DA2D72">
        <w:rPr>
          <w:b/>
        </w:rPr>
        <w:t xml:space="preserve">Table </w:t>
      </w:r>
      <w:r w:rsidR="00F42A94">
        <w:rPr>
          <w:b/>
        </w:rPr>
        <w:t>5</w:t>
      </w:r>
      <w:r w:rsidRPr="00DA2D72">
        <w:rPr>
          <w:b/>
        </w:rPr>
        <w:t>:</w:t>
      </w:r>
      <w:r w:rsidRPr="00DA2D72">
        <w:rPr>
          <w:b/>
        </w:rPr>
        <w:tab/>
        <w:t>Dosing Recommendations for Thrombocytopenia</w:t>
      </w:r>
    </w:p>
    <w:tbl>
      <w:tblPr>
        <w:tblW w:w="0" w:type="auto"/>
        <w:tblInd w:w="-459" w:type="dxa"/>
        <w:tblBorders>
          <w:top w:val="nil"/>
          <w:left w:val="nil"/>
          <w:bottom w:val="nil"/>
          <w:right w:val="nil"/>
        </w:tblBorders>
        <w:tblLayout w:type="fixed"/>
        <w:tblLook w:val="0000" w:firstRow="0" w:lastRow="0" w:firstColumn="0" w:lastColumn="0" w:noHBand="0" w:noVBand="0"/>
      </w:tblPr>
      <w:tblGrid>
        <w:gridCol w:w="2410"/>
        <w:gridCol w:w="1559"/>
        <w:gridCol w:w="1418"/>
        <w:gridCol w:w="1417"/>
        <w:gridCol w:w="1418"/>
        <w:gridCol w:w="1417"/>
      </w:tblGrid>
      <w:tr w:rsidR="00550F2F" w:rsidTr="00DA2D72">
        <w:trPr>
          <w:trHeight w:val="148"/>
        </w:trPr>
        <w:tc>
          <w:tcPr>
            <w:tcW w:w="9639" w:type="dxa"/>
            <w:gridSpan w:val="6"/>
            <w:tcBorders>
              <w:top w:val="single" w:sz="6" w:space="0" w:color="000000"/>
              <w:bottom w:val="single" w:sz="4" w:space="0" w:color="000000"/>
            </w:tcBorders>
            <w:shd w:val="clear" w:color="auto" w:fill="E6E6E6"/>
            <w:vAlign w:val="center"/>
          </w:tcPr>
          <w:p w:rsidR="00550F2F" w:rsidRDefault="00496ECB" w:rsidP="00550F2F">
            <w:pPr>
              <w:pStyle w:val="Default"/>
              <w:rPr>
                <w:sz w:val="23"/>
                <w:szCs w:val="23"/>
              </w:rPr>
            </w:pPr>
            <w:r>
              <w:rPr>
                <w:b/>
                <w:bCs/>
                <w:sz w:val="23"/>
                <w:szCs w:val="23"/>
              </w:rPr>
              <w:t xml:space="preserve">                                                                          Dose at Time of Platelet Decline</w:t>
            </w:r>
          </w:p>
        </w:tc>
      </w:tr>
      <w:tr w:rsidR="00550F2F" w:rsidTr="00DA2D72">
        <w:trPr>
          <w:trHeight w:val="281"/>
        </w:trPr>
        <w:tc>
          <w:tcPr>
            <w:tcW w:w="2410" w:type="dxa"/>
            <w:vMerge w:val="restart"/>
            <w:tcBorders>
              <w:top w:val="single" w:sz="4" w:space="0" w:color="000000"/>
              <w:left w:val="single" w:sz="6" w:space="0" w:color="000000"/>
              <w:bottom w:val="single" w:sz="4" w:space="0" w:color="000000"/>
              <w:right w:val="single" w:sz="4" w:space="0" w:color="000000"/>
            </w:tcBorders>
            <w:shd w:val="clear" w:color="auto" w:fill="E6E6E6"/>
            <w:vAlign w:val="center"/>
          </w:tcPr>
          <w:p w:rsidR="00550F2F" w:rsidRPr="000275AE" w:rsidRDefault="00550F2F">
            <w:pPr>
              <w:pStyle w:val="Default"/>
            </w:pPr>
            <w:r w:rsidRPr="000275AE">
              <w:rPr>
                <w:b/>
                <w:bCs/>
              </w:rPr>
              <w:t xml:space="preserve">Platelet Count </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rsidR="00550F2F" w:rsidRPr="000275AE" w:rsidRDefault="00550F2F">
            <w:pPr>
              <w:pStyle w:val="Default"/>
            </w:pPr>
            <w:r w:rsidRPr="000275AE">
              <w:rPr>
                <w:b/>
                <w:bCs/>
              </w:rPr>
              <w:t xml:space="preserve">25 mg twice daily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rsidR="00550F2F" w:rsidRPr="000275AE" w:rsidRDefault="00550F2F">
            <w:pPr>
              <w:pStyle w:val="Default"/>
            </w:pPr>
            <w:r w:rsidRPr="000275AE">
              <w:rPr>
                <w:b/>
                <w:bCs/>
              </w:rPr>
              <w:t xml:space="preserve">20 mg twice daily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50F2F" w:rsidRPr="000275AE" w:rsidRDefault="00550F2F">
            <w:pPr>
              <w:pStyle w:val="Default"/>
            </w:pPr>
            <w:r w:rsidRPr="000275AE">
              <w:rPr>
                <w:b/>
                <w:bCs/>
              </w:rPr>
              <w:t xml:space="preserve">15 mg twice daily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rsidR="00550F2F" w:rsidRPr="000275AE" w:rsidRDefault="00550F2F">
            <w:pPr>
              <w:pStyle w:val="Default"/>
            </w:pPr>
            <w:r w:rsidRPr="000275AE">
              <w:rPr>
                <w:b/>
                <w:bCs/>
              </w:rPr>
              <w:t xml:space="preserve">10 mg twice daily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50F2F" w:rsidRPr="000275AE" w:rsidRDefault="00550F2F">
            <w:pPr>
              <w:pStyle w:val="Default"/>
            </w:pPr>
            <w:r w:rsidRPr="000275AE">
              <w:rPr>
                <w:b/>
                <w:bCs/>
              </w:rPr>
              <w:t xml:space="preserve">5 mg twice daily </w:t>
            </w:r>
          </w:p>
        </w:tc>
      </w:tr>
      <w:tr w:rsidR="00550F2F" w:rsidTr="00DA2D72">
        <w:trPr>
          <w:trHeight w:val="418"/>
        </w:trPr>
        <w:tc>
          <w:tcPr>
            <w:tcW w:w="2410" w:type="dxa"/>
            <w:vMerge/>
            <w:tcBorders>
              <w:top w:val="single" w:sz="4" w:space="0" w:color="000000"/>
              <w:left w:val="single" w:sz="6" w:space="0" w:color="000000"/>
              <w:bottom w:val="single" w:sz="4" w:space="0" w:color="000000"/>
              <w:right w:val="single" w:sz="4" w:space="0" w:color="000000"/>
            </w:tcBorders>
            <w:shd w:val="clear" w:color="auto" w:fill="E6E6E6"/>
            <w:vAlign w:val="center"/>
          </w:tcPr>
          <w:p w:rsidR="00550F2F" w:rsidRPr="000275AE" w:rsidRDefault="00550F2F">
            <w:pPr>
              <w:pStyle w:val="Default"/>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rPr>
                <w:b/>
                <w:bCs/>
              </w:rPr>
              <w:t xml:space="preserve">New Dose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rPr>
                <w:b/>
                <w:bCs/>
              </w:rPr>
              <w:t xml:space="preserve">New Dose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rPr>
                <w:b/>
                <w:bCs/>
              </w:rPr>
              <w:t xml:space="preserve">New Dose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rPr>
                <w:b/>
                <w:bCs/>
              </w:rPr>
              <w:t xml:space="preserve">New Dose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rPr>
                <w:b/>
                <w:bCs/>
              </w:rPr>
              <w:t xml:space="preserve">New Dose </w:t>
            </w:r>
          </w:p>
        </w:tc>
      </w:tr>
      <w:tr w:rsidR="00550F2F" w:rsidTr="00DA2D72">
        <w:trPr>
          <w:trHeight w:val="281"/>
        </w:trPr>
        <w:tc>
          <w:tcPr>
            <w:tcW w:w="2410" w:type="dxa"/>
            <w:tcBorders>
              <w:top w:val="single" w:sz="4" w:space="0" w:color="000000"/>
              <w:left w:val="single" w:sz="6" w:space="0" w:color="000000"/>
              <w:bottom w:val="single" w:sz="4" w:space="0" w:color="000000"/>
              <w:right w:val="single" w:sz="4" w:space="0" w:color="000000"/>
            </w:tcBorders>
            <w:vAlign w:val="center"/>
          </w:tcPr>
          <w:p w:rsidR="00550F2F" w:rsidRPr="000275AE" w:rsidRDefault="00550F2F">
            <w:pPr>
              <w:pStyle w:val="Default"/>
            </w:pPr>
            <w:r w:rsidRPr="000275AE">
              <w:t>100 to less than 125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20 mg twice daily </w:t>
            </w:r>
          </w:p>
        </w:tc>
        <w:tc>
          <w:tcPr>
            <w:tcW w:w="1418"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15 mg twice daily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r>
      <w:tr w:rsidR="00550F2F" w:rsidTr="00DA2D72">
        <w:trPr>
          <w:trHeight w:val="281"/>
        </w:trPr>
        <w:tc>
          <w:tcPr>
            <w:tcW w:w="2410" w:type="dxa"/>
            <w:tcBorders>
              <w:top w:val="single" w:sz="4" w:space="0" w:color="000000"/>
              <w:left w:val="single" w:sz="6" w:space="0" w:color="000000"/>
              <w:bottom w:val="single" w:sz="4" w:space="0" w:color="000000"/>
              <w:right w:val="single" w:sz="4" w:space="0" w:color="000000"/>
            </w:tcBorders>
            <w:vAlign w:val="center"/>
          </w:tcPr>
          <w:p w:rsidR="00550F2F" w:rsidRPr="000275AE" w:rsidRDefault="00550F2F">
            <w:pPr>
              <w:pStyle w:val="Default"/>
            </w:pPr>
            <w:r w:rsidRPr="000275AE">
              <w:t>75 to less than 100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10 mg twice daily </w:t>
            </w:r>
          </w:p>
        </w:tc>
        <w:tc>
          <w:tcPr>
            <w:tcW w:w="1418"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10 mg twice daily </w:t>
            </w:r>
          </w:p>
        </w:tc>
        <w:tc>
          <w:tcPr>
            <w:tcW w:w="1417"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10 mg twice daily </w:t>
            </w:r>
          </w:p>
        </w:tc>
        <w:tc>
          <w:tcPr>
            <w:tcW w:w="1418"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r>
      <w:tr w:rsidR="00550F2F" w:rsidTr="00DA2D72">
        <w:trPr>
          <w:trHeight w:val="282"/>
        </w:trPr>
        <w:tc>
          <w:tcPr>
            <w:tcW w:w="2410" w:type="dxa"/>
            <w:tcBorders>
              <w:top w:val="single" w:sz="4" w:space="0" w:color="000000"/>
              <w:left w:val="single" w:sz="6" w:space="0" w:color="000000"/>
              <w:bottom w:val="single" w:sz="4" w:space="0" w:color="000000"/>
              <w:right w:val="single" w:sz="4" w:space="0" w:color="000000"/>
            </w:tcBorders>
            <w:vAlign w:val="center"/>
          </w:tcPr>
          <w:p w:rsidR="00550F2F" w:rsidRPr="000275AE" w:rsidRDefault="00550F2F">
            <w:pPr>
              <w:pStyle w:val="Default"/>
            </w:pPr>
            <w:r w:rsidRPr="000275AE">
              <w:t>50 to less than 75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5 mg twice daily </w:t>
            </w:r>
          </w:p>
        </w:tc>
        <w:tc>
          <w:tcPr>
            <w:tcW w:w="1418"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5 mg twice daily </w:t>
            </w:r>
          </w:p>
        </w:tc>
        <w:tc>
          <w:tcPr>
            <w:tcW w:w="1417"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5 mg twice daily </w:t>
            </w:r>
          </w:p>
        </w:tc>
        <w:tc>
          <w:tcPr>
            <w:tcW w:w="1418" w:type="dxa"/>
            <w:tcBorders>
              <w:top w:val="single" w:sz="4" w:space="0" w:color="000000"/>
              <w:left w:val="single" w:sz="4" w:space="0" w:color="000000"/>
              <w:bottom w:val="single" w:sz="4" w:space="0" w:color="000000"/>
              <w:right w:val="single" w:sz="4" w:space="0" w:color="000000"/>
            </w:tcBorders>
          </w:tcPr>
          <w:p w:rsidR="00550F2F" w:rsidRPr="000275AE" w:rsidRDefault="00550F2F">
            <w:pPr>
              <w:pStyle w:val="Default"/>
            </w:pPr>
            <w:r w:rsidRPr="000275AE">
              <w:t xml:space="preserve">5 mg twice daily </w:t>
            </w:r>
          </w:p>
        </w:tc>
        <w:tc>
          <w:tcPr>
            <w:tcW w:w="1417" w:type="dxa"/>
            <w:tcBorders>
              <w:top w:val="single" w:sz="4" w:space="0" w:color="000000"/>
              <w:left w:val="single" w:sz="4" w:space="0" w:color="000000"/>
              <w:bottom w:val="single" w:sz="4" w:space="0" w:color="000000"/>
              <w:right w:val="single" w:sz="4" w:space="0" w:color="000000"/>
            </w:tcBorders>
            <w:vAlign w:val="center"/>
          </w:tcPr>
          <w:p w:rsidR="00550F2F" w:rsidRPr="000275AE" w:rsidRDefault="00550F2F">
            <w:pPr>
              <w:pStyle w:val="Default"/>
            </w:pPr>
            <w:r w:rsidRPr="000275AE">
              <w:t xml:space="preserve">No Change </w:t>
            </w:r>
          </w:p>
        </w:tc>
      </w:tr>
      <w:tr w:rsidR="00550F2F" w:rsidTr="00DA2D72">
        <w:trPr>
          <w:trHeight w:val="143"/>
        </w:trPr>
        <w:tc>
          <w:tcPr>
            <w:tcW w:w="2410" w:type="dxa"/>
            <w:tcBorders>
              <w:top w:val="single" w:sz="4" w:space="0" w:color="000000"/>
              <w:left w:val="single" w:sz="6" w:space="0" w:color="000000"/>
              <w:bottom w:val="single" w:sz="6" w:space="0" w:color="000000"/>
              <w:right w:val="single" w:sz="4" w:space="0" w:color="000000"/>
            </w:tcBorders>
          </w:tcPr>
          <w:p w:rsidR="00550F2F" w:rsidRPr="000275AE" w:rsidRDefault="00550F2F">
            <w:pPr>
              <w:pStyle w:val="Default"/>
            </w:pPr>
            <w:r w:rsidRPr="000275AE">
              <w:t>Less than 50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6" w:space="0" w:color="000000"/>
              <w:right w:val="single" w:sz="4" w:space="0" w:color="000000"/>
            </w:tcBorders>
            <w:vAlign w:val="center"/>
          </w:tcPr>
          <w:p w:rsidR="00550F2F" w:rsidRPr="000275AE" w:rsidRDefault="00550F2F">
            <w:pPr>
              <w:pStyle w:val="Default"/>
            </w:pPr>
            <w:r w:rsidRPr="000275AE">
              <w:t xml:space="preserve">Hold </w:t>
            </w:r>
          </w:p>
        </w:tc>
        <w:tc>
          <w:tcPr>
            <w:tcW w:w="1418" w:type="dxa"/>
            <w:tcBorders>
              <w:top w:val="single" w:sz="4" w:space="0" w:color="000000"/>
              <w:left w:val="single" w:sz="4" w:space="0" w:color="000000"/>
              <w:bottom w:val="single" w:sz="6" w:space="0" w:color="000000"/>
              <w:right w:val="single" w:sz="4" w:space="0" w:color="000000"/>
            </w:tcBorders>
            <w:vAlign w:val="center"/>
          </w:tcPr>
          <w:p w:rsidR="00550F2F" w:rsidRPr="000275AE" w:rsidRDefault="00550F2F">
            <w:pPr>
              <w:pStyle w:val="Default"/>
            </w:pPr>
            <w:r w:rsidRPr="000275AE">
              <w:t xml:space="preserve">Hold </w:t>
            </w:r>
          </w:p>
        </w:tc>
        <w:tc>
          <w:tcPr>
            <w:tcW w:w="1417" w:type="dxa"/>
            <w:tcBorders>
              <w:top w:val="single" w:sz="4" w:space="0" w:color="000000"/>
              <w:left w:val="single" w:sz="4" w:space="0" w:color="000000"/>
              <w:bottom w:val="single" w:sz="6" w:space="0" w:color="000000"/>
              <w:right w:val="single" w:sz="4" w:space="0" w:color="000000"/>
            </w:tcBorders>
            <w:vAlign w:val="center"/>
          </w:tcPr>
          <w:p w:rsidR="00550F2F" w:rsidRPr="000275AE" w:rsidRDefault="00550F2F">
            <w:pPr>
              <w:pStyle w:val="Default"/>
            </w:pPr>
            <w:r w:rsidRPr="000275AE">
              <w:t xml:space="preserve">Hold </w:t>
            </w:r>
          </w:p>
        </w:tc>
        <w:tc>
          <w:tcPr>
            <w:tcW w:w="1418" w:type="dxa"/>
            <w:tcBorders>
              <w:top w:val="single" w:sz="4" w:space="0" w:color="000000"/>
              <w:left w:val="single" w:sz="4" w:space="0" w:color="000000"/>
              <w:bottom w:val="single" w:sz="6" w:space="0" w:color="000000"/>
              <w:right w:val="single" w:sz="4" w:space="0" w:color="000000"/>
            </w:tcBorders>
            <w:vAlign w:val="center"/>
          </w:tcPr>
          <w:p w:rsidR="00550F2F" w:rsidRPr="000275AE" w:rsidRDefault="00550F2F">
            <w:pPr>
              <w:pStyle w:val="Default"/>
            </w:pPr>
            <w:r w:rsidRPr="000275AE">
              <w:t xml:space="preserve">Hold </w:t>
            </w:r>
          </w:p>
        </w:tc>
        <w:tc>
          <w:tcPr>
            <w:tcW w:w="1417" w:type="dxa"/>
            <w:tcBorders>
              <w:top w:val="single" w:sz="4" w:space="0" w:color="000000"/>
              <w:left w:val="single" w:sz="4" w:space="0" w:color="000000"/>
              <w:bottom w:val="single" w:sz="6" w:space="0" w:color="000000"/>
              <w:right w:val="single" w:sz="4" w:space="0" w:color="000000"/>
            </w:tcBorders>
            <w:vAlign w:val="center"/>
          </w:tcPr>
          <w:p w:rsidR="00550F2F" w:rsidRPr="000275AE" w:rsidRDefault="00550F2F">
            <w:pPr>
              <w:pStyle w:val="Default"/>
            </w:pPr>
            <w:r w:rsidRPr="000275AE">
              <w:t xml:space="preserve">Hold </w:t>
            </w:r>
          </w:p>
        </w:tc>
      </w:tr>
    </w:tbl>
    <w:p w:rsidR="00550F2F" w:rsidRDefault="00550F2F" w:rsidP="007F5282">
      <w:pPr>
        <w:rPr>
          <w:lang w:val="en-AU"/>
        </w:rPr>
      </w:pPr>
    </w:p>
    <w:p w:rsidR="007F5282" w:rsidRPr="00DE6BF0" w:rsidRDefault="007F5282" w:rsidP="007F5282">
      <w:pPr>
        <w:rPr>
          <w:lang w:val="en-AU"/>
        </w:rPr>
      </w:pPr>
      <w:r w:rsidRPr="00DE6BF0">
        <w:rPr>
          <w:lang w:val="en-AU"/>
        </w:rPr>
        <w:t>Dose modifications</w:t>
      </w:r>
      <w:r>
        <w:rPr>
          <w:lang w:val="en-AU"/>
        </w:rPr>
        <w:t xml:space="preserve"> based on Response</w:t>
      </w:r>
    </w:p>
    <w:p w:rsidR="007F5282" w:rsidRDefault="007F5282" w:rsidP="007F5282">
      <w:pPr>
        <w:pStyle w:val="CM36"/>
        <w:spacing w:after="117" w:line="280" w:lineRule="atLeast"/>
        <w:rPr>
          <w:color w:val="000000"/>
          <w:sz w:val="23"/>
          <w:szCs w:val="23"/>
        </w:rPr>
      </w:pPr>
    </w:p>
    <w:p w:rsidR="007F5282" w:rsidRPr="007F5282" w:rsidRDefault="007F5282" w:rsidP="007F5282">
      <w:pPr>
        <w:pStyle w:val="CM36"/>
        <w:spacing w:after="117" w:line="280" w:lineRule="atLeast"/>
        <w:rPr>
          <w:color w:val="000000"/>
        </w:rPr>
      </w:pPr>
      <w:r w:rsidRPr="007F5282">
        <w:rPr>
          <w:color w:val="000000"/>
        </w:rPr>
        <w:t xml:space="preserve">If efficacy is considered insufficient and platelet and neutrophil counts are adequate, doses may be increased in 5 mg twice daily increments to a maximum of 25 mg twice daily. Doses should not be increased during the first 4 weeks of therapy and not more frequently than every 2 weeks. Discontinue treatment after 6 months if there is no spleen size reduction or symptom improvement since initiation of therapy with </w:t>
      </w:r>
      <w:proofErr w:type="spellStart"/>
      <w:r w:rsidRPr="007F5282">
        <w:rPr>
          <w:color w:val="000000"/>
        </w:rPr>
        <w:t>Jaka</w:t>
      </w:r>
      <w:r>
        <w:rPr>
          <w:color w:val="000000"/>
        </w:rPr>
        <w:t>v</w:t>
      </w:r>
      <w:r w:rsidRPr="007F5282">
        <w:rPr>
          <w:color w:val="000000"/>
        </w:rPr>
        <w:t>i</w:t>
      </w:r>
      <w:proofErr w:type="spellEnd"/>
      <w:r w:rsidRPr="007F5282">
        <w:rPr>
          <w:color w:val="000000"/>
        </w:rPr>
        <w:t xml:space="preserve">. </w:t>
      </w:r>
    </w:p>
    <w:p w:rsidR="007F5282" w:rsidRPr="007F5282" w:rsidRDefault="007F5282" w:rsidP="007F5282">
      <w:pPr>
        <w:pStyle w:val="CM36"/>
        <w:spacing w:after="117" w:line="280" w:lineRule="atLeast"/>
        <w:ind w:right="112"/>
        <w:rPr>
          <w:color w:val="000000"/>
        </w:rPr>
      </w:pPr>
      <w:r w:rsidRPr="007F5282">
        <w:rPr>
          <w:color w:val="000000"/>
        </w:rPr>
        <w:t xml:space="preserve">Based on limited clinical data, long-term maintenance at a 5 mg twice daily dose has not shown responses and continued use at this dose should be limited to patients in whom the benefits outweigh the potential risks. </w:t>
      </w:r>
    </w:p>
    <w:p w:rsidR="003A5C00" w:rsidRPr="00DE6BF0" w:rsidRDefault="003A5C00" w:rsidP="000271A8">
      <w:pPr>
        <w:rPr>
          <w:lang w:val="en-AU"/>
        </w:rPr>
      </w:pPr>
      <w:r w:rsidRPr="00DE6BF0">
        <w:rPr>
          <w:lang w:val="en-AU"/>
        </w:rPr>
        <w:t>Dose adjustment with concomitant strong CYP3A4 Inhibitors:</w:t>
      </w:r>
    </w:p>
    <w:p w:rsidR="003A5C00" w:rsidRPr="00DE6BF0" w:rsidRDefault="003A5C00" w:rsidP="000271A8">
      <w:pPr>
        <w:rPr>
          <w:b w:val="0"/>
          <w:lang w:val="en-AU"/>
        </w:rPr>
      </w:pPr>
      <w:r w:rsidRPr="00DE6BF0">
        <w:rPr>
          <w:b w:val="0"/>
          <w:lang w:val="en-AU"/>
        </w:rPr>
        <w:t xml:space="preserve">When </w:t>
      </w:r>
      <w:proofErr w:type="spellStart"/>
      <w:r w:rsidRPr="00DE6BF0">
        <w:rPr>
          <w:b w:val="0"/>
          <w:lang w:val="en-AU"/>
        </w:rPr>
        <w:t>Jakavi</w:t>
      </w:r>
      <w:proofErr w:type="spellEnd"/>
      <w:r w:rsidRPr="00DE6BF0">
        <w:rPr>
          <w:b w:val="0"/>
          <w:lang w:val="en-AU"/>
        </w:rPr>
        <w:t xml:space="preserve"> is administered with strong CYP3A4 inhibitors the total daily dose of </w:t>
      </w:r>
      <w:proofErr w:type="spellStart"/>
      <w:r w:rsidRPr="00DE6BF0">
        <w:rPr>
          <w:b w:val="0"/>
          <w:lang w:val="en-AU"/>
        </w:rPr>
        <w:t>Jakavi</w:t>
      </w:r>
      <w:proofErr w:type="spellEnd"/>
      <w:r w:rsidR="000271A8" w:rsidRPr="00DE6BF0">
        <w:rPr>
          <w:b w:val="0"/>
          <w:lang w:val="en-AU"/>
        </w:rPr>
        <w:t xml:space="preserve"> </w:t>
      </w:r>
      <w:r w:rsidRPr="00DE6BF0">
        <w:rPr>
          <w:b w:val="0"/>
          <w:lang w:val="en-AU"/>
        </w:rPr>
        <w:t>should be reduced by approximately 50% either by decreasing the twice daily dose or by</w:t>
      </w:r>
      <w:r w:rsidR="000271A8" w:rsidRPr="00DE6BF0">
        <w:rPr>
          <w:b w:val="0"/>
          <w:lang w:val="en-AU"/>
        </w:rPr>
        <w:t xml:space="preserve"> </w:t>
      </w:r>
      <w:r w:rsidRPr="00DE6BF0">
        <w:rPr>
          <w:b w:val="0"/>
          <w:lang w:val="en-AU"/>
        </w:rPr>
        <w:lastRenderedPageBreak/>
        <w:t>decreasing the frequency of dosing to the corresponding once daily dose when twice daily</w:t>
      </w:r>
      <w:r w:rsidR="000271A8" w:rsidRPr="00DE6BF0">
        <w:rPr>
          <w:b w:val="0"/>
          <w:lang w:val="en-AU"/>
        </w:rPr>
        <w:t xml:space="preserve"> </w:t>
      </w:r>
      <w:r w:rsidRPr="00DE6BF0">
        <w:rPr>
          <w:b w:val="0"/>
          <w:lang w:val="en-AU"/>
        </w:rPr>
        <w:t>dosing is not practical.</w:t>
      </w:r>
    </w:p>
    <w:p w:rsidR="00EC1F8C" w:rsidRDefault="003A5C00">
      <w:pPr>
        <w:rPr>
          <w:b w:val="0"/>
          <w:lang w:val="en-AU"/>
        </w:rPr>
      </w:pPr>
      <w:r w:rsidRPr="00DE6BF0">
        <w:rPr>
          <w:b w:val="0"/>
          <w:lang w:val="en-AU"/>
        </w:rPr>
        <w:t>More frequent monitoring of h</w:t>
      </w:r>
      <w:r w:rsidR="00A57D72">
        <w:rPr>
          <w:b w:val="0"/>
          <w:lang w:val="en-AU"/>
        </w:rPr>
        <w:t>a</w:t>
      </w:r>
      <w:r w:rsidRPr="00DE6BF0">
        <w:rPr>
          <w:b w:val="0"/>
          <w:lang w:val="en-AU"/>
        </w:rPr>
        <w:t xml:space="preserve">ematology parameters and clinical signs and symptoms of </w:t>
      </w:r>
      <w:proofErr w:type="spellStart"/>
      <w:r w:rsidRPr="00DE6BF0">
        <w:rPr>
          <w:b w:val="0"/>
          <w:lang w:val="en-AU"/>
        </w:rPr>
        <w:t>Jakavi</w:t>
      </w:r>
      <w:proofErr w:type="spellEnd"/>
      <w:r w:rsidR="000271A8" w:rsidRPr="00DE6BF0">
        <w:rPr>
          <w:b w:val="0"/>
          <w:lang w:val="en-AU"/>
        </w:rPr>
        <w:t xml:space="preserve"> </w:t>
      </w:r>
      <w:r w:rsidRPr="00DE6BF0">
        <w:rPr>
          <w:b w:val="0"/>
          <w:lang w:val="en-AU"/>
        </w:rPr>
        <w:t>related adverse reactions is recommended upon initiation of a strong CYP3A4 inhibitor.</w:t>
      </w:r>
    </w:p>
    <w:p w:rsidR="00B82375" w:rsidRPr="00DE6BF0" w:rsidRDefault="00F22127" w:rsidP="000271A8">
      <w:pPr>
        <w:pStyle w:val="Heading2"/>
        <w:rPr>
          <w:lang w:val="en-AU"/>
        </w:rPr>
      </w:pPr>
      <w:r w:rsidRPr="00DE6BF0">
        <w:rPr>
          <w:lang w:val="en-AU"/>
        </w:rPr>
        <w:t>Patients with Renal Impairment</w:t>
      </w:r>
    </w:p>
    <w:p w:rsidR="003A5C00" w:rsidRPr="00DE6BF0" w:rsidRDefault="003A5C00" w:rsidP="000271A8">
      <w:pPr>
        <w:rPr>
          <w:b w:val="0"/>
          <w:lang w:val="en-AU"/>
        </w:rPr>
      </w:pPr>
      <w:r w:rsidRPr="00DE6BF0">
        <w:rPr>
          <w:b w:val="0"/>
          <w:lang w:val="en-AU"/>
        </w:rPr>
        <w:t xml:space="preserve">In patients with </w:t>
      </w:r>
      <w:r w:rsidR="007F0E2B">
        <w:rPr>
          <w:b w:val="0"/>
          <w:lang w:val="en-AU"/>
        </w:rPr>
        <w:t xml:space="preserve">moderate to </w:t>
      </w:r>
      <w:r w:rsidRPr="00DE6BF0">
        <w:rPr>
          <w:b w:val="0"/>
          <w:lang w:val="en-AU"/>
        </w:rPr>
        <w:t>severe renal impairment (</w:t>
      </w:r>
      <w:proofErr w:type="spellStart"/>
      <w:r w:rsidRPr="00DE6BF0">
        <w:rPr>
          <w:b w:val="0"/>
          <w:lang w:val="en-AU"/>
        </w:rPr>
        <w:t>creatinine</w:t>
      </w:r>
      <w:proofErr w:type="spellEnd"/>
      <w:r w:rsidRPr="00DE6BF0">
        <w:rPr>
          <w:b w:val="0"/>
          <w:lang w:val="en-AU"/>
        </w:rPr>
        <w:t xml:space="preserve"> clearance (</w:t>
      </w:r>
      <w:proofErr w:type="spellStart"/>
      <w:r w:rsidRPr="00DE6BF0">
        <w:rPr>
          <w:b w:val="0"/>
          <w:lang w:val="en-AU"/>
        </w:rPr>
        <w:t>Clcr</w:t>
      </w:r>
      <w:proofErr w:type="spellEnd"/>
      <w:r w:rsidRPr="00DE6BF0">
        <w:rPr>
          <w:b w:val="0"/>
          <w:lang w:val="en-AU"/>
        </w:rPr>
        <w:t xml:space="preserve">) less than </w:t>
      </w:r>
      <w:r w:rsidR="007F0E2B">
        <w:rPr>
          <w:b w:val="0"/>
          <w:lang w:val="en-AU"/>
        </w:rPr>
        <w:t>6</w:t>
      </w:r>
      <w:r w:rsidRPr="00DE6BF0">
        <w:rPr>
          <w:b w:val="0"/>
          <w:lang w:val="en-AU"/>
        </w:rPr>
        <w:t>0mL/min) the</w:t>
      </w:r>
      <w:r w:rsidR="000271A8" w:rsidRPr="00DE6BF0">
        <w:rPr>
          <w:b w:val="0"/>
          <w:lang w:val="en-AU"/>
        </w:rPr>
        <w:t xml:space="preserve"> </w:t>
      </w:r>
      <w:r w:rsidRPr="00DE6BF0">
        <w:rPr>
          <w:b w:val="0"/>
          <w:lang w:val="en-AU"/>
        </w:rPr>
        <w:t>recommended starting dose based on platelet count should be reduced by approximately 50%.</w:t>
      </w:r>
      <w:r w:rsidR="000271A8" w:rsidRPr="00DE6BF0">
        <w:rPr>
          <w:b w:val="0"/>
          <w:lang w:val="en-AU"/>
        </w:rPr>
        <w:t xml:space="preserve"> </w:t>
      </w:r>
      <w:r w:rsidRPr="00DE6BF0">
        <w:rPr>
          <w:b w:val="0"/>
          <w:lang w:val="en-AU"/>
        </w:rPr>
        <w:t xml:space="preserve">Patients diagnosed with </w:t>
      </w:r>
      <w:r w:rsidR="007F0E2B">
        <w:rPr>
          <w:b w:val="0"/>
          <w:lang w:val="en-AU"/>
        </w:rPr>
        <w:t xml:space="preserve">moderate to </w:t>
      </w:r>
      <w:r w:rsidRPr="00DE6BF0">
        <w:rPr>
          <w:b w:val="0"/>
          <w:lang w:val="en-AU"/>
        </w:rPr>
        <w:t xml:space="preserve">severe renal impairment while receiving </w:t>
      </w:r>
      <w:proofErr w:type="spellStart"/>
      <w:r w:rsidRPr="00DE6BF0">
        <w:rPr>
          <w:b w:val="0"/>
          <w:lang w:val="en-AU"/>
        </w:rPr>
        <w:t>Jakavi</w:t>
      </w:r>
      <w:proofErr w:type="spellEnd"/>
      <w:r w:rsidRPr="00DE6BF0">
        <w:rPr>
          <w:b w:val="0"/>
          <w:lang w:val="en-AU"/>
        </w:rPr>
        <w:t xml:space="preserve"> should be carefully</w:t>
      </w:r>
      <w:r w:rsidR="000271A8" w:rsidRPr="00DE6BF0">
        <w:rPr>
          <w:b w:val="0"/>
          <w:lang w:val="en-AU"/>
        </w:rPr>
        <w:t xml:space="preserve"> </w:t>
      </w:r>
      <w:r w:rsidRPr="00DE6BF0">
        <w:rPr>
          <w:b w:val="0"/>
          <w:lang w:val="en-AU"/>
        </w:rPr>
        <w:t>monitored and may need to have their doses reduced to avoid adverse drug reactions.</w:t>
      </w:r>
    </w:p>
    <w:p w:rsidR="007F5282" w:rsidRPr="006A091B" w:rsidRDefault="003A5C00" w:rsidP="000271A8">
      <w:pPr>
        <w:rPr>
          <w:b w:val="0"/>
          <w:lang w:val="en-AU"/>
        </w:rPr>
      </w:pPr>
      <w:r w:rsidRPr="00DE6BF0">
        <w:rPr>
          <w:b w:val="0"/>
          <w:lang w:val="en-AU"/>
        </w:rPr>
        <w:t>There are limited data to determine the best dosing options for patients with end-stage renal</w:t>
      </w:r>
      <w:r w:rsidR="000271A8" w:rsidRPr="00DE6BF0">
        <w:rPr>
          <w:b w:val="0"/>
          <w:lang w:val="en-AU"/>
        </w:rPr>
        <w:t xml:space="preserve"> </w:t>
      </w:r>
      <w:r w:rsidRPr="00DE6BF0">
        <w:rPr>
          <w:b w:val="0"/>
          <w:lang w:val="en-AU"/>
        </w:rPr>
        <w:t>disease on dialysis. Available data in this population suggest that patients on dialysis should be</w:t>
      </w:r>
      <w:r w:rsidR="000271A8" w:rsidRPr="00DE6BF0">
        <w:rPr>
          <w:b w:val="0"/>
          <w:lang w:val="en-AU"/>
        </w:rPr>
        <w:t xml:space="preserve"> </w:t>
      </w:r>
      <w:r w:rsidRPr="00DE6BF0">
        <w:rPr>
          <w:b w:val="0"/>
          <w:lang w:val="en-AU"/>
        </w:rPr>
        <w:t>started on an initial single dose of 15 mg or 20 mg based on platelet counts with subsequent</w:t>
      </w:r>
      <w:r w:rsidR="000271A8" w:rsidRPr="00DE6BF0">
        <w:rPr>
          <w:b w:val="0"/>
          <w:lang w:val="en-AU"/>
        </w:rPr>
        <w:t xml:space="preserve"> </w:t>
      </w:r>
      <w:r w:rsidRPr="00DE6BF0">
        <w:rPr>
          <w:b w:val="0"/>
          <w:lang w:val="en-AU"/>
        </w:rPr>
        <w:t>single doses only after each dialysis session, and with careful monitoring of safety and efficacy</w:t>
      </w:r>
      <w:r w:rsidR="000271A8" w:rsidRPr="00DE6BF0">
        <w:rPr>
          <w:b w:val="0"/>
          <w:lang w:val="en-AU"/>
        </w:rPr>
        <w:t xml:space="preserve"> </w:t>
      </w:r>
      <w:r w:rsidRPr="00DE6BF0">
        <w:rPr>
          <w:b w:val="0"/>
          <w:lang w:val="en-AU"/>
        </w:rPr>
        <w:t>(see Pharmacology</w:t>
      </w:r>
      <w:r w:rsidR="00CF6D22" w:rsidRPr="00DE6BF0">
        <w:rPr>
          <w:b w:val="0"/>
          <w:lang w:val="en-AU"/>
        </w:rPr>
        <w:t xml:space="preserve"> section</w:t>
      </w:r>
      <w:r w:rsidRPr="00DE6BF0">
        <w:rPr>
          <w:b w:val="0"/>
          <w:lang w:val="en-AU"/>
        </w:rPr>
        <w:t>).</w:t>
      </w:r>
      <w:r w:rsidR="00C80335">
        <w:rPr>
          <w:b w:val="0"/>
          <w:lang w:val="en-AU"/>
        </w:rPr>
        <w:t xml:space="preserve"> </w:t>
      </w:r>
      <w:r w:rsidR="00C80335" w:rsidRPr="00C80335">
        <w:rPr>
          <w:b w:val="0"/>
          <w:color w:val="000000"/>
        </w:rPr>
        <w:t xml:space="preserve">There are no data for patients undergoing peritoneal dialysis or continuous </w:t>
      </w:r>
      <w:proofErr w:type="spellStart"/>
      <w:r w:rsidR="00C80335" w:rsidRPr="00C80335">
        <w:rPr>
          <w:b w:val="0"/>
          <w:color w:val="000000"/>
        </w:rPr>
        <w:t>venovenous</w:t>
      </w:r>
      <w:proofErr w:type="spellEnd"/>
      <w:r w:rsidR="00C80335" w:rsidRPr="00C80335">
        <w:rPr>
          <w:b w:val="0"/>
          <w:color w:val="000000"/>
        </w:rPr>
        <w:t xml:space="preserve"> </w:t>
      </w:r>
      <w:proofErr w:type="spellStart"/>
      <w:r w:rsidR="00C80335" w:rsidRPr="00C80335">
        <w:rPr>
          <w:b w:val="0"/>
          <w:color w:val="000000"/>
        </w:rPr>
        <w:t>haemofiltration</w:t>
      </w:r>
      <w:proofErr w:type="spellEnd"/>
      <w:r w:rsidR="00C80335" w:rsidRPr="00C80335">
        <w:rPr>
          <w:b w:val="0"/>
          <w:color w:val="000000"/>
        </w:rPr>
        <w:t>.</w:t>
      </w:r>
      <w:r w:rsidR="006A091B">
        <w:rPr>
          <w:b w:val="0"/>
          <w:lang w:val="en-AU"/>
        </w:rPr>
        <w:t xml:space="preserve"> </w:t>
      </w:r>
      <w:proofErr w:type="spellStart"/>
      <w:r w:rsidR="007F5282" w:rsidRPr="006A091B">
        <w:rPr>
          <w:b w:val="0"/>
          <w:color w:val="000000"/>
        </w:rPr>
        <w:t>Jakavi</w:t>
      </w:r>
      <w:proofErr w:type="spellEnd"/>
      <w:r w:rsidR="007F5282" w:rsidRPr="006A091B">
        <w:rPr>
          <w:b w:val="0"/>
          <w:color w:val="000000"/>
        </w:rPr>
        <w:t xml:space="preserve"> should be avoided in patients with end stage renal disease (</w:t>
      </w:r>
      <w:proofErr w:type="spellStart"/>
      <w:r w:rsidR="007F5282" w:rsidRPr="006A091B">
        <w:rPr>
          <w:b w:val="0"/>
          <w:color w:val="000000"/>
        </w:rPr>
        <w:t>CrCl</w:t>
      </w:r>
      <w:proofErr w:type="spellEnd"/>
      <w:r w:rsidR="007F5282" w:rsidRPr="006A091B">
        <w:rPr>
          <w:b w:val="0"/>
          <w:color w:val="000000"/>
        </w:rPr>
        <w:t xml:space="preserve"> less than 15 mL/min) not </w:t>
      </w:r>
      <w:r w:rsidR="006A091B">
        <w:rPr>
          <w:b w:val="0"/>
          <w:color w:val="000000"/>
        </w:rPr>
        <w:t>undergoing</w:t>
      </w:r>
      <w:r w:rsidR="007F5282" w:rsidRPr="006A091B">
        <w:rPr>
          <w:b w:val="0"/>
          <w:color w:val="000000"/>
        </w:rPr>
        <w:t xml:space="preserve"> dialysis and in patients with </w:t>
      </w:r>
      <w:r w:rsidR="007F0E2B">
        <w:rPr>
          <w:b w:val="0"/>
          <w:color w:val="000000"/>
        </w:rPr>
        <w:t xml:space="preserve">moderate to </w:t>
      </w:r>
      <w:r w:rsidR="007F5282" w:rsidRPr="006A091B">
        <w:rPr>
          <w:b w:val="0"/>
          <w:color w:val="000000"/>
        </w:rPr>
        <w:t>severe renal impairment with platelet counts less than 100 X 10</w:t>
      </w:r>
      <w:r w:rsidR="007F5282" w:rsidRPr="006A091B">
        <w:rPr>
          <w:b w:val="0"/>
          <w:color w:val="000000"/>
          <w:position w:val="11"/>
          <w:vertAlign w:val="superscript"/>
        </w:rPr>
        <w:t>9</w:t>
      </w:r>
      <w:r w:rsidR="007F5282" w:rsidRPr="006A091B">
        <w:rPr>
          <w:b w:val="0"/>
          <w:color w:val="000000"/>
        </w:rPr>
        <w:t>/L</w:t>
      </w:r>
      <w:r w:rsidR="009E2E43" w:rsidRPr="006A091B">
        <w:rPr>
          <w:b w:val="0"/>
          <w:color w:val="000000"/>
        </w:rPr>
        <w:t>.</w:t>
      </w:r>
    </w:p>
    <w:p w:rsidR="00B82375" w:rsidRPr="00DE6BF0" w:rsidRDefault="00F22127" w:rsidP="007F46FD">
      <w:pPr>
        <w:pStyle w:val="Heading2"/>
        <w:rPr>
          <w:lang w:val="en-AU"/>
        </w:rPr>
      </w:pPr>
      <w:r w:rsidRPr="00DE6BF0">
        <w:rPr>
          <w:lang w:val="en-AU"/>
        </w:rPr>
        <w:t>Patients with Hepatic Impairment</w:t>
      </w:r>
    </w:p>
    <w:p w:rsidR="003A5C00" w:rsidRDefault="003A5C00" w:rsidP="000271A8">
      <w:pPr>
        <w:rPr>
          <w:b w:val="0"/>
          <w:lang w:val="en-AU"/>
        </w:rPr>
      </w:pPr>
      <w:r w:rsidRPr="00DE6BF0">
        <w:rPr>
          <w:b w:val="0"/>
          <w:lang w:val="en-AU"/>
        </w:rPr>
        <w:t>In patients with any hepatic impairment the recommended starting dose based on platelet count</w:t>
      </w:r>
      <w:r w:rsidR="000271A8" w:rsidRPr="00DE6BF0">
        <w:rPr>
          <w:b w:val="0"/>
          <w:lang w:val="en-AU"/>
        </w:rPr>
        <w:t xml:space="preserve"> </w:t>
      </w:r>
      <w:r w:rsidRPr="00DE6BF0">
        <w:rPr>
          <w:b w:val="0"/>
          <w:lang w:val="en-AU"/>
        </w:rPr>
        <w:t>should be reduced by approximately 50%. Patients diagnosed with hepatic impairment while</w:t>
      </w:r>
      <w:r w:rsidR="000271A8" w:rsidRPr="00DE6BF0">
        <w:rPr>
          <w:b w:val="0"/>
          <w:lang w:val="en-AU"/>
        </w:rPr>
        <w:t xml:space="preserve"> </w:t>
      </w:r>
      <w:r w:rsidRPr="00DE6BF0">
        <w:rPr>
          <w:b w:val="0"/>
          <w:lang w:val="en-AU"/>
        </w:rPr>
        <w:t xml:space="preserve">receiving </w:t>
      </w:r>
      <w:proofErr w:type="spellStart"/>
      <w:r w:rsidRPr="00DE6BF0">
        <w:rPr>
          <w:b w:val="0"/>
          <w:lang w:val="en-AU"/>
        </w:rPr>
        <w:t>Jakavi</w:t>
      </w:r>
      <w:proofErr w:type="spellEnd"/>
      <w:r w:rsidRPr="00DE6BF0">
        <w:rPr>
          <w:b w:val="0"/>
          <w:lang w:val="en-AU"/>
        </w:rPr>
        <w:t xml:space="preserve"> should be carefully monitored and may need to have their dose reduced to</w:t>
      </w:r>
      <w:r w:rsidR="000271A8" w:rsidRPr="00DE6BF0">
        <w:rPr>
          <w:b w:val="0"/>
          <w:lang w:val="en-AU"/>
        </w:rPr>
        <w:t xml:space="preserve"> </w:t>
      </w:r>
      <w:r w:rsidRPr="00DE6BF0">
        <w:rPr>
          <w:b w:val="0"/>
          <w:lang w:val="en-AU"/>
        </w:rPr>
        <w:t>avoid adverse drug reactions.</w:t>
      </w:r>
    </w:p>
    <w:p w:rsidR="009E2E43" w:rsidRPr="009E2E43" w:rsidRDefault="009E2E43" w:rsidP="000271A8">
      <w:pPr>
        <w:rPr>
          <w:b w:val="0"/>
          <w:lang w:val="en-AU"/>
        </w:rPr>
      </w:pPr>
      <w:proofErr w:type="spellStart"/>
      <w:r w:rsidRPr="009E2E43">
        <w:rPr>
          <w:b w:val="0"/>
          <w:color w:val="000000"/>
        </w:rPr>
        <w:t>Jakavi</w:t>
      </w:r>
      <w:proofErr w:type="spellEnd"/>
      <w:r w:rsidRPr="009E2E43">
        <w:rPr>
          <w:b w:val="0"/>
          <w:color w:val="000000"/>
        </w:rPr>
        <w:t xml:space="preserve"> should be avoided in patients with hepatic impairment with platelet counts less than 100 X 10</w:t>
      </w:r>
      <w:r w:rsidRPr="009E2E43">
        <w:rPr>
          <w:b w:val="0"/>
          <w:color w:val="000000"/>
          <w:position w:val="11"/>
          <w:vertAlign w:val="superscript"/>
        </w:rPr>
        <w:t>9</w:t>
      </w:r>
      <w:r w:rsidRPr="009E2E43">
        <w:rPr>
          <w:b w:val="0"/>
          <w:color w:val="000000"/>
        </w:rPr>
        <w:t>/L.</w:t>
      </w:r>
    </w:p>
    <w:p w:rsidR="006D0C74" w:rsidRPr="00DE6BF0" w:rsidRDefault="00F22127" w:rsidP="007F46FD">
      <w:pPr>
        <w:pStyle w:val="Heading2"/>
        <w:rPr>
          <w:lang w:val="en-AU"/>
        </w:rPr>
      </w:pPr>
      <w:r w:rsidRPr="00DE6BF0">
        <w:rPr>
          <w:lang w:val="en-AU"/>
        </w:rPr>
        <w:t>Elderly Patients</w:t>
      </w:r>
    </w:p>
    <w:p w:rsidR="003A5C00" w:rsidRDefault="003A5C00" w:rsidP="007D5ADD">
      <w:pPr>
        <w:rPr>
          <w:b w:val="0"/>
          <w:lang w:val="en-AU"/>
        </w:rPr>
      </w:pPr>
      <w:r w:rsidRPr="00DE6BF0">
        <w:rPr>
          <w:b w:val="0"/>
          <w:lang w:val="en-AU"/>
        </w:rPr>
        <w:t>No additional dose adjustments are recommended for elderly patients.</w:t>
      </w:r>
    </w:p>
    <w:p w:rsidR="006D0C74" w:rsidRPr="00DE6BF0" w:rsidRDefault="00F22127" w:rsidP="007C7566">
      <w:pPr>
        <w:rPr>
          <w:lang w:val="en-AU"/>
        </w:rPr>
      </w:pPr>
      <w:r w:rsidRPr="00DE6BF0">
        <w:rPr>
          <w:lang w:val="en-AU"/>
        </w:rPr>
        <w:t>OVERDOSAGE</w:t>
      </w:r>
    </w:p>
    <w:p w:rsidR="00134CF6" w:rsidRPr="00DE6BF0" w:rsidRDefault="00134CF6" w:rsidP="000271A8">
      <w:pPr>
        <w:rPr>
          <w:b w:val="0"/>
          <w:lang w:val="en-AU"/>
        </w:rPr>
      </w:pPr>
      <w:r w:rsidRPr="00DE6BF0">
        <w:rPr>
          <w:b w:val="0"/>
          <w:lang w:val="en-AU"/>
        </w:rPr>
        <w:t xml:space="preserve">There is no known antidote for overdoses with </w:t>
      </w:r>
      <w:proofErr w:type="spellStart"/>
      <w:r w:rsidRPr="00DE6BF0">
        <w:rPr>
          <w:b w:val="0"/>
          <w:lang w:val="en-AU"/>
        </w:rPr>
        <w:t>Jakavi</w:t>
      </w:r>
      <w:proofErr w:type="spellEnd"/>
      <w:r w:rsidRPr="00DE6BF0">
        <w:rPr>
          <w:b w:val="0"/>
          <w:lang w:val="en-AU"/>
        </w:rPr>
        <w:t>. Single doses up to 200 mg have been</w:t>
      </w:r>
      <w:r w:rsidR="000271A8" w:rsidRPr="00DE6BF0">
        <w:rPr>
          <w:b w:val="0"/>
          <w:lang w:val="en-AU"/>
        </w:rPr>
        <w:t xml:space="preserve"> </w:t>
      </w:r>
      <w:r w:rsidRPr="00DE6BF0">
        <w:rPr>
          <w:b w:val="0"/>
          <w:lang w:val="en-AU"/>
        </w:rPr>
        <w:t>given with acceptable acute tolerability. Higher than recommended repeat doses are associated</w:t>
      </w:r>
      <w:r w:rsidR="000271A8" w:rsidRPr="00DE6BF0">
        <w:rPr>
          <w:b w:val="0"/>
          <w:lang w:val="en-AU"/>
        </w:rPr>
        <w:t xml:space="preserve"> </w:t>
      </w:r>
      <w:r w:rsidRPr="00DE6BF0">
        <w:rPr>
          <w:b w:val="0"/>
          <w:lang w:val="en-AU"/>
        </w:rPr>
        <w:t xml:space="preserve">with increased </w:t>
      </w:r>
      <w:proofErr w:type="spellStart"/>
      <w:r w:rsidRPr="00DE6BF0">
        <w:rPr>
          <w:b w:val="0"/>
          <w:lang w:val="en-AU"/>
        </w:rPr>
        <w:t>myelosuppression</w:t>
      </w:r>
      <w:proofErr w:type="spellEnd"/>
      <w:r w:rsidRPr="00DE6BF0">
        <w:rPr>
          <w:b w:val="0"/>
          <w:lang w:val="en-AU"/>
        </w:rPr>
        <w:t xml:space="preserve"> including </w:t>
      </w:r>
      <w:r w:rsidR="007D5ADD" w:rsidRPr="00DE6BF0">
        <w:rPr>
          <w:b w:val="0"/>
          <w:lang w:val="en-AU"/>
        </w:rPr>
        <w:t>leucopoenia</w:t>
      </w:r>
      <w:r w:rsidRPr="00DE6BF0">
        <w:rPr>
          <w:b w:val="0"/>
          <w:lang w:val="en-AU"/>
        </w:rPr>
        <w:t>, an</w:t>
      </w:r>
      <w:r w:rsidR="007D5ADD">
        <w:rPr>
          <w:b w:val="0"/>
          <w:lang w:val="en-AU"/>
        </w:rPr>
        <w:t>a</w:t>
      </w:r>
      <w:r w:rsidRPr="00DE6BF0">
        <w:rPr>
          <w:b w:val="0"/>
          <w:lang w:val="en-AU"/>
        </w:rPr>
        <w:t>emia and thrombocytopenia.</w:t>
      </w:r>
      <w:r w:rsidR="000271A8" w:rsidRPr="00DE6BF0">
        <w:rPr>
          <w:b w:val="0"/>
          <w:lang w:val="en-AU"/>
        </w:rPr>
        <w:t xml:space="preserve"> </w:t>
      </w:r>
      <w:r w:rsidRPr="00DE6BF0">
        <w:rPr>
          <w:b w:val="0"/>
          <w:lang w:val="en-AU"/>
        </w:rPr>
        <w:t>Appropriate supportive treatment should be given.</w:t>
      </w:r>
    </w:p>
    <w:p w:rsidR="00134CF6" w:rsidRPr="00DE6BF0" w:rsidRDefault="00134CF6" w:rsidP="000271A8">
      <w:pPr>
        <w:rPr>
          <w:b w:val="0"/>
          <w:lang w:val="en-AU"/>
        </w:rPr>
      </w:pPr>
      <w:proofErr w:type="spellStart"/>
      <w:r w:rsidRPr="00DE6BF0">
        <w:rPr>
          <w:b w:val="0"/>
          <w:lang w:val="en-AU"/>
        </w:rPr>
        <w:t>Hemodialysis</w:t>
      </w:r>
      <w:proofErr w:type="spellEnd"/>
      <w:r w:rsidRPr="00DE6BF0">
        <w:rPr>
          <w:b w:val="0"/>
          <w:lang w:val="en-AU"/>
        </w:rPr>
        <w:t xml:space="preserve"> is not expected to enhance the elimination of </w:t>
      </w:r>
      <w:proofErr w:type="spellStart"/>
      <w:r w:rsidRPr="00DE6BF0">
        <w:rPr>
          <w:b w:val="0"/>
          <w:lang w:val="en-AU"/>
        </w:rPr>
        <w:t>Jakavi</w:t>
      </w:r>
      <w:proofErr w:type="spellEnd"/>
      <w:r w:rsidRPr="00DE6BF0">
        <w:rPr>
          <w:b w:val="0"/>
          <w:lang w:val="en-AU"/>
        </w:rPr>
        <w:t>.</w:t>
      </w:r>
    </w:p>
    <w:p w:rsidR="00134CF6" w:rsidRPr="00DE6BF0" w:rsidRDefault="000271A8" w:rsidP="000271A8">
      <w:pPr>
        <w:rPr>
          <w:b w:val="0"/>
          <w:lang w:val="en-AU"/>
        </w:rPr>
      </w:pPr>
      <w:r w:rsidRPr="00DE6BF0">
        <w:rPr>
          <w:b w:val="0"/>
          <w:lang w:val="en-AU"/>
        </w:rPr>
        <w:t>Contact the Poisons Information Centre on 13 11 26 for advice on management.</w:t>
      </w:r>
    </w:p>
    <w:p w:rsidR="006D0C74" w:rsidRPr="00DE6BF0" w:rsidRDefault="00F22127" w:rsidP="007C7566">
      <w:pPr>
        <w:rPr>
          <w:lang w:val="en-AU"/>
        </w:rPr>
      </w:pPr>
      <w:r w:rsidRPr="00DE6BF0">
        <w:rPr>
          <w:lang w:val="en-AU"/>
        </w:rPr>
        <w:lastRenderedPageBreak/>
        <w:t>PRESENTATION</w:t>
      </w:r>
      <w:r w:rsidR="00B53986" w:rsidRPr="00DE6BF0">
        <w:rPr>
          <w:lang w:val="en-AU"/>
        </w:rPr>
        <w:t xml:space="preserve"> AND STORAGE CONDITIONS</w:t>
      </w:r>
    </w:p>
    <w:p w:rsidR="00E61538" w:rsidRPr="00E61538" w:rsidRDefault="00E61538" w:rsidP="00E61538">
      <w:pPr>
        <w:widowControl w:val="0"/>
        <w:shd w:val="clear" w:color="auto" w:fill="FFFFFF"/>
        <w:rPr>
          <w:b w:val="0"/>
          <w:noProof/>
          <w:szCs w:val="22"/>
        </w:rPr>
      </w:pPr>
      <w:r w:rsidRPr="00E61538">
        <w:rPr>
          <w:noProof/>
          <w:szCs w:val="22"/>
        </w:rPr>
        <w:t xml:space="preserve">5mg tablet: </w:t>
      </w:r>
      <w:r w:rsidRPr="00E61538">
        <w:rPr>
          <w:b w:val="0"/>
          <w:noProof/>
          <w:szCs w:val="22"/>
        </w:rPr>
        <w:t xml:space="preserve">Round </w:t>
      </w:r>
      <w:r w:rsidR="00EC2224">
        <w:rPr>
          <w:b w:val="0"/>
          <w:noProof/>
          <w:szCs w:val="22"/>
        </w:rPr>
        <w:t xml:space="preserve">curved </w:t>
      </w:r>
      <w:r w:rsidRPr="00E61538">
        <w:rPr>
          <w:b w:val="0"/>
          <w:noProof/>
          <w:szCs w:val="22"/>
        </w:rPr>
        <w:t>white to almost white tablets of approximately 7.5 mm in diameter with “NVR” debossed on one side and “L5” debossed on the other side.</w:t>
      </w:r>
    </w:p>
    <w:p w:rsidR="00E61538" w:rsidRPr="00E61538" w:rsidRDefault="00E61538" w:rsidP="00E61538">
      <w:pPr>
        <w:widowControl w:val="0"/>
        <w:shd w:val="clear" w:color="auto" w:fill="FFFFFF"/>
        <w:rPr>
          <w:b w:val="0"/>
          <w:noProof/>
          <w:szCs w:val="22"/>
        </w:rPr>
      </w:pPr>
      <w:r w:rsidRPr="00E61538">
        <w:rPr>
          <w:noProof/>
          <w:szCs w:val="22"/>
        </w:rPr>
        <w:t xml:space="preserve">15 mg tablet: </w:t>
      </w:r>
      <w:r w:rsidRPr="00E61538">
        <w:rPr>
          <w:b w:val="0"/>
          <w:noProof/>
          <w:szCs w:val="22"/>
        </w:rPr>
        <w:t>Ovaloid curved white to almost white tablets of approximately 15.0 x 7.0 mm with “NVR” debossed on one side and “L15” debossed on the other side.</w:t>
      </w:r>
    </w:p>
    <w:p w:rsidR="00E61538" w:rsidRPr="00E61538" w:rsidRDefault="00E61538" w:rsidP="00E61538">
      <w:pPr>
        <w:rPr>
          <w:b w:val="0"/>
          <w:lang w:val="en-AU"/>
        </w:rPr>
      </w:pPr>
      <w:r w:rsidRPr="00E61538">
        <w:rPr>
          <w:noProof/>
          <w:szCs w:val="22"/>
        </w:rPr>
        <w:t xml:space="preserve">20 mg tablet: </w:t>
      </w:r>
      <w:r w:rsidRPr="00E61538">
        <w:rPr>
          <w:b w:val="0"/>
          <w:noProof/>
          <w:szCs w:val="22"/>
        </w:rPr>
        <w:t>Elongated curved white to almost white tablets of approximately 16.5 x 7.4 mm with “NVR” debossed one one side and “L20” debossed on the other side,.</w:t>
      </w:r>
    </w:p>
    <w:p w:rsidR="00A51E7F" w:rsidRPr="00DE6BF0" w:rsidRDefault="00A51E7F" w:rsidP="007F46FD">
      <w:pPr>
        <w:rPr>
          <w:b w:val="0"/>
          <w:lang w:val="en-AU"/>
        </w:rPr>
      </w:pPr>
      <w:proofErr w:type="spellStart"/>
      <w:r w:rsidRPr="00DE6BF0">
        <w:rPr>
          <w:b w:val="0"/>
          <w:lang w:val="en-AU"/>
        </w:rPr>
        <w:t>Jakavi</w:t>
      </w:r>
      <w:proofErr w:type="spellEnd"/>
      <w:r w:rsidRPr="00DE6BF0">
        <w:rPr>
          <w:b w:val="0"/>
          <w:lang w:val="en-AU"/>
        </w:rPr>
        <w:t xml:space="preserve"> 5 mg, 15 mg and 20 mg tablets: bottles containing 60 tablets</w:t>
      </w:r>
    </w:p>
    <w:p w:rsidR="00A51E7F" w:rsidRPr="00DE6BF0" w:rsidRDefault="00A51E7F" w:rsidP="007F46FD">
      <w:pPr>
        <w:rPr>
          <w:b w:val="0"/>
          <w:lang w:val="en-AU"/>
        </w:rPr>
      </w:pPr>
      <w:proofErr w:type="spellStart"/>
      <w:r w:rsidRPr="00DE6BF0">
        <w:rPr>
          <w:b w:val="0"/>
          <w:lang w:val="en-AU"/>
        </w:rPr>
        <w:t>Jakavi</w:t>
      </w:r>
      <w:proofErr w:type="spellEnd"/>
      <w:r w:rsidRPr="00DE6BF0">
        <w:rPr>
          <w:b w:val="0"/>
          <w:lang w:val="en-AU"/>
        </w:rPr>
        <w:t xml:space="preserve"> 5 mg, 15 mg and 20 mg tablets: blisters containing 14, 28, 56, 112, </w:t>
      </w:r>
      <w:r w:rsidR="004B25D2" w:rsidRPr="00DE6BF0">
        <w:rPr>
          <w:b w:val="0"/>
          <w:lang w:val="en-AU"/>
        </w:rPr>
        <w:t xml:space="preserve">168, </w:t>
      </w:r>
      <w:r w:rsidRPr="00DE6BF0">
        <w:rPr>
          <w:b w:val="0"/>
          <w:lang w:val="en-AU"/>
        </w:rPr>
        <w:t>224 tablets</w:t>
      </w:r>
    </w:p>
    <w:p w:rsidR="00B82375" w:rsidRPr="00DE6BF0" w:rsidRDefault="00F22127" w:rsidP="007F46FD">
      <w:pPr>
        <w:rPr>
          <w:b w:val="0"/>
          <w:lang w:val="en-AU"/>
        </w:rPr>
      </w:pPr>
      <w:r w:rsidRPr="00DE6BF0">
        <w:rPr>
          <w:b w:val="0"/>
          <w:lang w:val="en-AU"/>
        </w:rPr>
        <w:t>Pack sizes: Not all pack sizes may be marketed.</w:t>
      </w:r>
    </w:p>
    <w:p w:rsidR="00B82375" w:rsidRPr="00DE6BF0" w:rsidRDefault="00F22127" w:rsidP="007F46FD">
      <w:pPr>
        <w:rPr>
          <w:b w:val="0"/>
          <w:lang w:val="en-AU"/>
        </w:rPr>
      </w:pPr>
      <w:r w:rsidRPr="00DE6BF0">
        <w:rPr>
          <w:b w:val="0"/>
          <w:lang w:val="en-AU"/>
        </w:rPr>
        <w:t xml:space="preserve">Storage: </w:t>
      </w:r>
      <w:r w:rsidR="00A51E7F" w:rsidRPr="00DE6BF0">
        <w:rPr>
          <w:b w:val="0"/>
          <w:lang w:val="en-AU"/>
        </w:rPr>
        <w:t xml:space="preserve">Store below </w:t>
      </w:r>
      <w:r w:rsidR="007104D0">
        <w:rPr>
          <w:b w:val="0"/>
          <w:lang w:val="en-AU"/>
        </w:rPr>
        <w:t>30</w:t>
      </w:r>
      <w:r w:rsidR="007104D0" w:rsidRPr="00DE6BF0">
        <w:rPr>
          <w:b w:val="0"/>
          <w:vertAlign w:val="superscript"/>
          <w:lang w:val="en-AU"/>
        </w:rPr>
        <w:t>o</w:t>
      </w:r>
      <w:r w:rsidR="007104D0" w:rsidRPr="00DE6BF0">
        <w:rPr>
          <w:b w:val="0"/>
          <w:lang w:val="en-AU"/>
        </w:rPr>
        <w:t>C</w:t>
      </w:r>
    </w:p>
    <w:p w:rsidR="006D0C74" w:rsidRPr="00DE6BF0" w:rsidRDefault="00B53986" w:rsidP="007C7566">
      <w:pPr>
        <w:rPr>
          <w:lang w:val="en-AU"/>
        </w:rPr>
      </w:pPr>
      <w:r w:rsidRPr="00DE6BF0">
        <w:rPr>
          <w:lang w:val="en-AU"/>
        </w:rPr>
        <w:t>NAME AND ADDRESS OF THE SPONSOR</w:t>
      </w:r>
    </w:p>
    <w:p w:rsidR="00B82375" w:rsidRPr="00DE6BF0" w:rsidRDefault="00F22127" w:rsidP="007F46FD">
      <w:pPr>
        <w:rPr>
          <w:b w:val="0"/>
          <w:lang w:val="en-AU"/>
        </w:rPr>
      </w:pPr>
      <w:r w:rsidRPr="00DE6BF0">
        <w:rPr>
          <w:b w:val="0"/>
          <w:lang w:val="en-AU"/>
        </w:rPr>
        <w:t>Novartis Pharmaceuticals Australia Pty Limited</w:t>
      </w:r>
    </w:p>
    <w:p w:rsidR="00B82375" w:rsidRPr="00DE6BF0" w:rsidRDefault="00F22127" w:rsidP="007F46FD">
      <w:pPr>
        <w:rPr>
          <w:b w:val="0"/>
          <w:lang w:val="en-AU"/>
        </w:rPr>
      </w:pPr>
      <w:r w:rsidRPr="00DE6BF0">
        <w:rPr>
          <w:b w:val="0"/>
          <w:lang w:val="en-AU"/>
        </w:rPr>
        <w:t>ABN 18 004 244 160</w:t>
      </w:r>
    </w:p>
    <w:p w:rsidR="00B82375" w:rsidRPr="00DE6BF0" w:rsidRDefault="00F22127" w:rsidP="007F46FD">
      <w:pPr>
        <w:rPr>
          <w:b w:val="0"/>
          <w:lang w:val="en-AU"/>
        </w:rPr>
      </w:pPr>
      <w:r w:rsidRPr="00DE6BF0">
        <w:rPr>
          <w:b w:val="0"/>
          <w:lang w:val="en-AU"/>
        </w:rPr>
        <w:t>54 Waterloo Road</w:t>
      </w:r>
    </w:p>
    <w:p w:rsidR="00B82375" w:rsidRPr="00DE6BF0" w:rsidRDefault="00F22127" w:rsidP="007F46FD">
      <w:pPr>
        <w:rPr>
          <w:b w:val="0"/>
          <w:lang w:val="en-AU"/>
        </w:rPr>
      </w:pPr>
      <w:r w:rsidRPr="00DE6BF0">
        <w:rPr>
          <w:b w:val="0"/>
          <w:lang w:val="en-AU"/>
        </w:rPr>
        <w:t>North Ryde NSW 2113</w:t>
      </w:r>
    </w:p>
    <w:p w:rsidR="00B82375" w:rsidRPr="00DE6BF0" w:rsidRDefault="00F22127" w:rsidP="007F46FD">
      <w:pPr>
        <w:rPr>
          <w:b w:val="0"/>
          <w:lang w:val="en-AU"/>
        </w:rPr>
      </w:pPr>
      <w:r w:rsidRPr="00DE6BF0">
        <w:rPr>
          <w:b w:val="0"/>
          <w:lang w:val="en-AU"/>
        </w:rPr>
        <w:sym w:font="Symbol" w:char="F0D2"/>
      </w:r>
      <w:r w:rsidRPr="00DE6BF0">
        <w:rPr>
          <w:b w:val="0"/>
          <w:lang w:val="en-AU"/>
        </w:rPr>
        <w:t xml:space="preserve"> = Registered Trademark</w:t>
      </w:r>
    </w:p>
    <w:p w:rsidR="00B53986" w:rsidRPr="00DE6BF0" w:rsidRDefault="00B53986" w:rsidP="007C7566">
      <w:pPr>
        <w:rPr>
          <w:lang w:val="en-AU"/>
        </w:rPr>
      </w:pPr>
      <w:r w:rsidRPr="00DE6BF0">
        <w:rPr>
          <w:lang w:val="en-AU"/>
        </w:rPr>
        <w:t>POISON SCHEDULE OF THE MEDICINE</w:t>
      </w:r>
    </w:p>
    <w:p w:rsidR="00B53986" w:rsidRPr="00DE6BF0" w:rsidRDefault="00A51E7F" w:rsidP="007F46FD">
      <w:pPr>
        <w:rPr>
          <w:b w:val="0"/>
          <w:lang w:val="en-AU"/>
        </w:rPr>
      </w:pPr>
      <w:r w:rsidRPr="00DE6BF0">
        <w:rPr>
          <w:b w:val="0"/>
          <w:lang w:val="en-AU"/>
        </w:rPr>
        <w:t>Prescription Only Medicine (Schedule 4)</w:t>
      </w:r>
    </w:p>
    <w:p w:rsidR="00B53986" w:rsidRPr="00DE6BF0" w:rsidRDefault="00B53986" w:rsidP="007C7566">
      <w:pPr>
        <w:rPr>
          <w:lang w:val="en-AU"/>
        </w:rPr>
      </w:pPr>
      <w:r w:rsidRPr="00DE6BF0">
        <w:rPr>
          <w:lang w:val="en-AU"/>
        </w:rPr>
        <w:t xml:space="preserve">DATE OF FIRST INCLUSION IN THE AUSTRALIAN REGISTER OF THERAPEUTIC GOODS </w:t>
      </w:r>
    </w:p>
    <w:p w:rsidR="00234BCF" w:rsidRPr="00DE6BF0" w:rsidRDefault="00EC4B26" w:rsidP="00234BCF">
      <w:pPr>
        <w:pStyle w:val="paragraph"/>
        <w:rPr>
          <w:b w:val="0"/>
          <w:lang w:val="en-AU"/>
        </w:rPr>
      </w:pPr>
      <w:r>
        <w:rPr>
          <w:b w:val="0"/>
          <w:lang w:val="en-AU"/>
        </w:rPr>
        <w:t>3 July 2013</w:t>
      </w:r>
    </w:p>
    <w:p w:rsidR="00B82375" w:rsidRPr="00D766FE" w:rsidRDefault="00B82375" w:rsidP="007F46FD"/>
    <w:p w:rsidR="005800FB" w:rsidRPr="005A39B1" w:rsidRDefault="005800FB" w:rsidP="005800FB">
      <w:pPr>
        <w:rPr>
          <w:lang w:val="en-GB"/>
        </w:rPr>
      </w:pPr>
      <w:r w:rsidRPr="005A39B1">
        <w:rPr>
          <w:lang w:val="en-GB"/>
        </w:rPr>
        <w:t>® = Registered Trademark</w:t>
      </w:r>
    </w:p>
    <w:p w:rsidR="005800FB" w:rsidRPr="00C45887" w:rsidRDefault="005800FB" w:rsidP="005800FB">
      <w:pPr>
        <w:pBdr>
          <w:bottom w:val="single" w:sz="12" w:space="1" w:color="auto"/>
        </w:pBdr>
        <w:tabs>
          <w:tab w:val="center" w:pos="5812"/>
          <w:tab w:val="center" w:pos="6805"/>
        </w:tabs>
        <w:spacing w:after="120"/>
        <w:rPr>
          <w:rFonts w:ascii="Arial" w:hAnsi="Arial" w:cs="Arial"/>
          <w:sz w:val="22"/>
          <w:szCs w:val="22"/>
        </w:rPr>
      </w:pPr>
    </w:p>
    <w:p w:rsidR="005800FB" w:rsidRPr="005A39B1" w:rsidRDefault="005800FB" w:rsidP="005800FB">
      <w:pPr>
        <w:tabs>
          <w:tab w:val="center" w:pos="5812"/>
          <w:tab w:val="center" w:pos="6805"/>
        </w:tabs>
        <w:rPr>
          <w:b w:val="0"/>
        </w:rPr>
      </w:pPr>
      <w:r w:rsidRPr="005A39B1">
        <w:rPr>
          <w:b w:val="0"/>
        </w:rPr>
        <w:t xml:space="preserve">For Internal Use Only </w:t>
      </w:r>
    </w:p>
    <w:p w:rsidR="005800FB" w:rsidRPr="00A16CDE" w:rsidRDefault="00D90C1D" w:rsidP="005800FB">
      <w:pPr>
        <w:tabs>
          <w:tab w:val="center" w:pos="5812"/>
          <w:tab w:val="center" w:pos="6805"/>
        </w:tabs>
        <w:rPr>
          <w:b w:val="0"/>
        </w:rPr>
      </w:pPr>
      <w:r>
        <w:rPr>
          <w:b w:val="0"/>
        </w:rPr>
        <w:t>j</w:t>
      </w:r>
      <w:r w:rsidR="005800FB" w:rsidRPr="00A16CDE">
        <w:rPr>
          <w:b w:val="0"/>
        </w:rPr>
        <w:t>ak</w:t>
      </w:r>
      <w:r w:rsidR="00EC4B26">
        <w:rPr>
          <w:b w:val="0"/>
        </w:rPr>
        <w:t>030713</w:t>
      </w:r>
      <w:r w:rsidR="00D600F3">
        <w:rPr>
          <w:b w:val="0"/>
        </w:rPr>
        <w:t>i</w:t>
      </w:r>
      <w:r w:rsidR="005800FB" w:rsidRPr="00A16CDE">
        <w:rPr>
          <w:b w:val="0"/>
        </w:rPr>
        <w:t xml:space="preserve"> based on the CDS of </w:t>
      </w:r>
      <w:r w:rsidR="00EB15A1" w:rsidRPr="00A16CDE">
        <w:rPr>
          <w:b w:val="0"/>
        </w:rPr>
        <w:t>3 May 2013.</w:t>
      </w:r>
    </w:p>
    <w:p w:rsidR="00B82375" w:rsidRPr="00D766FE" w:rsidRDefault="00B82375" w:rsidP="005800FB"/>
    <w:sectPr w:rsidR="00B82375" w:rsidRPr="00D766FE" w:rsidSect="00A57939">
      <w:headerReference w:type="even" r:id="rId12"/>
      <w:headerReference w:type="default" r:id="rId13"/>
      <w:footerReference w:type="even" r:id="rId14"/>
      <w:footerReference w:type="default" r:id="rId15"/>
      <w:headerReference w:type="first" r:id="rId16"/>
      <w:footerReference w:type="first" r:id="rId17"/>
      <w:pgSz w:w="11907" w:h="16840" w:code="9"/>
      <w:pgMar w:top="-1702" w:right="1440" w:bottom="1134"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CDE" w:rsidRDefault="00A16CDE" w:rsidP="007F46FD">
      <w:r>
        <w:separator/>
      </w:r>
    </w:p>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rsidP="0016319B"/>
    <w:p w:rsidR="00A16CDE" w:rsidRDefault="00A16CDE" w:rsidP="00F42A94"/>
    <w:p w:rsidR="00A16CDE" w:rsidRDefault="00A16CDE" w:rsidP="009D5E93"/>
    <w:p w:rsidR="00A16CDE" w:rsidRDefault="00A16CDE"/>
  </w:endnote>
  <w:endnote w:type="continuationSeparator" w:id="0">
    <w:p w:rsidR="00A16CDE" w:rsidRDefault="00A16CDE" w:rsidP="007F46FD">
      <w:r>
        <w:continuationSeparator/>
      </w:r>
    </w:p>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rsidP="0016319B"/>
    <w:p w:rsidR="00A16CDE" w:rsidRDefault="00A16CDE" w:rsidP="00F42A94"/>
    <w:p w:rsidR="00A16CDE" w:rsidRDefault="00A16CDE" w:rsidP="009D5E93"/>
    <w:p w:rsidR="00A16CDE" w:rsidRDefault="00A1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DE" w:rsidRDefault="00A16CDE">
    <w:pPr>
      <w:pStyle w:val="Footer"/>
    </w:pPr>
  </w:p>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p w:rsidR="00A16CDE" w:rsidRDefault="00A16CDE"/>
  <w:p w:rsidR="00A16CDE" w:rsidRDefault="00A16CDE"/>
  <w:p w:rsidR="00A16CDE" w:rsidRDefault="00A16C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24969"/>
      <w:docPartObj>
        <w:docPartGallery w:val="Page Numbers (Bottom of Page)"/>
        <w:docPartUnique/>
      </w:docPartObj>
    </w:sdtPr>
    <w:sdtEndPr>
      <w:rPr>
        <w:noProof/>
      </w:rPr>
    </w:sdtEndPr>
    <w:sdtContent>
      <w:p w:rsidR="00A16CDE" w:rsidRDefault="00636605">
        <w:pPr>
          <w:pStyle w:val="Footer"/>
          <w:jc w:val="center"/>
        </w:pPr>
        <w:r w:rsidRPr="0054289A">
          <w:rPr>
            <w:rFonts w:ascii="Times New Roman" w:hAnsi="Times New Roman"/>
            <w:b w:val="0"/>
            <w:sz w:val="18"/>
            <w:szCs w:val="18"/>
          </w:rPr>
          <w:fldChar w:fldCharType="begin"/>
        </w:r>
        <w:r w:rsidR="00A16CDE" w:rsidRPr="0054289A">
          <w:rPr>
            <w:rFonts w:ascii="Times New Roman" w:hAnsi="Times New Roman"/>
            <w:b w:val="0"/>
            <w:sz w:val="18"/>
            <w:szCs w:val="18"/>
          </w:rPr>
          <w:instrText xml:space="preserve"> PAGE   \* MERGEFORMAT </w:instrText>
        </w:r>
        <w:r w:rsidRPr="0054289A">
          <w:rPr>
            <w:rFonts w:ascii="Times New Roman" w:hAnsi="Times New Roman"/>
            <w:b w:val="0"/>
            <w:sz w:val="18"/>
            <w:szCs w:val="18"/>
          </w:rPr>
          <w:fldChar w:fldCharType="separate"/>
        </w:r>
        <w:r w:rsidR="00A57939">
          <w:rPr>
            <w:rFonts w:ascii="Times New Roman" w:hAnsi="Times New Roman"/>
            <w:b w:val="0"/>
            <w:noProof/>
            <w:sz w:val="18"/>
            <w:szCs w:val="18"/>
          </w:rPr>
          <w:t>2</w:t>
        </w:r>
        <w:r w:rsidRPr="0054289A">
          <w:rPr>
            <w:rFonts w:ascii="Times New Roman" w:hAnsi="Times New Roman"/>
            <w:b w:val="0"/>
            <w:noProof/>
            <w:sz w:val="18"/>
            <w:szCs w:val="18"/>
          </w:rPr>
          <w:fldChar w:fldCharType="end"/>
        </w:r>
      </w:p>
    </w:sdtContent>
  </w:sdt>
  <w:p w:rsidR="00A16CDE" w:rsidRDefault="00A16CDE" w:rsidP="00F42A94"/>
  <w:p w:rsidR="00A16CDE" w:rsidRDefault="00A16CDE" w:rsidP="009D5E93"/>
  <w:p w:rsidR="00A16CDE" w:rsidRDefault="00A16CDE" w:rsidP="009D5E93"/>
  <w:p w:rsidR="00A16CDE" w:rsidRDefault="00A16C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61603"/>
      <w:docPartObj>
        <w:docPartGallery w:val="Page Numbers (Bottom of Page)"/>
        <w:docPartUnique/>
      </w:docPartObj>
    </w:sdtPr>
    <w:sdtEndPr>
      <w:rPr>
        <w:rFonts w:ascii="Times New Roman" w:hAnsi="Times New Roman"/>
        <w:b w:val="0"/>
        <w:noProof/>
        <w:sz w:val="18"/>
        <w:szCs w:val="18"/>
      </w:rPr>
    </w:sdtEndPr>
    <w:sdtContent>
      <w:p w:rsidR="00A16CDE" w:rsidRPr="0054289A" w:rsidRDefault="00636605">
        <w:pPr>
          <w:pStyle w:val="Footer"/>
          <w:jc w:val="center"/>
          <w:rPr>
            <w:rFonts w:ascii="Times New Roman" w:hAnsi="Times New Roman"/>
            <w:b w:val="0"/>
            <w:sz w:val="18"/>
            <w:szCs w:val="18"/>
          </w:rPr>
        </w:pPr>
        <w:r w:rsidRPr="0054289A">
          <w:rPr>
            <w:rFonts w:ascii="Times New Roman" w:hAnsi="Times New Roman"/>
            <w:b w:val="0"/>
            <w:sz w:val="18"/>
            <w:szCs w:val="18"/>
          </w:rPr>
          <w:fldChar w:fldCharType="begin"/>
        </w:r>
        <w:r w:rsidR="00A16CDE" w:rsidRPr="0054289A">
          <w:rPr>
            <w:rFonts w:ascii="Times New Roman" w:hAnsi="Times New Roman"/>
            <w:b w:val="0"/>
            <w:sz w:val="18"/>
            <w:szCs w:val="18"/>
          </w:rPr>
          <w:instrText xml:space="preserve"> PAGE   \* MERGEFORMAT </w:instrText>
        </w:r>
        <w:r w:rsidRPr="0054289A">
          <w:rPr>
            <w:rFonts w:ascii="Times New Roman" w:hAnsi="Times New Roman"/>
            <w:b w:val="0"/>
            <w:sz w:val="18"/>
            <w:szCs w:val="18"/>
          </w:rPr>
          <w:fldChar w:fldCharType="separate"/>
        </w:r>
        <w:r w:rsidR="00A57939">
          <w:rPr>
            <w:rFonts w:ascii="Times New Roman" w:hAnsi="Times New Roman"/>
            <w:b w:val="0"/>
            <w:noProof/>
            <w:sz w:val="18"/>
            <w:szCs w:val="18"/>
          </w:rPr>
          <w:t>1</w:t>
        </w:r>
        <w:r w:rsidRPr="0054289A">
          <w:rPr>
            <w:rFonts w:ascii="Times New Roman" w:hAnsi="Times New Roman"/>
            <w:b w:val="0"/>
            <w:noProof/>
            <w:sz w:val="18"/>
            <w:szCs w:val="18"/>
          </w:rPr>
          <w:fldChar w:fldCharType="end"/>
        </w:r>
      </w:p>
    </w:sdtContent>
  </w:sdt>
  <w:p w:rsidR="00A16CDE" w:rsidRDefault="00A16CDE" w:rsidP="00F42A94"/>
  <w:p w:rsidR="00A16CDE" w:rsidRDefault="00A16CDE" w:rsidP="009D5E93"/>
  <w:p w:rsidR="00A16CDE" w:rsidRDefault="00A16CDE" w:rsidP="009D5E93"/>
  <w:p w:rsidR="00A16CDE" w:rsidRDefault="00A16C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CDE" w:rsidRDefault="00A16CDE" w:rsidP="007F46FD">
      <w:r>
        <w:separator/>
      </w:r>
    </w:p>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rsidP="0016319B"/>
    <w:p w:rsidR="00A16CDE" w:rsidRDefault="00A16CDE" w:rsidP="00F42A94"/>
    <w:p w:rsidR="00A16CDE" w:rsidRDefault="00A16CDE" w:rsidP="009D5E93"/>
    <w:p w:rsidR="00A16CDE" w:rsidRDefault="00A16CDE"/>
  </w:footnote>
  <w:footnote w:type="continuationSeparator" w:id="0">
    <w:p w:rsidR="00A16CDE" w:rsidRDefault="00A16CDE" w:rsidP="007F46FD">
      <w:r>
        <w:continuationSeparator/>
      </w:r>
    </w:p>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rsidP="0016319B"/>
    <w:p w:rsidR="00A16CDE" w:rsidRDefault="00A16CDE" w:rsidP="00F42A94"/>
    <w:p w:rsidR="00A16CDE" w:rsidRDefault="00A16CDE" w:rsidP="009D5E93"/>
    <w:p w:rsidR="00A16CDE" w:rsidRDefault="00A16C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DE" w:rsidRDefault="00636605" w:rsidP="007F46FD">
    <w:pPr>
      <w:pStyle w:val="Header"/>
      <w:rPr>
        <w:rStyle w:val="PageNumber"/>
        <w:rFonts w:ascii="Times New Roman" w:hAnsi="Times New Roman"/>
        <w:sz w:val="24"/>
      </w:rPr>
    </w:pPr>
    <w:r>
      <w:rPr>
        <w:rStyle w:val="PageNumber"/>
      </w:rPr>
      <w:fldChar w:fldCharType="begin"/>
    </w:r>
    <w:r w:rsidR="00A16CDE">
      <w:rPr>
        <w:rStyle w:val="PageNumber"/>
      </w:rPr>
      <w:instrText xml:space="preserve">PAGE  </w:instrText>
    </w:r>
    <w:r>
      <w:rPr>
        <w:rStyle w:val="PageNumber"/>
      </w:rPr>
      <w:fldChar w:fldCharType="end"/>
    </w:r>
  </w:p>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rsidP="007F46FD"/>
  <w:p w:rsidR="00A16CDE" w:rsidRDefault="00A16CDE"/>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rsidP="00495E92"/>
  <w:p w:rsidR="00A16CDE" w:rsidRDefault="00A16CDE"/>
  <w:p w:rsidR="00A16CDE" w:rsidRDefault="00A16CDE" w:rsidP="00A51E7F"/>
  <w:p w:rsidR="00A16CDE" w:rsidRDefault="00A16CDE" w:rsidP="00234BCF"/>
  <w:p w:rsidR="00A16CDE" w:rsidRDefault="00A16CDE" w:rsidP="002F5AB8"/>
  <w:p w:rsidR="00A16CDE" w:rsidRDefault="00A16CDE" w:rsidP="00490C34"/>
  <w:p w:rsidR="00A16CDE" w:rsidRDefault="00A16CDE"/>
  <w:p w:rsidR="00A16CDE" w:rsidRDefault="00A16CDE" w:rsidP="00C062DE"/>
  <w:p w:rsidR="00A16CDE" w:rsidRDefault="00A16CDE"/>
  <w:p w:rsidR="00A16CDE" w:rsidRDefault="00A16CDE" w:rsidP="00ED33F0"/>
  <w:p w:rsidR="00A16CDE" w:rsidRDefault="00A16CDE" w:rsidP="00CC5878"/>
  <w:p w:rsidR="00A16CDE" w:rsidRDefault="00A16CDE" w:rsidP="00CC5878"/>
  <w:p w:rsidR="00A16CDE" w:rsidRDefault="00A16CDE" w:rsidP="00CC5878"/>
  <w:p w:rsidR="00A16CDE" w:rsidRDefault="00A16CDE" w:rsidP="00CC1ED2"/>
  <w:p w:rsidR="00A16CDE" w:rsidRDefault="00A16CDE" w:rsidP="00CC1ED2"/>
  <w:p w:rsidR="00A16CDE" w:rsidRDefault="00A16CDE" w:rsidP="00CC1ED2"/>
  <w:p w:rsidR="00A16CDE" w:rsidRDefault="00A16CDE" w:rsidP="007F5282"/>
  <w:p w:rsidR="00A16CDE" w:rsidRDefault="00A16CDE" w:rsidP="007F5282"/>
  <w:p w:rsidR="00A16CDE" w:rsidRDefault="00A16CDE" w:rsidP="009E2E43"/>
  <w:p w:rsidR="00A16CDE" w:rsidRDefault="00A16CDE" w:rsidP="009E2E43"/>
  <w:p w:rsidR="00A16CDE" w:rsidRDefault="00A16CDE" w:rsidP="009E2E43"/>
  <w:p w:rsidR="00A16CDE" w:rsidRDefault="00A16CDE" w:rsidP="00824F44"/>
  <w:p w:rsidR="00A16CDE" w:rsidRDefault="00A16CDE"/>
  <w:p w:rsidR="00A16CDE" w:rsidRDefault="00A16CDE"/>
  <w:p w:rsidR="00A16CDE" w:rsidRDefault="00A16CDE"/>
  <w:p w:rsidR="00A16CDE" w:rsidRDefault="00A16CDE" w:rsidP="0016319B"/>
  <w:p w:rsidR="00A16CDE" w:rsidRDefault="00A16CDE" w:rsidP="00F42A94"/>
  <w:p w:rsidR="00A16CDE" w:rsidRDefault="00A16CDE" w:rsidP="009D5E93"/>
  <w:p w:rsidR="00A16CDE" w:rsidRDefault="00A16C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shd w:val="clear" w:color="auto" w:fill="E4F2E0"/>
      <w:tblLook w:val="04A0" w:firstRow="1" w:lastRow="0" w:firstColumn="1" w:lastColumn="0" w:noHBand="0" w:noVBand="1"/>
    </w:tblPr>
    <w:tblGrid>
      <w:gridCol w:w="8720"/>
    </w:tblGrid>
    <w:tr w:rsidR="00A57939" w:rsidRPr="00A57939" w:rsidTr="00793A39">
      <w:tc>
        <w:tcPr>
          <w:tcW w:w="8720" w:type="dxa"/>
          <w:shd w:val="clear" w:color="auto" w:fill="E4F2E0"/>
        </w:tcPr>
        <w:p w:rsidR="00A57939" w:rsidRPr="00A57939" w:rsidRDefault="00A57939" w:rsidP="00A57939">
          <w:pPr>
            <w:tabs>
              <w:tab w:val="clear" w:pos="-720"/>
              <w:tab w:val="clear" w:pos="0"/>
              <w:tab w:val="clear" w:pos="720"/>
              <w:tab w:val="clear" w:pos="1440"/>
              <w:tab w:val="clear" w:pos="2160"/>
              <w:tab w:val="clear" w:pos="2880"/>
              <w:tab w:val="clear" w:pos="3600"/>
              <w:tab w:val="clear" w:pos="4320"/>
            </w:tabs>
            <w:autoSpaceDE/>
            <w:autoSpaceDN/>
            <w:adjustRightInd/>
            <w:spacing w:before="40" w:after="40" w:line="240" w:lineRule="atLeast"/>
            <w:jc w:val="left"/>
            <w:rPr>
              <w:sz w:val="20"/>
              <w:szCs w:val="20"/>
            </w:rPr>
          </w:pPr>
          <w:r w:rsidRPr="00A57939">
            <w:rPr>
              <w:sz w:val="20"/>
              <w:szCs w:val="20"/>
            </w:rPr>
            <w:t xml:space="preserve">Attachment 1: Product information for </w:t>
          </w:r>
          <w:proofErr w:type="spellStart"/>
          <w:r w:rsidRPr="00A57939">
            <w:rPr>
              <w:sz w:val="20"/>
              <w:szCs w:val="20"/>
            </w:rPr>
            <w:t>AusPAR</w:t>
          </w:r>
          <w:proofErr w:type="spellEnd"/>
          <w:r w:rsidRPr="00A57939">
            <w:rPr>
              <w:sz w:val="20"/>
              <w:szCs w:val="20"/>
            </w:rPr>
            <w:t xml:space="preserve"> </w:t>
          </w:r>
          <w:proofErr w:type="spellStart"/>
          <w:r w:rsidRPr="00A57939">
            <w:rPr>
              <w:sz w:val="20"/>
              <w:szCs w:val="20"/>
            </w:rPr>
            <w:t>Jakavi</w:t>
          </w:r>
          <w:proofErr w:type="spellEnd"/>
          <w:r w:rsidRPr="00A57939">
            <w:rPr>
              <w:sz w:val="20"/>
              <w:szCs w:val="20"/>
            </w:rPr>
            <w:t xml:space="preserve"> </w:t>
          </w:r>
          <w:proofErr w:type="spellStart"/>
          <w:r w:rsidRPr="00A57939">
            <w:rPr>
              <w:sz w:val="20"/>
              <w:szCs w:val="20"/>
            </w:rPr>
            <w:t>Ruxolitinib</w:t>
          </w:r>
          <w:proofErr w:type="spellEnd"/>
          <w:r w:rsidRPr="00A57939">
            <w:rPr>
              <w:sz w:val="20"/>
              <w:szCs w:val="20"/>
            </w:rPr>
            <w:t xml:space="preserve"> Phosphate Novartis Pharmaceuticals Australia Pty Ltd PM-2012-01504-3-4 Final 21 January 2013. This Product Information was approved at the time this </w:t>
          </w:r>
          <w:proofErr w:type="spellStart"/>
          <w:r w:rsidRPr="00A57939">
            <w:rPr>
              <w:sz w:val="20"/>
              <w:szCs w:val="20"/>
            </w:rPr>
            <w:t>AusPAR</w:t>
          </w:r>
          <w:proofErr w:type="spellEnd"/>
          <w:r w:rsidRPr="00A57939">
            <w:rPr>
              <w:sz w:val="20"/>
              <w:szCs w:val="20"/>
            </w:rPr>
            <w:t xml:space="preserve"> was published.</w:t>
          </w:r>
        </w:p>
      </w:tc>
    </w:tr>
  </w:tbl>
  <w:p w:rsidR="00A16CDE" w:rsidRPr="00A57939" w:rsidRDefault="00A16CDE" w:rsidP="00A57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A57939" w:rsidRPr="00A57939" w:rsidTr="00793A39">
      <w:tc>
        <w:tcPr>
          <w:tcW w:w="8720" w:type="dxa"/>
          <w:shd w:val="clear" w:color="auto" w:fill="E4F2E0"/>
        </w:tcPr>
        <w:p w:rsidR="00A57939" w:rsidRPr="00A57939" w:rsidRDefault="00A57939" w:rsidP="00A57939">
          <w:pPr>
            <w:tabs>
              <w:tab w:val="clear" w:pos="-720"/>
              <w:tab w:val="clear" w:pos="0"/>
              <w:tab w:val="clear" w:pos="720"/>
              <w:tab w:val="clear" w:pos="1440"/>
              <w:tab w:val="clear" w:pos="2160"/>
              <w:tab w:val="clear" w:pos="2880"/>
              <w:tab w:val="clear" w:pos="3600"/>
              <w:tab w:val="clear" w:pos="4320"/>
            </w:tabs>
            <w:autoSpaceDE/>
            <w:autoSpaceDN/>
            <w:adjustRightInd/>
            <w:spacing w:before="40" w:after="40" w:line="240" w:lineRule="atLeast"/>
            <w:jc w:val="left"/>
            <w:rPr>
              <w:sz w:val="20"/>
              <w:szCs w:val="20"/>
            </w:rPr>
          </w:pPr>
          <w:r w:rsidRPr="00A57939">
            <w:rPr>
              <w:sz w:val="20"/>
              <w:szCs w:val="20"/>
            </w:rPr>
            <w:t xml:space="preserve">Attachment 1: Product information for </w:t>
          </w:r>
          <w:proofErr w:type="spellStart"/>
          <w:r w:rsidRPr="00A57939">
            <w:rPr>
              <w:sz w:val="20"/>
              <w:szCs w:val="20"/>
            </w:rPr>
            <w:t>AusPAR</w:t>
          </w:r>
          <w:proofErr w:type="spellEnd"/>
          <w:r w:rsidRPr="00A57939">
            <w:rPr>
              <w:sz w:val="20"/>
              <w:szCs w:val="20"/>
            </w:rPr>
            <w:t xml:space="preserve"> </w:t>
          </w:r>
          <w:proofErr w:type="spellStart"/>
          <w:r w:rsidRPr="00A57939">
            <w:rPr>
              <w:sz w:val="20"/>
              <w:szCs w:val="20"/>
            </w:rPr>
            <w:t>Jakavi</w:t>
          </w:r>
          <w:proofErr w:type="spellEnd"/>
          <w:r w:rsidRPr="00A57939">
            <w:rPr>
              <w:sz w:val="20"/>
              <w:szCs w:val="20"/>
            </w:rPr>
            <w:t xml:space="preserve"> </w:t>
          </w:r>
          <w:proofErr w:type="spellStart"/>
          <w:r w:rsidRPr="00A57939">
            <w:rPr>
              <w:sz w:val="20"/>
              <w:szCs w:val="20"/>
            </w:rPr>
            <w:t>Ruxolitinib</w:t>
          </w:r>
          <w:proofErr w:type="spellEnd"/>
          <w:r w:rsidRPr="00A57939">
            <w:rPr>
              <w:sz w:val="20"/>
              <w:szCs w:val="20"/>
            </w:rPr>
            <w:t xml:space="preserve"> Phosphate Novartis Pharmaceuticals Australia Pty Ltd PM-2012-01504-3-4 Final 21 January 2013. This Product Information was approved at the time this </w:t>
          </w:r>
          <w:proofErr w:type="spellStart"/>
          <w:r w:rsidRPr="00A57939">
            <w:rPr>
              <w:sz w:val="20"/>
              <w:szCs w:val="20"/>
            </w:rPr>
            <w:t>AusPAR</w:t>
          </w:r>
          <w:proofErr w:type="spellEnd"/>
          <w:r w:rsidRPr="00A57939">
            <w:rPr>
              <w:sz w:val="20"/>
              <w:szCs w:val="20"/>
            </w:rPr>
            <w:t xml:space="preserve"> was published.</w:t>
          </w:r>
        </w:p>
      </w:tc>
    </w:tr>
  </w:tbl>
  <w:p w:rsidR="00A16CDE" w:rsidRPr="00A57939" w:rsidRDefault="00A16CDE" w:rsidP="00A57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9E1"/>
    <w:multiLevelType w:val="multilevel"/>
    <w:tmpl w:val="7452DF3C"/>
    <w:lvl w:ilvl="0">
      <w:start w:val="50"/>
      <w:numFmt w:val="decimal"/>
      <w:lvlText w:val="%1"/>
      <w:lvlJc w:val="left"/>
      <w:pPr>
        <w:ind w:left="675" w:hanging="675"/>
      </w:pPr>
      <w:rPr>
        <w:rFonts w:hint="default"/>
      </w:rPr>
    </w:lvl>
    <w:lvl w:ilvl="1">
      <w:start w:val="1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181B9E"/>
    <w:multiLevelType w:val="multilevel"/>
    <w:tmpl w:val="66762966"/>
    <w:lvl w:ilvl="0">
      <w:start w:val="100"/>
      <w:numFmt w:val="decimal"/>
      <w:lvlText w:val="%1"/>
      <w:lvlJc w:val="left"/>
      <w:pPr>
        <w:ind w:left="795" w:hanging="795"/>
      </w:pPr>
      <w:rPr>
        <w:rFonts w:hint="default"/>
      </w:rPr>
    </w:lvl>
    <w:lvl w:ilvl="1">
      <w:start w:val="20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3862A2"/>
    <w:multiLevelType w:val="hybridMultilevel"/>
    <w:tmpl w:val="3424B4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2243AD5"/>
    <w:multiLevelType w:val="hybridMultilevel"/>
    <w:tmpl w:val="93F0E6D8"/>
    <w:lvl w:ilvl="0" w:tplc="5A0AB87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DB6AF1"/>
    <w:multiLevelType w:val="hybridMultilevel"/>
    <w:tmpl w:val="09CC49F4"/>
    <w:lvl w:ilvl="0" w:tplc="0409000B">
      <w:start w:val="1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5396E"/>
    <w:multiLevelType w:val="multilevel"/>
    <w:tmpl w:val="CBCCF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F6F1576"/>
    <w:multiLevelType w:val="hybridMultilevel"/>
    <w:tmpl w:val="506464D8"/>
    <w:lvl w:ilvl="0" w:tplc="0409000B">
      <w:start w:val="1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25612B"/>
    <w:rsid w:val="00001EE6"/>
    <w:rsid w:val="0000246D"/>
    <w:rsid w:val="00002F64"/>
    <w:rsid w:val="00012732"/>
    <w:rsid w:val="000207D8"/>
    <w:rsid w:val="00022D41"/>
    <w:rsid w:val="00022F29"/>
    <w:rsid w:val="00023A34"/>
    <w:rsid w:val="000271A8"/>
    <w:rsid w:val="000275AE"/>
    <w:rsid w:val="00037FB6"/>
    <w:rsid w:val="0004411E"/>
    <w:rsid w:val="00055669"/>
    <w:rsid w:val="000646F9"/>
    <w:rsid w:val="000654CC"/>
    <w:rsid w:val="00066440"/>
    <w:rsid w:val="00071C83"/>
    <w:rsid w:val="000844B1"/>
    <w:rsid w:val="000A4B93"/>
    <w:rsid w:val="000A7447"/>
    <w:rsid w:val="000C31F2"/>
    <w:rsid w:val="000C42F0"/>
    <w:rsid w:val="000F5AC6"/>
    <w:rsid w:val="001000F1"/>
    <w:rsid w:val="00106F4C"/>
    <w:rsid w:val="00110C89"/>
    <w:rsid w:val="00116832"/>
    <w:rsid w:val="00117BD6"/>
    <w:rsid w:val="001226E9"/>
    <w:rsid w:val="00122F2C"/>
    <w:rsid w:val="00134CF6"/>
    <w:rsid w:val="00147A23"/>
    <w:rsid w:val="00153A9D"/>
    <w:rsid w:val="00161722"/>
    <w:rsid w:val="0016319B"/>
    <w:rsid w:val="00177790"/>
    <w:rsid w:val="00185B9F"/>
    <w:rsid w:val="001A0DD4"/>
    <w:rsid w:val="001D393A"/>
    <w:rsid w:val="001E3D1D"/>
    <w:rsid w:val="002032FE"/>
    <w:rsid w:val="00231B21"/>
    <w:rsid w:val="00234BCF"/>
    <w:rsid w:val="0024692A"/>
    <w:rsid w:val="0025612B"/>
    <w:rsid w:val="0026266A"/>
    <w:rsid w:val="00272C41"/>
    <w:rsid w:val="00276B0D"/>
    <w:rsid w:val="0028058A"/>
    <w:rsid w:val="0029175C"/>
    <w:rsid w:val="002A6C27"/>
    <w:rsid w:val="002A784D"/>
    <w:rsid w:val="002B2297"/>
    <w:rsid w:val="002C3565"/>
    <w:rsid w:val="002D6A99"/>
    <w:rsid w:val="002F1D6C"/>
    <w:rsid w:val="002F5AB8"/>
    <w:rsid w:val="00312915"/>
    <w:rsid w:val="003250B0"/>
    <w:rsid w:val="00334D50"/>
    <w:rsid w:val="00345CD6"/>
    <w:rsid w:val="00357959"/>
    <w:rsid w:val="003641E0"/>
    <w:rsid w:val="00377388"/>
    <w:rsid w:val="0038312F"/>
    <w:rsid w:val="0038416E"/>
    <w:rsid w:val="00385F0B"/>
    <w:rsid w:val="00386F52"/>
    <w:rsid w:val="003944B2"/>
    <w:rsid w:val="003A5C00"/>
    <w:rsid w:val="003B240F"/>
    <w:rsid w:val="003D0A20"/>
    <w:rsid w:val="00402903"/>
    <w:rsid w:val="004033DA"/>
    <w:rsid w:val="00414C0D"/>
    <w:rsid w:val="00416F4B"/>
    <w:rsid w:val="00425D76"/>
    <w:rsid w:val="004274CE"/>
    <w:rsid w:val="00427A45"/>
    <w:rsid w:val="00427FAE"/>
    <w:rsid w:val="0043199C"/>
    <w:rsid w:val="004550C8"/>
    <w:rsid w:val="004674CA"/>
    <w:rsid w:val="00484F13"/>
    <w:rsid w:val="00490C34"/>
    <w:rsid w:val="00495E92"/>
    <w:rsid w:val="00496ECB"/>
    <w:rsid w:val="004B25D2"/>
    <w:rsid w:val="004D0DC1"/>
    <w:rsid w:val="004D179A"/>
    <w:rsid w:val="00504729"/>
    <w:rsid w:val="00525402"/>
    <w:rsid w:val="00525A30"/>
    <w:rsid w:val="00533575"/>
    <w:rsid w:val="00540381"/>
    <w:rsid w:val="0054289A"/>
    <w:rsid w:val="00550F2F"/>
    <w:rsid w:val="005800FB"/>
    <w:rsid w:val="005830E1"/>
    <w:rsid w:val="005920BE"/>
    <w:rsid w:val="00596739"/>
    <w:rsid w:val="005B05AF"/>
    <w:rsid w:val="005C1292"/>
    <w:rsid w:val="005E3A56"/>
    <w:rsid w:val="005E4D0A"/>
    <w:rsid w:val="00620EF0"/>
    <w:rsid w:val="006273BD"/>
    <w:rsid w:val="00636605"/>
    <w:rsid w:val="00652307"/>
    <w:rsid w:val="00652FB3"/>
    <w:rsid w:val="00653361"/>
    <w:rsid w:val="0066206E"/>
    <w:rsid w:val="006624AA"/>
    <w:rsid w:val="006633E1"/>
    <w:rsid w:val="00665A45"/>
    <w:rsid w:val="0067062C"/>
    <w:rsid w:val="00692833"/>
    <w:rsid w:val="006A091B"/>
    <w:rsid w:val="006C4D7C"/>
    <w:rsid w:val="006D0C74"/>
    <w:rsid w:val="006E43F2"/>
    <w:rsid w:val="006E5AE1"/>
    <w:rsid w:val="006F53DD"/>
    <w:rsid w:val="006F6739"/>
    <w:rsid w:val="007104D0"/>
    <w:rsid w:val="00716BEE"/>
    <w:rsid w:val="007274AA"/>
    <w:rsid w:val="00740168"/>
    <w:rsid w:val="00764FDE"/>
    <w:rsid w:val="00775EFE"/>
    <w:rsid w:val="00782263"/>
    <w:rsid w:val="0079445F"/>
    <w:rsid w:val="00795A36"/>
    <w:rsid w:val="007A0CF1"/>
    <w:rsid w:val="007A7760"/>
    <w:rsid w:val="007C01C0"/>
    <w:rsid w:val="007C7566"/>
    <w:rsid w:val="007D5ADD"/>
    <w:rsid w:val="007F0E2B"/>
    <w:rsid w:val="007F46FD"/>
    <w:rsid w:val="007F5282"/>
    <w:rsid w:val="007F5667"/>
    <w:rsid w:val="007F6792"/>
    <w:rsid w:val="0081001B"/>
    <w:rsid w:val="00812C59"/>
    <w:rsid w:val="008208A1"/>
    <w:rsid w:val="00822F15"/>
    <w:rsid w:val="00824F44"/>
    <w:rsid w:val="008358F4"/>
    <w:rsid w:val="00837C52"/>
    <w:rsid w:val="0086374C"/>
    <w:rsid w:val="00876C9F"/>
    <w:rsid w:val="0088457D"/>
    <w:rsid w:val="008A1941"/>
    <w:rsid w:val="008A28B0"/>
    <w:rsid w:val="008A6ED3"/>
    <w:rsid w:val="008B4395"/>
    <w:rsid w:val="008C6EEF"/>
    <w:rsid w:val="008D109B"/>
    <w:rsid w:val="008D165D"/>
    <w:rsid w:val="008D30D9"/>
    <w:rsid w:val="008E160C"/>
    <w:rsid w:val="008F261A"/>
    <w:rsid w:val="0090440F"/>
    <w:rsid w:val="00915863"/>
    <w:rsid w:val="00920F45"/>
    <w:rsid w:val="009232B0"/>
    <w:rsid w:val="00924513"/>
    <w:rsid w:val="00933301"/>
    <w:rsid w:val="00936919"/>
    <w:rsid w:val="0094085D"/>
    <w:rsid w:val="00943631"/>
    <w:rsid w:val="00945864"/>
    <w:rsid w:val="00965230"/>
    <w:rsid w:val="00965A0F"/>
    <w:rsid w:val="00983ACA"/>
    <w:rsid w:val="009919F3"/>
    <w:rsid w:val="009B2C53"/>
    <w:rsid w:val="009C1BFE"/>
    <w:rsid w:val="009C344F"/>
    <w:rsid w:val="009C6403"/>
    <w:rsid w:val="009D31C9"/>
    <w:rsid w:val="009D5E93"/>
    <w:rsid w:val="009E2E43"/>
    <w:rsid w:val="009F6756"/>
    <w:rsid w:val="00A0067C"/>
    <w:rsid w:val="00A075A2"/>
    <w:rsid w:val="00A16CDE"/>
    <w:rsid w:val="00A20E22"/>
    <w:rsid w:val="00A23403"/>
    <w:rsid w:val="00A25842"/>
    <w:rsid w:val="00A26E00"/>
    <w:rsid w:val="00A31869"/>
    <w:rsid w:val="00A44381"/>
    <w:rsid w:val="00A51E7F"/>
    <w:rsid w:val="00A53666"/>
    <w:rsid w:val="00A57939"/>
    <w:rsid w:val="00A57D72"/>
    <w:rsid w:val="00A6140A"/>
    <w:rsid w:val="00A653A7"/>
    <w:rsid w:val="00A956C2"/>
    <w:rsid w:val="00A962D8"/>
    <w:rsid w:val="00A96977"/>
    <w:rsid w:val="00AA1163"/>
    <w:rsid w:val="00AB15BE"/>
    <w:rsid w:val="00AB71A2"/>
    <w:rsid w:val="00AC085E"/>
    <w:rsid w:val="00AC1F35"/>
    <w:rsid w:val="00AD109A"/>
    <w:rsid w:val="00AE2351"/>
    <w:rsid w:val="00AF10A6"/>
    <w:rsid w:val="00B14951"/>
    <w:rsid w:val="00B37D6E"/>
    <w:rsid w:val="00B506DB"/>
    <w:rsid w:val="00B53986"/>
    <w:rsid w:val="00B62B43"/>
    <w:rsid w:val="00B721D0"/>
    <w:rsid w:val="00B75AF0"/>
    <w:rsid w:val="00B80220"/>
    <w:rsid w:val="00B81BC9"/>
    <w:rsid w:val="00B82375"/>
    <w:rsid w:val="00B83165"/>
    <w:rsid w:val="00B8452F"/>
    <w:rsid w:val="00B90B6A"/>
    <w:rsid w:val="00B91319"/>
    <w:rsid w:val="00B91578"/>
    <w:rsid w:val="00BA500F"/>
    <w:rsid w:val="00BE0F29"/>
    <w:rsid w:val="00BE154D"/>
    <w:rsid w:val="00BE55AD"/>
    <w:rsid w:val="00BE76E6"/>
    <w:rsid w:val="00BF3B5E"/>
    <w:rsid w:val="00BF6403"/>
    <w:rsid w:val="00C007D2"/>
    <w:rsid w:val="00C062DE"/>
    <w:rsid w:val="00C0760C"/>
    <w:rsid w:val="00C10E0E"/>
    <w:rsid w:val="00C1737B"/>
    <w:rsid w:val="00C17653"/>
    <w:rsid w:val="00C26193"/>
    <w:rsid w:val="00C26D3C"/>
    <w:rsid w:val="00C324C4"/>
    <w:rsid w:val="00C42D18"/>
    <w:rsid w:val="00C461EB"/>
    <w:rsid w:val="00C60306"/>
    <w:rsid w:val="00C639E7"/>
    <w:rsid w:val="00C80335"/>
    <w:rsid w:val="00C86BFC"/>
    <w:rsid w:val="00CA0986"/>
    <w:rsid w:val="00CB4CA0"/>
    <w:rsid w:val="00CC07D9"/>
    <w:rsid w:val="00CC1ED2"/>
    <w:rsid w:val="00CC5878"/>
    <w:rsid w:val="00CD5ABA"/>
    <w:rsid w:val="00CD643E"/>
    <w:rsid w:val="00CF6D22"/>
    <w:rsid w:val="00D03218"/>
    <w:rsid w:val="00D06B77"/>
    <w:rsid w:val="00D06BFA"/>
    <w:rsid w:val="00D1230F"/>
    <w:rsid w:val="00D12A97"/>
    <w:rsid w:val="00D13F01"/>
    <w:rsid w:val="00D24D71"/>
    <w:rsid w:val="00D25E9A"/>
    <w:rsid w:val="00D421C4"/>
    <w:rsid w:val="00D600F3"/>
    <w:rsid w:val="00D615B3"/>
    <w:rsid w:val="00D61BAE"/>
    <w:rsid w:val="00D61CA3"/>
    <w:rsid w:val="00D73B8C"/>
    <w:rsid w:val="00D766FE"/>
    <w:rsid w:val="00D87B03"/>
    <w:rsid w:val="00D90C1D"/>
    <w:rsid w:val="00DA2D72"/>
    <w:rsid w:val="00DE4BA5"/>
    <w:rsid w:val="00DE6BF0"/>
    <w:rsid w:val="00DE7E57"/>
    <w:rsid w:val="00E21B8E"/>
    <w:rsid w:val="00E370E5"/>
    <w:rsid w:val="00E47577"/>
    <w:rsid w:val="00E52724"/>
    <w:rsid w:val="00E56FDA"/>
    <w:rsid w:val="00E61538"/>
    <w:rsid w:val="00E6196C"/>
    <w:rsid w:val="00E63ED4"/>
    <w:rsid w:val="00E72377"/>
    <w:rsid w:val="00E91408"/>
    <w:rsid w:val="00E948E2"/>
    <w:rsid w:val="00E954C7"/>
    <w:rsid w:val="00EA70C6"/>
    <w:rsid w:val="00EB15A1"/>
    <w:rsid w:val="00EC1F8C"/>
    <w:rsid w:val="00EC2224"/>
    <w:rsid w:val="00EC25BF"/>
    <w:rsid w:val="00EC4B26"/>
    <w:rsid w:val="00ED0FFE"/>
    <w:rsid w:val="00ED33F0"/>
    <w:rsid w:val="00EE6B46"/>
    <w:rsid w:val="00F1542A"/>
    <w:rsid w:val="00F22127"/>
    <w:rsid w:val="00F35A25"/>
    <w:rsid w:val="00F40D4F"/>
    <w:rsid w:val="00F42A94"/>
    <w:rsid w:val="00F45663"/>
    <w:rsid w:val="00F45F54"/>
    <w:rsid w:val="00F516A5"/>
    <w:rsid w:val="00F53E6F"/>
    <w:rsid w:val="00F57D92"/>
    <w:rsid w:val="00F67214"/>
    <w:rsid w:val="00F86677"/>
    <w:rsid w:val="00FA4F37"/>
    <w:rsid w:val="00FC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7F46FD"/>
    <w:p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20" w:lineRule="atLeast"/>
      <w:jc w:val="both"/>
    </w:pPr>
    <w:rPr>
      <w:b/>
      <w:sz w:val="24"/>
      <w:szCs w:val="24"/>
    </w:rPr>
  </w:style>
  <w:style w:type="paragraph" w:styleId="Heading2">
    <w:name w:val="heading 2"/>
    <w:basedOn w:val="Normal"/>
    <w:next w:val="paragraph"/>
    <w:link w:val="Heading2Char"/>
    <w:autoRedefine/>
    <w:uiPriority w:val="99"/>
    <w:qFormat/>
    <w:rsid w:val="0038416E"/>
    <w:pPr>
      <w:keepNext/>
      <w:keepLines/>
      <w:spacing w:after="120"/>
      <w:outlineLvl w:val="1"/>
    </w:pPr>
    <w:rPr>
      <w:bCs/>
      <w:szCs w:val="26"/>
      <w:u w:val="single"/>
    </w:r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rPr>
      <w:b w:val="0"/>
    </w:r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7C7566"/>
    <w:rPr>
      <w:b/>
      <w:sz w:val="24"/>
      <w:szCs w:val="24"/>
    </w:rPr>
  </w:style>
  <w:style w:type="character" w:customStyle="1" w:styleId="Heading2Char">
    <w:name w:val="Heading 2 Char"/>
    <w:basedOn w:val="DefaultParagraphFont"/>
    <w:link w:val="Heading2"/>
    <w:uiPriority w:val="99"/>
    <w:rsid w:val="0038416E"/>
    <w:rPr>
      <w:b/>
      <w:bCs/>
      <w:sz w:val="24"/>
      <w:szCs w:val="26"/>
      <w:u w:val="single"/>
    </w:rPr>
  </w:style>
  <w:style w:type="character" w:customStyle="1" w:styleId="Heading3Char">
    <w:name w:val="Heading 3 Char"/>
    <w:basedOn w:val="DefaultParagraphFont"/>
    <w:uiPriority w:val="99"/>
    <w:rsid w:val="00001EE6"/>
    <w:rPr>
      <w:b/>
      <w:sz w:val="24"/>
      <w:szCs w:val="24"/>
      <w:lang w:val="en-AU"/>
    </w:rPr>
  </w:style>
  <w:style w:type="character" w:customStyle="1" w:styleId="Heading4Char">
    <w:name w:val="Heading 4 Char"/>
    <w:basedOn w:val="DefaultParagraphFont"/>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basedOn w:val="DefaultParagraphFont"/>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basedOn w:val="DefaultParagraphFont"/>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basedOn w:val="DefaultParagraphFont"/>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basedOn w:val="DefaultParagraphFont"/>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basedOn w:val="DefaultParagraphFont"/>
    <w:link w:val="Heading9"/>
    <w:uiPriority w:val="9"/>
    <w:semiHidden/>
    <w:rsid w:val="0025612B"/>
    <w:rPr>
      <w:rFonts w:ascii="Cambria" w:eastAsia="Times New Roman" w:hAnsi="Cambria" w:cs="Times New Roman"/>
      <w:lang w:val="en-GB" w:eastAsia="en-US"/>
    </w:rPr>
  </w:style>
  <w:style w:type="character" w:styleId="CommentReference">
    <w:name w:val="annotation reference"/>
    <w:basedOn w:val="DefaultParagraphFont"/>
    <w:uiPriority w:val="99"/>
    <w:semiHidden/>
    <w:rsid w:val="003944B2"/>
    <w:rPr>
      <w:rFonts w:cs="Times New Roman"/>
      <w:sz w:val="16"/>
    </w:rPr>
  </w:style>
  <w:style w:type="paragraph" w:styleId="CommentText">
    <w:name w:val="annotation text"/>
    <w:basedOn w:val="Normal"/>
    <w:link w:val="CommentTextChar"/>
    <w:uiPriority w:val="99"/>
    <w:semiHidden/>
    <w:rsid w:val="003944B2"/>
    <w:rPr>
      <w:sz w:val="20"/>
    </w:rPr>
  </w:style>
  <w:style w:type="character" w:customStyle="1" w:styleId="CommentTextChar">
    <w:name w:val="Comment Text Char"/>
    <w:basedOn w:val="DefaultParagraphFont"/>
    <w:link w:val="CommentText"/>
    <w:uiPriority w:val="99"/>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val="0"/>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basedOn w:val="Normal"/>
    <w:link w:val="TextChar"/>
    <w:rsid w:val="003944B2"/>
  </w:style>
  <w:style w:type="paragraph" w:customStyle="1" w:styleId="Nottoc-headings0">
    <w:name w:val="Not toc-headings"/>
    <w:basedOn w:val="Normal"/>
    <w:next w:val="Text"/>
    <w:link w:val="Nottoc-headingsChar"/>
    <w:uiPriority w:val="99"/>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uiPriority w:val="99"/>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9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basedOn w:val="DefaultParagraphFont"/>
    <w:link w:val="Table0"/>
    <w:uiPriority w:val="99"/>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uiPriority w:val="99"/>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basedOn w:val="DefaultParagraphFont"/>
    <w:link w:val="Subtitle"/>
    <w:uiPriority w:val="99"/>
    <w:rsid w:val="00D25E9A"/>
    <w:rPr>
      <w:rFonts w:cs="Arial"/>
      <w:b/>
      <w:sz w:val="28"/>
      <w:szCs w:val="24"/>
    </w:rPr>
  </w:style>
  <w:style w:type="paragraph" w:styleId="Title">
    <w:name w:val="Title"/>
    <w:basedOn w:val="Normal"/>
    <w:link w:val="TitleChar"/>
    <w:autoRedefine/>
    <w:uiPriority w:val="99"/>
    <w:qFormat/>
    <w:rsid w:val="00D25E9A"/>
    <w:pPr>
      <w:jc w:val="left"/>
      <w:outlineLvl w:val="0"/>
    </w:pPr>
    <w:rPr>
      <w:rFonts w:cs="Arial"/>
      <w:bCs/>
      <w:kern w:val="28"/>
      <w:sz w:val="34"/>
      <w:szCs w:val="32"/>
    </w:rPr>
  </w:style>
  <w:style w:type="character" w:customStyle="1" w:styleId="TitleChar">
    <w:name w:val="Title Char"/>
    <w:basedOn w:val="DefaultParagraphFont"/>
    <w:link w:val="Title"/>
    <w:uiPriority w:val="99"/>
    <w:rsid w:val="00D25E9A"/>
    <w:rPr>
      <w:rFonts w:cs="Arial"/>
      <w:b/>
      <w:bCs/>
      <w:kern w:val="28"/>
      <w:sz w:val="34"/>
      <w:szCs w:val="32"/>
    </w:rPr>
  </w:style>
  <w:style w:type="paragraph" w:customStyle="1" w:styleId="Synopsis">
    <w:name w:val="Synopsis"/>
    <w:basedOn w:val="Text"/>
    <w:uiPriority w:val="99"/>
    <w:rsid w:val="003944B2"/>
    <w:pPr>
      <w:spacing w:line="240" w:lineRule="auto"/>
    </w:pPr>
    <w:rPr>
      <w:rFonts w:ascii="Arial" w:eastAsia="MS Gothic" w:hAnsi="Arial"/>
      <w:sz w:val="20"/>
    </w:rPr>
  </w:style>
  <w:style w:type="paragraph" w:customStyle="1" w:styleId="TOCEntry">
    <w:name w:val="TOC Entry"/>
    <w:basedOn w:val="Heading2"/>
    <w:next w:val="Text"/>
    <w:uiPriority w:val="99"/>
    <w:rsid w:val="003944B2"/>
    <w:pPr>
      <w:spacing w:before="240" w:after="0" w:line="240" w:lineRule="auto"/>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spacing w:line="240" w:lineRule="auto"/>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uiPriority w:val="99"/>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uiPriority w:val="99"/>
    <w:rsid w:val="003944B2"/>
    <w:pPr>
      <w:keepLines/>
      <w:spacing w:line="240" w:lineRule="auto"/>
    </w:pPr>
    <w:rPr>
      <w:rFonts w:eastAsia="MS Mincho"/>
      <w:i/>
      <w:color w:val="BF30B5"/>
    </w:rPr>
  </w:style>
  <w:style w:type="paragraph" w:customStyle="1" w:styleId="Legend0">
    <w:name w:val="Legend"/>
    <w:basedOn w:val="Table0"/>
    <w:uiPriority w:val="99"/>
    <w:rsid w:val="003944B2"/>
    <w:pPr>
      <w:spacing w:before="40" w:after="20" w:line="240" w:lineRule="auto"/>
      <w:ind w:left="0" w:firstLine="0"/>
    </w:pPr>
    <w:rPr>
      <w:rFonts w:ascii="Arial" w:eastAsia="MS Mincho" w:hAnsi="Arial"/>
      <w:b w:val="0"/>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3944B2"/>
    <w:pPr>
      <w:spacing w:line="240" w:lineRule="auto"/>
      <w:ind w:left="720"/>
      <w:jc w:val="left"/>
    </w:pPr>
  </w:style>
  <w:style w:type="paragraph" w:styleId="Revision">
    <w:name w:val="Revision"/>
    <w:hidden/>
    <w:uiPriority w:val="99"/>
    <w:semiHidden/>
    <w:rsid w:val="003944B2"/>
    <w:rPr>
      <w:sz w:val="24"/>
      <w:szCs w:val="24"/>
      <w:lang w:val="en-GB"/>
    </w:rPr>
  </w:style>
  <w:style w:type="paragraph" w:customStyle="1" w:styleId="CharCharCharCharChar1">
    <w:name w:val="Char Char Char Char Char1"/>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semiHidden/>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line="240" w:lineRule="auto"/>
      <w:jc w:val="left"/>
    </w:pPr>
    <w:rPr>
      <w:b w:val="0"/>
    </w:rPr>
  </w:style>
  <w:style w:type="paragraph" w:customStyle="1" w:styleId="Enclosure">
    <w:name w:val="Enclosure"/>
    <w:basedOn w:val="Normal"/>
    <w:next w:val="Normal"/>
    <w:uiPriority w:val="99"/>
    <w:rsid w:val="005920BE"/>
    <w:pPr>
      <w:tabs>
        <w:tab w:val="clear" w:pos="-720"/>
        <w:tab w:val="clear" w:pos="0"/>
        <w:tab w:val="clear" w:pos="720"/>
        <w:tab w:val="clear" w:pos="1440"/>
        <w:tab w:val="clear" w:pos="2160"/>
        <w:tab w:val="clear" w:pos="2880"/>
        <w:tab w:val="clear" w:pos="3600"/>
        <w:tab w:val="clear" w:pos="4320"/>
      </w:tabs>
      <w:spacing w:before="0" w:line="240" w:lineRule="auto"/>
      <w:jc w:val="left"/>
    </w:pPr>
    <w:rPr>
      <w:rFonts w:ascii="Arial" w:hAnsi="Arial" w:cs="Arial"/>
      <w:b w:val="0"/>
    </w:rPr>
  </w:style>
  <w:style w:type="paragraph" w:customStyle="1" w:styleId="Default">
    <w:name w:val="Default"/>
    <w:rsid w:val="007F5282"/>
    <w:pPr>
      <w:autoSpaceDE w:val="0"/>
      <w:autoSpaceDN w:val="0"/>
      <w:adjustRightInd w:val="0"/>
    </w:pPr>
    <w:rPr>
      <w:color w:val="000000"/>
      <w:sz w:val="24"/>
      <w:szCs w:val="24"/>
    </w:rPr>
  </w:style>
  <w:style w:type="paragraph" w:customStyle="1" w:styleId="CM36">
    <w:name w:val="CM36"/>
    <w:basedOn w:val="Default"/>
    <w:next w:val="Default"/>
    <w:uiPriority w:val="99"/>
    <w:rsid w:val="007F5282"/>
    <w:rPr>
      <w:color w:val="auto"/>
    </w:rPr>
  </w:style>
  <w:style w:type="paragraph" w:customStyle="1" w:styleId="CM13">
    <w:name w:val="CM13"/>
    <w:basedOn w:val="Default"/>
    <w:next w:val="Default"/>
    <w:uiPriority w:val="99"/>
    <w:rsid w:val="00824F44"/>
    <w:pPr>
      <w:spacing w:line="280" w:lineRule="atLeast"/>
    </w:pPr>
    <w:rPr>
      <w:color w:val="auto"/>
    </w:rPr>
  </w:style>
  <w:style w:type="paragraph" w:customStyle="1" w:styleId="CM40">
    <w:name w:val="CM40"/>
    <w:basedOn w:val="Default"/>
    <w:next w:val="Default"/>
    <w:uiPriority w:val="99"/>
    <w:rsid w:val="00550F2F"/>
    <w:rPr>
      <w:color w:val="auto"/>
    </w:rPr>
  </w:style>
  <w:style w:type="table" w:customStyle="1" w:styleId="TableGrid1">
    <w:name w:val="Table Grid1"/>
    <w:basedOn w:val="TableNormal"/>
    <w:next w:val="TableGrid"/>
    <w:uiPriority w:val="59"/>
    <w:rsid w:val="00A57939"/>
    <w:rPr>
      <w:rFonts w:ascii="Cambria" w:eastAsia="Cambria" w:hAnsi="Cambria"/>
      <w:sz w:val="22"/>
      <w:szCs w:val="22"/>
      <w:lang w:val="en-AU"/>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7939"/>
    <w:rPr>
      <w:rFonts w:ascii="Cambria" w:eastAsia="Cambria" w:hAnsi="Cambria"/>
      <w:sz w:val="22"/>
      <w:szCs w:val="22"/>
      <w:lang w:val="en-AU"/>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7F46FD"/>
    <w:p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20" w:lineRule="atLeast"/>
      <w:jc w:val="both"/>
    </w:pPr>
    <w:rPr>
      <w:b/>
      <w:sz w:val="24"/>
      <w:szCs w:val="24"/>
    </w:rPr>
  </w:style>
  <w:style w:type="paragraph" w:styleId="Heading2">
    <w:name w:val="heading 2"/>
    <w:basedOn w:val="Normal"/>
    <w:next w:val="paragraph"/>
    <w:link w:val="Heading2Char"/>
    <w:autoRedefine/>
    <w:uiPriority w:val="99"/>
    <w:qFormat/>
    <w:rsid w:val="0038416E"/>
    <w:pPr>
      <w:keepNext/>
      <w:keepLines/>
      <w:spacing w:after="120"/>
      <w:outlineLvl w:val="1"/>
    </w:pPr>
    <w:rPr>
      <w:bCs/>
      <w:szCs w:val="26"/>
      <w:u w:val="single"/>
    </w:r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rPr>
      <w:b w:val="0"/>
    </w:r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7C7566"/>
    <w:rPr>
      <w:b/>
      <w:sz w:val="24"/>
      <w:szCs w:val="24"/>
    </w:rPr>
  </w:style>
  <w:style w:type="character" w:customStyle="1" w:styleId="Heading2Char">
    <w:name w:val="Heading 2 Char"/>
    <w:basedOn w:val="DefaultParagraphFont"/>
    <w:link w:val="Heading2"/>
    <w:uiPriority w:val="99"/>
    <w:rsid w:val="0038416E"/>
    <w:rPr>
      <w:b/>
      <w:bCs/>
      <w:sz w:val="24"/>
      <w:szCs w:val="26"/>
      <w:u w:val="single"/>
    </w:rPr>
  </w:style>
  <w:style w:type="character" w:customStyle="1" w:styleId="Heading3Char">
    <w:name w:val="Heading 3 Char"/>
    <w:basedOn w:val="DefaultParagraphFont"/>
    <w:uiPriority w:val="99"/>
    <w:rsid w:val="00001EE6"/>
    <w:rPr>
      <w:b/>
      <w:sz w:val="24"/>
      <w:szCs w:val="24"/>
      <w:lang w:val="en-AU"/>
    </w:rPr>
  </w:style>
  <w:style w:type="character" w:customStyle="1" w:styleId="Heading4Char">
    <w:name w:val="Heading 4 Char"/>
    <w:basedOn w:val="DefaultParagraphFont"/>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basedOn w:val="DefaultParagraphFont"/>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basedOn w:val="DefaultParagraphFont"/>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basedOn w:val="DefaultParagraphFont"/>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basedOn w:val="DefaultParagraphFont"/>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basedOn w:val="DefaultParagraphFont"/>
    <w:link w:val="Heading9"/>
    <w:uiPriority w:val="9"/>
    <w:semiHidden/>
    <w:rsid w:val="0025612B"/>
    <w:rPr>
      <w:rFonts w:ascii="Cambria" w:eastAsia="Times New Roman" w:hAnsi="Cambria" w:cs="Times New Roman"/>
      <w:lang w:val="en-GB" w:eastAsia="en-US"/>
    </w:rPr>
  </w:style>
  <w:style w:type="character" w:styleId="CommentReference">
    <w:name w:val="annotation reference"/>
    <w:basedOn w:val="DefaultParagraphFont"/>
    <w:uiPriority w:val="99"/>
    <w:semiHidden/>
    <w:rsid w:val="003944B2"/>
    <w:rPr>
      <w:rFonts w:cs="Times New Roman"/>
      <w:sz w:val="16"/>
    </w:rPr>
  </w:style>
  <w:style w:type="paragraph" w:styleId="CommentText">
    <w:name w:val="annotation text"/>
    <w:basedOn w:val="Normal"/>
    <w:link w:val="CommentTextChar"/>
    <w:uiPriority w:val="99"/>
    <w:semiHidden/>
    <w:rsid w:val="003944B2"/>
    <w:rPr>
      <w:sz w:val="20"/>
    </w:rPr>
  </w:style>
  <w:style w:type="character" w:customStyle="1" w:styleId="CommentTextChar">
    <w:name w:val="Comment Text Char"/>
    <w:basedOn w:val="DefaultParagraphFont"/>
    <w:link w:val="CommentText"/>
    <w:uiPriority w:val="99"/>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val="0"/>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basedOn w:val="Normal"/>
    <w:link w:val="TextChar"/>
    <w:rsid w:val="003944B2"/>
  </w:style>
  <w:style w:type="paragraph" w:customStyle="1" w:styleId="Nottoc-headings0">
    <w:name w:val="Not toc-headings"/>
    <w:basedOn w:val="Normal"/>
    <w:next w:val="Text"/>
    <w:link w:val="Nottoc-headingsChar"/>
    <w:uiPriority w:val="99"/>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uiPriority w:val="99"/>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9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basedOn w:val="DefaultParagraphFont"/>
    <w:link w:val="Table0"/>
    <w:uiPriority w:val="99"/>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uiPriority w:val="99"/>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basedOn w:val="DefaultParagraphFont"/>
    <w:link w:val="Subtitle"/>
    <w:uiPriority w:val="99"/>
    <w:rsid w:val="00D25E9A"/>
    <w:rPr>
      <w:rFonts w:cs="Arial"/>
      <w:b/>
      <w:sz w:val="28"/>
      <w:szCs w:val="24"/>
    </w:rPr>
  </w:style>
  <w:style w:type="paragraph" w:styleId="Title">
    <w:name w:val="Title"/>
    <w:basedOn w:val="Normal"/>
    <w:link w:val="TitleChar"/>
    <w:autoRedefine/>
    <w:uiPriority w:val="99"/>
    <w:qFormat/>
    <w:rsid w:val="00D25E9A"/>
    <w:pPr>
      <w:jc w:val="left"/>
      <w:outlineLvl w:val="0"/>
    </w:pPr>
    <w:rPr>
      <w:rFonts w:cs="Arial"/>
      <w:bCs/>
      <w:kern w:val="28"/>
      <w:sz w:val="34"/>
      <w:szCs w:val="32"/>
    </w:rPr>
  </w:style>
  <w:style w:type="character" w:customStyle="1" w:styleId="TitleChar">
    <w:name w:val="Title Char"/>
    <w:basedOn w:val="DefaultParagraphFont"/>
    <w:link w:val="Title"/>
    <w:uiPriority w:val="99"/>
    <w:rsid w:val="00D25E9A"/>
    <w:rPr>
      <w:rFonts w:cs="Arial"/>
      <w:b/>
      <w:bCs/>
      <w:kern w:val="28"/>
      <w:sz w:val="34"/>
      <w:szCs w:val="32"/>
    </w:rPr>
  </w:style>
  <w:style w:type="paragraph" w:customStyle="1" w:styleId="Synopsis">
    <w:name w:val="Synopsis"/>
    <w:basedOn w:val="Text"/>
    <w:uiPriority w:val="99"/>
    <w:rsid w:val="003944B2"/>
    <w:pPr>
      <w:spacing w:line="240" w:lineRule="auto"/>
    </w:pPr>
    <w:rPr>
      <w:rFonts w:ascii="Arial" w:eastAsia="MS Gothic" w:hAnsi="Arial"/>
      <w:sz w:val="20"/>
    </w:rPr>
  </w:style>
  <w:style w:type="paragraph" w:customStyle="1" w:styleId="TOCEntry">
    <w:name w:val="TOC Entry"/>
    <w:basedOn w:val="Heading2"/>
    <w:next w:val="Text"/>
    <w:uiPriority w:val="99"/>
    <w:rsid w:val="003944B2"/>
    <w:pPr>
      <w:spacing w:before="240" w:after="0" w:line="240" w:lineRule="auto"/>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spacing w:line="240" w:lineRule="auto"/>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uiPriority w:val="99"/>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uiPriority w:val="99"/>
    <w:rsid w:val="003944B2"/>
    <w:pPr>
      <w:keepLines/>
      <w:spacing w:line="240" w:lineRule="auto"/>
    </w:pPr>
    <w:rPr>
      <w:rFonts w:eastAsia="MS Mincho"/>
      <w:i/>
      <w:color w:val="BF30B5"/>
    </w:rPr>
  </w:style>
  <w:style w:type="paragraph" w:customStyle="1" w:styleId="Legend0">
    <w:name w:val="Legend"/>
    <w:basedOn w:val="Table0"/>
    <w:uiPriority w:val="99"/>
    <w:rsid w:val="003944B2"/>
    <w:pPr>
      <w:spacing w:before="40" w:after="20" w:line="240" w:lineRule="auto"/>
      <w:ind w:left="0" w:firstLine="0"/>
    </w:pPr>
    <w:rPr>
      <w:rFonts w:ascii="Arial" w:eastAsia="MS Mincho" w:hAnsi="Arial"/>
      <w:b w:val="0"/>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3944B2"/>
    <w:pPr>
      <w:spacing w:line="240" w:lineRule="auto"/>
      <w:ind w:left="720"/>
      <w:jc w:val="left"/>
    </w:pPr>
  </w:style>
  <w:style w:type="paragraph" w:styleId="Revision">
    <w:name w:val="Revision"/>
    <w:hidden/>
    <w:uiPriority w:val="99"/>
    <w:semiHidden/>
    <w:rsid w:val="003944B2"/>
    <w:rPr>
      <w:sz w:val="24"/>
      <w:szCs w:val="24"/>
      <w:lang w:val="en-GB"/>
    </w:rPr>
  </w:style>
  <w:style w:type="paragraph" w:customStyle="1" w:styleId="CharCharCharCharChar1">
    <w:name w:val="Char Char Char Char Char1"/>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semiHidden/>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line="240" w:lineRule="auto"/>
      <w:jc w:val="left"/>
    </w:pPr>
    <w:rPr>
      <w:b w:val="0"/>
    </w:rPr>
  </w:style>
  <w:style w:type="paragraph" w:customStyle="1" w:styleId="Enclosure">
    <w:name w:val="Enclosure"/>
    <w:basedOn w:val="Normal"/>
    <w:next w:val="Normal"/>
    <w:uiPriority w:val="99"/>
    <w:rsid w:val="005920BE"/>
    <w:pPr>
      <w:tabs>
        <w:tab w:val="clear" w:pos="-720"/>
        <w:tab w:val="clear" w:pos="0"/>
        <w:tab w:val="clear" w:pos="720"/>
        <w:tab w:val="clear" w:pos="1440"/>
        <w:tab w:val="clear" w:pos="2160"/>
        <w:tab w:val="clear" w:pos="2880"/>
        <w:tab w:val="clear" w:pos="3600"/>
        <w:tab w:val="clear" w:pos="4320"/>
      </w:tabs>
      <w:spacing w:before="0" w:line="240" w:lineRule="auto"/>
      <w:jc w:val="left"/>
    </w:pPr>
    <w:rPr>
      <w:rFonts w:ascii="Arial" w:hAnsi="Arial" w:cs="Arial"/>
      <w:b w:val="0"/>
    </w:rPr>
  </w:style>
  <w:style w:type="paragraph" w:customStyle="1" w:styleId="Default">
    <w:name w:val="Default"/>
    <w:rsid w:val="007F5282"/>
    <w:pPr>
      <w:autoSpaceDE w:val="0"/>
      <w:autoSpaceDN w:val="0"/>
      <w:adjustRightInd w:val="0"/>
    </w:pPr>
    <w:rPr>
      <w:color w:val="000000"/>
      <w:sz w:val="24"/>
      <w:szCs w:val="24"/>
    </w:rPr>
  </w:style>
  <w:style w:type="paragraph" w:customStyle="1" w:styleId="CM36">
    <w:name w:val="CM36"/>
    <w:basedOn w:val="Default"/>
    <w:next w:val="Default"/>
    <w:uiPriority w:val="99"/>
    <w:rsid w:val="007F5282"/>
    <w:rPr>
      <w:color w:val="auto"/>
    </w:rPr>
  </w:style>
  <w:style w:type="paragraph" w:customStyle="1" w:styleId="CM13">
    <w:name w:val="CM13"/>
    <w:basedOn w:val="Default"/>
    <w:next w:val="Default"/>
    <w:uiPriority w:val="99"/>
    <w:rsid w:val="00824F44"/>
    <w:pPr>
      <w:spacing w:line="280" w:lineRule="atLeast"/>
    </w:pPr>
    <w:rPr>
      <w:color w:val="auto"/>
    </w:rPr>
  </w:style>
  <w:style w:type="paragraph" w:customStyle="1" w:styleId="CM40">
    <w:name w:val="CM40"/>
    <w:basedOn w:val="Default"/>
    <w:next w:val="Default"/>
    <w:uiPriority w:val="99"/>
    <w:rsid w:val="00550F2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55405356">
      <w:bodyDiv w:val="1"/>
      <w:marLeft w:val="0"/>
      <w:marRight w:val="0"/>
      <w:marTop w:val="0"/>
      <w:marBottom w:val="0"/>
      <w:divBdr>
        <w:top w:val="none" w:sz="0" w:space="0" w:color="auto"/>
        <w:left w:val="none" w:sz="0" w:space="0" w:color="auto"/>
        <w:bottom w:val="none" w:sz="0" w:space="0" w:color="auto"/>
        <w:right w:val="none" w:sz="0" w:space="0" w:color="auto"/>
      </w:divBdr>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349F-C093-4E37-8D5B-3291F714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6922</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Novartis Pharmaceuticals Australia Pty Ltd</Company>
  <LinksUpToDate>false</LinksUpToDate>
  <CharactersWithSpaces>45708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Ruxolitinib</dc:title>
  <dc:subject>prescription medicine regulation</dc:subject>
  <dc:creator>Novartis Pharmaceuticals Australia Pty Ltd</dc:creator>
  <cp:keywords>product, information, prescription, medicine, regulation, ruxolitinib, novartis, pharamaceuticals, australia, jakavi</cp:keywords>
  <cp:lastModifiedBy>dixonj</cp:lastModifiedBy>
  <cp:revision>3</cp:revision>
  <cp:lastPrinted>2013-07-09T00:22:00Z</cp:lastPrinted>
  <dcterms:created xsi:type="dcterms:W3CDTF">2014-01-20T23:30:00Z</dcterms:created>
  <dcterms:modified xsi:type="dcterms:W3CDTF">2014-02-26T03:54:00Z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0x010100A5C47854C3E5B64FAA07A3DD303626C4</vt:lpwstr>
  </property>
  <property fmtid="{D5CDD505-2E9C-101B-9397-08002B2CF9AE}" pid="5" name="_ReviewingToolsShownOnce">
    <vt:lpwstr/>
  </property>
</Properties>
</file>