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report: March 2017&#10;Second round report: July 2017&#10;"/>
      </w:tblPr>
      <w:tblGrid>
        <w:gridCol w:w="5817"/>
      </w:tblGrid>
      <w:tr w:rsidR="008E7846" w:rsidRPr="003442FE" w14:paraId="518FE5D5" w14:textId="77777777" w:rsidTr="00790C7B">
        <w:trPr>
          <w:trHeight w:val="1883"/>
        </w:trPr>
        <w:tc>
          <w:tcPr>
            <w:tcW w:w="5817" w:type="dxa"/>
            <w:tcBorders>
              <w:top w:val="nil"/>
              <w:left w:val="nil"/>
              <w:bottom w:val="nil"/>
              <w:right w:val="nil"/>
            </w:tcBorders>
          </w:tcPr>
          <w:p w14:paraId="2D9B8280" w14:textId="06166840" w:rsidR="008E7846" w:rsidRDefault="00F664E8" w:rsidP="0017078F">
            <w:pPr>
              <w:rPr>
                <w:rFonts w:ascii="Arial" w:hAnsi="Arial" w:cs="Arial"/>
                <w:b/>
                <w:color w:val="002C47"/>
                <w:sz w:val="36"/>
                <w:szCs w:val="36"/>
              </w:rPr>
            </w:pPr>
            <w:r>
              <w:rPr>
                <w:rFonts w:ascii="Arial" w:hAnsi="Arial" w:cs="Arial"/>
                <w:b/>
                <w:color w:val="002C47"/>
                <w:sz w:val="36"/>
                <w:szCs w:val="36"/>
              </w:rPr>
              <w:t xml:space="preserve">First round </w:t>
            </w:r>
            <w:r w:rsidR="00790C7B">
              <w:rPr>
                <w:rFonts w:ascii="Arial" w:hAnsi="Arial" w:cs="Arial"/>
                <w:b/>
                <w:color w:val="002C47"/>
                <w:sz w:val="36"/>
                <w:szCs w:val="36"/>
              </w:rPr>
              <w:t>report</w:t>
            </w:r>
            <w:r>
              <w:rPr>
                <w:rFonts w:ascii="Arial" w:hAnsi="Arial" w:cs="Arial"/>
                <w:b/>
                <w:color w:val="002C47"/>
                <w:sz w:val="36"/>
                <w:szCs w:val="36"/>
              </w:rPr>
              <w:t xml:space="preserve">: March </w:t>
            </w:r>
            <w:r w:rsidR="001207E1">
              <w:rPr>
                <w:rFonts w:ascii="Arial" w:hAnsi="Arial" w:cs="Arial"/>
                <w:b/>
                <w:color w:val="002C47"/>
                <w:sz w:val="36"/>
                <w:szCs w:val="36"/>
              </w:rPr>
              <w:t>2017</w:t>
            </w:r>
          </w:p>
          <w:p w14:paraId="41EA38C0" w14:textId="2A278C0E" w:rsidR="001207E1" w:rsidRPr="003442FE" w:rsidRDefault="001207E1" w:rsidP="00790C7B">
            <w:pPr>
              <w:rPr>
                <w:rFonts w:ascii="Arial" w:hAnsi="Arial" w:cs="Arial"/>
                <w:b/>
                <w:color w:val="002C47"/>
                <w:sz w:val="36"/>
                <w:szCs w:val="36"/>
              </w:rPr>
            </w:pPr>
            <w:r>
              <w:rPr>
                <w:rFonts w:ascii="Arial" w:hAnsi="Arial" w:cs="Arial"/>
                <w:b/>
                <w:color w:val="002C47"/>
                <w:sz w:val="36"/>
                <w:szCs w:val="36"/>
              </w:rPr>
              <w:t>Sec</w:t>
            </w:r>
            <w:bookmarkStart w:id="0" w:name="_GoBack"/>
            <w:bookmarkEnd w:id="0"/>
            <w:r>
              <w:rPr>
                <w:rFonts w:ascii="Arial" w:hAnsi="Arial" w:cs="Arial"/>
                <w:b/>
                <w:color w:val="002C47"/>
                <w:sz w:val="36"/>
                <w:szCs w:val="36"/>
              </w:rPr>
              <w:t xml:space="preserve">ond round </w:t>
            </w:r>
            <w:r w:rsidR="00790C7B">
              <w:rPr>
                <w:rFonts w:ascii="Arial" w:hAnsi="Arial" w:cs="Arial"/>
                <w:b/>
                <w:color w:val="002C47"/>
                <w:sz w:val="36"/>
                <w:szCs w:val="36"/>
              </w:rPr>
              <w:t>report</w:t>
            </w:r>
            <w:r>
              <w:rPr>
                <w:rFonts w:ascii="Arial" w:hAnsi="Arial" w:cs="Arial"/>
                <w:b/>
                <w:color w:val="002C47"/>
                <w:sz w:val="36"/>
                <w:szCs w:val="36"/>
              </w:rPr>
              <w:t>: July 2017</w:t>
            </w:r>
          </w:p>
        </w:tc>
      </w:tr>
    </w:tbl>
    <w:tbl>
      <w:tblPr>
        <w:tblpPr w:leftFromText="180" w:rightFromText="180" w:vertAnchor="page" w:tblpY="3316"/>
        <w:tblW w:w="9670" w:type="dxa"/>
        <w:tblLayout w:type="fixed"/>
        <w:tblLook w:val="04A0" w:firstRow="1" w:lastRow="0" w:firstColumn="1" w:lastColumn="0" w:noHBand="0" w:noVBand="1"/>
        <w:tblDescription w:val="First round report: March 2017&#10;Second round report: July 2017&#10;"/>
      </w:tblPr>
      <w:tblGrid>
        <w:gridCol w:w="9670"/>
      </w:tblGrid>
      <w:tr w:rsidR="0032583B" w:rsidRPr="003442FE" w14:paraId="3F216558" w14:textId="77777777" w:rsidTr="00790C7B">
        <w:trPr>
          <w:trHeight w:val="1569"/>
        </w:trPr>
        <w:tc>
          <w:tcPr>
            <w:tcW w:w="9670" w:type="dxa"/>
          </w:tcPr>
          <w:p w14:paraId="1870EC2E" w14:textId="77777777" w:rsidR="0032583B" w:rsidRPr="003442FE" w:rsidRDefault="00E07F15" w:rsidP="00A964D1">
            <w:pPr>
              <w:pStyle w:val="Title"/>
              <w:rPr>
                <w:color w:val="FFFFFF" w:themeColor="background1"/>
              </w:rPr>
            </w:pPr>
            <w:r w:rsidRPr="003442FE">
              <w:rPr>
                <w:color w:val="FFFFFF" w:themeColor="background1"/>
              </w:rPr>
              <w:t>AusPAR Attachment 2</w:t>
            </w:r>
          </w:p>
        </w:tc>
      </w:tr>
      <w:tr w:rsidR="00E07F15" w:rsidRPr="003442FE" w14:paraId="66F3CF85" w14:textId="77777777" w:rsidTr="00790C7B">
        <w:trPr>
          <w:trHeight w:val="879"/>
        </w:trPr>
        <w:tc>
          <w:tcPr>
            <w:tcW w:w="9670" w:type="dxa"/>
          </w:tcPr>
          <w:p w14:paraId="7F39C97D" w14:textId="20A9250F" w:rsidR="00E07F15" w:rsidRPr="003442FE" w:rsidRDefault="00E07F15" w:rsidP="00E07F15">
            <w:pPr>
              <w:pStyle w:val="Title"/>
              <w:rPr>
                <w:color w:val="FFFFFF" w:themeColor="background1"/>
              </w:rPr>
            </w:pPr>
            <w:r w:rsidRPr="003442FE">
              <w:rPr>
                <w:color w:val="FFFFFF" w:themeColor="background1"/>
              </w:rPr>
              <w:t>Extract from the Cli</w:t>
            </w:r>
            <w:r w:rsidR="00F664E8">
              <w:rPr>
                <w:color w:val="FFFFFF" w:themeColor="background1"/>
              </w:rPr>
              <w:t xml:space="preserve">nical Evaluation Report for </w:t>
            </w:r>
            <w:r w:rsidR="005B765C">
              <w:rPr>
                <w:color w:val="FFFFFF" w:themeColor="background1"/>
              </w:rPr>
              <w:t>i</w:t>
            </w:r>
            <w:r w:rsidR="00F664E8" w:rsidRPr="00F664E8">
              <w:rPr>
                <w:color w:val="FFFFFF" w:themeColor="background1"/>
              </w:rPr>
              <w:t>nsulin degludec (rys)</w:t>
            </w:r>
            <w:r w:rsidR="00790C7B">
              <w:rPr>
                <w:color w:val="FFFFFF" w:themeColor="background1"/>
              </w:rPr>
              <w:t xml:space="preserve"> / insulin </w:t>
            </w:r>
            <w:r w:rsidR="00F664E8" w:rsidRPr="00F664E8">
              <w:rPr>
                <w:color w:val="FFFFFF" w:themeColor="background1"/>
              </w:rPr>
              <w:t>aspart (rys)</w:t>
            </w:r>
          </w:p>
        </w:tc>
      </w:tr>
      <w:tr w:rsidR="00E07F15" w:rsidRPr="003442FE" w14:paraId="1F4FC121" w14:textId="77777777" w:rsidTr="00790C7B">
        <w:trPr>
          <w:trHeight w:val="89"/>
        </w:trPr>
        <w:tc>
          <w:tcPr>
            <w:tcW w:w="9670" w:type="dxa"/>
          </w:tcPr>
          <w:p w14:paraId="326D1F1F" w14:textId="5962387B" w:rsidR="00E07F15" w:rsidRPr="003442FE" w:rsidRDefault="00F664E8" w:rsidP="00790C7B">
            <w:pPr>
              <w:pStyle w:val="Subtitle"/>
              <w:ind w:left="4838" w:hanging="4838"/>
              <w:rPr>
                <w:color w:val="FFFFFF" w:themeColor="background1"/>
              </w:rPr>
            </w:pPr>
            <w:r>
              <w:rPr>
                <w:color w:val="FFFFFF" w:themeColor="background1"/>
              </w:rPr>
              <w:t xml:space="preserve">Proprietary Product Name: </w:t>
            </w:r>
            <w:r w:rsidRPr="00F664E8">
              <w:rPr>
                <w:color w:val="FFFFFF" w:themeColor="background1"/>
              </w:rPr>
              <w:t>Ryzodeg Flex</w:t>
            </w:r>
            <w:r w:rsidR="003A190C">
              <w:rPr>
                <w:color w:val="FFFFFF" w:themeColor="background1"/>
              </w:rPr>
              <w:t>T</w:t>
            </w:r>
            <w:r w:rsidRPr="00F664E8">
              <w:rPr>
                <w:color w:val="FFFFFF" w:themeColor="background1"/>
              </w:rPr>
              <w:t>ouch, Ryzodeg Penfill</w:t>
            </w:r>
          </w:p>
        </w:tc>
      </w:tr>
      <w:tr w:rsidR="00E07F15" w:rsidRPr="003442FE" w14:paraId="0793C4B7" w14:textId="77777777" w:rsidTr="00790C7B">
        <w:trPr>
          <w:trHeight w:val="491"/>
        </w:trPr>
        <w:tc>
          <w:tcPr>
            <w:tcW w:w="9670" w:type="dxa"/>
          </w:tcPr>
          <w:p w14:paraId="51B0D2CC" w14:textId="77777777" w:rsidR="00E07F15" w:rsidRPr="003442FE" w:rsidRDefault="00F664E8" w:rsidP="00F664E8">
            <w:pPr>
              <w:pStyle w:val="Subtitle"/>
              <w:ind w:left="0"/>
              <w:rPr>
                <w:color w:val="FFFFFF" w:themeColor="background1"/>
              </w:rPr>
            </w:pPr>
            <w:r>
              <w:rPr>
                <w:color w:val="FFFFFF" w:themeColor="background1"/>
              </w:rPr>
              <w:t>Sponsor:</w:t>
            </w:r>
            <w:r w:rsidRPr="00F664E8">
              <w:rPr>
                <w:rFonts w:ascii="Cambria" w:eastAsia="Cambria" w:hAnsi="Cambria"/>
                <w:bCs w:val="0"/>
                <w:iCs w:val="0"/>
                <w:color w:val="FFFFFF" w:themeColor="background1"/>
                <w:sz w:val="36"/>
                <w:szCs w:val="36"/>
              </w:rPr>
              <w:t xml:space="preserve"> </w:t>
            </w:r>
            <w:r w:rsidRPr="00F664E8">
              <w:rPr>
                <w:color w:val="FFFFFF" w:themeColor="background1"/>
              </w:rPr>
              <w:t>Novo Nordisk Pharmaceuticals Pty Ltd</w:t>
            </w:r>
          </w:p>
        </w:tc>
      </w:tr>
    </w:tbl>
    <w:p w14:paraId="4AEE4379" w14:textId="77777777" w:rsidR="008E7846" w:rsidRPr="003442FE" w:rsidRDefault="008E7846" w:rsidP="008E7846">
      <w:pPr>
        <w:pStyle w:val="NonTOCHeading2"/>
      </w:pPr>
      <w:r w:rsidRPr="003442FE">
        <w:br w:type="page"/>
      </w:r>
    </w:p>
    <w:p w14:paraId="319F4C21" w14:textId="77777777" w:rsidR="008E7846" w:rsidRPr="003442FE" w:rsidRDefault="008E7846" w:rsidP="008E7846">
      <w:pPr>
        <w:pStyle w:val="NonTOCHeading2"/>
      </w:pPr>
      <w:r w:rsidRPr="003442FE">
        <w:lastRenderedPageBreak/>
        <w:t>About the Therapeutic Goods Administration (TGA)</w:t>
      </w:r>
    </w:p>
    <w:p w14:paraId="4738594B" w14:textId="77777777" w:rsidR="008E7846" w:rsidRPr="003442FE" w:rsidRDefault="008E7846" w:rsidP="00DC2A7E">
      <w:pPr>
        <w:pStyle w:val="ListBullet"/>
        <w:numPr>
          <w:ilvl w:val="0"/>
          <w:numId w:val="1"/>
        </w:numPr>
        <w:ind w:left="357" w:hanging="357"/>
      </w:pPr>
      <w:r w:rsidRPr="003442FE">
        <w:t xml:space="preserve">The Therapeutic Goods Administration (TGA) is </w:t>
      </w:r>
      <w:r w:rsidR="00E624A5" w:rsidRPr="003442FE">
        <w:t xml:space="preserve">part </w:t>
      </w:r>
      <w:r w:rsidRPr="003442FE">
        <w:t>of the Australian Government Department of Health, and is responsible for regulating medicines and medical devices.</w:t>
      </w:r>
    </w:p>
    <w:p w14:paraId="57C65AC7" w14:textId="77777777" w:rsidR="008E7846" w:rsidRPr="003442FE" w:rsidRDefault="00C811C0" w:rsidP="00DC2A7E">
      <w:pPr>
        <w:pStyle w:val="ListBullet"/>
        <w:numPr>
          <w:ilvl w:val="0"/>
          <w:numId w:val="1"/>
        </w:numPr>
        <w:ind w:left="357" w:hanging="357"/>
      </w:pPr>
      <w:r w:rsidRPr="003442FE">
        <w:t xml:space="preserve">The </w:t>
      </w:r>
      <w:r w:rsidR="008E7846" w:rsidRPr="003442FE">
        <w:t xml:space="preserve">TGA administers the </w:t>
      </w:r>
      <w:r w:rsidR="008E7846" w:rsidRPr="003442FE">
        <w:rPr>
          <w:i/>
        </w:rPr>
        <w:t>Therapeutic Goods Act 1989</w:t>
      </w:r>
      <w:r w:rsidR="008E7846" w:rsidRPr="003442FE">
        <w:t xml:space="preserve"> (the Act), applying a risk management approach designed to ensure therapeutic goods supplied in Australia meet acceptable standards of quality, safety and efficacy (performance), when </w:t>
      </w:r>
      <w:proofErr w:type="gramStart"/>
      <w:r w:rsidR="008E7846" w:rsidRPr="003442FE">
        <w:t>necessary</w:t>
      </w:r>
      <w:proofErr w:type="gramEnd"/>
      <w:r w:rsidR="008E7846" w:rsidRPr="003442FE">
        <w:t>.</w:t>
      </w:r>
    </w:p>
    <w:p w14:paraId="6F955789" w14:textId="77777777" w:rsidR="008E7846" w:rsidRPr="003442FE" w:rsidRDefault="008E7846" w:rsidP="00DC2A7E">
      <w:pPr>
        <w:pStyle w:val="ListBullet"/>
        <w:numPr>
          <w:ilvl w:val="0"/>
          <w:numId w:val="1"/>
        </w:numPr>
        <w:ind w:left="357" w:hanging="357"/>
      </w:pPr>
      <w:r w:rsidRPr="003442FE">
        <w:t>The work of the TGA is based on applying scientific and clinical expertise to decision-making, to ensure that the benefits to consumers outweigh any risks associated with the use of medicines and medical devices.</w:t>
      </w:r>
    </w:p>
    <w:p w14:paraId="4F4C1B67" w14:textId="77777777" w:rsidR="008E7846" w:rsidRPr="003442FE" w:rsidRDefault="008E7846" w:rsidP="00DC2A7E">
      <w:pPr>
        <w:pStyle w:val="ListBullet"/>
        <w:numPr>
          <w:ilvl w:val="0"/>
          <w:numId w:val="1"/>
        </w:numPr>
        <w:ind w:left="357" w:hanging="357"/>
      </w:pPr>
      <w:r w:rsidRPr="003442FE">
        <w:t>The TGA relies on the public, healthcare professionals and industry to report problems with medicines or medical devices. TGA investigates reports received by it to determine any necessary regulatory action.</w:t>
      </w:r>
    </w:p>
    <w:p w14:paraId="35C42957" w14:textId="77777777" w:rsidR="008E7846" w:rsidRPr="003442FE" w:rsidRDefault="008E7846" w:rsidP="00DC2A7E">
      <w:pPr>
        <w:pStyle w:val="ListBullet"/>
        <w:numPr>
          <w:ilvl w:val="0"/>
          <w:numId w:val="1"/>
        </w:numPr>
        <w:ind w:left="357" w:hanging="357"/>
      </w:pPr>
      <w:r w:rsidRPr="003442FE">
        <w:t>To report a problem with a medicine or medical device, please see the information on the TGA website</w:t>
      </w:r>
      <w:r w:rsidR="00112F56" w:rsidRPr="003442FE">
        <w:t xml:space="preserve"> &lt;</w:t>
      </w:r>
      <w:hyperlink r:id="rId9" w:history="1">
        <w:r w:rsidR="00E979F4" w:rsidRPr="003442FE">
          <w:rPr>
            <w:rStyle w:val="Hyperlink"/>
          </w:rPr>
          <w:t>https://www.tga.gov.au</w:t>
        </w:r>
      </w:hyperlink>
      <w:r w:rsidR="00112F56" w:rsidRPr="003442FE">
        <w:t>&gt;</w:t>
      </w:r>
      <w:r w:rsidRPr="003442FE">
        <w:t>.</w:t>
      </w:r>
    </w:p>
    <w:p w14:paraId="4172D02A" w14:textId="77777777" w:rsidR="0017078F" w:rsidRPr="003442FE" w:rsidRDefault="0017078F" w:rsidP="0017078F">
      <w:pPr>
        <w:pStyle w:val="NonTOCHeading2"/>
      </w:pPr>
      <w:r w:rsidRPr="003442FE">
        <w:t>About the Extract from the Clinical Evaluation Report</w:t>
      </w:r>
    </w:p>
    <w:p w14:paraId="6CA8A1C3" w14:textId="77777777" w:rsidR="0017078F" w:rsidRPr="003442FE" w:rsidRDefault="003D0A3B" w:rsidP="0017078F">
      <w:pPr>
        <w:pStyle w:val="ListBullet"/>
      </w:pPr>
      <w:r w:rsidRPr="003442FE">
        <w:t>This document provides a more detailed evaluation of the clinical findings, extracted from the Clinical Evaluation Report (CER) prepared by the TGA. This extract does not include sections from the CER regarding product documentation or post market activities.</w:t>
      </w:r>
    </w:p>
    <w:p w14:paraId="1C52B31F" w14:textId="77777777" w:rsidR="003D0A3B" w:rsidRPr="003442FE" w:rsidRDefault="003D0A3B" w:rsidP="003D0A3B">
      <w:pPr>
        <w:pStyle w:val="ListBullet"/>
      </w:pPr>
      <w:r w:rsidRPr="003442FE">
        <w:t>The words [Information redacted], where they appear in this document, indicate that confidential information has been deleted.</w:t>
      </w:r>
    </w:p>
    <w:p w14:paraId="2BAE7AB7" w14:textId="77777777" w:rsidR="0017078F" w:rsidRPr="003442FE" w:rsidRDefault="003D0A3B" w:rsidP="0017078F">
      <w:pPr>
        <w:pStyle w:val="ListBullet"/>
      </w:pPr>
      <w:r w:rsidRPr="003442FE">
        <w:t xml:space="preserve">For the most recent Product Information (PI), please refer to the TGA website </w:t>
      </w:r>
      <w:r w:rsidR="00B1425E" w:rsidRPr="003442FE">
        <w:t>&lt;</w:t>
      </w:r>
      <w:hyperlink r:id="rId10" w:history="1">
        <w:r w:rsidR="0010193C" w:rsidRPr="003442FE">
          <w:rPr>
            <w:rStyle w:val="Hyperlink"/>
          </w:rPr>
          <w:t>https://www.tga.gov.au/product-information-pi</w:t>
        </w:r>
      </w:hyperlink>
      <w:r w:rsidR="0017078F" w:rsidRPr="003442FE">
        <w:t>&gt;.</w:t>
      </w:r>
    </w:p>
    <w:p w14:paraId="5FA678C6" w14:textId="77777777" w:rsidR="00924482" w:rsidRPr="003442FE" w:rsidRDefault="00924482" w:rsidP="00147860">
      <w:pPr>
        <w:pStyle w:val="LegalSubheading"/>
        <w:spacing w:before="3840"/>
      </w:pPr>
      <w:r w:rsidRPr="003442FE">
        <w:t>Copyright</w:t>
      </w:r>
    </w:p>
    <w:p w14:paraId="107429E9" w14:textId="08D9A69F" w:rsidR="00924482" w:rsidRPr="003442FE" w:rsidRDefault="00924482" w:rsidP="00924482">
      <w:pPr>
        <w:pStyle w:val="LegalCopy"/>
      </w:pPr>
      <w:r w:rsidRPr="003442FE">
        <w:rPr>
          <w:rFonts w:cs="Arial"/>
        </w:rPr>
        <w:t>© Commonwealth of Australia 201</w:t>
      </w:r>
      <w:r w:rsidR="009C2058">
        <w:rPr>
          <w:rFonts w:cs="Arial"/>
        </w:rPr>
        <w:t>8</w:t>
      </w:r>
      <w:r w:rsidRPr="003442FE">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442FE">
        <w:rPr>
          <w:rFonts w:cs="Arial"/>
          <w:i/>
        </w:rPr>
        <w:t>Copyright Act 1968</w:t>
      </w:r>
      <w:r w:rsidRPr="003442FE">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3442FE">
          <w:rPr>
            <w:rStyle w:val="Hyperlink"/>
            <w:rFonts w:cs="Arial"/>
          </w:rPr>
          <w:t>tga.copyright@tga.gov.au</w:t>
        </w:r>
      </w:hyperlink>
      <w:r w:rsidRPr="003442FE">
        <w:rPr>
          <w:rFonts w:cs="Arial"/>
        </w:rPr>
        <w:t>&gt;.</w:t>
      </w:r>
    </w:p>
    <w:p w14:paraId="53788B49" w14:textId="77777777" w:rsidR="00924482" w:rsidRPr="003442FE" w:rsidRDefault="00924482" w:rsidP="00924482">
      <w:pPr>
        <w:pStyle w:val="LegalCopy"/>
        <w:sectPr w:rsidR="00924482" w:rsidRPr="003442FE"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52845FD6" w14:textId="77777777" w:rsidR="0089635C" w:rsidRPr="003442FE" w:rsidRDefault="0089635C" w:rsidP="0010788A">
          <w:pPr>
            <w:pStyle w:val="Contents"/>
          </w:pPr>
          <w:r w:rsidRPr="003442FE">
            <w:t>Contents</w:t>
          </w:r>
        </w:p>
        <w:p w14:paraId="6177BF16" w14:textId="77777777" w:rsidR="00065D6A" w:rsidRDefault="004F4AF5">
          <w:pPr>
            <w:pStyle w:val="TOC2"/>
            <w:rPr>
              <w:rFonts w:asciiTheme="minorHAnsi" w:eastAsiaTheme="minorEastAsia" w:hAnsiTheme="minorHAnsi" w:cstheme="minorBidi"/>
              <w:b w:val="0"/>
              <w:noProof/>
              <w:sz w:val="22"/>
              <w:lang w:eastAsia="en-AU"/>
            </w:rPr>
          </w:pPr>
          <w:r w:rsidRPr="003442FE">
            <w:fldChar w:fldCharType="begin"/>
          </w:r>
          <w:r w:rsidR="0089635C" w:rsidRPr="003442FE">
            <w:instrText xml:space="preserve"> TOC \o "1-3" \h \z \u </w:instrText>
          </w:r>
          <w:r w:rsidRPr="003442FE">
            <w:fldChar w:fldCharType="separate"/>
          </w:r>
          <w:hyperlink w:anchor="_Toc517768395" w:history="1">
            <w:r w:rsidR="00065D6A" w:rsidRPr="00FE0C1D">
              <w:rPr>
                <w:rStyle w:val="Hyperlink"/>
                <w:noProof/>
              </w:rPr>
              <w:t>List of abbreviations</w:t>
            </w:r>
            <w:r w:rsidR="00065D6A">
              <w:rPr>
                <w:noProof/>
                <w:webHidden/>
              </w:rPr>
              <w:tab/>
            </w:r>
            <w:r w:rsidR="00065D6A">
              <w:rPr>
                <w:noProof/>
                <w:webHidden/>
              </w:rPr>
              <w:fldChar w:fldCharType="begin"/>
            </w:r>
            <w:r w:rsidR="00065D6A">
              <w:rPr>
                <w:noProof/>
                <w:webHidden/>
              </w:rPr>
              <w:instrText xml:space="preserve"> PAGEREF _Toc517768395 \h </w:instrText>
            </w:r>
            <w:r w:rsidR="00065D6A">
              <w:rPr>
                <w:noProof/>
                <w:webHidden/>
              </w:rPr>
            </w:r>
            <w:r w:rsidR="00065D6A">
              <w:rPr>
                <w:noProof/>
                <w:webHidden/>
              </w:rPr>
              <w:fldChar w:fldCharType="separate"/>
            </w:r>
            <w:r w:rsidR="00065D6A">
              <w:rPr>
                <w:noProof/>
                <w:webHidden/>
              </w:rPr>
              <w:t>5</w:t>
            </w:r>
            <w:r w:rsidR="00065D6A">
              <w:rPr>
                <w:noProof/>
                <w:webHidden/>
              </w:rPr>
              <w:fldChar w:fldCharType="end"/>
            </w:r>
          </w:hyperlink>
        </w:p>
        <w:p w14:paraId="49EA9DF6"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396" w:history="1">
            <w:r w:rsidR="00065D6A" w:rsidRPr="00FE0C1D">
              <w:rPr>
                <w:rStyle w:val="Hyperlink"/>
                <w:noProof/>
              </w:rPr>
              <w:t>1.</w:t>
            </w:r>
            <w:r w:rsidR="00065D6A">
              <w:rPr>
                <w:rFonts w:asciiTheme="minorHAnsi" w:eastAsiaTheme="minorEastAsia" w:hAnsiTheme="minorHAnsi" w:cstheme="minorBidi"/>
                <w:b w:val="0"/>
                <w:noProof/>
                <w:sz w:val="22"/>
                <w:lang w:eastAsia="en-AU"/>
              </w:rPr>
              <w:tab/>
            </w:r>
            <w:r w:rsidR="00065D6A" w:rsidRPr="00FE0C1D">
              <w:rPr>
                <w:rStyle w:val="Hyperlink"/>
                <w:noProof/>
              </w:rPr>
              <w:t>Introduction</w:t>
            </w:r>
            <w:r w:rsidR="00065D6A">
              <w:rPr>
                <w:noProof/>
                <w:webHidden/>
              </w:rPr>
              <w:tab/>
            </w:r>
            <w:r w:rsidR="00065D6A">
              <w:rPr>
                <w:noProof/>
                <w:webHidden/>
              </w:rPr>
              <w:fldChar w:fldCharType="begin"/>
            </w:r>
            <w:r w:rsidR="00065D6A">
              <w:rPr>
                <w:noProof/>
                <w:webHidden/>
              </w:rPr>
              <w:instrText xml:space="preserve"> PAGEREF _Toc517768396 \h </w:instrText>
            </w:r>
            <w:r w:rsidR="00065D6A">
              <w:rPr>
                <w:noProof/>
                <w:webHidden/>
              </w:rPr>
            </w:r>
            <w:r w:rsidR="00065D6A">
              <w:rPr>
                <w:noProof/>
                <w:webHidden/>
              </w:rPr>
              <w:fldChar w:fldCharType="separate"/>
            </w:r>
            <w:r w:rsidR="00065D6A">
              <w:rPr>
                <w:noProof/>
                <w:webHidden/>
              </w:rPr>
              <w:t>6</w:t>
            </w:r>
            <w:r w:rsidR="00065D6A">
              <w:rPr>
                <w:noProof/>
                <w:webHidden/>
              </w:rPr>
              <w:fldChar w:fldCharType="end"/>
            </w:r>
          </w:hyperlink>
        </w:p>
        <w:p w14:paraId="48BAC095"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397" w:history="1">
            <w:r w:rsidR="00065D6A" w:rsidRPr="00FE0C1D">
              <w:rPr>
                <w:rStyle w:val="Hyperlink"/>
                <w:noProof/>
              </w:rPr>
              <w:t>1.1.</w:t>
            </w:r>
            <w:r w:rsidR="00065D6A">
              <w:rPr>
                <w:rFonts w:asciiTheme="minorHAnsi" w:eastAsiaTheme="minorEastAsia" w:hAnsiTheme="minorHAnsi" w:cstheme="minorBidi"/>
                <w:noProof/>
                <w:lang w:eastAsia="en-AU"/>
              </w:rPr>
              <w:tab/>
            </w:r>
            <w:r w:rsidR="00065D6A" w:rsidRPr="00FE0C1D">
              <w:rPr>
                <w:rStyle w:val="Hyperlink"/>
                <w:noProof/>
              </w:rPr>
              <w:t>Submission type</w:t>
            </w:r>
            <w:r w:rsidR="00065D6A">
              <w:rPr>
                <w:noProof/>
                <w:webHidden/>
              </w:rPr>
              <w:tab/>
            </w:r>
            <w:r w:rsidR="00065D6A">
              <w:rPr>
                <w:noProof/>
                <w:webHidden/>
              </w:rPr>
              <w:fldChar w:fldCharType="begin"/>
            </w:r>
            <w:r w:rsidR="00065D6A">
              <w:rPr>
                <w:noProof/>
                <w:webHidden/>
              </w:rPr>
              <w:instrText xml:space="preserve"> PAGEREF _Toc517768397 \h </w:instrText>
            </w:r>
            <w:r w:rsidR="00065D6A">
              <w:rPr>
                <w:noProof/>
                <w:webHidden/>
              </w:rPr>
            </w:r>
            <w:r w:rsidR="00065D6A">
              <w:rPr>
                <w:noProof/>
                <w:webHidden/>
              </w:rPr>
              <w:fldChar w:fldCharType="separate"/>
            </w:r>
            <w:r w:rsidR="00065D6A">
              <w:rPr>
                <w:noProof/>
                <w:webHidden/>
              </w:rPr>
              <w:t>6</w:t>
            </w:r>
            <w:r w:rsidR="00065D6A">
              <w:rPr>
                <w:noProof/>
                <w:webHidden/>
              </w:rPr>
              <w:fldChar w:fldCharType="end"/>
            </w:r>
          </w:hyperlink>
        </w:p>
        <w:p w14:paraId="3F7AE248"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398" w:history="1">
            <w:r w:rsidR="00065D6A" w:rsidRPr="00FE0C1D">
              <w:rPr>
                <w:rStyle w:val="Hyperlink"/>
                <w:noProof/>
              </w:rPr>
              <w:t>1.2.</w:t>
            </w:r>
            <w:r w:rsidR="00065D6A">
              <w:rPr>
                <w:rFonts w:asciiTheme="minorHAnsi" w:eastAsiaTheme="minorEastAsia" w:hAnsiTheme="minorHAnsi" w:cstheme="minorBidi"/>
                <w:noProof/>
                <w:lang w:eastAsia="en-AU"/>
              </w:rPr>
              <w:tab/>
            </w:r>
            <w:r w:rsidR="00065D6A" w:rsidRPr="00FE0C1D">
              <w:rPr>
                <w:rStyle w:val="Hyperlink"/>
                <w:noProof/>
              </w:rPr>
              <w:t>Drug class and therapeutic indication</w:t>
            </w:r>
            <w:r w:rsidR="00065D6A">
              <w:rPr>
                <w:noProof/>
                <w:webHidden/>
              </w:rPr>
              <w:tab/>
            </w:r>
            <w:r w:rsidR="00065D6A">
              <w:rPr>
                <w:noProof/>
                <w:webHidden/>
              </w:rPr>
              <w:fldChar w:fldCharType="begin"/>
            </w:r>
            <w:r w:rsidR="00065D6A">
              <w:rPr>
                <w:noProof/>
                <w:webHidden/>
              </w:rPr>
              <w:instrText xml:space="preserve"> PAGEREF _Toc517768398 \h </w:instrText>
            </w:r>
            <w:r w:rsidR="00065D6A">
              <w:rPr>
                <w:noProof/>
                <w:webHidden/>
              </w:rPr>
            </w:r>
            <w:r w:rsidR="00065D6A">
              <w:rPr>
                <w:noProof/>
                <w:webHidden/>
              </w:rPr>
              <w:fldChar w:fldCharType="separate"/>
            </w:r>
            <w:r w:rsidR="00065D6A">
              <w:rPr>
                <w:noProof/>
                <w:webHidden/>
              </w:rPr>
              <w:t>6</w:t>
            </w:r>
            <w:r w:rsidR="00065D6A">
              <w:rPr>
                <w:noProof/>
                <w:webHidden/>
              </w:rPr>
              <w:fldChar w:fldCharType="end"/>
            </w:r>
          </w:hyperlink>
        </w:p>
        <w:p w14:paraId="6847A8F0"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399" w:history="1">
            <w:r w:rsidR="00065D6A" w:rsidRPr="00FE0C1D">
              <w:rPr>
                <w:rStyle w:val="Hyperlink"/>
                <w:noProof/>
              </w:rPr>
              <w:t>1.3.</w:t>
            </w:r>
            <w:r w:rsidR="00065D6A">
              <w:rPr>
                <w:rFonts w:asciiTheme="minorHAnsi" w:eastAsiaTheme="minorEastAsia" w:hAnsiTheme="minorHAnsi" w:cstheme="minorBidi"/>
                <w:noProof/>
                <w:lang w:eastAsia="en-AU"/>
              </w:rPr>
              <w:tab/>
            </w:r>
            <w:r w:rsidR="00065D6A" w:rsidRPr="00FE0C1D">
              <w:rPr>
                <w:rStyle w:val="Hyperlink"/>
                <w:noProof/>
              </w:rPr>
              <w:t>Dosage forms and strengths</w:t>
            </w:r>
            <w:r w:rsidR="00065D6A">
              <w:rPr>
                <w:noProof/>
                <w:webHidden/>
              </w:rPr>
              <w:tab/>
            </w:r>
            <w:r w:rsidR="00065D6A">
              <w:rPr>
                <w:noProof/>
                <w:webHidden/>
              </w:rPr>
              <w:fldChar w:fldCharType="begin"/>
            </w:r>
            <w:r w:rsidR="00065D6A">
              <w:rPr>
                <w:noProof/>
                <w:webHidden/>
              </w:rPr>
              <w:instrText xml:space="preserve"> PAGEREF _Toc517768399 \h </w:instrText>
            </w:r>
            <w:r w:rsidR="00065D6A">
              <w:rPr>
                <w:noProof/>
                <w:webHidden/>
              </w:rPr>
            </w:r>
            <w:r w:rsidR="00065D6A">
              <w:rPr>
                <w:noProof/>
                <w:webHidden/>
              </w:rPr>
              <w:fldChar w:fldCharType="separate"/>
            </w:r>
            <w:r w:rsidR="00065D6A">
              <w:rPr>
                <w:noProof/>
                <w:webHidden/>
              </w:rPr>
              <w:t>6</w:t>
            </w:r>
            <w:r w:rsidR="00065D6A">
              <w:rPr>
                <w:noProof/>
                <w:webHidden/>
              </w:rPr>
              <w:fldChar w:fldCharType="end"/>
            </w:r>
          </w:hyperlink>
        </w:p>
        <w:p w14:paraId="2028F5A7"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00" w:history="1">
            <w:r w:rsidR="00065D6A" w:rsidRPr="00FE0C1D">
              <w:rPr>
                <w:rStyle w:val="Hyperlink"/>
                <w:noProof/>
              </w:rPr>
              <w:t>2.</w:t>
            </w:r>
            <w:r w:rsidR="00065D6A">
              <w:rPr>
                <w:rFonts w:asciiTheme="minorHAnsi" w:eastAsiaTheme="minorEastAsia" w:hAnsiTheme="minorHAnsi" w:cstheme="minorBidi"/>
                <w:b w:val="0"/>
                <w:noProof/>
                <w:sz w:val="22"/>
                <w:lang w:eastAsia="en-AU"/>
              </w:rPr>
              <w:tab/>
            </w:r>
            <w:r w:rsidR="00065D6A" w:rsidRPr="00FE0C1D">
              <w:rPr>
                <w:rStyle w:val="Hyperlink"/>
                <w:noProof/>
              </w:rPr>
              <w:t>Clinical rationale</w:t>
            </w:r>
            <w:r w:rsidR="00065D6A">
              <w:rPr>
                <w:noProof/>
                <w:webHidden/>
              </w:rPr>
              <w:tab/>
            </w:r>
            <w:r w:rsidR="00065D6A">
              <w:rPr>
                <w:noProof/>
                <w:webHidden/>
              </w:rPr>
              <w:fldChar w:fldCharType="begin"/>
            </w:r>
            <w:r w:rsidR="00065D6A">
              <w:rPr>
                <w:noProof/>
                <w:webHidden/>
              </w:rPr>
              <w:instrText xml:space="preserve"> PAGEREF _Toc517768400 \h </w:instrText>
            </w:r>
            <w:r w:rsidR="00065D6A">
              <w:rPr>
                <w:noProof/>
                <w:webHidden/>
              </w:rPr>
            </w:r>
            <w:r w:rsidR="00065D6A">
              <w:rPr>
                <w:noProof/>
                <w:webHidden/>
              </w:rPr>
              <w:fldChar w:fldCharType="separate"/>
            </w:r>
            <w:r w:rsidR="00065D6A">
              <w:rPr>
                <w:noProof/>
                <w:webHidden/>
              </w:rPr>
              <w:t>7</w:t>
            </w:r>
            <w:r w:rsidR="00065D6A">
              <w:rPr>
                <w:noProof/>
                <w:webHidden/>
              </w:rPr>
              <w:fldChar w:fldCharType="end"/>
            </w:r>
          </w:hyperlink>
        </w:p>
        <w:p w14:paraId="5E64C1D0"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01" w:history="1">
            <w:r w:rsidR="00065D6A" w:rsidRPr="00FE0C1D">
              <w:rPr>
                <w:rStyle w:val="Hyperlink"/>
                <w:noProof/>
              </w:rPr>
              <w:t>2.1.</w:t>
            </w:r>
            <w:r w:rsidR="00065D6A">
              <w:rPr>
                <w:rFonts w:asciiTheme="minorHAnsi" w:eastAsiaTheme="minorEastAsia" w:hAnsiTheme="minorHAnsi" w:cstheme="minorBidi"/>
                <w:noProof/>
                <w:lang w:eastAsia="en-AU"/>
              </w:rPr>
              <w:tab/>
            </w:r>
            <w:r w:rsidR="00065D6A" w:rsidRPr="00FE0C1D">
              <w:rPr>
                <w:rStyle w:val="Hyperlink"/>
                <w:noProof/>
              </w:rPr>
              <w:t>Background</w:t>
            </w:r>
            <w:r w:rsidR="00065D6A">
              <w:rPr>
                <w:noProof/>
                <w:webHidden/>
              </w:rPr>
              <w:tab/>
            </w:r>
            <w:r w:rsidR="00065D6A">
              <w:rPr>
                <w:noProof/>
                <w:webHidden/>
              </w:rPr>
              <w:fldChar w:fldCharType="begin"/>
            </w:r>
            <w:r w:rsidR="00065D6A">
              <w:rPr>
                <w:noProof/>
                <w:webHidden/>
              </w:rPr>
              <w:instrText xml:space="preserve"> PAGEREF _Toc517768401 \h </w:instrText>
            </w:r>
            <w:r w:rsidR="00065D6A">
              <w:rPr>
                <w:noProof/>
                <w:webHidden/>
              </w:rPr>
            </w:r>
            <w:r w:rsidR="00065D6A">
              <w:rPr>
                <w:noProof/>
                <w:webHidden/>
              </w:rPr>
              <w:fldChar w:fldCharType="separate"/>
            </w:r>
            <w:r w:rsidR="00065D6A">
              <w:rPr>
                <w:noProof/>
                <w:webHidden/>
              </w:rPr>
              <w:t>7</w:t>
            </w:r>
            <w:r w:rsidR="00065D6A">
              <w:rPr>
                <w:noProof/>
                <w:webHidden/>
              </w:rPr>
              <w:fldChar w:fldCharType="end"/>
            </w:r>
          </w:hyperlink>
        </w:p>
        <w:p w14:paraId="5A6C209A"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02" w:history="1">
            <w:r w:rsidR="00065D6A" w:rsidRPr="00FE0C1D">
              <w:rPr>
                <w:rStyle w:val="Hyperlink"/>
                <w:noProof/>
              </w:rPr>
              <w:t>2.2.</w:t>
            </w:r>
            <w:r w:rsidR="00065D6A">
              <w:rPr>
                <w:rFonts w:asciiTheme="minorHAnsi" w:eastAsiaTheme="minorEastAsia" w:hAnsiTheme="minorHAnsi" w:cstheme="minorBidi"/>
                <w:noProof/>
                <w:lang w:eastAsia="en-AU"/>
              </w:rPr>
              <w:tab/>
            </w:r>
            <w:r w:rsidR="00065D6A" w:rsidRPr="00FE0C1D">
              <w:rPr>
                <w:rStyle w:val="Hyperlink"/>
                <w:noProof/>
              </w:rPr>
              <w:t>Current treatment options</w:t>
            </w:r>
            <w:r w:rsidR="00065D6A">
              <w:rPr>
                <w:noProof/>
                <w:webHidden/>
              </w:rPr>
              <w:tab/>
            </w:r>
            <w:r w:rsidR="00065D6A">
              <w:rPr>
                <w:noProof/>
                <w:webHidden/>
              </w:rPr>
              <w:fldChar w:fldCharType="begin"/>
            </w:r>
            <w:r w:rsidR="00065D6A">
              <w:rPr>
                <w:noProof/>
                <w:webHidden/>
              </w:rPr>
              <w:instrText xml:space="preserve"> PAGEREF _Toc517768402 \h </w:instrText>
            </w:r>
            <w:r w:rsidR="00065D6A">
              <w:rPr>
                <w:noProof/>
                <w:webHidden/>
              </w:rPr>
            </w:r>
            <w:r w:rsidR="00065D6A">
              <w:rPr>
                <w:noProof/>
                <w:webHidden/>
              </w:rPr>
              <w:fldChar w:fldCharType="separate"/>
            </w:r>
            <w:r w:rsidR="00065D6A">
              <w:rPr>
                <w:noProof/>
                <w:webHidden/>
              </w:rPr>
              <w:t>7</w:t>
            </w:r>
            <w:r w:rsidR="00065D6A">
              <w:rPr>
                <w:noProof/>
                <w:webHidden/>
              </w:rPr>
              <w:fldChar w:fldCharType="end"/>
            </w:r>
          </w:hyperlink>
        </w:p>
        <w:p w14:paraId="012B9E33"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03" w:history="1">
            <w:r w:rsidR="00065D6A" w:rsidRPr="00FE0C1D">
              <w:rPr>
                <w:rStyle w:val="Hyperlink"/>
                <w:noProof/>
              </w:rPr>
              <w:t>2.3.</w:t>
            </w:r>
            <w:r w:rsidR="00065D6A">
              <w:rPr>
                <w:rFonts w:asciiTheme="minorHAnsi" w:eastAsiaTheme="minorEastAsia" w:hAnsiTheme="minorHAnsi" w:cstheme="minorBidi"/>
                <w:noProof/>
                <w:lang w:eastAsia="en-AU"/>
              </w:rPr>
              <w:tab/>
            </w:r>
            <w:r w:rsidR="00065D6A" w:rsidRPr="00FE0C1D">
              <w:rPr>
                <w:rStyle w:val="Hyperlink"/>
                <w:noProof/>
              </w:rPr>
              <w:t>Clinical rationale</w:t>
            </w:r>
            <w:r w:rsidR="00065D6A">
              <w:rPr>
                <w:noProof/>
                <w:webHidden/>
              </w:rPr>
              <w:tab/>
            </w:r>
            <w:r w:rsidR="00065D6A">
              <w:rPr>
                <w:noProof/>
                <w:webHidden/>
              </w:rPr>
              <w:fldChar w:fldCharType="begin"/>
            </w:r>
            <w:r w:rsidR="00065D6A">
              <w:rPr>
                <w:noProof/>
                <w:webHidden/>
              </w:rPr>
              <w:instrText xml:space="preserve"> PAGEREF _Toc517768403 \h </w:instrText>
            </w:r>
            <w:r w:rsidR="00065D6A">
              <w:rPr>
                <w:noProof/>
                <w:webHidden/>
              </w:rPr>
            </w:r>
            <w:r w:rsidR="00065D6A">
              <w:rPr>
                <w:noProof/>
                <w:webHidden/>
              </w:rPr>
              <w:fldChar w:fldCharType="separate"/>
            </w:r>
            <w:r w:rsidR="00065D6A">
              <w:rPr>
                <w:noProof/>
                <w:webHidden/>
              </w:rPr>
              <w:t>9</w:t>
            </w:r>
            <w:r w:rsidR="00065D6A">
              <w:rPr>
                <w:noProof/>
                <w:webHidden/>
              </w:rPr>
              <w:fldChar w:fldCharType="end"/>
            </w:r>
          </w:hyperlink>
        </w:p>
        <w:p w14:paraId="0160AD60"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04" w:history="1">
            <w:r w:rsidR="00065D6A" w:rsidRPr="00FE0C1D">
              <w:rPr>
                <w:rStyle w:val="Hyperlink"/>
                <w:noProof/>
              </w:rPr>
              <w:t>2.4.</w:t>
            </w:r>
            <w:r w:rsidR="00065D6A">
              <w:rPr>
                <w:rFonts w:asciiTheme="minorHAnsi" w:eastAsiaTheme="minorEastAsia" w:hAnsiTheme="minorHAnsi" w:cstheme="minorBidi"/>
                <w:noProof/>
                <w:lang w:eastAsia="en-AU"/>
              </w:rPr>
              <w:tab/>
            </w:r>
            <w:r w:rsidR="00065D6A" w:rsidRPr="00FE0C1D">
              <w:rPr>
                <w:rStyle w:val="Hyperlink"/>
                <w:noProof/>
              </w:rPr>
              <w:t>Guidance</w:t>
            </w:r>
            <w:r w:rsidR="00065D6A">
              <w:rPr>
                <w:noProof/>
                <w:webHidden/>
              </w:rPr>
              <w:tab/>
            </w:r>
            <w:r w:rsidR="00065D6A">
              <w:rPr>
                <w:noProof/>
                <w:webHidden/>
              </w:rPr>
              <w:fldChar w:fldCharType="begin"/>
            </w:r>
            <w:r w:rsidR="00065D6A">
              <w:rPr>
                <w:noProof/>
                <w:webHidden/>
              </w:rPr>
              <w:instrText xml:space="preserve"> PAGEREF _Toc517768404 \h </w:instrText>
            </w:r>
            <w:r w:rsidR="00065D6A">
              <w:rPr>
                <w:noProof/>
                <w:webHidden/>
              </w:rPr>
            </w:r>
            <w:r w:rsidR="00065D6A">
              <w:rPr>
                <w:noProof/>
                <w:webHidden/>
              </w:rPr>
              <w:fldChar w:fldCharType="separate"/>
            </w:r>
            <w:r w:rsidR="00065D6A">
              <w:rPr>
                <w:noProof/>
                <w:webHidden/>
              </w:rPr>
              <w:t>9</w:t>
            </w:r>
            <w:r w:rsidR="00065D6A">
              <w:rPr>
                <w:noProof/>
                <w:webHidden/>
              </w:rPr>
              <w:fldChar w:fldCharType="end"/>
            </w:r>
          </w:hyperlink>
        </w:p>
        <w:p w14:paraId="74E7DABE"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05" w:history="1">
            <w:r w:rsidR="00065D6A" w:rsidRPr="00FE0C1D">
              <w:rPr>
                <w:rStyle w:val="Hyperlink"/>
                <w:noProof/>
              </w:rPr>
              <w:t>2.5.</w:t>
            </w:r>
            <w:r w:rsidR="00065D6A">
              <w:rPr>
                <w:rFonts w:asciiTheme="minorHAnsi" w:eastAsiaTheme="minorEastAsia" w:hAnsiTheme="minorHAnsi" w:cstheme="minorBidi"/>
                <w:noProof/>
                <w:lang w:eastAsia="en-AU"/>
              </w:rPr>
              <w:tab/>
            </w:r>
            <w:r w:rsidR="00065D6A" w:rsidRPr="00FE0C1D">
              <w:rPr>
                <w:rStyle w:val="Hyperlink"/>
                <w:noProof/>
              </w:rPr>
              <w:t>Evaluator’s commentary on the background information</w:t>
            </w:r>
            <w:r w:rsidR="00065D6A">
              <w:rPr>
                <w:noProof/>
                <w:webHidden/>
              </w:rPr>
              <w:tab/>
            </w:r>
            <w:r w:rsidR="00065D6A">
              <w:rPr>
                <w:noProof/>
                <w:webHidden/>
              </w:rPr>
              <w:fldChar w:fldCharType="begin"/>
            </w:r>
            <w:r w:rsidR="00065D6A">
              <w:rPr>
                <w:noProof/>
                <w:webHidden/>
              </w:rPr>
              <w:instrText xml:space="preserve"> PAGEREF _Toc517768405 \h </w:instrText>
            </w:r>
            <w:r w:rsidR="00065D6A">
              <w:rPr>
                <w:noProof/>
                <w:webHidden/>
              </w:rPr>
            </w:r>
            <w:r w:rsidR="00065D6A">
              <w:rPr>
                <w:noProof/>
                <w:webHidden/>
              </w:rPr>
              <w:fldChar w:fldCharType="separate"/>
            </w:r>
            <w:r w:rsidR="00065D6A">
              <w:rPr>
                <w:noProof/>
                <w:webHidden/>
              </w:rPr>
              <w:t>9</w:t>
            </w:r>
            <w:r w:rsidR="00065D6A">
              <w:rPr>
                <w:noProof/>
                <w:webHidden/>
              </w:rPr>
              <w:fldChar w:fldCharType="end"/>
            </w:r>
          </w:hyperlink>
        </w:p>
        <w:p w14:paraId="7DBFB06D"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06" w:history="1">
            <w:r w:rsidR="00065D6A" w:rsidRPr="00FE0C1D">
              <w:rPr>
                <w:rStyle w:val="Hyperlink"/>
                <w:noProof/>
                <w:lang w:eastAsia="en-AU"/>
              </w:rPr>
              <w:t>3.</w:t>
            </w:r>
            <w:r w:rsidR="00065D6A">
              <w:rPr>
                <w:rFonts w:asciiTheme="minorHAnsi" w:eastAsiaTheme="minorEastAsia" w:hAnsiTheme="minorHAnsi" w:cstheme="minorBidi"/>
                <w:b w:val="0"/>
                <w:noProof/>
                <w:sz w:val="22"/>
                <w:lang w:eastAsia="en-AU"/>
              </w:rPr>
              <w:tab/>
            </w:r>
            <w:r w:rsidR="00065D6A" w:rsidRPr="00FE0C1D">
              <w:rPr>
                <w:rStyle w:val="Hyperlink"/>
                <w:noProof/>
                <w:lang w:eastAsia="en-AU"/>
              </w:rPr>
              <w:t>Contents of the clinical dossier</w:t>
            </w:r>
            <w:r w:rsidR="00065D6A">
              <w:rPr>
                <w:noProof/>
                <w:webHidden/>
              </w:rPr>
              <w:tab/>
            </w:r>
            <w:r w:rsidR="00065D6A">
              <w:rPr>
                <w:noProof/>
                <w:webHidden/>
              </w:rPr>
              <w:fldChar w:fldCharType="begin"/>
            </w:r>
            <w:r w:rsidR="00065D6A">
              <w:rPr>
                <w:noProof/>
                <w:webHidden/>
              </w:rPr>
              <w:instrText xml:space="preserve"> PAGEREF _Toc517768406 \h </w:instrText>
            </w:r>
            <w:r w:rsidR="00065D6A">
              <w:rPr>
                <w:noProof/>
                <w:webHidden/>
              </w:rPr>
            </w:r>
            <w:r w:rsidR="00065D6A">
              <w:rPr>
                <w:noProof/>
                <w:webHidden/>
              </w:rPr>
              <w:fldChar w:fldCharType="separate"/>
            </w:r>
            <w:r w:rsidR="00065D6A">
              <w:rPr>
                <w:noProof/>
                <w:webHidden/>
              </w:rPr>
              <w:t>9</w:t>
            </w:r>
            <w:r w:rsidR="00065D6A">
              <w:rPr>
                <w:noProof/>
                <w:webHidden/>
              </w:rPr>
              <w:fldChar w:fldCharType="end"/>
            </w:r>
          </w:hyperlink>
        </w:p>
        <w:p w14:paraId="3DE051CA"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07" w:history="1">
            <w:r w:rsidR="00065D6A" w:rsidRPr="00FE0C1D">
              <w:rPr>
                <w:rStyle w:val="Hyperlink"/>
                <w:noProof/>
              </w:rPr>
              <w:t>3.1.</w:t>
            </w:r>
            <w:r w:rsidR="00065D6A">
              <w:rPr>
                <w:rFonts w:asciiTheme="minorHAnsi" w:eastAsiaTheme="minorEastAsia" w:hAnsiTheme="minorHAnsi" w:cstheme="minorBidi"/>
                <w:noProof/>
                <w:lang w:eastAsia="en-AU"/>
              </w:rPr>
              <w:tab/>
            </w:r>
            <w:r w:rsidR="00065D6A" w:rsidRPr="00FE0C1D">
              <w:rPr>
                <w:rStyle w:val="Hyperlink"/>
                <w:noProof/>
              </w:rPr>
              <w:t>Scope of the clinical dossier</w:t>
            </w:r>
            <w:r w:rsidR="00065D6A">
              <w:rPr>
                <w:noProof/>
                <w:webHidden/>
              </w:rPr>
              <w:tab/>
            </w:r>
            <w:r w:rsidR="00065D6A">
              <w:rPr>
                <w:noProof/>
                <w:webHidden/>
              </w:rPr>
              <w:fldChar w:fldCharType="begin"/>
            </w:r>
            <w:r w:rsidR="00065D6A">
              <w:rPr>
                <w:noProof/>
                <w:webHidden/>
              </w:rPr>
              <w:instrText xml:space="preserve"> PAGEREF _Toc517768407 \h </w:instrText>
            </w:r>
            <w:r w:rsidR="00065D6A">
              <w:rPr>
                <w:noProof/>
                <w:webHidden/>
              </w:rPr>
            </w:r>
            <w:r w:rsidR="00065D6A">
              <w:rPr>
                <w:noProof/>
                <w:webHidden/>
              </w:rPr>
              <w:fldChar w:fldCharType="separate"/>
            </w:r>
            <w:r w:rsidR="00065D6A">
              <w:rPr>
                <w:noProof/>
                <w:webHidden/>
              </w:rPr>
              <w:t>9</w:t>
            </w:r>
            <w:r w:rsidR="00065D6A">
              <w:rPr>
                <w:noProof/>
                <w:webHidden/>
              </w:rPr>
              <w:fldChar w:fldCharType="end"/>
            </w:r>
          </w:hyperlink>
        </w:p>
        <w:p w14:paraId="61AE8687"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08" w:history="1">
            <w:r w:rsidR="00065D6A" w:rsidRPr="00FE0C1D">
              <w:rPr>
                <w:rStyle w:val="Hyperlink"/>
                <w:noProof/>
              </w:rPr>
              <w:t>3.2.</w:t>
            </w:r>
            <w:r w:rsidR="00065D6A">
              <w:rPr>
                <w:rFonts w:asciiTheme="minorHAnsi" w:eastAsiaTheme="minorEastAsia" w:hAnsiTheme="minorHAnsi" w:cstheme="minorBidi"/>
                <w:noProof/>
                <w:lang w:eastAsia="en-AU"/>
              </w:rPr>
              <w:tab/>
            </w:r>
            <w:r w:rsidR="00065D6A" w:rsidRPr="00FE0C1D">
              <w:rPr>
                <w:rStyle w:val="Hyperlink"/>
                <w:noProof/>
              </w:rPr>
              <w:t>Paediatric data</w:t>
            </w:r>
            <w:r w:rsidR="00065D6A">
              <w:rPr>
                <w:noProof/>
                <w:webHidden/>
              </w:rPr>
              <w:tab/>
            </w:r>
            <w:r w:rsidR="00065D6A">
              <w:rPr>
                <w:noProof/>
                <w:webHidden/>
              </w:rPr>
              <w:fldChar w:fldCharType="begin"/>
            </w:r>
            <w:r w:rsidR="00065D6A">
              <w:rPr>
                <w:noProof/>
                <w:webHidden/>
              </w:rPr>
              <w:instrText xml:space="preserve"> PAGEREF _Toc517768408 \h </w:instrText>
            </w:r>
            <w:r w:rsidR="00065D6A">
              <w:rPr>
                <w:noProof/>
                <w:webHidden/>
              </w:rPr>
            </w:r>
            <w:r w:rsidR="00065D6A">
              <w:rPr>
                <w:noProof/>
                <w:webHidden/>
              </w:rPr>
              <w:fldChar w:fldCharType="separate"/>
            </w:r>
            <w:r w:rsidR="00065D6A">
              <w:rPr>
                <w:noProof/>
                <w:webHidden/>
              </w:rPr>
              <w:t>10</w:t>
            </w:r>
            <w:r w:rsidR="00065D6A">
              <w:rPr>
                <w:noProof/>
                <w:webHidden/>
              </w:rPr>
              <w:fldChar w:fldCharType="end"/>
            </w:r>
          </w:hyperlink>
        </w:p>
        <w:p w14:paraId="7F6BC234"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09" w:history="1">
            <w:r w:rsidR="00065D6A" w:rsidRPr="00FE0C1D">
              <w:rPr>
                <w:rStyle w:val="Hyperlink"/>
                <w:noProof/>
              </w:rPr>
              <w:t>3.3.</w:t>
            </w:r>
            <w:r w:rsidR="00065D6A">
              <w:rPr>
                <w:rFonts w:asciiTheme="minorHAnsi" w:eastAsiaTheme="minorEastAsia" w:hAnsiTheme="minorHAnsi" w:cstheme="minorBidi"/>
                <w:noProof/>
                <w:lang w:eastAsia="en-AU"/>
              </w:rPr>
              <w:tab/>
            </w:r>
            <w:r w:rsidR="00065D6A" w:rsidRPr="00FE0C1D">
              <w:rPr>
                <w:rStyle w:val="Hyperlink"/>
                <w:noProof/>
              </w:rPr>
              <w:t>Good clinical practice</w:t>
            </w:r>
            <w:r w:rsidR="00065D6A">
              <w:rPr>
                <w:noProof/>
                <w:webHidden/>
              </w:rPr>
              <w:tab/>
            </w:r>
            <w:r w:rsidR="00065D6A">
              <w:rPr>
                <w:noProof/>
                <w:webHidden/>
              </w:rPr>
              <w:fldChar w:fldCharType="begin"/>
            </w:r>
            <w:r w:rsidR="00065D6A">
              <w:rPr>
                <w:noProof/>
                <w:webHidden/>
              </w:rPr>
              <w:instrText xml:space="preserve"> PAGEREF _Toc517768409 \h </w:instrText>
            </w:r>
            <w:r w:rsidR="00065D6A">
              <w:rPr>
                <w:noProof/>
                <w:webHidden/>
              </w:rPr>
            </w:r>
            <w:r w:rsidR="00065D6A">
              <w:rPr>
                <w:noProof/>
                <w:webHidden/>
              </w:rPr>
              <w:fldChar w:fldCharType="separate"/>
            </w:r>
            <w:r w:rsidR="00065D6A">
              <w:rPr>
                <w:noProof/>
                <w:webHidden/>
              </w:rPr>
              <w:t>10</w:t>
            </w:r>
            <w:r w:rsidR="00065D6A">
              <w:rPr>
                <w:noProof/>
                <w:webHidden/>
              </w:rPr>
              <w:fldChar w:fldCharType="end"/>
            </w:r>
          </w:hyperlink>
        </w:p>
        <w:p w14:paraId="64064AEF"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10" w:history="1">
            <w:r w:rsidR="00065D6A" w:rsidRPr="00FE0C1D">
              <w:rPr>
                <w:rStyle w:val="Hyperlink"/>
                <w:noProof/>
              </w:rPr>
              <w:t>3.4.</w:t>
            </w:r>
            <w:r w:rsidR="00065D6A">
              <w:rPr>
                <w:rFonts w:asciiTheme="minorHAnsi" w:eastAsiaTheme="minorEastAsia" w:hAnsiTheme="minorHAnsi" w:cstheme="minorBidi"/>
                <w:noProof/>
                <w:lang w:eastAsia="en-AU"/>
              </w:rPr>
              <w:tab/>
            </w:r>
            <w:r w:rsidR="00065D6A" w:rsidRPr="00FE0C1D">
              <w:rPr>
                <w:rStyle w:val="Hyperlink"/>
                <w:noProof/>
              </w:rPr>
              <w:t>Evaluator’s commentary on the clinical dossier</w:t>
            </w:r>
            <w:r w:rsidR="00065D6A">
              <w:rPr>
                <w:noProof/>
                <w:webHidden/>
              </w:rPr>
              <w:tab/>
            </w:r>
            <w:r w:rsidR="00065D6A">
              <w:rPr>
                <w:noProof/>
                <w:webHidden/>
              </w:rPr>
              <w:fldChar w:fldCharType="begin"/>
            </w:r>
            <w:r w:rsidR="00065D6A">
              <w:rPr>
                <w:noProof/>
                <w:webHidden/>
              </w:rPr>
              <w:instrText xml:space="preserve"> PAGEREF _Toc517768410 \h </w:instrText>
            </w:r>
            <w:r w:rsidR="00065D6A">
              <w:rPr>
                <w:noProof/>
                <w:webHidden/>
              </w:rPr>
            </w:r>
            <w:r w:rsidR="00065D6A">
              <w:rPr>
                <w:noProof/>
                <w:webHidden/>
              </w:rPr>
              <w:fldChar w:fldCharType="separate"/>
            </w:r>
            <w:r w:rsidR="00065D6A">
              <w:rPr>
                <w:noProof/>
                <w:webHidden/>
              </w:rPr>
              <w:t>10</w:t>
            </w:r>
            <w:r w:rsidR="00065D6A">
              <w:rPr>
                <w:noProof/>
                <w:webHidden/>
              </w:rPr>
              <w:fldChar w:fldCharType="end"/>
            </w:r>
          </w:hyperlink>
        </w:p>
        <w:p w14:paraId="6075B160"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11" w:history="1">
            <w:r w:rsidR="00065D6A" w:rsidRPr="00FE0C1D">
              <w:rPr>
                <w:rStyle w:val="Hyperlink"/>
                <w:noProof/>
              </w:rPr>
              <w:t>4.</w:t>
            </w:r>
            <w:r w:rsidR="00065D6A">
              <w:rPr>
                <w:rFonts w:asciiTheme="minorHAnsi" w:eastAsiaTheme="minorEastAsia" w:hAnsiTheme="minorHAnsi" w:cstheme="minorBidi"/>
                <w:b w:val="0"/>
                <w:noProof/>
                <w:sz w:val="22"/>
                <w:lang w:eastAsia="en-AU"/>
              </w:rPr>
              <w:tab/>
            </w:r>
            <w:r w:rsidR="00065D6A" w:rsidRPr="00FE0C1D">
              <w:rPr>
                <w:rStyle w:val="Hyperlink"/>
                <w:noProof/>
              </w:rPr>
              <w:t>Pharmacokinetics</w:t>
            </w:r>
            <w:r w:rsidR="00065D6A">
              <w:rPr>
                <w:noProof/>
                <w:webHidden/>
              </w:rPr>
              <w:tab/>
            </w:r>
            <w:r w:rsidR="00065D6A">
              <w:rPr>
                <w:noProof/>
                <w:webHidden/>
              </w:rPr>
              <w:fldChar w:fldCharType="begin"/>
            </w:r>
            <w:r w:rsidR="00065D6A">
              <w:rPr>
                <w:noProof/>
                <w:webHidden/>
              </w:rPr>
              <w:instrText xml:space="preserve"> PAGEREF _Toc517768411 \h </w:instrText>
            </w:r>
            <w:r w:rsidR="00065D6A">
              <w:rPr>
                <w:noProof/>
                <w:webHidden/>
              </w:rPr>
            </w:r>
            <w:r w:rsidR="00065D6A">
              <w:rPr>
                <w:noProof/>
                <w:webHidden/>
              </w:rPr>
              <w:fldChar w:fldCharType="separate"/>
            </w:r>
            <w:r w:rsidR="00065D6A">
              <w:rPr>
                <w:noProof/>
                <w:webHidden/>
              </w:rPr>
              <w:t>10</w:t>
            </w:r>
            <w:r w:rsidR="00065D6A">
              <w:rPr>
                <w:noProof/>
                <w:webHidden/>
              </w:rPr>
              <w:fldChar w:fldCharType="end"/>
            </w:r>
          </w:hyperlink>
        </w:p>
        <w:p w14:paraId="1E22A810"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12" w:history="1">
            <w:r w:rsidR="00065D6A" w:rsidRPr="00FE0C1D">
              <w:rPr>
                <w:rStyle w:val="Hyperlink"/>
                <w:noProof/>
              </w:rPr>
              <w:t>4.1.</w:t>
            </w:r>
            <w:r w:rsidR="00065D6A">
              <w:rPr>
                <w:rFonts w:asciiTheme="minorHAnsi" w:eastAsiaTheme="minorEastAsia" w:hAnsiTheme="minorHAnsi" w:cstheme="minorBidi"/>
                <w:noProof/>
                <w:lang w:eastAsia="en-AU"/>
              </w:rPr>
              <w:tab/>
            </w:r>
            <w:r w:rsidR="00065D6A" w:rsidRPr="00FE0C1D">
              <w:rPr>
                <w:rStyle w:val="Hyperlink"/>
                <w:noProof/>
              </w:rPr>
              <w:t>New studies providing pharmacokinetic information</w:t>
            </w:r>
            <w:r w:rsidR="00065D6A">
              <w:rPr>
                <w:noProof/>
                <w:webHidden/>
              </w:rPr>
              <w:tab/>
            </w:r>
            <w:r w:rsidR="00065D6A">
              <w:rPr>
                <w:noProof/>
                <w:webHidden/>
              </w:rPr>
              <w:fldChar w:fldCharType="begin"/>
            </w:r>
            <w:r w:rsidR="00065D6A">
              <w:rPr>
                <w:noProof/>
                <w:webHidden/>
              </w:rPr>
              <w:instrText xml:space="preserve"> PAGEREF _Toc517768412 \h </w:instrText>
            </w:r>
            <w:r w:rsidR="00065D6A">
              <w:rPr>
                <w:noProof/>
                <w:webHidden/>
              </w:rPr>
            </w:r>
            <w:r w:rsidR="00065D6A">
              <w:rPr>
                <w:noProof/>
                <w:webHidden/>
              </w:rPr>
              <w:fldChar w:fldCharType="separate"/>
            </w:r>
            <w:r w:rsidR="00065D6A">
              <w:rPr>
                <w:noProof/>
                <w:webHidden/>
              </w:rPr>
              <w:t>13</w:t>
            </w:r>
            <w:r w:rsidR="00065D6A">
              <w:rPr>
                <w:noProof/>
                <w:webHidden/>
              </w:rPr>
              <w:fldChar w:fldCharType="end"/>
            </w:r>
          </w:hyperlink>
        </w:p>
        <w:p w14:paraId="32962EC7"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13" w:history="1">
            <w:r w:rsidR="00065D6A" w:rsidRPr="00FE0C1D">
              <w:rPr>
                <w:rStyle w:val="Hyperlink"/>
                <w:noProof/>
              </w:rPr>
              <w:t>4.2.</w:t>
            </w:r>
            <w:r w:rsidR="00065D6A">
              <w:rPr>
                <w:rFonts w:asciiTheme="minorHAnsi" w:eastAsiaTheme="minorEastAsia" w:hAnsiTheme="minorHAnsi" w:cstheme="minorBidi"/>
                <w:noProof/>
                <w:lang w:eastAsia="en-AU"/>
              </w:rPr>
              <w:tab/>
            </w:r>
            <w:r w:rsidR="00065D6A" w:rsidRPr="00FE0C1D">
              <w:rPr>
                <w:rStyle w:val="Hyperlink"/>
                <w:noProof/>
              </w:rPr>
              <w:t>Summary of pharmacokinetics</w:t>
            </w:r>
            <w:r w:rsidR="00065D6A">
              <w:rPr>
                <w:noProof/>
                <w:webHidden/>
              </w:rPr>
              <w:tab/>
            </w:r>
            <w:r w:rsidR="00065D6A">
              <w:rPr>
                <w:noProof/>
                <w:webHidden/>
              </w:rPr>
              <w:fldChar w:fldCharType="begin"/>
            </w:r>
            <w:r w:rsidR="00065D6A">
              <w:rPr>
                <w:noProof/>
                <w:webHidden/>
              </w:rPr>
              <w:instrText xml:space="preserve"> PAGEREF _Toc517768413 \h </w:instrText>
            </w:r>
            <w:r w:rsidR="00065D6A">
              <w:rPr>
                <w:noProof/>
                <w:webHidden/>
              </w:rPr>
            </w:r>
            <w:r w:rsidR="00065D6A">
              <w:rPr>
                <w:noProof/>
                <w:webHidden/>
              </w:rPr>
              <w:fldChar w:fldCharType="separate"/>
            </w:r>
            <w:r w:rsidR="00065D6A">
              <w:rPr>
                <w:noProof/>
                <w:webHidden/>
              </w:rPr>
              <w:t>13</w:t>
            </w:r>
            <w:r w:rsidR="00065D6A">
              <w:rPr>
                <w:noProof/>
                <w:webHidden/>
              </w:rPr>
              <w:fldChar w:fldCharType="end"/>
            </w:r>
          </w:hyperlink>
        </w:p>
        <w:p w14:paraId="468D4E47"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14" w:history="1">
            <w:r w:rsidR="00065D6A" w:rsidRPr="00FE0C1D">
              <w:rPr>
                <w:rStyle w:val="Hyperlink"/>
                <w:noProof/>
              </w:rPr>
              <w:t>4.3.</w:t>
            </w:r>
            <w:r w:rsidR="00065D6A">
              <w:rPr>
                <w:rFonts w:asciiTheme="minorHAnsi" w:eastAsiaTheme="minorEastAsia" w:hAnsiTheme="minorHAnsi" w:cstheme="minorBidi"/>
                <w:noProof/>
                <w:lang w:eastAsia="en-AU"/>
              </w:rPr>
              <w:tab/>
            </w:r>
            <w:r w:rsidR="00065D6A" w:rsidRPr="00FE0C1D">
              <w:rPr>
                <w:rStyle w:val="Hyperlink"/>
                <w:noProof/>
              </w:rPr>
              <w:t>Evaluator’s overall conclusions on pharmacokinetics</w:t>
            </w:r>
            <w:r w:rsidR="00065D6A">
              <w:rPr>
                <w:noProof/>
                <w:webHidden/>
              </w:rPr>
              <w:tab/>
            </w:r>
            <w:r w:rsidR="00065D6A">
              <w:rPr>
                <w:noProof/>
                <w:webHidden/>
              </w:rPr>
              <w:fldChar w:fldCharType="begin"/>
            </w:r>
            <w:r w:rsidR="00065D6A">
              <w:rPr>
                <w:noProof/>
                <w:webHidden/>
              </w:rPr>
              <w:instrText xml:space="preserve"> PAGEREF _Toc517768414 \h </w:instrText>
            </w:r>
            <w:r w:rsidR="00065D6A">
              <w:rPr>
                <w:noProof/>
                <w:webHidden/>
              </w:rPr>
            </w:r>
            <w:r w:rsidR="00065D6A">
              <w:rPr>
                <w:noProof/>
                <w:webHidden/>
              </w:rPr>
              <w:fldChar w:fldCharType="separate"/>
            </w:r>
            <w:r w:rsidR="00065D6A">
              <w:rPr>
                <w:noProof/>
                <w:webHidden/>
              </w:rPr>
              <w:t>13</w:t>
            </w:r>
            <w:r w:rsidR="00065D6A">
              <w:rPr>
                <w:noProof/>
                <w:webHidden/>
              </w:rPr>
              <w:fldChar w:fldCharType="end"/>
            </w:r>
          </w:hyperlink>
        </w:p>
        <w:p w14:paraId="3600C64C"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15" w:history="1">
            <w:r w:rsidR="00065D6A" w:rsidRPr="00FE0C1D">
              <w:rPr>
                <w:rStyle w:val="Hyperlink"/>
                <w:noProof/>
              </w:rPr>
              <w:t>5.</w:t>
            </w:r>
            <w:r w:rsidR="00065D6A">
              <w:rPr>
                <w:rFonts w:asciiTheme="minorHAnsi" w:eastAsiaTheme="minorEastAsia" w:hAnsiTheme="minorHAnsi" w:cstheme="minorBidi"/>
                <w:b w:val="0"/>
                <w:noProof/>
                <w:sz w:val="22"/>
                <w:lang w:eastAsia="en-AU"/>
              </w:rPr>
              <w:tab/>
            </w:r>
            <w:r w:rsidR="00065D6A" w:rsidRPr="00FE0C1D">
              <w:rPr>
                <w:rStyle w:val="Hyperlink"/>
                <w:noProof/>
              </w:rPr>
              <w:t>Pharmacodynamics</w:t>
            </w:r>
            <w:r w:rsidR="00065D6A">
              <w:rPr>
                <w:noProof/>
                <w:webHidden/>
              </w:rPr>
              <w:tab/>
            </w:r>
            <w:r w:rsidR="00065D6A">
              <w:rPr>
                <w:noProof/>
                <w:webHidden/>
              </w:rPr>
              <w:fldChar w:fldCharType="begin"/>
            </w:r>
            <w:r w:rsidR="00065D6A">
              <w:rPr>
                <w:noProof/>
                <w:webHidden/>
              </w:rPr>
              <w:instrText xml:space="preserve"> PAGEREF _Toc517768415 \h </w:instrText>
            </w:r>
            <w:r w:rsidR="00065D6A">
              <w:rPr>
                <w:noProof/>
                <w:webHidden/>
              </w:rPr>
            </w:r>
            <w:r w:rsidR="00065D6A">
              <w:rPr>
                <w:noProof/>
                <w:webHidden/>
              </w:rPr>
              <w:fldChar w:fldCharType="separate"/>
            </w:r>
            <w:r w:rsidR="00065D6A">
              <w:rPr>
                <w:noProof/>
                <w:webHidden/>
              </w:rPr>
              <w:t>14</w:t>
            </w:r>
            <w:r w:rsidR="00065D6A">
              <w:rPr>
                <w:noProof/>
                <w:webHidden/>
              </w:rPr>
              <w:fldChar w:fldCharType="end"/>
            </w:r>
          </w:hyperlink>
        </w:p>
        <w:p w14:paraId="56C4168B"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16" w:history="1">
            <w:r w:rsidR="00065D6A" w:rsidRPr="00FE0C1D">
              <w:rPr>
                <w:rStyle w:val="Hyperlink"/>
                <w:noProof/>
              </w:rPr>
              <w:t>5.1.</w:t>
            </w:r>
            <w:r w:rsidR="00065D6A">
              <w:rPr>
                <w:rFonts w:asciiTheme="minorHAnsi" w:eastAsiaTheme="minorEastAsia" w:hAnsiTheme="minorHAnsi" w:cstheme="minorBidi"/>
                <w:noProof/>
                <w:lang w:eastAsia="en-AU"/>
              </w:rPr>
              <w:tab/>
            </w:r>
            <w:r w:rsidR="00065D6A" w:rsidRPr="00FE0C1D">
              <w:rPr>
                <w:rStyle w:val="Hyperlink"/>
                <w:noProof/>
              </w:rPr>
              <w:t>Studies providing pharmacodynamic information</w:t>
            </w:r>
            <w:r w:rsidR="00065D6A">
              <w:rPr>
                <w:noProof/>
                <w:webHidden/>
              </w:rPr>
              <w:tab/>
            </w:r>
            <w:r w:rsidR="00065D6A">
              <w:rPr>
                <w:noProof/>
                <w:webHidden/>
              </w:rPr>
              <w:fldChar w:fldCharType="begin"/>
            </w:r>
            <w:r w:rsidR="00065D6A">
              <w:rPr>
                <w:noProof/>
                <w:webHidden/>
              </w:rPr>
              <w:instrText xml:space="preserve"> PAGEREF _Toc517768416 \h </w:instrText>
            </w:r>
            <w:r w:rsidR="00065D6A">
              <w:rPr>
                <w:noProof/>
                <w:webHidden/>
              </w:rPr>
            </w:r>
            <w:r w:rsidR="00065D6A">
              <w:rPr>
                <w:noProof/>
                <w:webHidden/>
              </w:rPr>
              <w:fldChar w:fldCharType="separate"/>
            </w:r>
            <w:r w:rsidR="00065D6A">
              <w:rPr>
                <w:noProof/>
                <w:webHidden/>
              </w:rPr>
              <w:t>14</w:t>
            </w:r>
            <w:r w:rsidR="00065D6A">
              <w:rPr>
                <w:noProof/>
                <w:webHidden/>
              </w:rPr>
              <w:fldChar w:fldCharType="end"/>
            </w:r>
          </w:hyperlink>
        </w:p>
        <w:p w14:paraId="3BA1B088"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17" w:history="1">
            <w:r w:rsidR="00065D6A" w:rsidRPr="00FE0C1D">
              <w:rPr>
                <w:rStyle w:val="Hyperlink"/>
                <w:noProof/>
              </w:rPr>
              <w:t>5.2.</w:t>
            </w:r>
            <w:r w:rsidR="00065D6A">
              <w:rPr>
                <w:rFonts w:asciiTheme="minorHAnsi" w:eastAsiaTheme="minorEastAsia" w:hAnsiTheme="minorHAnsi" w:cstheme="minorBidi"/>
                <w:noProof/>
                <w:lang w:eastAsia="en-AU"/>
              </w:rPr>
              <w:tab/>
            </w:r>
            <w:r w:rsidR="00065D6A" w:rsidRPr="00FE0C1D">
              <w:rPr>
                <w:rStyle w:val="Hyperlink"/>
                <w:noProof/>
              </w:rPr>
              <w:t>Summary of pharmacodynamics</w:t>
            </w:r>
            <w:r w:rsidR="00065D6A">
              <w:rPr>
                <w:noProof/>
                <w:webHidden/>
              </w:rPr>
              <w:tab/>
            </w:r>
            <w:r w:rsidR="00065D6A">
              <w:rPr>
                <w:noProof/>
                <w:webHidden/>
              </w:rPr>
              <w:fldChar w:fldCharType="begin"/>
            </w:r>
            <w:r w:rsidR="00065D6A">
              <w:rPr>
                <w:noProof/>
                <w:webHidden/>
              </w:rPr>
              <w:instrText xml:space="preserve"> PAGEREF _Toc517768417 \h </w:instrText>
            </w:r>
            <w:r w:rsidR="00065D6A">
              <w:rPr>
                <w:noProof/>
                <w:webHidden/>
              </w:rPr>
            </w:r>
            <w:r w:rsidR="00065D6A">
              <w:rPr>
                <w:noProof/>
                <w:webHidden/>
              </w:rPr>
              <w:fldChar w:fldCharType="separate"/>
            </w:r>
            <w:r w:rsidR="00065D6A">
              <w:rPr>
                <w:noProof/>
                <w:webHidden/>
              </w:rPr>
              <w:t>14</w:t>
            </w:r>
            <w:r w:rsidR="00065D6A">
              <w:rPr>
                <w:noProof/>
                <w:webHidden/>
              </w:rPr>
              <w:fldChar w:fldCharType="end"/>
            </w:r>
          </w:hyperlink>
        </w:p>
        <w:p w14:paraId="44FE29AC"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18" w:history="1">
            <w:r w:rsidR="00065D6A" w:rsidRPr="00FE0C1D">
              <w:rPr>
                <w:rStyle w:val="Hyperlink"/>
                <w:noProof/>
              </w:rPr>
              <w:t>5.3.</w:t>
            </w:r>
            <w:r w:rsidR="00065D6A">
              <w:rPr>
                <w:rFonts w:asciiTheme="minorHAnsi" w:eastAsiaTheme="minorEastAsia" w:hAnsiTheme="minorHAnsi" w:cstheme="minorBidi"/>
                <w:noProof/>
                <w:lang w:eastAsia="en-AU"/>
              </w:rPr>
              <w:tab/>
            </w:r>
            <w:r w:rsidR="00065D6A" w:rsidRPr="00FE0C1D">
              <w:rPr>
                <w:rStyle w:val="Hyperlink"/>
                <w:noProof/>
              </w:rPr>
              <w:t>Evaluator’s overall conclusions on pharmacodynamics</w:t>
            </w:r>
            <w:r w:rsidR="00065D6A">
              <w:rPr>
                <w:noProof/>
                <w:webHidden/>
              </w:rPr>
              <w:tab/>
            </w:r>
            <w:r w:rsidR="00065D6A">
              <w:rPr>
                <w:noProof/>
                <w:webHidden/>
              </w:rPr>
              <w:fldChar w:fldCharType="begin"/>
            </w:r>
            <w:r w:rsidR="00065D6A">
              <w:rPr>
                <w:noProof/>
                <w:webHidden/>
              </w:rPr>
              <w:instrText xml:space="preserve"> PAGEREF _Toc517768418 \h </w:instrText>
            </w:r>
            <w:r w:rsidR="00065D6A">
              <w:rPr>
                <w:noProof/>
                <w:webHidden/>
              </w:rPr>
            </w:r>
            <w:r w:rsidR="00065D6A">
              <w:rPr>
                <w:noProof/>
                <w:webHidden/>
              </w:rPr>
              <w:fldChar w:fldCharType="separate"/>
            </w:r>
            <w:r w:rsidR="00065D6A">
              <w:rPr>
                <w:noProof/>
                <w:webHidden/>
              </w:rPr>
              <w:t>15</w:t>
            </w:r>
            <w:r w:rsidR="00065D6A">
              <w:rPr>
                <w:noProof/>
                <w:webHidden/>
              </w:rPr>
              <w:fldChar w:fldCharType="end"/>
            </w:r>
          </w:hyperlink>
        </w:p>
        <w:p w14:paraId="65918446"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19" w:history="1">
            <w:r w:rsidR="00065D6A" w:rsidRPr="00FE0C1D">
              <w:rPr>
                <w:rStyle w:val="Hyperlink"/>
                <w:noProof/>
              </w:rPr>
              <w:t>6.</w:t>
            </w:r>
            <w:r w:rsidR="00065D6A">
              <w:rPr>
                <w:rFonts w:asciiTheme="minorHAnsi" w:eastAsiaTheme="minorEastAsia" w:hAnsiTheme="minorHAnsi" w:cstheme="minorBidi"/>
                <w:b w:val="0"/>
                <w:noProof/>
                <w:sz w:val="22"/>
                <w:lang w:eastAsia="en-AU"/>
              </w:rPr>
              <w:tab/>
            </w:r>
            <w:r w:rsidR="00065D6A" w:rsidRPr="00FE0C1D">
              <w:rPr>
                <w:rStyle w:val="Hyperlink"/>
                <w:noProof/>
              </w:rPr>
              <w:t>Clinical efficacy</w:t>
            </w:r>
            <w:r w:rsidR="00065D6A">
              <w:rPr>
                <w:noProof/>
                <w:webHidden/>
              </w:rPr>
              <w:tab/>
            </w:r>
            <w:r w:rsidR="00065D6A">
              <w:rPr>
                <w:noProof/>
                <w:webHidden/>
              </w:rPr>
              <w:fldChar w:fldCharType="begin"/>
            </w:r>
            <w:r w:rsidR="00065D6A">
              <w:rPr>
                <w:noProof/>
                <w:webHidden/>
              </w:rPr>
              <w:instrText xml:space="preserve"> PAGEREF _Toc517768419 \h </w:instrText>
            </w:r>
            <w:r w:rsidR="00065D6A">
              <w:rPr>
                <w:noProof/>
                <w:webHidden/>
              </w:rPr>
            </w:r>
            <w:r w:rsidR="00065D6A">
              <w:rPr>
                <w:noProof/>
                <w:webHidden/>
              </w:rPr>
              <w:fldChar w:fldCharType="separate"/>
            </w:r>
            <w:r w:rsidR="00065D6A">
              <w:rPr>
                <w:noProof/>
                <w:webHidden/>
              </w:rPr>
              <w:t>15</w:t>
            </w:r>
            <w:r w:rsidR="00065D6A">
              <w:rPr>
                <w:noProof/>
                <w:webHidden/>
              </w:rPr>
              <w:fldChar w:fldCharType="end"/>
            </w:r>
          </w:hyperlink>
        </w:p>
        <w:p w14:paraId="1A8C54A3"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20" w:history="1">
            <w:r w:rsidR="00065D6A" w:rsidRPr="00FE0C1D">
              <w:rPr>
                <w:rStyle w:val="Hyperlink"/>
                <w:noProof/>
              </w:rPr>
              <w:t>6.1.</w:t>
            </w:r>
            <w:r w:rsidR="00065D6A">
              <w:rPr>
                <w:rFonts w:asciiTheme="minorHAnsi" w:eastAsiaTheme="minorEastAsia" w:hAnsiTheme="minorHAnsi" w:cstheme="minorBidi"/>
                <w:noProof/>
                <w:lang w:eastAsia="en-AU"/>
              </w:rPr>
              <w:tab/>
            </w:r>
            <w:r w:rsidR="00065D6A" w:rsidRPr="00FE0C1D">
              <w:rPr>
                <w:rStyle w:val="Hyperlink"/>
                <w:noProof/>
              </w:rPr>
              <w:t>Summary of previously submitted studies</w:t>
            </w:r>
            <w:r w:rsidR="00065D6A">
              <w:rPr>
                <w:noProof/>
                <w:webHidden/>
              </w:rPr>
              <w:tab/>
            </w:r>
            <w:r w:rsidR="00065D6A">
              <w:rPr>
                <w:noProof/>
                <w:webHidden/>
              </w:rPr>
              <w:fldChar w:fldCharType="begin"/>
            </w:r>
            <w:r w:rsidR="00065D6A">
              <w:rPr>
                <w:noProof/>
                <w:webHidden/>
              </w:rPr>
              <w:instrText xml:space="preserve"> PAGEREF _Toc517768420 \h </w:instrText>
            </w:r>
            <w:r w:rsidR="00065D6A">
              <w:rPr>
                <w:noProof/>
                <w:webHidden/>
              </w:rPr>
            </w:r>
            <w:r w:rsidR="00065D6A">
              <w:rPr>
                <w:noProof/>
                <w:webHidden/>
              </w:rPr>
              <w:fldChar w:fldCharType="separate"/>
            </w:r>
            <w:r w:rsidR="00065D6A">
              <w:rPr>
                <w:noProof/>
                <w:webHidden/>
              </w:rPr>
              <w:t>15</w:t>
            </w:r>
            <w:r w:rsidR="00065D6A">
              <w:rPr>
                <w:noProof/>
                <w:webHidden/>
              </w:rPr>
              <w:fldChar w:fldCharType="end"/>
            </w:r>
          </w:hyperlink>
        </w:p>
        <w:p w14:paraId="1497B793"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21" w:history="1">
            <w:r w:rsidR="00065D6A" w:rsidRPr="00FE0C1D">
              <w:rPr>
                <w:rStyle w:val="Hyperlink"/>
                <w:noProof/>
              </w:rPr>
              <w:t>6.2.</w:t>
            </w:r>
            <w:r w:rsidR="00065D6A">
              <w:rPr>
                <w:rFonts w:asciiTheme="minorHAnsi" w:eastAsiaTheme="minorEastAsia" w:hAnsiTheme="minorHAnsi" w:cstheme="minorBidi"/>
                <w:noProof/>
                <w:lang w:eastAsia="en-AU"/>
              </w:rPr>
              <w:tab/>
            </w:r>
            <w:r w:rsidR="00065D6A" w:rsidRPr="00FE0C1D">
              <w:rPr>
                <w:rStyle w:val="Hyperlink"/>
                <w:noProof/>
              </w:rPr>
              <w:t>Studies providing new efficacy data</w:t>
            </w:r>
            <w:r w:rsidR="00065D6A">
              <w:rPr>
                <w:noProof/>
                <w:webHidden/>
              </w:rPr>
              <w:tab/>
            </w:r>
            <w:r w:rsidR="00065D6A">
              <w:rPr>
                <w:noProof/>
                <w:webHidden/>
              </w:rPr>
              <w:fldChar w:fldCharType="begin"/>
            </w:r>
            <w:r w:rsidR="00065D6A">
              <w:rPr>
                <w:noProof/>
                <w:webHidden/>
              </w:rPr>
              <w:instrText xml:space="preserve"> PAGEREF _Toc517768421 \h </w:instrText>
            </w:r>
            <w:r w:rsidR="00065D6A">
              <w:rPr>
                <w:noProof/>
                <w:webHidden/>
              </w:rPr>
            </w:r>
            <w:r w:rsidR="00065D6A">
              <w:rPr>
                <w:noProof/>
                <w:webHidden/>
              </w:rPr>
              <w:fldChar w:fldCharType="separate"/>
            </w:r>
            <w:r w:rsidR="00065D6A">
              <w:rPr>
                <w:noProof/>
                <w:webHidden/>
              </w:rPr>
              <w:t>21</w:t>
            </w:r>
            <w:r w:rsidR="00065D6A">
              <w:rPr>
                <w:noProof/>
                <w:webHidden/>
              </w:rPr>
              <w:fldChar w:fldCharType="end"/>
            </w:r>
          </w:hyperlink>
        </w:p>
        <w:p w14:paraId="1B6A4B63"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22" w:history="1">
            <w:r w:rsidR="00065D6A" w:rsidRPr="00FE0C1D">
              <w:rPr>
                <w:rStyle w:val="Hyperlink"/>
                <w:noProof/>
              </w:rPr>
              <w:t>6.3.</w:t>
            </w:r>
            <w:r w:rsidR="00065D6A">
              <w:rPr>
                <w:rFonts w:asciiTheme="minorHAnsi" w:eastAsiaTheme="minorEastAsia" w:hAnsiTheme="minorHAnsi" w:cstheme="minorBidi"/>
                <w:noProof/>
                <w:lang w:eastAsia="en-AU"/>
              </w:rPr>
              <w:tab/>
            </w:r>
            <w:r w:rsidR="00065D6A" w:rsidRPr="00FE0C1D">
              <w:rPr>
                <w:rStyle w:val="Hyperlink"/>
                <w:noProof/>
              </w:rPr>
              <w:t>Studies with twice daily dosing of IDegAsp</w:t>
            </w:r>
            <w:r w:rsidR="00065D6A">
              <w:rPr>
                <w:noProof/>
                <w:webHidden/>
              </w:rPr>
              <w:tab/>
            </w:r>
            <w:r w:rsidR="00065D6A">
              <w:rPr>
                <w:noProof/>
                <w:webHidden/>
              </w:rPr>
              <w:fldChar w:fldCharType="begin"/>
            </w:r>
            <w:r w:rsidR="00065D6A">
              <w:rPr>
                <w:noProof/>
                <w:webHidden/>
              </w:rPr>
              <w:instrText xml:space="preserve"> PAGEREF _Toc517768422 \h </w:instrText>
            </w:r>
            <w:r w:rsidR="00065D6A">
              <w:rPr>
                <w:noProof/>
                <w:webHidden/>
              </w:rPr>
            </w:r>
            <w:r w:rsidR="00065D6A">
              <w:rPr>
                <w:noProof/>
                <w:webHidden/>
              </w:rPr>
              <w:fldChar w:fldCharType="separate"/>
            </w:r>
            <w:r w:rsidR="00065D6A">
              <w:rPr>
                <w:noProof/>
                <w:webHidden/>
              </w:rPr>
              <w:t>23</w:t>
            </w:r>
            <w:r w:rsidR="00065D6A">
              <w:rPr>
                <w:noProof/>
                <w:webHidden/>
              </w:rPr>
              <w:fldChar w:fldCharType="end"/>
            </w:r>
          </w:hyperlink>
        </w:p>
        <w:p w14:paraId="57DAC54B"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23" w:history="1">
            <w:r w:rsidR="00065D6A" w:rsidRPr="00FE0C1D">
              <w:rPr>
                <w:rStyle w:val="Hyperlink"/>
                <w:noProof/>
              </w:rPr>
              <w:t>6.4.</w:t>
            </w:r>
            <w:r w:rsidR="00065D6A">
              <w:rPr>
                <w:rFonts w:asciiTheme="minorHAnsi" w:eastAsiaTheme="minorEastAsia" w:hAnsiTheme="minorHAnsi" w:cstheme="minorBidi"/>
                <w:noProof/>
                <w:lang w:eastAsia="en-AU"/>
              </w:rPr>
              <w:tab/>
            </w:r>
            <w:r w:rsidR="00065D6A" w:rsidRPr="00FE0C1D">
              <w:rPr>
                <w:rStyle w:val="Hyperlink"/>
                <w:noProof/>
              </w:rPr>
              <w:t>Evaluator’s conclusions on clinical efficacy</w:t>
            </w:r>
            <w:r w:rsidR="00065D6A">
              <w:rPr>
                <w:noProof/>
                <w:webHidden/>
              </w:rPr>
              <w:tab/>
            </w:r>
            <w:r w:rsidR="00065D6A">
              <w:rPr>
                <w:noProof/>
                <w:webHidden/>
              </w:rPr>
              <w:fldChar w:fldCharType="begin"/>
            </w:r>
            <w:r w:rsidR="00065D6A">
              <w:rPr>
                <w:noProof/>
                <w:webHidden/>
              </w:rPr>
              <w:instrText xml:space="preserve"> PAGEREF _Toc517768423 \h </w:instrText>
            </w:r>
            <w:r w:rsidR="00065D6A">
              <w:rPr>
                <w:noProof/>
                <w:webHidden/>
              </w:rPr>
            </w:r>
            <w:r w:rsidR="00065D6A">
              <w:rPr>
                <w:noProof/>
                <w:webHidden/>
              </w:rPr>
              <w:fldChar w:fldCharType="separate"/>
            </w:r>
            <w:r w:rsidR="00065D6A">
              <w:rPr>
                <w:noProof/>
                <w:webHidden/>
              </w:rPr>
              <w:t>25</w:t>
            </w:r>
            <w:r w:rsidR="00065D6A">
              <w:rPr>
                <w:noProof/>
                <w:webHidden/>
              </w:rPr>
              <w:fldChar w:fldCharType="end"/>
            </w:r>
          </w:hyperlink>
        </w:p>
        <w:p w14:paraId="7ECFAE27"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24" w:history="1">
            <w:r w:rsidR="00065D6A" w:rsidRPr="00FE0C1D">
              <w:rPr>
                <w:rStyle w:val="Hyperlink"/>
                <w:noProof/>
              </w:rPr>
              <w:t>7.</w:t>
            </w:r>
            <w:r w:rsidR="00065D6A">
              <w:rPr>
                <w:rFonts w:asciiTheme="minorHAnsi" w:eastAsiaTheme="minorEastAsia" w:hAnsiTheme="minorHAnsi" w:cstheme="minorBidi"/>
                <w:b w:val="0"/>
                <w:noProof/>
                <w:sz w:val="22"/>
                <w:lang w:eastAsia="en-AU"/>
              </w:rPr>
              <w:tab/>
            </w:r>
            <w:r w:rsidR="00065D6A" w:rsidRPr="00FE0C1D">
              <w:rPr>
                <w:rStyle w:val="Hyperlink"/>
                <w:noProof/>
              </w:rPr>
              <w:t>Clinical safety</w:t>
            </w:r>
            <w:r w:rsidR="00065D6A">
              <w:rPr>
                <w:noProof/>
                <w:webHidden/>
              </w:rPr>
              <w:tab/>
            </w:r>
            <w:r w:rsidR="00065D6A">
              <w:rPr>
                <w:noProof/>
                <w:webHidden/>
              </w:rPr>
              <w:fldChar w:fldCharType="begin"/>
            </w:r>
            <w:r w:rsidR="00065D6A">
              <w:rPr>
                <w:noProof/>
                <w:webHidden/>
              </w:rPr>
              <w:instrText xml:space="preserve"> PAGEREF _Toc517768424 \h </w:instrText>
            </w:r>
            <w:r w:rsidR="00065D6A">
              <w:rPr>
                <w:noProof/>
                <w:webHidden/>
              </w:rPr>
            </w:r>
            <w:r w:rsidR="00065D6A">
              <w:rPr>
                <w:noProof/>
                <w:webHidden/>
              </w:rPr>
              <w:fldChar w:fldCharType="separate"/>
            </w:r>
            <w:r w:rsidR="00065D6A">
              <w:rPr>
                <w:noProof/>
                <w:webHidden/>
              </w:rPr>
              <w:t>26</w:t>
            </w:r>
            <w:r w:rsidR="00065D6A">
              <w:rPr>
                <w:noProof/>
                <w:webHidden/>
              </w:rPr>
              <w:fldChar w:fldCharType="end"/>
            </w:r>
          </w:hyperlink>
        </w:p>
        <w:p w14:paraId="0058FB31"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25" w:history="1">
            <w:r w:rsidR="00065D6A" w:rsidRPr="00FE0C1D">
              <w:rPr>
                <w:rStyle w:val="Hyperlink"/>
                <w:noProof/>
              </w:rPr>
              <w:t>7.1.</w:t>
            </w:r>
            <w:r w:rsidR="00065D6A">
              <w:rPr>
                <w:rFonts w:asciiTheme="minorHAnsi" w:eastAsiaTheme="minorEastAsia" w:hAnsiTheme="minorHAnsi" w:cstheme="minorBidi"/>
                <w:noProof/>
                <w:lang w:eastAsia="en-AU"/>
              </w:rPr>
              <w:tab/>
            </w:r>
            <w:r w:rsidR="00065D6A" w:rsidRPr="00FE0C1D">
              <w:rPr>
                <w:rStyle w:val="Hyperlink"/>
                <w:noProof/>
              </w:rPr>
              <w:t>Studies providing evaluable safety data</w:t>
            </w:r>
            <w:r w:rsidR="00065D6A">
              <w:rPr>
                <w:noProof/>
                <w:webHidden/>
              </w:rPr>
              <w:tab/>
            </w:r>
            <w:r w:rsidR="00065D6A">
              <w:rPr>
                <w:noProof/>
                <w:webHidden/>
              </w:rPr>
              <w:fldChar w:fldCharType="begin"/>
            </w:r>
            <w:r w:rsidR="00065D6A">
              <w:rPr>
                <w:noProof/>
                <w:webHidden/>
              </w:rPr>
              <w:instrText xml:space="preserve"> PAGEREF _Toc517768425 \h </w:instrText>
            </w:r>
            <w:r w:rsidR="00065D6A">
              <w:rPr>
                <w:noProof/>
                <w:webHidden/>
              </w:rPr>
            </w:r>
            <w:r w:rsidR="00065D6A">
              <w:rPr>
                <w:noProof/>
                <w:webHidden/>
              </w:rPr>
              <w:fldChar w:fldCharType="separate"/>
            </w:r>
            <w:r w:rsidR="00065D6A">
              <w:rPr>
                <w:noProof/>
                <w:webHidden/>
              </w:rPr>
              <w:t>27</w:t>
            </w:r>
            <w:r w:rsidR="00065D6A">
              <w:rPr>
                <w:noProof/>
                <w:webHidden/>
              </w:rPr>
              <w:fldChar w:fldCharType="end"/>
            </w:r>
          </w:hyperlink>
        </w:p>
        <w:p w14:paraId="70A9455D"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26" w:history="1">
            <w:r w:rsidR="00065D6A" w:rsidRPr="00FE0C1D">
              <w:rPr>
                <w:rStyle w:val="Hyperlink"/>
                <w:noProof/>
              </w:rPr>
              <w:t>7.2.</w:t>
            </w:r>
            <w:r w:rsidR="00065D6A">
              <w:rPr>
                <w:rFonts w:asciiTheme="minorHAnsi" w:eastAsiaTheme="minorEastAsia" w:hAnsiTheme="minorHAnsi" w:cstheme="minorBidi"/>
                <w:noProof/>
                <w:lang w:eastAsia="en-AU"/>
              </w:rPr>
              <w:tab/>
            </w:r>
            <w:r w:rsidR="00065D6A" w:rsidRPr="00FE0C1D">
              <w:rPr>
                <w:rStyle w:val="Hyperlink"/>
                <w:noProof/>
              </w:rPr>
              <w:t>Studies that assessed safety as the sole primary outcome</w:t>
            </w:r>
            <w:r w:rsidR="00065D6A">
              <w:rPr>
                <w:noProof/>
                <w:webHidden/>
              </w:rPr>
              <w:tab/>
            </w:r>
            <w:r w:rsidR="00065D6A">
              <w:rPr>
                <w:noProof/>
                <w:webHidden/>
              </w:rPr>
              <w:fldChar w:fldCharType="begin"/>
            </w:r>
            <w:r w:rsidR="00065D6A">
              <w:rPr>
                <w:noProof/>
                <w:webHidden/>
              </w:rPr>
              <w:instrText xml:space="preserve"> PAGEREF _Toc517768426 \h </w:instrText>
            </w:r>
            <w:r w:rsidR="00065D6A">
              <w:rPr>
                <w:noProof/>
                <w:webHidden/>
              </w:rPr>
            </w:r>
            <w:r w:rsidR="00065D6A">
              <w:rPr>
                <w:noProof/>
                <w:webHidden/>
              </w:rPr>
              <w:fldChar w:fldCharType="separate"/>
            </w:r>
            <w:r w:rsidR="00065D6A">
              <w:rPr>
                <w:noProof/>
                <w:webHidden/>
              </w:rPr>
              <w:t>29</w:t>
            </w:r>
            <w:r w:rsidR="00065D6A">
              <w:rPr>
                <w:noProof/>
                <w:webHidden/>
              </w:rPr>
              <w:fldChar w:fldCharType="end"/>
            </w:r>
          </w:hyperlink>
        </w:p>
        <w:p w14:paraId="28D6F454"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27" w:history="1">
            <w:r w:rsidR="00065D6A" w:rsidRPr="00FE0C1D">
              <w:rPr>
                <w:rStyle w:val="Hyperlink"/>
                <w:noProof/>
              </w:rPr>
              <w:t>7.3.</w:t>
            </w:r>
            <w:r w:rsidR="00065D6A">
              <w:rPr>
                <w:rFonts w:asciiTheme="minorHAnsi" w:eastAsiaTheme="minorEastAsia" w:hAnsiTheme="minorHAnsi" w:cstheme="minorBidi"/>
                <w:noProof/>
                <w:lang w:eastAsia="en-AU"/>
              </w:rPr>
              <w:tab/>
            </w:r>
            <w:r w:rsidR="00065D6A" w:rsidRPr="00FE0C1D">
              <w:rPr>
                <w:rStyle w:val="Hyperlink"/>
                <w:noProof/>
              </w:rPr>
              <w:t>Patient exposure (integrated data)</w:t>
            </w:r>
            <w:r w:rsidR="00065D6A">
              <w:rPr>
                <w:noProof/>
                <w:webHidden/>
              </w:rPr>
              <w:tab/>
            </w:r>
            <w:r w:rsidR="00065D6A">
              <w:rPr>
                <w:noProof/>
                <w:webHidden/>
              </w:rPr>
              <w:fldChar w:fldCharType="begin"/>
            </w:r>
            <w:r w:rsidR="00065D6A">
              <w:rPr>
                <w:noProof/>
                <w:webHidden/>
              </w:rPr>
              <w:instrText xml:space="preserve"> PAGEREF _Toc517768427 \h </w:instrText>
            </w:r>
            <w:r w:rsidR="00065D6A">
              <w:rPr>
                <w:noProof/>
                <w:webHidden/>
              </w:rPr>
            </w:r>
            <w:r w:rsidR="00065D6A">
              <w:rPr>
                <w:noProof/>
                <w:webHidden/>
              </w:rPr>
              <w:fldChar w:fldCharType="separate"/>
            </w:r>
            <w:r w:rsidR="00065D6A">
              <w:rPr>
                <w:noProof/>
                <w:webHidden/>
              </w:rPr>
              <w:t>31</w:t>
            </w:r>
            <w:r w:rsidR="00065D6A">
              <w:rPr>
                <w:noProof/>
                <w:webHidden/>
              </w:rPr>
              <w:fldChar w:fldCharType="end"/>
            </w:r>
          </w:hyperlink>
        </w:p>
        <w:p w14:paraId="5967FFD3"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28" w:history="1">
            <w:r w:rsidR="00065D6A" w:rsidRPr="00FE0C1D">
              <w:rPr>
                <w:rStyle w:val="Hyperlink"/>
                <w:noProof/>
              </w:rPr>
              <w:t>7.4.</w:t>
            </w:r>
            <w:r w:rsidR="00065D6A">
              <w:rPr>
                <w:rFonts w:asciiTheme="minorHAnsi" w:eastAsiaTheme="minorEastAsia" w:hAnsiTheme="minorHAnsi" w:cstheme="minorBidi"/>
                <w:noProof/>
                <w:lang w:eastAsia="en-AU"/>
              </w:rPr>
              <w:tab/>
            </w:r>
            <w:r w:rsidR="00065D6A" w:rsidRPr="00FE0C1D">
              <w:rPr>
                <w:rStyle w:val="Hyperlink"/>
                <w:noProof/>
              </w:rPr>
              <w:t>Adverse events (integrated data)</w:t>
            </w:r>
            <w:r w:rsidR="00065D6A">
              <w:rPr>
                <w:noProof/>
                <w:webHidden/>
              </w:rPr>
              <w:tab/>
            </w:r>
            <w:r w:rsidR="00065D6A">
              <w:rPr>
                <w:noProof/>
                <w:webHidden/>
              </w:rPr>
              <w:fldChar w:fldCharType="begin"/>
            </w:r>
            <w:r w:rsidR="00065D6A">
              <w:rPr>
                <w:noProof/>
                <w:webHidden/>
              </w:rPr>
              <w:instrText xml:space="preserve"> PAGEREF _Toc517768428 \h </w:instrText>
            </w:r>
            <w:r w:rsidR="00065D6A">
              <w:rPr>
                <w:noProof/>
                <w:webHidden/>
              </w:rPr>
            </w:r>
            <w:r w:rsidR="00065D6A">
              <w:rPr>
                <w:noProof/>
                <w:webHidden/>
              </w:rPr>
              <w:fldChar w:fldCharType="separate"/>
            </w:r>
            <w:r w:rsidR="00065D6A">
              <w:rPr>
                <w:noProof/>
                <w:webHidden/>
              </w:rPr>
              <w:t>34</w:t>
            </w:r>
            <w:r w:rsidR="00065D6A">
              <w:rPr>
                <w:noProof/>
                <w:webHidden/>
              </w:rPr>
              <w:fldChar w:fldCharType="end"/>
            </w:r>
          </w:hyperlink>
        </w:p>
        <w:p w14:paraId="05CE1C2B"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29" w:history="1">
            <w:r w:rsidR="00065D6A" w:rsidRPr="00FE0C1D">
              <w:rPr>
                <w:rStyle w:val="Hyperlink"/>
                <w:noProof/>
              </w:rPr>
              <w:t>7.5.</w:t>
            </w:r>
            <w:r w:rsidR="00065D6A">
              <w:rPr>
                <w:rFonts w:asciiTheme="minorHAnsi" w:eastAsiaTheme="minorEastAsia" w:hAnsiTheme="minorHAnsi" w:cstheme="minorBidi"/>
                <w:noProof/>
                <w:lang w:eastAsia="en-AU"/>
              </w:rPr>
              <w:tab/>
            </w:r>
            <w:r w:rsidR="00065D6A" w:rsidRPr="00FE0C1D">
              <w:rPr>
                <w:rStyle w:val="Hyperlink"/>
                <w:noProof/>
              </w:rPr>
              <w:t>Evaluation of issues with possible regulatory impact</w:t>
            </w:r>
            <w:r w:rsidR="00065D6A">
              <w:rPr>
                <w:noProof/>
                <w:webHidden/>
              </w:rPr>
              <w:tab/>
            </w:r>
            <w:r w:rsidR="00065D6A">
              <w:rPr>
                <w:noProof/>
                <w:webHidden/>
              </w:rPr>
              <w:fldChar w:fldCharType="begin"/>
            </w:r>
            <w:r w:rsidR="00065D6A">
              <w:rPr>
                <w:noProof/>
                <w:webHidden/>
              </w:rPr>
              <w:instrText xml:space="preserve"> PAGEREF _Toc517768429 \h </w:instrText>
            </w:r>
            <w:r w:rsidR="00065D6A">
              <w:rPr>
                <w:noProof/>
                <w:webHidden/>
              </w:rPr>
            </w:r>
            <w:r w:rsidR="00065D6A">
              <w:rPr>
                <w:noProof/>
                <w:webHidden/>
              </w:rPr>
              <w:fldChar w:fldCharType="separate"/>
            </w:r>
            <w:r w:rsidR="00065D6A">
              <w:rPr>
                <w:noProof/>
                <w:webHidden/>
              </w:rPr>
              <w:t>39</w:t>
            </w:r>
            <w:r w:rsidR="00065D6A">
              <w:rPr>
                <w:noProof/>
                <w:webHidden/>
              </w:rPr>
              <w:fldChar w:fldCharType="end"/>
            </w:r>
          </w:hyperlink>
        </w:p>
        <w:p w14:paraId="4F1B6148"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30" w:history="1">
            <w:r w:rsidR="00065D6A" w:rsidRPr="00FE0C1D">
              <w:rPr>
                <w:rStyle w:val="Hyperlink"/>
                <w:noProof/>
              </w:rPr>
              <w:t>7.6.</w:t>
            </w:r>
            <w:r w:rsidR="00065D6A">
              <w:rPr>
                <w:rFonts w:asciiTheme="minorHAnsi" w:eastAsiaTheme="minorEastAsia" w:hAnsiTheme="minorHAnsi" w:cstheme="minorBidi"/>
                <w:noProof/>
                <w:lang w:eastAsia="en-AU"/>
              </w:rPr>
              <w:tab/>
            </w:r>
            <w:r w:rsidR="00065D6A" w:rsidRPr="00FE0C1D">
              <w:rPr>
                <w:rStyle w:val="Hyperlink"/>
                <w:noProof/>
              </w:rPr>
              <w:t>Other safety issues</w:t>
            </w:r>
            <w:r w:rsidR="00065D6A">
              <w:rPr>
                <w:noProof/>
                <w:webHidden/>
              </w:rPr>
              <w:tab/>
            </w:r>
            <w:r w:rsidR="00065D6A">
              <w:rPr>
                <w:noProof/>
                <w:webHidden/>
              </w:rPr>
              <w:fldChar w:fldCharType="begin"/>
            </w:r>
            <w:r w:rsidR="00065D6A">
              <w:rPr>
                <w:noProof/>
                <w:webHidden/>
              </w:rPr>
              <w:instrText xml:space="preserve"> PAGEREF _Toc517768430 \h </w:instrText>
            </w:r>
            <w:r w:rsidR="00065D6A">
              <w:rPr>
                <w:noProof/>
                <w:webHidden/>
              </w:rPr>
            </w:r>
            <w:r w:rsidR="00065D6A">
              <w:rPr>
                <w:noProof/>
                <w:webHidden/>
              </w:rPr>
              <w:fldChar w:fldCharType="separate"/>
            </w:r>
            <w:r w:rsidR="00065D6A">
              <w:rPr>
                <w:noProof/>
                <w:webHidden/>
              </w:rPr>
              <w:t>43</w:t>
            </w:r>
            <w:r w:rsidR="00065D6A">
              <w:rPr>
                <w:noProof/>
                <w:webHidden/>
              </w:rPr>
              <w:fldChar w:fldCharType="end"/>
            </w:r>
          </w:hyperlink>
        </w:p>
        <w:p w14:paraId="686FE1D1"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31" w:history="1">
            <w:r w:rsidR="00065D6A" w:rsidRPr="00FE0C1D">
              <w:rPr>
                <w:rStyle w:val="Hyperlink"/>
                <w:noProof/>
              </w:rPr>
              <w:t>7.7.</w:t>
            </w:r>
            <w:r w:rsidR="00065D6A">
              <w:rPr>
                <w:rFonts w:asciiTheme="minorHAnsi" w:eastAsiaTheme="minorEastAsia" w:hAnsiTheme="minorHAnsi" w:cstheme="minorBidi"/>
                <w:noProof/>
                <w:lang w:eastAsia="en-AU"/>
              </w:rPr>
              <w:tab/>
            </w:r>
            <w:r w:rsidR="00065D6A" w:rsidRPr="00FE0C1D">
              <w:rPr>
                <w:rStyle w:val="Hyperlink"/>
                <w:noProof/>
              </w:rPr>
              <w:t>Post marketing experience</w:t>
            </w:r>
            <w:r w:rsidR="00065D6A">
              <w:rPr>
                <w:noProof/>
                <w:webHidden/>
              </w:rPr>
              <w:tab/>
            </w:r>
            <w:r w:rsidR="00065D6A">
              <w:rPr>
                <w:noProof/>
                <w:webHidden/>
              </w:rPr>
              <w:fldChar w:fldCharType="begin"/>
            </w:r>
            <w:r w:rsidR="00065D6A">
              <w:rPr>
                <w:noProof/>
                <w:webHidden/>
              </w:rPr>
              <w:instrText xml:space="preserve"> PAGEREF _Toc517768431 \h </w:instrText>
            </w:r>
            <w:r w:rsidR="00065D6A">
              <w:rPr>
                <w:noProof/>
                <w:webHidden/>
              </w:rPr>
            </w:r>
            <w:r w:rsidR="00065D6A">
              <w:rPr>
                <w:noProof/>
                <w:webHidden/>
              </w:rPr>
              <w:fldChar w:fldCharType="separate"/>
            </w:r>
            <w:r w:rsidR="00065D6A">
              <w:rPr>
                <w:noProof/>
                <w:webHidden/>
              </w:rPr>
              <w:t>44</w:t>
            </w:r>
            <w:r w:rsidR="00065D6A">
              <w:rPr>
                <w:noProof/>
                <w:webHidden/>
              </w:rPr>
              <w:fldChar w:fldCharType="end"/>
            </w:r>
          </w:hyperlink>
        </w:p>
        <w:p w14:paraId="273706E3"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32" w:history="1">
            <w:r w:rsidR="00065D6A" w:rsidRPr="00FE0C1D">
              <w:rPr>
                <w:rStyle w:val="Hyperlink"/>
                <w:noProof/>
              </w:rPr>
              <w:t>7.8.</w:t>
            </w:r>
            <w:r w:rsidR="00065D6A">
              <w:rPr>
                <w:rFonts w:asciiTheme="minorHAnsi" w:eastAsiaTheme="minorEastAsia" w:hAnsiTheme="minorHAnsi" w:cstheme="minorBidi"/>
                <w:noProof/>
                <w:lang w:eastAsia="en-AU"/>
              </w:rPr>
              <w:tab/>
            </w:r>
            <w:r w:rsidR="00065D6A" w:rsidRPr="00FE0C1D">
              <w:rPr>
                <w:rStyle w:val="Hyperlink"/>
                <w:noProof/>
              </w:rPr>
              <w:t>Evaluator’s overall conclusions on clinical safety</w:t>
            </w:r>
            <w:r w:rsidR="00065D6A">
              <w:rPr>
                <w:noProof/>
                <w:webHidden/>
              </w:rPr>
              <w:tab/>
            </w:r>
            <w:r w:rsidR="00065D6A">
              <w:rPr>
                <w:noProof/>
                <w:webHidden/>
              </w:rPr>
              <w:fldChar w:fldCharType="begin"/>
            </w:r>
            <w:r w:rsidR="00065D6A">
              <w:rPr>
                <w:noProof/>
                <w:webHidden/>
              </w:rPr>
              <w:instrText xml:space="preserve"> PAGEREF _Toc517768432 \h </w:instrText>
            </w:r>
            <w:r w:rsidR="00065D6A">
              <w:rPr>
                <w:noProof/>
                <w:webHidden/>
              </w:rPr>
            </w:r>
            <w:r w:rsidR="00065D6A">
              <w:rPr>
                <w:noProof/>
                <w:webHidden/>
              </w:rPr>
              <w:fldChar w:fldCharType="separate"/>
            </w:r>
            <w:r w:rsidR="00065D6A">
              <w:rPr>
                <w:noProof/>
                <w:webHidden/>
              </w:rPr>
              <w:t>48</w:t>
            </w:r>
            <w:r w:rsidR="00065D6A">
              <w:rPr>
                <w:noProof/>
                <w:webHidden/>
              </w:rPr>
              <w:fldChar w:fldCharType="end"/>
            </w:r>
          </w:hyperlink>
        </w:p>
        <w:p w14:paraId="051004E4"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33" w:history="1">
            <w:r w:rsidR="00065D6A" w:rsidRPr="00FE0C1D">
              <w:rPr>
                <w:rStyle w:val="Hyperlink"/>
                <w:noProof/>
              </w:rPr>
              <w:t>8.</w:t>
            </w:r>
            <w:r w:rsidR="00065D6A">
              <w:rPr>
                <w:rFonts w:asciiTheme="minorHAnsi" w:eastAsiaTheme="minorEastAsia" w:hAnsiTheme="minorHAnsi" w:cstheme="minorBidi"/>
                <w:b w:val="0"/>
                <w:noProof/>
                <w:sz w:val="22"/>
                <w:lang w:eastAsia="en-AU"/>
              </w:rPr>
              <w:tab/>
            </w:r>
            <w:r w:rsidR="00065D6A" w:rsidRPr="00FE0C1D">
              <w:rPr>
                <w:rStyle w:val="Hyperlink"/>
                <w:noProof/>
              </w:rPr>
              <w:t>First round benefit-risk assessment</w:t>
            </w:r>
            <w:r w:rsidR="00065D6A">
              <w:rPr>
                <w:noProof/>
                <w:webHidden/>
              </w:rPr>
              <w:tab/>
            </w:r>
            <w:r w:rsidR="00065D6A">
              <w:rPr>
                <w:noProof/>
                <w:webHidden/>
              </w:rPr>
              <w:fldChar w:fldCharType="begin"/>
            </w:r>
            <w:r w:rsidR="00065D6A">
              <w:rPr>
                <w:noProof/>
                <w:webHidden/>
              </w:rPr>
              <w:instrText xml:space="preserve"> PAGEREF _Toc517768433 \h </w:instrText>
            </w:r>
            <w:r w:rsidR="00065D6A">
              <w:rPr>
                <w:noProof/>
                <w:webHidden/>
              </w:rPr>
            </w:r>
            <w:r w:rsidR="00065D6A">
              <w:rPr>
                <w:noProof/>
                <w:webHidden/>
              </w:rPr>
              <w:fldChar w:fldCharType="separate"/>
            </w:r>
            <w:r w:rsidR="00065D6A">
              <w:rPr>
                <w:noProof/>
                <w:webHidden/>
              </w:rPr>
              <w:t>50</w:t>
            </w:r>
            <w:r w:rsidR="00065D6A">
              <w:rPr>
                <w:noProof/>
                <w:webHidden/>
              </w:rPr>
              <w:fldChar w:fldCharType="end"/>
            </w:r>
          </w:hyperlink>
        </w:p>
        <w:p w14:paraId="52984ACF"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34" w:history="1">
            <w:r w:rsidR="00065D6A" w:rsidRPr="00FE0C1D">
              <w:rPr>
                <w:rStyle w:val="Hyperlink"/>
                <w:noProof/>
              </w:rPr>
              <w:t>8.1.</w:t>
            </w:r>
            <w:r w:rsidR="00065D6A">
              <w:rPr>
                <w:rFonts w:asciiTheme="minorHAnsi" w:eastAsiaTheme="minorEastAsia" w:hAnsiTheme="minorHAnsi" w:cstheme="minorBidi"/>
                <w:noProof/>
                <w:lang w:eastAsia="en-AU"/>
              </w:rPr>
              <w:tab/>
            </w:r>
            <w:r w:rsidR="00065D6A" w:rsidRPr="00FE0C1D">
              <w:rPr>
                <w:rStyle w:val="Hyperlink"/>
                <w:noProof/>
              </w:rPr>
              <w:t>First round assessment of benefits</w:t>
            </w:r>
            <w:r w:rsidR="00065D6A">
              <w:rPr>
                <w:noProof/>
                <w:webHidden/>
              </w:rPr>
              <w:tab/>
            </w:r>
            <w:r w:rsidR="00065D6A">
              <w:rPr>
                <w:noProof/>
                <w:webHidden/>
              </w:rPr>
              <w:fldChar w:fldCharType="begin"/>
            </w:r>
            <w:r w:rsidR="00065D6A">
              <w:rPr>
                <w:noProof/>
                <w:webHidden/>
              </w:rPr>
              <w:instrText xml:space="preserve"> PAGEREF _Toc517768434 \h </w:instrText>
            </w:r>
            <w:r w:rsidR="00065D6A">
              <w:rPr>
                <w:noProof/>
                <w:webHidden/>
              </w:rPr>
            </w:r>
            <w:r w:rsidR="00065D6A">
              <w:rPr>
                <w:noProof/>
                <w:webHidden/>
              </w:rPr>
              <w:fldChar w:fldCharType="separate"/>
            </w:r>
            <w:r w:rsidR="00065D6A">
              <w:rPr>
                <w:noProof/>
                <w:webHidden/>
              </w:rPr>
              <w:t>50</w:t>
            </w:r>
            <w:r w:rsidR="00065D6A">
              <w:rPr>
                <w:noProof/>
                <w:webHidden/>
              </w:rPr>
              <w:fldChar w:fldCharType="end"/>
            </w:r>
          </w:hyperlink>
        </w:p>
        <w:p w14:paraId="377AD8F1"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35" w:history="1">
            <w:r w:rsidR="00065D6A" w:rsidRPr="00FE0C1D">
              <w:rPr>
                <w:rStyle w:val="Hyperlink"/>
                <w:noProof/>
              </w:rPr>
              <w:t>8.2.</w:t>
            </w:r>
            <w:r w:rsidR="00065D6A">
              <w:rPr>
                <w:rFonts w:asciiTheme="minorHAnsi" w:eastAsiaTheme="minorEastAsia" w:hAnsiTheme="minorHAnsi" w:cstheme="minorBidi"/>
                <w:noProof/>
                <w:lang w:eastAsia="en-AU"/>
              </w:rPr>
              <w:tab/>
            </w:r>
            <w:r w:rsidR="00065D6A" w:rsidRPr="00FE0C1D">
              <w:rPr>
                <w:rStyle w:val="Hyperlink"/>
                <w:noProof/>
              </w:rPr>
              <w:t>First round assessment of risks</w:t>
            </w:r>
            <w:r w:rsidR="00065D6A">
              <w:rPr>
                <w:noProof/>
                <w:webHidden/>
              </w:rPr>
              <w:tab/>
            </w:r>
            <w:r w:rsidR="00065D6A">
              <w:rPr>
                <w:noProof/>
                <w:webHidden/>
              </w:rPr>
              <w:fldChar w:fldCharType="begin"/>
            </w:r>
            <w:r w:rsidR="00065D6A">
              <w:rPr>
                <w:noProof/>
                <w:webHidden/>
              </w:rPr>
              <w:instrText xml:space="preserve"> PAGEREF _Toc517768435 \h </w:instrText>
            </w:r>
            <w:r w:rsidR="00065D6A">
              <w:rPr>
                <w:noProof/>
                <w:webHidden/>
              </w:rPr>
            </w:r>
            <w:r w:rsidR="00065D6A">
              <w:rPr>
                <w:noProof/>
                <w:webHidden/>
              </w:rPr>
              <w:fldChar w:fldCharType="separate"/>
            </w:r>
            <w:r w:rsidR="00065D6A">
              <w:rPr>
                <w:noProof/>
                <w:webHidden/>
              </w:rPr>
              <w:t>50</w:t>
            </w:r>
            <w:r w:rsidR="00065D6A">
              <w:rPr>
                <w:noProof/>
                <w:webHidden/>
              </w:rPr>
              <w:fldChar w:fldCharType="end"/>
            </w:r>
          </w:hyperlink>
        </w:p>
        <w:p w14:paraId="7EE1650C" w14:textId="77777777" w:rsidR="00065D6A" w:rsidRDefault="005553B7">
          <w:pPr>
            <w:pStyle w:val="TOC3"/>
            <w:tabs>
              <w:tab w:val="left" w:pos="1575"/>
            </w:tabs>
            <w:rPr>
              <w:rFonts w:asciiTheme="minorHAnsi" w:eastAsiaTheme="minorEastAsia" w:hAnsiTheme="minorHAnsi" w:cstheme="minorBidi"/>
              <w:noProof/>
              <w:lang w:eastAsia="en-AU"/>
            </w:rPr>
          </w:pPr>
          <w:hyperlink w:anchor="_Toc517768436" w:history="1">
            <w:r w:rsidR="00065D6A" w:rsidRPr="00FE0C1D">
              <w:rPr>
                <w:rStyle w:val="Hyperlink"/>
                <w:noProof/>
              </w:rPr>
              <w:t>8.3.</w:t>
            </w:r>
            <w:r w:rsidR="00065D6A">
              <w:rPr>
                <w:rFonts w:asciiTheme="minorHAnsi" w:eastAsiaTheme="minorEastAsia" w:hAnsiTheme="minorHAnsi" w:cstheme="minorBidi"/>
                <w:noProof/>
                <w:lang w:eastAsia="en-AU"/>
              </w:rPr>
              <w:tab/>
            </w:r>
            <w:r w:rsidR="00065D6A" w:rsidRPr="00FE0C1D">
              <w:rPr>
                <w:rStyle w:val="Hyperlink"/>
                <w:noProof/>
              </w:rPr>
              <w:t>First round assessment of benefit-risk balance</w:t>
            </w:r>
            <w:r w:rsidR="00065D6A">
              <w:rPr>
                <w:noProof/>
                <w:webHidden/>
              </w:rPr>
              <w:tab/>
            </w:r>
            <w:r w:rsidR="00065D6A">
              <w:rPr>
                <w:noProof/>
                <w:webHidden/>
              </w:rPr>
              <w:fldChar w:fldCharType="begin"/>
            </w:r>
            <w:r w:rsidR="00065D6A">
              <w:rPr>
                <w:noProof/>
                <w:webHidden/>
              </w:rPr>
              <w:instrText xml:space="preserve"> PAGEREF _Toc517768436 \h </w:instrText>
            </w:r>
            <w:r w:rsidR="00065D6A">
              <w:rPr>
                <w:noProof/>
                <w:webHidden/>
              </w:rPr>
            </w:r>
            <w:r w:rsidR="00065D6A">
              <w:rPr>
                <w:noProof/>
                <w:webHidden/>
              </w:rPr>
              <w:fldChar w:fldCharType="separate"/>
            </w:r>
            <w:r w:rsidR="00065D6A">
              <w:rPr>
                <w:noProof/>
                <w:webHidden/>
              </w:rPr>
              <w:t>52</w:t>
            </w:r>
            <w:r w:rsidR="00065D6A">
              <w:rPr>
                <w:noProof/>
                <w:webHidden/>
              </w:rPr>
              <w:fldChar w:fldCharType="end"/>
            </w:r>
          </w:hyperlink>
        </w:p>
        <w:p w14:paraId="27EE72D9"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37" w:history="1">
            <w:r w:rsidR="00065D6A" w:rsidRPr="00FE0C1D">
              <w:rPr>
                <w:rStyle w:val="Hyperlink"/>
                <w:noProof/>
              </w:rPr>
              <w:t>9.</w:t>
            </w:r>
            <w:r w:rsidR="00065D6A">
              <w:rPr>
                <w:rFonts w:asciiTheme="minorHAnsi" w:eastAsiaTheme="minorEastAsia" w:hAnsiTheme="minorHAnsi" w:cstheme="minorBidi"/>
                <w:b w:val="0"/>
                <w:noProof/>
                <w:sz w:val="22"/>
                <w:lang w:eastAsia="en-AU"/>
              </w:rPr>
              <w:tab/>
            </w:r>
            <w:r w:rsidR="00065D6A" w:rsidRPr="00FE0C1D">
              <w:rPr>
                <w:rStyle w:val="Hyperlink"/>
                <w:noProof/>
              </w:rPr>
              <w:t>First round recommendation regarding authorisation</w:t>
            </w:r>
            <w:r w:rsidR="00065D6A">
              <w:rPr>
                <w:noProof/>
                <w:webHidden/>
              </w:rPr>
              <w:tab/>
            </w:r>
            <w:r w:rsidR="00065D6A">
              <w:rPr>
                <w:noProof/>
                <w:webHidden/>
              </w:rPr>
              <w:fldChar w:fldCharType="begin"/>
            </w:r>
            <w:r w:rsidR="00065D6A">
              <w:rPr>
                <w:noProof/>
                <w:webHidden/>
              </w:rPr>
              <w:instrText xml:space="preserve"> PAGEREF _Toc517768437 \h </w:instrText>
            </w:r>
            <w:r w:rsidR="00065D6A">
              <w:rPr>
                <w:noProof/>
                <w:webHidden/>
              </w:rPr>
            </w:r>
            <w:r w:rsidR="00065D6A">
              <w:rPr>
                <w:noProof/>
                <w:webHidden/>
              </w:rPr>
              <w:fldChar w:fldCharType="separate"/>
            </w:r>
            <w:r w:rsidR="00065D6A">
              <w:rPr>
                <w:noProof/>
                <w:webHidden/>
              </w:rPr>
              <w:t>52</w:t>
            </w:r>
            <w:r w:rsidR="00065D6A">
              <w:rPr>
                <w:noProof/>
                <w:webHidden/>
              </w:rPr>
              <w:fldChar w:fldCharType="end"/>
            </w:r>
          </w:hyperlink>
        </w:p>
        <w:p w14:paraId="01B8C17B"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38" w:history="1">
            <w:r w:rsidR="00065D6A" w:rsidRPr="00FE0C1D">
              <w:rPr>
                <w:rStyle w:val="Hyperlink"/>
                <w:noProof/>
              </w:rPr>
              <w:t>10.</w:t>
            </w:r>
            <w:r w:rsidR="00065D6A">
              <w:rPr>
                <w:rFonts w:asciiTheme="minorHAnsi" w:eastAsiaTheme="minorEastAsia" w:hAnsiTheme="minorHAnsi" w:cstheme="minorBidi"/>
                <w:b w:val="0"/>
                <w:noProof/>
                <w:sz w:val="22"/>
                <w:lang w:eastAsia="en-AU"/>
              </w:rPr>
              <w:tab/>
            </w:r>
            <w:r w:rsidR="00065D6A" w:rsidRPr="00FE0C1D">
              <w:rPr>
                <w:rStyle w:val="Hyperlink"/>
                <w:noProof/>
              </w:rPr>
              <w:t>Clinical questions</w:t>
            </w:r>
            <w:r w:rsidR="00065D6A">
              <w:rPr>
                <w:noProof/>
                <w:webHidden/>
              </w:rPr>
              <w:tab/>
            </w:r>
            <w:r w:rsidR="00065D6A">
              <w:rPr>
                <w:noProof/>
                <w:webHidden/>
              </w:rPr>
              <w:fldChar w:fldCharType="begin"/>
            </w:r>
            <w:r w:rsidR="00065D6A">
              <w:rPr>
                <w:noProof/>
                <w:webHidden/>
              </w:rPr>
              <w:instrText xml:space="preserve"> PAGEREF _Toc517768438 \h </w:instrText>
            </w:r>
            <w:r w:rsidR="00065D6A">
              <w:rPr>
                <w:noProof/>
                <w:webHidden/>
              </w:rPr>
            </w:r>
            <w:r w:rsidR="00065D6A">
              <w:rPr>
                <w:noProof/>
                <w:webHidden/>
              </w:rPr>
              <w:fldChar w:fldCharType="separate"/>
            </w:r>
            <w:r w:rsidR="00065D6A">
              <w:rPr>
                <w:noProof/>
                <w:webHidden/>
              </w:rPr>
              <w:t>52</w:t>
            </w:r>
            <w:r w:rsidR="00065D6A">
              <w:rPr>
                <w:noProof/>
                <w:webHidden/>
              </w:rPr>
              <w:fldChar w:fldCharType="end"/>
            </w:r>
          </w:hyperlink>
        </w:p>
        <w:p w14:paraId="27E34C93"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39" w:history="1">
            <w:r w:rsidR="00065D6A" w:rsidRPr="00FE0C1D">
              <w:rPr>
                <w:rStyle w:val="Hyperlink"/>
                <w:noProof/>
              </w:rPr>
              <w:t>10.1.</w:t>
            </w:r>
            <w:r w:rsidR="00065D6A">
              <w:rPr>
                <w:rFonts w:asciiTheme="minorHAnsi" w:eastAsiaTheme="minorEastAsia" w:hAnsiTheme="minorHAnsi" w:cstheme="minorBidi"/>
                <w:noProof/>
                <w:lang w:eastAsia="en-AU"/>
              </w:rPr>
              <w:tab/>
            </w:r>
            <w:r w:rsidR="00065D6A" w:rsidRPr="00FE0C1D">
              <w:rPr>
                <w:rStyle w:val="Hyperlink"/>
                <w:noProof/>
              </w:rPr>
              <w:t>Pharmacokinetics</w:t>
            </w:r>
            <w:r w:rsidR="00065D6A">
              <w:rPr>
                <w:noProof/>
                <w:webHidden/>
              </w:rPr>
              <w:tab/>
            </w:r>
            <w:r w:rsidR="00065D6A">
              <w:rPr>
                <w:noProof/>
                <w:webHidden/>
              </w:rPr>
              <w:fldChar w:fldCharType="begin"/>
            </w:r>
            <w:r w:rsidR="00065D6A">
              <w:rPr>
                <w:noProof/>
                <w:webHidden/>
              </w:rPr>
              <w:instrText xml:space="preserve"> PAGEREF _Toc517768439 \h </w:instrText>
            </w:r>
            <w:r w:rsidR="00065D6A">
              <w:rPr>
                <w:noProof/>
                <w:webHidden/>
              </w:rPr>
            </w:r>
            <w:r w:rsidR="00065D6A">
              <w:rPr>
                <w:noProof/>
                <w:webHidden/>
              </w:rPr>
              <w:fldChar w:fldCharType="separate"/>
            </w:r>
            <w:r w:rsidR="00065D6A">
              <w:rPr>
                <w:noProof/>
                <w:webHidden/>
              </w:rPr>
              <w:t>52</w:t>
            </w:r>
            <w:r w:rsidR="00065D6A">
              <w:rPr>
                <w:noProof/>
                <w:webHidden/>
              </w:rPr>
              <w:fldChar w:fldCharType="end"/>
            </w:r>
          </w:hyperlink>
        </w:p>
        <w:p w14:paraId="55FD626B"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40" w:history="1">
            <w:r w:rsidR="00065D6A" w:rsidRPr="00FE0C1D">
              <w:rPr>
                <w:rStyle w:val="Hyperlink"/>
                <w:noProof/>
              </w:rPr>
              <w:t>10.2.</w:t>
            </w:r>
            <w:r w:rsidR="00065D6A">
              <w:rPr>
                <w:rFonts w:asciiTheme="minorHAnsi" w:eastAsiaTheme="minorEastAsia" w:hAnsiTheme="minorHAnsi" w:cstheme="minorBidi"/>
                <w:noProof/>
                <w:lang w:eastAsia="en-AU"/>
              </w:rPr>
              <w:tab/>
            </w:r>
            <w:r w:rsidR="00065D6A" w:rsidRPr="00FE0C1D">
              <w:rPr>
                <w:rStyle w:val="Hyperlink"/>
                <w:noProof/>
              </w:rPr>
              <w:t>Pharmacodynamics</w:t>
            </w:r>
            <w:r w:rsidR="00065D6A">
              <w:rPr>
                <w:noProof/>
                <w:webHidden/>
              </w:rPr>
              <w:tab/>
            </w:r>
            <w:r w:rsidR="00065D6A">
              <w:rPr>
                <w:noProof/>
                <w:webHidden/>
              </w:rPr>
              <w:fldChar w:fldCharType="begin"/>
            </w:r>
            <w:r w:rsidR="00065D6A">
              <w:rPr>
                <w:noProof/>
                <w:webHidden/>
              </w:rPr>
              <w:instrText xml:space="preserve"> PAGEREF _Toc517768440 \h </w:instrText>
            </w:r>
            <w:r w:rsidR="00065D6A">
              <w:rPr>
                <w:noProof/>
                <w:webHidden/>
              </w:rPr>
            </w:r>
            <w:r w:rsidR="00065D6A">
              <w:rPr>
                <w:noProof/>
                <w:webHidden/>
              </w:rPr>
              <w:fldChar w:fldCharType="separate"/>
            </w:r>
            <w:r w:rsidR="00065D6A">
              <w:rPr>
                <w:noProof/>
                <w:webHidden/>
              </w:rPr>
              <w:t>52</w:t>
            </w:r>
            <w:r w:rsidR="00065D6A">
              <w:rPr>
                <w:noProof/>
                <w:webHidden/>
              </w:rPr>
              <w:fldChar w:fldCharType="end"/>
            </w:r>
          </w:hyperlink>
        </w:p>
        <w:p w14:paraId="74B58A7E"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41" w:history="1">
            <w:r w:rsidR="00065D6A" w:rsidRPr="00FE0C1D">
              <w:rPr>
                <w:rStyle w:val="Hyperlink"/>
                <w:noProof/>
              </w:rPr>
              <w:t>10.3.</w:t>
            </w:r>
            <w:r w:rsidR="00065D6A">
              <w:rPr>
                <w:rFonts w:asciiTheme="minorHAnsi" w:eastAsiaTheme="minorEastAsia" w:hAnsiTheme="minorHAnsi" w:cstheme="minorBidi"/>
                <w:noProof/>
                <w:lang w:eastAsia="en-AU"/>
              </w:rPr>
              <w:tab/>
            </w:r>
            <w:r w:rsidR="00065D6A" w:rsidRPr="00FE0C1D">
              <w:rPr>
                <w:rStyle w:val="Hyperlink"/>
                <w:noProof/>
              </w:rPr>
              <w:t>Efficacy</w:t>
            </w:r>
            <w:r w:rsidR="00065D6A">
              <w:rPr>
                <w:noProof/>
                <w:webHidden/>
              </w:rPr>
              <w:tab/>
            </w:r>
            <w:r w:rsidR="00065D6A">
              <w:rPr>
                <w:noProof/>
                <w:webHidden/>
              </w:rPr>
              <w:fldChar w:fldCharType="begin"/>
            </w:r>
            <w:r w:rsidR="00065D6A">
              <w:rPr>
                <w:noProof/>
                <w:webHidden/>
              </w:rPr>
              <w:instrText xml:space="preserve"> PAGEREF _Toc517768441 \h </w:instrText>
            </w:r>
            <w:r w:rsidR="00065D6A">
              <w:rPr>
                <w:noProof/>
                <w:webHidden/>
              </w:rPr>
            </w:r>
            <w:r w:rsidR="00065D6A">
              <w:rPr>
                <w:noProof/>
                <w:webHidden/>
              </w:rPr>
              <w:fldChar w:fldCharType="separate"/>
            </w:r>
            <w:r w:rsidR="00065D6A">
              <w:rPr>
                <w:noProof/>
                <w:webHidden/>
              </w:rPr>
              <w:t>52</w:t>
            </w:r>
            <w:r w:rsidR="00065D6A">
              <w:rPr>
                <w:noProof/>
                <w:webHidden/>
              </w:rPr>
              <w:fldChar w:fldCharType="end"/>
            </w:r>
          </w:hyperlink>
        </w:p>
        <w:p w14:paraId="738F0BFE"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42" w:history="1">
            <w:r w:rsidR="00065D6A" w:rsidRPr="00FE0C1D">
              <w:rPr>
                <w:rStyle w:val="Hyperlink"/>
                <w:noProof/>
              </w:rPr>
              <w:t>10.4.</w:t>
            </w:r>
            <w:r w:rsidR="00065D6A">
              <w:rPr>
                <w:rFonts w:asciiTheme="minorHAnsi" w:eastAsiaTheme="minorEastAsia" w:hAnsiTheme="minorHAnsi" w:cstheme="minorBidi"/>
                <w:noProof/>
                <w:lang w:eastAsia="en-AU"/>
              </w:rPr>
              <w:tab/>
            </w:r>
            <w:r w:rsidR="00065D6A" w:rsidRPr="00FE0C1D">
              <w:rPr>
                <w:rStyle w:val="Hyperlink"/>
                <w:noProof/>
              </w:rPr>
              <w:t>Safety</w:t>
            </w:r>
            <w:r w:rsidR="00065D6A">
              <w:rPr>
                <w:noProof/>
                <w:webHidden/>
              </w:rPr>
              <w:tab/>
            </w:r>
            <w:r w:rsidR="00065D6A">
              <w:rPr>
                <w:noProof/>
                <w:webHidden/>
              </w:rPr>
              <w:fldChar w:fldCharType="begin"/>
            </w:r>
            <w:r w:rsidR="00065D6A">
              <w:rPr>
                <w:noProof/>
                <w:webHidden/>
              </w:rPr>
              <w:instrText xml:space="preserve"> PAGEREF _Toc517768442 \h </w:instrText>
            </w:r>
            <w:r w:rsidR="00065D6A">
              <w:rPr>
                <w:noProof/>
                <w:webHidden/>
              </w:rPr>
            </w:r>
            <w:r w:rsidR="00065D6A">
              <w:rPr>
                <w:noProof/>
                <w:webHidden/>
              </w:rPr>
              <w:fldChar w:fldCharType="separate"/>
            </w:r>
            <w:r w:rsidR="00065D6A">
              <w:rPr>
                <w:noProof/>
                <w:webHidden/>
              </w:rPr>
              <w:t>52</w:t>
            </w:r>
            <w:r w:rsidR="00065D6A">
              <w:rPr>
                <w:noProof/>
                <w:webHidden/>
              </w:rPr>
              <w:fldChar w:fldCharType="end"/>
            </w:r>
          </w:hyperlink>
        </w:p>
        <w:p w14:paraId="51CBF1A7"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43" w:history="1">
            <w:r w:rsidR="00065D6A" w:rsidRPr="00FE0C1D">
              <w:rPr>
                <w:rStyle w:val="Hyperlink"/>
                <w:noProof/>
              </w:rPr>
              <w:t>11.</w:t>
            </w:r>
            <w:r w:rsidR="00065D6A">
              <w:rPr>
                <w:rFonts w:asciiTheme="minorHAnsi" w:eastAsiaTheme="minorEastAsia" w:hAnsiTheme="minorHAnsi" w:cstheme="minorBidi"/>
                <w:b w:val="0"/>
                <w:noProof/>
                <w:sz w:val="22"/>
                <w:lang w:eastAsia="en-AU"/>
              </w:rPr>
              <w:tab/>
            </w:r>
            <w:r w:rsidR="00065D6A" w:rsidRPr="00FE0C1D">
              <w:rPr>
                <w:rStyle w:val="Hyperlink"/>
                <w:noProof/>
              </w:rPr>
              <w:t>Second round evaluation of clinical data submitted in response to questions</w:t>
            </w:r>
            <w:r w:rsidR="00065D6A">
              <w:rPr>
                <w:noProof/>
                <w:webHidden/>
              </w:rPr>
              <w:tab/>
            </w:r>
            <w:r w:rsidR="00065D6A">
              <w:rPr>
                <w:noProof/>
                <w:webHidden/>
              </w:rPr>
              <w:fldChar w:fldCharType="begin"/>
            </w:r>
            <w:r w:rsidR="00065D6A">
              <w:rPr>
                <w:noProof/>
                <w:webHidden/>
              </w:rPr>
              <w:instrText xml:space="preserve"> PAGEREF _Toc517768443 \h </w:instrText>
            </w:r>
            <w:r w:rsidR="00065D6A">
              <w:rPr>
                <w:noProof/>
                <w:webHidden/>
              </w:rPr>
            </w:r>
            <w:r w:rsidR="00065D6A">
              <w:rPr>
                <w:noProof/>
                <w:webHidden/>
              </w:rPr>
              <w:fldChar w:fldCharType="separate"/>
            </w:r>
            <w:r w:rsidR="00065D6A">
              <w:rPr>
                <w:noProof/>
                <w:webHidden/>
              </w:rPr>
              <w:t>53</w:t>
            </w:r>
            <w:r w:rsidR="00065D6A">
              <w:rPr>
                <w:noProof/>
                <w:webHidden/>
              </w:rPr>
              <w:fldChar w:fldCharType="end"/>
            </w:r>
          </w:hyperlink>
        </w:p>
        <w:p w14:paraId="1802808B"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44" w:history="1">
            <w:r w:rsidR="00065D6A" w:rsidRPr="00FE0C1D">
              <w:rPr>
                <w:rStyle w:val="Hyperlink"/>
                <w:noProof/>
              </w:rPr>
              <w:t>11.1.</w:t>
            </w:r>
            <w:r w:rsidR="00065D6A">
              <w:rPr>
                <w:rFonts w:asciiTheme="minorHAnsi" w:eastAsiaTheme="minorEastAsia" w:hAnsiTheme="minorHAnsi" w:cstheme="minorBidi"/>
                <w:noProof/>
                <w:lang w:eastAsia="en-AU"/>
              </w:rPr>
              <w:tab/>
            </w:r>
            <w:r w:rsidR="00065D6A" w:rsidRPr="00FE0C1D">
              <w:rPr>
                <w:rStyle w:val="Hyperlink"/>
                <w:noProof/>
              </w:rPr>
              <w:t>Question 1</w:t>
            </w:r>
            <w:r w:rsidR="00065D6A">
              <w:rPr>
                <w:noProof/>
                <w:webHidden/>
              </w:rPr>
              <w:tab/>
            </w:r>
            <w:r w:rsidR="00065D6A">
              <w:rPr>
                <w:noProof/>
                <w:webHidden/>
              </w:rPr>
              <w:fldChar w:fldCharType="begin"/>
            </w:r>
            <w:r w:rsidR="00065D6A">
              <w:rPr>
                <w:noProof/>
                <w:webHidden/>
              </w:rPr>
              <w:instrText xml:space="preserve"> PAGEREF _Toc517768444 \h </w:instrText>
            </w:r>
            <w:r w:rsidR="00065D6A">
              <w:rPr>
                <w:noProof/>
                <w:webHidden/>
              </w:rPr>
            </w:r>
            <w:r w:rsidR="00065D6A">
              <w:rPr>
                <w:noProof/>
                <w:webHidden/>
              </w:rPr>
              <w:fldChar w:fldCharType="separate"/>
            </w:r>
            <w:r w:rsidR="00065D6A">
              <w:rPr>
                <w:noProof/>
                <w:webHidden/>
              </w:rPr>
              <w:t>53</w:t>
            </w:r>
            <w:r w:rsidR="00065D6A">
              <w:rPr>
                <w:noProof/>
                <w:webHidden/>
              </w:rPr>
              <w:fldChar w:fldCharType="end"/>
            </w:r>
          </w:hyperlink>
        </w:p>
        <w:p w14:paraId="330A050D"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45" w:history="1">
            <w:r w:rsidR="00065D6A" w:rsidRPr="00FE0C1D">
              <w:rPr>
                <w:rStyle w:val="Hyperlink"/>
                <w:noProof/>
              </w:rPr>
              <w:t>11.2.</w:t>
            </w:r>
            <w:r w:rsidR="00065D6A">
              <w:rPr>
                <w:rFonts w:asciiTheme="minorHAnsi" w:eastAsiaTheme="minorEastAsia" w:hAnsiTheme="minorHAnsi" w:cstheme="minorBidi"/>
                <w:noProof/>
                <w:lang w:eastAsia="en-AU"/>
              </w:rPr>
              <w:tab/>
            </w:r>
            <w:r w:rsidR="00065D6A" w:rsidRPr="00FE0C1D">
              <w:rPr>
                <w:rStyle w:val="Hyperlink"/>
                <w:noProof/>
              </w:rPr>
              <w:t>Question 2</w:t>
            </w:r>
            <w:r w:rsidR="00065D6A">
              <w:rPr>
                <w:noProof/>
                <w:webHidden/>
              </w:rPr>
              <w:tab/>
            </w:r>
            <w:r w:rsidR="00065D6A">
              <w:rPr>
                <w:noProof/>
                <w:webHidden/>
              </w:rPr>
              <w:fldChar w:fldCharType="begin"/>
            </w:r>
            <w:r w:rsidR="00065D6A">
              <w:rPr>
                <w:noProof/>
                <w:webHidden/>
              </w:rPr>
              <w:instrText xml:space="preserve"> PAGEREF _Toc517768445 \h </w:instrText>
            </w:r>
            <w:r w:rsidR="00065D6A">
              <w:rPr>
                <w:noProof/>
                <w:webHidden/>
              </w:rPr>
            </w:r>
            <w:r w:rsidR="00065D6A">
              <w:rPr>
                <w:noProof/>
                <w:webHidden/>
              </w:rPr>
              <w:fldChar w:fldCharType="separate"/>
            </w:r>
            <w:r w:rsidR="00065D6A">
              <w:rPr>
                <w:noProof/>
                <w:webHidden/>
              </w:rPr>
              <w:t>55</w:t>
            </w:r>
            <w:r w:rsidR="00065D6A">
              <w:rPr>
                <w:noProof/>
                <w:webHidden/>
              </w:rPr>
              <w:fldChar w:fldCharType="end"/>
            </w:r>
          </w:hyperlink>
        </w:p>
        <w:p w14:paraId="2270922D"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46" w:history="1">
            <w:r w:rsidR="00065D6A" w:rsidRPr="00FE0C1D">
              <w:rPr>
                <w:rStyle w:val="Hyperlink"/>
                <w:noProof/>
              </w:rPr>
              <w:t>11.3.</w:t>
            </w:r>
            <w:r w:rsidR="00065D6A">
              <w:rPr>
                <w:rFonts w:asciiTheme="minorHAnsi" w:eastAsiaTheme="minorEastAsia" w:hAnsiTheme="minorHAnsi" w:cstheme="minorBidi"/>
                <w:noProof/>
                <w:lang w:eastAsia="en-AU"/>
              </w:rPr>
              <w:tab/>
            </w:r>
            <w:r w:rsidR="00065D6A" w:rsidRPr="00FE0C1D">
              <w:rPr>
                <w:rStyle w:val="Hyperlink"/>
                <w:noProof/>
              </w:rPr>
              <w:t>Question 3</w:t>
            </w:r>
            <w:r w:rsidR="00065D6A">
              <w:rPr>
                <w:noProof/>
                <w:webHidden/>
              </w:rPr>
              <w:tab/>
            </w:r>
            <w:r w:rsidR="00065D6A">
              <w:rPr>
                <w:noProof/>
                <w:webHidden/>
              </w:rPr>
              <w:fldChar w:fldCharType="begin"/>
            </w:r>
            <w:r w:rsidR="00065D6A">
              <w:rPr>
                <w:noProof/>
                <w:webHidden/>
              </w:rPr>
              <w:instrText xml:space="preserve"> PAGEREF _Toc517768446 \h </w:instrText>
            </w:r>
            <w:r w:rsidR="00065D6A">
              <w:rPr>
                <w:noProof/>
                <w:webHidden/>
              </w:rPr>
            </w:r>
            <w:r w:rsidR="00065D6A">
              <w:rPr>
                <w:noProof/>
                <w:webHidden/>
              </w:rPr>
              <w:fldChar w:fldCharType="separate"/>
            </w:r>
            <w:r w:rsidR="00065D6A">
              <w:rPr>
                <w:noProof/>
                <w:webHidden/>
              </w:rPr>
              <w:t>55</w:t>
            </w:r>
            <w:r w:rsidR="00065D6A">
              <w:rPr>
                <w:noProof/>
                <w:webHidden/>
              </w:rPr>
              <w:fldChar w:fldCharType="end"/>
            </w:r>
          </w:hyperlink>
        </w:p>
        <w:p w14:paraId="53A482A4"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47" w:history="1">
            <w:r w:rsidR="00065D6A" w:rsidRPr="00FE0C1D">
              <w:rPr>
                <w:rStyle w:val="Hyperlink"/>
                <w:noProof/>
              </w:rPr>
              <w:t>11.4.</w:t>
            </w:r>
            <w:r w:rsidR="00065D6A">
              <w:rPr>
                <w:rFonts w:asciiTheme="minorHAnsi" w:eastAsiaTheme="minorEastAsia" w:hAnsiTheme="minorHAnsi" w:cstheme="minorBidi"/>
                <w:noProof/>
                <w:lang w:eastAsia="en-AU"/>
              </w:rPr>
              <w:tab/>
            </w:r>
            <w:r w:rsidR="00065D6A" w:rsidRPr="00FE0C1D">
              <w:rPr>
                <w:rStyle w:val="Hyperlink"/>
                <w:noProof/>
              </w:rPr>
              <w:t>Question 4</w:t>
            </w:r>
            <w:r w:rsidR="00065D6A">
              <w:rPr>
                <w:noProof/>
                <w:webHidden/>
              </w:rPr>
              <w:tab/>
            </w:r>
            <w:r w:rsidR="00065D6A">
              <w:rPr>
                <w:noProof/>
                <w:webHidden/>
              </w:rPr>
              <w:fldChar w:fldCharType="begin"/>
            </w:r>
            <w:r w:rsidR="00065D6A">
              <w:rPr>
                <w:noProof/>
                <w:webHidden/>
              </w:rPr>
              <w:instrText xml:space="preserve"> PAGEREF _Toc517768447 \h </w:instrText>
            </w:r>
            <w:r w:rsidR="00065D6A">
              <w:rPr>
                <w:noProof/>
                <w:webHidden/>
              </w:rPr>
            </w:r>
            <w:r w:rsidR="00065D6A">
              <w:rPr>
                <w:noProof/>
                <w:webHidden/>
              </w:rPr>
              <w:fldChar w:fldCharType="separate"/>
            </w:r>
            <w:r w:rsidR="00065D6A">
              <w:rPr>
                <w:noProof/>
                <w:webHidden/>
              </w:rPr>
              <w:t>57</w:t>
            </w:r>
            <w:r w:rsidR="00065D6A">
              <w:rPr>
                <w:noProof/>
                <w:webHidden/>
              </w:rPr>
              <w:fldChar w:fldCharType="end"/>
            </w:r>
          </w:hyperlink>
        </w:p>
        <w:p w14:paraId="6934B38E"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48" w:history="1">
            <w:r w:rsidR="00065D6A" w:rsidRPr="00FE0C1D">
              <w:rPr>
                <w:rStyle w:val="Hyperlink"/>
                <w:noProof/>
              </w:rPr>
              <w:t>11.5.</w:t>
            </w:r>
            <w:r w:rsidR="00065D6A">
              <w:rPr>
                <w:rFonts w:asciiTheme="minorHAnsi" w:eastAsiaTheme="minorEastAsia" w:hAnsiTheme="minorHAnsi" w:cstheme="minorBidi"/>
                <w:noProof/>
                <w:lang w:eastAsia="en-AU"/>
              </w:rPr>
              <w:tab/>
            </w:r>
            <w:r w:rsidR="00065D6A" w:rsidRPr="00FE0C1D">
              <w:rPr>
                <w:rStyle w:val="Hyperlink"/>
                <w:noProof/>
              </w:rPr>
              <w:t>Question 5</w:t>
            </w:r>
            <w:r w:rsidR="00065D6A">
              <w:rPr>
                <w:noProof/>
                <w:webHidden/>
              </w:rPr>
              <w:tab/>
            </w:r>
            <w:r w:rsidR="00065D6A">
              <w:rPr>
                <w:noProof/>
                <w:webHidden/>
              </w:rPr>
              <w:fldChar w:fldCharType="begin"/>
            </w:r>
            <w:r w:rsidR="00065D6A">
              <w:rPr>
                <w:noProof/>
                <w:webHidden/>
              </w:rPr>
              <w:instrText xml:space="preserve"> PAGEREF _Toc517768448 \h </w:instrText>
            </w:r>
            <w:r w:rsidR="00065D6A">
              <w:rPr>
                <w:noProof/>
                <w:webHidden/>
              </w:rPr>
            </w:r>
            <w:r w:rsidR="00065D6A">
              <w:rPr>
                <w:noProof/>
                <w:webHidden/>
              </w:rPr>
              <w:fldChar w:fldCharType="separate"/>
            </w:r>
            <w:r w:rsidR="00065D6A">
              <w:rPr>
                <w:noProof/>
                <w:webHidden/>
              </w:rPr>
              <w:t>58</w:t>
            </w:r>
            <w:r w:rsidR="00065D6A">
              <w:rPr>
                <w:noProof/>
                <w:webHidden/>
              </w:rPr>
              <w:fldChar w:fldCharType="end"/>
            </w:r>
          </w:hyperlink>
        </w:p>
        <w:p w14:paraId="25D93098"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49" w:history="1">
            <w:r w:rsidR="00065D6A" w:rsidRPr="00FE0C1D">
              <w:rPr>
                <w:rStyle w:val="Hyperlink"/>
                <w:noProof/>
              </w:rPr>
              <w:t>12.</w:t>
            </w:r>
            <w:r w:rsidR="00065D6A">
              <w:rPr>
                <w:rFonts w:asciiTheme="minorHAnsi" w:eastAsiaTheme="minorEastAsia" w:hAnsiTheme="minorHAnsi" w:cstheme="minorBidi"/>
                <w:b w:val="0"/>
                <w:noProof/>
                <w:sz w:val="22"/>
                <w:lang w:eastAsia="en-AU"/>
              </w:rPr>
              <w:tab/>
            </w:r>
            <w:r w:rsidR="00065D6A" w:rsidRPr="00FE0C1D">
              <w:rPr>
                <w:rStyle w:val="Hyperlink"/>
                <w:noProof/>
              </w:rPr>
              <w:t>Second round benefit-risk assessment</w:t>
            </w:r>
            <w:r w:rsidR="00065D6A">
              <w:rPr>
                <w:noProof/>
                <w:webHidden/>
              </w:rPr>
              <w:tab/>
            </w:r>
            <w:r w:rsidR="00065D6A">
              <w:rPr>
                <w:noProof/>
                <w:webHidden/>
              </w:rPr>
              <w:fldChar w:fldCharType="begin"/>
            </w:r>
            <w:r w:rsidR="00065D6A">
              <w:rPr>
                <w:noProof/>
                <w:webHidden/>
              </w:rPr>
              <w:instrText xml:space="preserve"> PAGEREF _Toc517768449 \h </w:instrText>
            </w:r>
            <w:r w:rsidR="00065D6A">
              <w:rPr>
                <w:noProof/>
                <w:webHidden/>
              </w:rPr>
            </w:r>
            <w:r w:rsidR="00065D6A">
              <w:rPr>
                <w:noProof/>
                <w:webHidden/>
              </w:rPr>
              <w:fldChar w:fldCharType="separate"/>
            </w:r>
            <w:r w:rsidR="00065D6A">
              <w:rPr>
                <w:noProof/>
                <w:webHidden/>
              </w:rPr>
              <w:t>59</w:t>
            </w:r>
            <w:r w:rsidR="00065D6A">
              <w:rPr>
                <w:noProof/>
                <w:webHidden/>
              </w:rPr>
              <w:fldChar w:fldCharType="end"/>
            </w:r>
          </w:hyperlink>
        </w:p>
        <w:p w14:paraId="182A012D"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50" w:history="1">
            <w:r w:rsidR="00065D6A" w:rsidRPr="00FE0C1D">
              <w:rPr>
                <w:rStyle w:val="Hyperlink"/>
                <w:noProof/>
              </w:rPr>
              <w:t>12.1.</w:t>
            </w:r>
            <w:r w:rsidR="00065D6A">
              <w:rPr>
                <w:rFonts w:asciiTheme="minorHAnsi" w:eastAsiaTheme="minorEastAsia" w:hAnsiTheme="minorHAnsi" w:cstheme="minorBidi"/>
                <w:noProof/>
                <w:lang w:eastAsia="en-AU"/>
              </w:rPr>
              <w:tab/>
            </w:r>
            <w:r w:rsidR="00065D6A" w:rsidRPr="00FE0C1D">
              <w:rPr>
                <w:rStyle w:val="Hyperlink"/>
                <w:noProof/>
              </w:rPr>
              <w:t>Second round assessment of benefits</w:t>
            </w:r>
            <w:r w:rsidR="00065D6A">
              <w:rPr>
                <w:noProof/>
                <w:webHidden/>
              </w:rPr>
              <w:tab/>
            </w:r>
            <w:r w:rsidR="00065D6A">
              <w:rPr>
                <w:noProof/>
                <w:webHidden/>
              </w:rPr>
              <w:fldChar w:fldCharType="begin"/>
            </w:r>
            <w:r w:rsidR="00065D6A">
              <w:rPr>
                <w:noProof/>
                <w:webHidden/>
              </w:rPr>
              <w:instrText xml:space="preserve"> PAGEREF _Toc517768450 \h </w:instrText>
            </w:r>
            <w:r w:rsidR="00065D6A">
              <w:rPr>
                <w:noProof/>
                <w:webHidden/>
              </w:rPr>
            </w:r>
            <w:r w:rsidR="00065D6A">
              <w:rPr>
                <w:noProof/>
                <w:webHidden/>
              </w:rPr>
              <w:fldChar w:fldCharType="separate"/>
            </w:r>
            <w:r w:rsidR="00065D6A">
              <w:rPr>
                <w:noProof/>
                <w:webHidden/>
              </w:rPr>
              <w:t>59</w:t>
            </w:r>
            <w:r w:rsidR="00065D6A">
              <w:rPr>
                <w:noProof/>
                <w:webHidden/>
              </w:rPr>
              <w:fldChar w:fldCharType="end"/>
            </w:r>
          </w:hyperlink>
        </w:p>
        <w:p w14:paraId="1E7BD98A"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51" w:history="1">
            <w:r w:rsidR="00065D6A" w:rsidRPr="00FE0C1D">
              <w:rPr>
                <w:rStyle w:val="Hyperlink"/>
                <w:noProof/>
              </w:rPr>
              <w:t>12.2.</w:t>
            </w:r>
            <w:r w:rsidR="00065D6A">
              <w:rPr>
                <w:rFonts w:asciiTheme="minorHAnsi" w:eastAsiaTheme="minorEastAsia" w:hAnsiTheme="minorHAnsi" w:cstheme="minorBidi"/>
                <w:noProof/>
                <w:lang w:eastAsia="en-AU"/>
              </w:rPr>
              <w:tab/>
            </w:r>
            <w:r w:rsidR="00065D6A" w:rsidRPr="00FE0C1D">
              <w:rPr>
                <w:rStyle w:val="Hyperlink"/>
                <w:noProof/>
              </w:rPr>
              <w:t>Second round assessment of risks</w:t>
            </w:r>
            <w:r w:rsidR="00065D6A">
              <w:rPr>
                <w:noProof/>
                <w:webHidden/>
              </w:rPr>
              <w:tab/>
            </w:r>
            <w:r w:rsidR="00065D6A">
              <w:rPr>
                <w:noProof/>
                <w:webHidden/>
              </w:rPr>
              <w:fldChar w:fldCharType="begin"/>
            </w:r>
            <w:r w:rsidR="00065D6A">
              <w:rPr>
                <w:noProof/>
                <w:webHidden/>
              </w:rPr>
              <w:instrText xml:space="preserve"> PAGEREF _Toc517768451 \h </w:instrText>
            </w:r>
            <w:r w:rsidR="00065D6A">
              <w:rPr>
                <w:noProof/>
                <w:webHidden/>
              </w:rPr>
            </w:r>
            <w:r w:rsidR="00065D6A">
              <w:rPr>
                <w:noProof/>
                <w:webHidden/>
              </w:rPr>
              <w:fldChar w:fldCharType="separate"/>
            </w:r>
            <w:r w:rsidR="00065D6A">
              <w:rPr>
                <w:noProof/>
                <w:webHidden/>
              </w:rPr>
              <w:t>59</w:t>
            </w:r>
            <w:r w:rsidR="00065D6A">
              <w:rPr>
                <w:noProof/>
                <w:webHidden/>
              </w:rPr>
              <w:fldChar w:fldCharType="end"/>
            </w:r>
          </w:hyperlink>
        </w:p>
        <w:p w14:paraId="105553D5" w14:textId="77777777" w:rsidR="00065D6A" w:rsidRDefault="005553B7">
          <w:pPr>
            <w:pStyle w:val="TOC3"/>
            <w:tabs>
              <w:tab w:val="left" w:pos="1697"/>
            </w:tabs>
            <w:rPr>
              <w:rFonts w:asciiTheme="minorHAnsi" w:eastAsiaTheme="minorEastAsia" w:hAnsiTheme="minorHAnsi" w:cstheme="minorBidi"/>
              <w:noProof/>
              <w:lang w:eastAsia="en-AU"/>
            </w:rPr>
          </w:pPr>
          <w:hyperlink w:anchor="_Toc517768452" w:history="1">
            <w:r w:rsidR="00065D6A" w:rsidRPr="00FE0C1D">
              <w:rPr>
                <w:rStyle w:val="Hyperlink"/>
                <w:noProof/>
              </w:rPr>
              <w:t>12.3.</w:t>
            </w:r>
            <w:r w:rsidR="00065D6A">
              <w:rPr>
                <w:rFonts w:asciiTheme="minorHAnsi" w:eastAsiaTheme="minorEastAsia" w:hAnsiTheme="minorHAnsi" w:cstheme="minorBidi"/>
                <w:noProof/>
                <w:lang w:eastAsia="en-AU"/>
              </w:rPr>
              <w:tab/>
            </w:r>
            <w:r w:rsidR="00065D6A" w:rsidRPr="00FE0C1D">
              <w:rPr>
                <w:rStyle w:val="Hyperlink"/>
                <w:noProof/>
              </w:rPr>
              <w:t>Second round assessment of benefit-risk balance</w:t>
            </w:r>
            <w:r w:rsidR="00065D6A">
              <w:rPr>
                <w:noProof/>
                <w:webHidden/>
              </w:rPr>
              <w:tab/>
            </w:r>
            <w:r w:rsidR="00065D6A">
              <w:rPr>
                <w:noProof/>
                <w:webHidden/>
              </w:rPr>
              <w:fldChar w:fldCharType="begin"/>
            </w:r>
            <w:r w:rsidR="00065D6A">
              <w:rPr>
                <w:noProof/>
                <w:webHidden/>
              </w:rPr>
              <w:instrText xml:space="preserve"> PAGEREF _Toc517768452 \h </w:instrText>
            </w:r>
            <w:r w:rsidR="00065D6A">
              <w:rPr>
                <w:noProof/>
                <w:webHidden/>
              </w:rPr>
            </w:r>
            <w:r w:rsidR="00065D6A">
              <w:rPr>
                <w:noProof/>
                <w:webHidden/>
              </w:rPr>
              <w:fldChar w:fldCharType="separate"/>
            </w:r>
            <w:r w:rsidR="00065D6A">
              <w:rPr>
                <w:noProof/>
                <w:webHidden/>
              </w:rPr>
              <w:t>59</w:t>
            </w:r>
            <w:r w:rsidR="00065D6A">
              <w:rPr>
                <w:noProof/>
                <w:webHidden/>
              </w:rPr>
              <w:fldChar w:fldCharType="end"/>
            </w:r>
          </w:hyperlink>
        </w:p>
        <w:p w14:paraId="347DDDE8"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53" w:history="1">
            <w:r w:rsidR="00065D6A" w:rsidRPr="00FE0C1D">
              <w:rPr>
                <w:rStyle w:val="Hyperlink"/>
                <w:noProof/>
              </w:rPr>
              <w:t>13.</w:t>
            </w:r>
            <w:r w:rsidR="00065D6A">
              <w:rPr>
                <w:rFonts w:asciiTheme="minorHAnsi" w:eastAsiaTheme="minorEastAsia" w:hAnsiTheme="minorHAnsi" w:cstheme="minorBidi"/>
                <w:b w:val="0"/>
                <w:noProof/>
                <w:sz w:val="22"/>
                <w:lang w:eastAsia="en-AU"/>
              </w:rPr>
              <w:tab/>
            </w:r>
            <w:r w:rsidR="00065D6A" w:rsidRPr="00FE0C1D">
              <w:rPr>
                <w:rStyle w:val="Hyperlink"/>
                <w:noProof/>
              </w:rPr>
              <w:t>Second round recommendation regarding authorisation</w:t>
            </w:r>
            <w:r w:rsidR="00065D6A">
              <w:rPr>
                <w:noProof/>
                <w:webHidden/>
              </w:rPr>
              <w:tab/>
            </w:r>
            <w:r w:rsidR="00065D6A">
              <w:rPr>
                <w:noProof/>
                <w:webHidden/>
              </w:rPr>
              <w:fldChar w:fldCharType="begin"/>
            </w:r>
            <w:r w:rsidR="00065D6A">
              <w:rPr>
                <w:noProof/>
                <w:webHidden/>
              </w:rPr>
              <w:instrText xml:space="preserve"> PAGEREF _Toc517768453 \h </w:instrText>
            </w:r>
            <w:r w:rsidR="00065D6A">
              <w:rPr>
                <w:noProof/>
                <w:webHidden/>
              </w:rPr>
            </w:r>
            <w:r w:rsidR="00065D6A">
              <w:rPr>
                <w:noProof/>
                <w:webHidden/>
              </w:rPr>
              <w:fldChar w:fldCharType="separate"/>
            </w:r>
            <w:r w:rsidR="00065D6A">
              <w:rPr>
                <w:noProof/>
                <w:webHidden/>
              </w:rPr>
              <w:t>60</w:t>
            </w:r>
            <w:r w:rsidR="00065D6A">
              <w:rPr>
                <w:noProof/>
                <w:webHidden/>
              </w:rPr>
              <w:fldChar w:fldCharType="end"/>
            </w:r>
          </w:hyperlink>
        </w:p>
        <w:p w14:paraId="5BB6EAB7" w14:textId="77777777" w:rsidR="00065D6A" w:rsidRDefault="005553B7">
          <w:pPr>
            <w:pStyle w:val="TOC2"/>
            <w:tabs>
              <w:tab w:val="left" w:pos="1247"/>
            </w:tabs>
            <w:rPr>
              <w:rFonts w:asciiTheme="minorHAnsi" w:eastAsiaTheme="minorEastAsia" w:hAnsiTheme="minorHAnsi" w:cstheme="minorBidi"/>
              <w:b w:val="0"/>
              <w:noProof/>
              <w:sz w:val="22"/>
              <w:lang w:eastAsia="en-AU"/>
            </w:rPr>
          </w:pPr>
          <w:hyperlink w:anchor="_Toc517768454" w:history="1">
            <w:r w:rsidR="00065D6A" w:rsidRPr="00FE0C1D">
              <w:rPr>
                <w:rStyle w:val="Hyperlink"/>
                <w:noProof/>
              </w:rPr>
              <w:t>14.</w:t>
            </w:r>
            <w:r w:rsidR="00065D6A">
              <w:rPr>
                <w:rFonts w:asciiTheme="minorHAnsi" w:eastAsiaTheme="minorEastAsia" w:hAnsiTheme="minorHAnsi" w:cstheme="minorBidi"/>
                <w:b w:val="0"/>
                <w:noProof/>
                <w:sz w:val="22"/>
                <w:lang w:eastAsia="en-AU"/>
              </w:rPr>
              <w:tab/>
            </w:r>
            <w:r w:rsidR="00065D6A" w:rsidRPr="00FE0C1D">
              <w:rPr>
                <w:rStyle w:val="Hyperlink"/>
                <w:noProof/>
              </w:rPr>
              <w:t>References</w:t>
            </w:r>
            <w:r w:rsidR="00065D6A">
              <w:rPr>
                <w:noProof/>
                <w:webHidden/>
              </w:rPr>
              <w:tab/>
            </w:r>
            <w:r w:rsidR="00065D6A">
              <w:rPr>
                <w:noProof/>
                <w:webHidden/>
              </w:rPr>
              <w:fldChar w:fldCharType="begin"/>
            </w:r>
            <w:r w:rsidR="00065D6A">
              <w:rPr>
                <w:noProof/>
                <w:webHidden/>
              </w:rPr>
              <w:instrText xml:space="preserve"> PAGEREF _Toc517768454 \h </w:instrText>
            </w:r>
            <w:r w:rsidR="00065D6A">
              <w:rPr>
                <w:noProof/>
                <w:webHidden/>
              </w:rPr>
            </w:r>
            <w:r w:rsidR="00065D6A">
              <w:rPr>
                <w:noProof/>
                <w:webHidden/>
              </w:rPr>
              <w:fldChar w:fldCharType="separate"/>
            </w:r>
            <w:r w:rsidR="00065D6A">
              <w:rPr>
                <w:noProof/>
                <w:webHidden/>
              </w:rPr>
              <w:t>60</w:t>
            </w:r>
            <w:r w:rsidR="00065D6A">
              <w:rPr>
                <w:noProof/>
                <w:webHidden/>
              </w:rPr>
              <w:fldChar w:fldCharType="end"/>
            </w:r>
          </w:hyperlink>
        </w:p>
        <w:p w14:paraId="6980C9FD" w14:textId="77777777" w:rsidR="003A7F6C" w:rsidRPr="00CE7FEE" w:rsidRDefault="004F4AF5" w:rsidP="00CE7FEE">
          <w:r w:rsidRPr="003442FE">
            <w:fldChar w:fldCharType="end"/>
          </w:r>
        </w:p>
      </w:sdtContent>
    </w:sdt>
    <w:bookmarkStart w:id="3" w:name="_Toc314842482" w:displacedByCustomXml="prev"/>
    <w:p w14:paraId="0CD1E886" w14:textId="77777777" w:rsidR="00586F98" w:rsidRPr="003442FE" w:rsidRDefault="00586F98" w:rsidP="00CE7FEE">
      <w:pPr>
        <w:pStyle w:val="Heading2"/>
        <w:pageBreakBefore/>
        <w:numPr>
          <w:ilvl w:val="0"/>
          <w:numId w:val="0"/>
        </w:numPr>
        <w:spacing w:before="240"/>
      </w:pPr>
      <w:bookmarkStart w:id="4" w:name="_Toc351716269"/>
      <w:bookmarkStart w:id="5" w:name="_Toc351718881"/>
      <w:bookmarkStart w:id="6" w:name="_Toc355338616"/>
      <w:bookmarkStart w:id="7" w:name="_Toc517768395"/>
      <w:r w:rsidRPr="003442FE">
        <w:lastRenderedPageBreak/>
        <w:t>List of 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586F98" w:rsidRPr="003442FE" w14:paraId="67C0FD65" w14:textId="77777777" w:rsidTr="00EA3D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6BD20896" w14:textId="77777777" w:rsidR="00586F98" w:rsidRPr="003442FE" w:rsidRDefault="00586F98" w:rsidP="000A63AF">
            <w:r w:rsidRPr="003442FE">
              <w:t>Abbreviation</w:t>
            </w:r>
          </w:p>
        </w:tc>
        <w:tc>
          <w:tcPr>
            <w:tcW w:w="6911" w:type="dxa"/>
          </w:tcPr>
          <w:p w14:paraId="73A04D43" w14:textId="77777777" w:rsidR="00586F98" w:rsidRPr="003442FE" w:rsidRDefault="00586F98" w:rsidP="000A63AF">
            <w:pPr>
              <w:cnfStyle w:val="100000000000" w:firstRow="1" w:lastRow="0" w:firstColumn="0" w:lastColumn="0" w:oddVBand="0" w:evenVBand="0" w:oddHBand="0" w:evenHBand="0" w:firstRowFirstColumn="0" w:firstRowLastColumn="0" w:lastRowFirstColumn="0" w:lastRowLastColumn="0"/>
            </w:pPr>
            <w:r w:rsidRPr="003442FE">
              <w:t>Meaning</w:t>
            </w:r>
          </w:p>
        </w:tc>
      </w:tr>
      <w:tr w:rsidR="00EA3DD5" w:rsidRPr="003442FE" w14:paraId="771C9E93"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71C607D8" w14:textId="48B175AA" w:rsidR="00EA3DD5" w:rsidRPr="003442FE" w:rsidRDefault="00EA3DD5" w:rsidP="00CE7FEE">
            <w:pPr>
              <w:spacing w:before="0" w:after="0" w:line="240" w:lineRule="auto"/>
            </w:pPr>
            <w:r>
              <w:t>ACPM</w:t>
            </w:r>
          </w:p>
        </w:tc>
        <w:tc>
          <w:tcPr>
            <w:tcW w:w="6911" w:type="dxa"/>
          </w:tcPr>
          <w:p w14:paraId="5527E8D9" w14:textId="0CF4C247" w:rsidR="00EA3DD5" w:rsidRPr="003442FE"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Advisory Committee for Prescription Medicines</w:t>
            </w:r>
          </w:p>
        </w:tc>
      </w:tr>
      <w:tr w:rsidR="00EA3DD5" w:rsidRPr="003442FE" w14:paraId="178AC6CE"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1FFC7420" w14:textId="0A4ECE4C" w:rsidR="00EA3DD5" w:rsidRPr="003442FE" w:rsidRDefault="00EA3DD5" w:rsidP="00CE7FEE">
            <w:pPr>
              <w:spacing w:before="0" w:after="0" w:line="240" w:lineRule="auto"/>
            </w:pPr>
            <w:r>
              <w:t>ACSOM</w:t>
            </w:r>
          </w:p>
        </w:tc>
        <w:tc>
          <w:tcPr>
            <w:tcW w:w="6911" w:type="dxa"/>
          </w:tcPr>
          <w:p w14:paraId="32FFB9E1" w14:textId="7F7AC7CA" w:rsidR="00EA3DD5" w:rsidRPr="003442FE"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Advisory Committee on the Safety of Medicines</w:t>
            </w:r>
          </w:p>
        </w:tc>
      </w:tr>
      <w:tr w:rsidR="00EA3DD5" w:rsidRPr="003442FE" w14:paraId="17BF939E"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4A283F93" w14:textId="1951145A" w:rsidR="00EA3DD5" w:rsidRDefault="00EA3DD5" w:rsidP="00CE7FEE">
            <w:pPr>
              <w:spacing w:before="0" w:after="0" w:line="240" w:lineRule="auto"/>
            </w:pPr>
            <w:r>
              <w:t>AMI</w:t>
            </w:r>
          </w:p>
        </w:tc>
        <w:tc>
          <w:tcPr>
            <w:tcW w:w="6911" w:type="dxa"/>
          </w:tcPr>
          <w:p w14:paraId="051BD4CE" w14:textId="7F93A89C"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Acute myocardial infarction</w:t>
            </w:r>
          </w:p>
        </w:tc>
      </w:tr>
      <w:tr w:rsidR="00EA3DD5" w:rsidRPr="003442FE" w14:paraId="581B746F"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278E63DD" w14:textId="6274185E" w:rsidR="00EA3DD5" w:rsidRDefault="00EA3DD5" w:rsidP="00CE7FEE">
            <w:pPr>
              <w:spacing w:before="0" w:after="0" w:line="240" w:lineRule="auto"/>
            </w:pPr>
            <w:r>
              <w:t>AUC</w:t>
            </w:r>
          </w:p>
        </w:tc>
        <w:tc>
          <w:tcPr>
            <w:tcW w:w="6911" w:type="dxa"/>
          </w:tcPr>
          <w:p w14:paraId="1C99ECBB" w14:textId="5EA20317"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Area under the concentration time curve</w:t>
            </w:r>
          </w:p>
        </w:tc>
      </w:tr>
      <w:tr w:rsidR="00EA3DD5" w:rsidRPr="003442FE" w14:paraId="622D5D6D"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91B7C05" w14:textId="0234A105" w:rsidR="00EA3DD5" w:rsidRDefault="00EA3DD5" w:rsidP="00CE7FEE">
            <w:pPr>
              <w:spacing w:before="0" w:after="0" w:line="240" w:lineRule="auto"/>
            </w:pPr>
            <w:r>
              <w:t>ARTG</w:t>
            </w:r>
          </w:p>
        </w:tc>
        <w:tc>
          <w:tcPr>
            <w:tcW w:w="6911" w:type="dxa"/>
          </w:tcPr>
          <w:p w14:paraId="7E71789F" w14:textId="241F54B5"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E54CB4">
              <w:t>Australian Register of Therapeutic Goods</w:t>
            </w:r>
          </w:p>
        </w:tc>
      </w:tr>
      <w:tr w:rsidR="00EA3DD5" w:rsidRPr="003442FE" w14:paraId="606E3C67"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3C6FF1FB" w14:textId="0C11BD62" w:rsidR="00EA3DD5" w:rsidRDefault="00EA3DD5" w:rsidP="00CE7FEE">
            <w:pPr>
              <w:spacing w:before="0" w:after="0" w:line="240" w:lineRule="auto"/>
            </w:pPr>
            <w:r w:rsidRPr="00032ABA">
              <w:t>BIAsp 30</w:t>
            </w:r>
          </w:p>
        </w:tc>
        <w:tc>
          <w:tcPr>
            <w:tcW w:w="6911" w:type="dxa"/>
          </w:tcPr>
          <w:p w14:paraId="2DA2FA6F" w14:textId="1C7B524D"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Biphasic insulin aspart</w:t>
            </w:r>
          </w:p>
        </w:tc>
      </w:tr>
      <w:tr w:rsidR="00EA3DD5" w:rsidRPr="003442FE" w14:paraId="6ACD1978"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3C5D525E" w14:textId="2188A1C3" w:rsidR="00EA3DD5" w:rsidRDefault="00EA3DD5" w:rsidP="00CE7FEE">
            <w:pPr>
              <w:spacing w:before="0" w:after="0" w:line="240" w:lineRule="auto"/>
            </w:pPr>
            <w:r>
              <w:t>BID</w:t>
            </w:r>
          </w:p>
        </w:tc>
        <w:tc>
          <w:tcPr>
            <w:tcW w:w="6911" w:type="dxa"/>
          </w:tcPr>
          <w:p w14:paraId="632DB030" w14:textId="08A6AA40"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Twice a day</w:t>
            </w:r>
          </w:p>
        </w:tc>
      </w:tr>
      <w:tr w:rsidR="00EA3DD5" w:rsidRPr="003442FE" w14:paraId="13325D3D"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3127BD93" w14:textId="6EFF7D34" w:rsidR="00EA3DD5" w:rsidRDefault="00EA3DD5" w:rsidP="00CE7FEE">
            <w:pPr>
              <w:spacing w:before="0" w:after="0" w:line="240" w:lineRule="auto"/>
            </w:pPr>
            <w:r>
              <w:rPr>
                <w:lang w:eastAsia="ja-JP"/>
              </w:rPr>
              <w:t>CER</w:t>
            </w:r>
          </w:p>
        </w:tc>
        <w:tc>
          <w:tcPr>
            <w:tcW w:w="6911" w:type="dxa"/>
          </w:tcPr>
          <w:p w14:paraId="5CA07842" w14:textId="0EBF6432"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332305">
              <w:rPr>
                <w:lang w:eastAsia="ja-JP"/>
              </w:rPr>
              <w:t>Clinical evaluation report</w:t>
            </w:r>
          </w:p>
        </w:tc>
      </w:tr>
      <w:tr w:rsidR="00EA3DD5" w:rsidRPr="003442FE" w14:paraId="7E94C33A"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56FA34C1" w14:textId="6F19C7E4" w:rsidR="00EA3DD5" w:rsidRDefault="00EA3DD5" w:rsidP="00CE7FEE">
            <w:pPr>
              <w:spacing w:before="0" w:after="0" w:line="240" w:lineRule="auto"/>
            </w:pPr>
            <w:r>
              <w:rPr>
                <w:lang w:eastAsia="ja-JP"/>
              </w:rPr>
              <w:t>CHMP</w:t>
            </w:r>
          </w:p>
        </w:tc>
        <w:tc>
          <w:tcPr>
            <w:tcW w:w="6911" w:type="dxa"/>
          </w:tcPr>
          <w:p w14:paraId="57C6BEDB" w14:textId="3819BE50"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332305">
              <w:rPr>
                <w:lang w:eastAsia="ja-JP"/>
              </w:rPr>
              <w:t>Committee for Medicinal Products for Human Use</w:t>
            </w:r>
          </w:p>
        </w:tc>
      </w:tr>
      <w:tr w:rsidR="00EA3DD5" w:rsidRPr="003442FE" w14:paraId="07B14C2C"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9B0F2DB" w14:textId="6F422072" w:rsidR="00EA3DD5" w:rsidRDefault="00EA3DD5" w:rsidP="00CE7FEE">
            <w:pPr>
              <w:spacing w:before="0" w:after="0" w:line="240" w:lineRule="auto"/>
            </w:pPr>
            <w:r>
              <w:rPr>
                <w:lang w:eastAsia="ja-JP"/>
              </w:rPr>
              <w:t>CI</w:t>
            </w:r>
          </w:p>
        </w:tc>
        <w:tc>
          <w:tcPr>
            <w:tcW w:w="6911" w:type="dxa"/>
          </w:tcPr>
          <w:p w14:paraId="646166CA" w14:textId="7673BA52"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Pr>
                <w:lang w:eastAsia="ja-JP"/>
              </w:rPr>
              <w:t>C</w:t>
            </w:r>
            <w:r w:rsidRPr="00332305">
              <w:rPr>
                <w:lang w:eastAsia="ja-JP"/>
              </w:rPr>
              <w:t>onfidence interval</w:t>
            </w:r>
          </w:p>
        </w:tc>
      </w:tr>
      <w:tr w:rsidR="00EA3DD5" w:rsidRPr="003442FE" w14:paraId="1C537F02"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2C100975" w14:textId="6A399EAC" w:rsidR="00EA3DD5" w:rsidRDefault="00EA3DD5" w:rsidP="00CE7FEE">
            <w:pPr>
              <w:spacing w:before="0" w:after="0" w:line="240" w:lineRule="auto"/>
            </w:pPr>
            <w:r>
              <w:t>C</w:t>
            </w:r>
            <w:r w:rsidRPr="003578A9">
              <w:rPr>
                <w:vertAlign w:val="subscript"/>
              </w:rPr>
              <w:t>max</w:t>
            </w:r>
          </w:p>
        </w:tc>
        <w:tc>
          <w:tcPr>
            <w:tcW w:w="6911" w:type="dxa"/>
          </w:tcPr>
          <w:p w14:paraId="7E479CB3" w14:textId="0A64E60E"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Pr>
                <w:lang w:eastAsia="ja-JP"/>
              </w:rPr>
              <w:t>M</w:t>
            </w:r>
            <w:r w:rsidRPr="00332305">
              <w:rPr>
                <w:lang w:eastAsia="ja-JP"/>
              </w:rPr>
              <w:t>aximum plasma concentration</w:t>
            </w:r>
          </w:p>
        </w:tc>
      </w:tr>
      <w:tr w:rsidR="00EA3DD5" w:rsidRPr="003442FE" w14:paraId="03FF5560"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36F0DF25" w14:textId="647D64B6" w:rsidR="00EA3DD5" w:rsidRDefault="00EA3DD5" w:rsidP="00CE7FEE">
            <w:pPr>
              <w:spacing w:before="0" w:after="0" w:line="240" w:lineRule="auto"/>
            </w:pPr>
            <w:r>
              <w:t>CVOT</w:t>
            </w:r>
          </w:p>
        </w:tc>
        <w:tc>
          <w:tcPr>
            <w:tcW w:w="6911" w:type="dxa"/>
          </w:tcPr>
          <w:p w14:paraId="51AD64C2" w14:textId="084C2EA1"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81F02">
              <w:t>Cardiovascular Outcomes Trial</w:t>
            </w:r>
          </w:p>
        </w:tc>
      </w:tr>
      <w:tr w:rsidR="00EA3DD5" w:rsidRPr="003442FE" w14:paraId="20C0407C"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41EFCE4F" w14:textId="02687D62" w:rsidR="00EA3DD5" w:rsidRDefault="00EA3DD5" w:rsidP="00CE7FEE">
            <w:pPr>
              <w:spacing w:before="0" w:after="0" w:line="240" w:lineRule="auto"/>
            </w:pPr>
            <w:r>
              <w:rPr>
                <w:lang w:eastAsia="ja-JP"/>
              </w:rPr>
              <w:t>DPP-4I</w:t>
            </w:r>
          </w:p>
        </w:tc>
        <w:tc>
          <w:tcPr>
            <w:tcW w:w="6911" w:type="dxa"/>
          </w:tcPr>
          <w:p w14:paraId="27CA8E42" w14:textId="4CEE90A2"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Pr>
                <w:lang w:eastAsia="ja-JP"/>
              </w:rPr>
              <w:t>D</w:t>
            </w:r>
            <w:r w:rsidRPr="00332305">
              <w:rPr>
                <w:lang w:eastAsia="ja-JP"/>
              </w:rPr>
              <w:t>ipeptidyl-peptidase 4 inhibitor</w:t>
            </w:r>
          </w:p>
        </w:tc>
      </w:tr>
      <w:tr w:rsidR="00EA3DD5" w:rsidRPr="003442FE" w14:paraId="7EF59BA1"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49C4525E" w14:textId="7361B831" w:rsidR="00EA3DD5" w:rsidRDefault="00EA3DD5" w:rsidP="00CE7FEE">
            <w:pPr>
              <w:spacing w:before="0" w:after="0" w:line="240" w:lineRule="auto"/>
            </w:pPr>
            <w:r>
              <w:rPr>
                <w:lang w:eastAsia="ja-JP"/>
              </w:rPr>
              <w:t>DSUR</w:t>
            </w:r>
          </w:p>
        </w:tc>
        <w:tc>
          <w:tcPr>
            <w:tcW w:w="6911" w:type="dxa"/>
          </w:tcPr>
          <w:p w14:paraId="0B98C621" w14:textId="7A65EFDE"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Pr>
                <w:lang w:eastAsia="ja-JP"/>
              </w:rPr>
              <w:t>Development safety update report</w:t>
            </w:r>
          </w:p>
        </w:tc>
      </w:tr>
      <w:tr w:rsidR="00EA3DD5" w:rsidRPr="003442FE" w14:paraId="07B9AB2E"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32C41AE6" w14:textId="03599180" w:rsidR="00EA3DD5" w:rsidRDefault="00EA3DD5" w:rsidP="00CE7FEE">
            <w:pPr>
              <w:spacing w:before="0" w:after="0" w:line="240" w:lineRule="auto"/>
            </w:pPr>
            <w:r w:rsidRPr="004B3EB7">
              <w:t>EAC</w:t>
            </w:r>
          </w:p>
        </w:tc>
        <w:tc>
          <w:tcPr>
            <w:tcW w:w="6911" w:type="dxa"/>
          </w:tcPr>
          <w:p w14:paraId="2848B0F7" w14:textId="1EC11EB2"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4B3EB7">
              <w:t>Event adjudication committee</w:t>
            </w:r>
          </w:p>
        </w:tc>
      </w:tr>
      <w:tr w:rsidR="00EA3DD5" w:rsidRPr="003442FE" w14:paraId="4FC55AE5"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2EA8289" w14:textId="6FA253FE" w:rsidR="00EA3DD5" w:rsidRDefault="00EA3DD5" w:rsidP="00CE7FEE">
            <w:pPr>
              <w:spacing w:before="0" w:after="0" w:line="240" w:lineRule="auto"/>
            </w:pPr>
            <w:r>
              <w:t>EMA</w:t>
            </w:r>
          </w:p>
        </w:tc>
        <w:tc>
          <w:tcPr>
            <w:tcW w:w="6911" w:type="dxa"/>
          </w:tcPr>
          <w:p w14:paraId="799E7A43" w14:textId="78DAB6B0"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European Medicines Agency</w:t>
            </w:r>
          </w:p>
        </w:tc>
      </w:tr>
      <w:tr w:rsidR="00EA3DD5" w:rsidRPr="003442FE" w14:paraId="129E1BE7"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55C7BA49" w14:textId="7749964D" w:rsidR="00EA3DD5" w:rsidRDefault="00EA3DD5" w:rsidP="00CE7FEE">
            <w:pPr>
              <w:spacing w:before="0" w:after="0" w:line="240" w:lineRule="auto"/>
            </w:pPr>
            <w:r>
              <w:t>FAS</w:t>
            </w:r>
          </w:p>
        </w:tc>
        <w:tc>
          <w:tcPr>
            <w:tcW w:w="6911" w:type="dxa"/>
          </w:tcPr>
          <w:p w14:paraId="6A427562" w14:textId="7D46805E"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F</w:t>
            </w:r>
            <w:r w:rsidRPr="00332305">
              <w:t>ull analysis set</w:t>
            </w:r>
          </w:p>
        </w:tc>
      </w:tr>
      <w:tr w:rsidR="00EA3DD5" w:rsidRPr="003442FE" w14:paraId="583A60B0"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1303B70E" w14:textId="6251E98A" w:rsidR="00EA3DD5" w:rsidRDefault="00EA3DD5" w:rsidP="00CE7FEE">
            <w:pPr>
              <w:spacing w:before="0" w:after="0" w:line="240" w:lineRule="auto"/>
            </w:pPr>
            <w:r w:rsidRPr="00616431">
              <w:t>FDA</w:t>
            </w:r>
          </w:p>
        </w:tc>
        <w:tc>
          <w:tcPr>
            <w:tcW w:w="6911" w:type="dxa"/>
          </w:tcPr>
          <w:p w14:paraId="10925102" w14:textId="77CF83CD"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D64188">
              <w:t>Food and Drug Administration</w:t>
            </w:r>
          </w:p>
        </w:tc>
      </w:tr>
      <w:tr w:rsidR="00EA3DD5" w:rsidRPr="003442FE" w14:paraId="264798C6"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7FB5ABC0" w14:textId="775CCFDB" w:rsidR="00EA3DD5" w:rsidRDefault="00EA3DD5" w:rsidP="00CE7FEE">
            <w:pPr>
              <w:spacing w:before="0" w:after="0" w:line="240" w:lineRule="auto"/>
            </w:pPr>
            <w:r>
              <w:t>FDC</w:t>
            </w:r>
          </w:p>
        </w:tc>
        <w:tc>
          <w:tcPr>
            <w:tcW w:w="6911" w:type="dxa"/>
          </w:tcPr>
          <w:p w14:paraId="778AE387" w14:textId="718CEC5E"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Fixed dose combination</w:t>
            </w:r>
          </w:p>
        </w:tc>
      </w:tr>
      <w:tr w:rsidR="00EA3DD5" w:rsidRPr="003442FE" w14:paraId="79443881"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3ADD3C9" w14:textId="3A792D85" w:rsidR="00EA3DD5" w:rsidRDefault="00EA3DD5" w:rsidP="00CE7FEE">
            <w:pPr>
              <w:spacing w:before="0" w:after="0" w:line="240" w:lineRule="auto"/>
            </w:pPr>
            <w:r>
              <w:t>GIR</w:t>
            </w:r>
          </w:p>
        </w:tc>
        <w:tc>
          <w:tcPr>
            <w:tcW w:w="6911" w:type="dxa"/>
          </w:tcPr>
          <w:p w14:paraId="3EA273E0" w14:textId="46D4E405"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G</w:t>
            </w:r>
            <w:r w:rsidRPr="00332305">
              <w:t>lucose infusion rate</w:t>
            </w:r>
          </w:p>
        </w:tc>
      </w:tr>
      <w:tr w:rsidR="00EA3DD5" w:rsidRPr="003442FE" w14:paraId="16E76A79"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8223F74" w14:textId="5B5B5FC7" w:rsidR="00EA3DD5" w:rsidRDefault="00EA3DD5" w:rsidP="00CE7FEE">
            <w:pPr>
              <w:spacing w:before="0" w:after="0" w:line="240" w:lineRule="auto"/>
            </w:pPr>
            <w:r>
              <w:t>GLP-1</w:t>
            </w:r>
          </w:p>
        </w:tc>
        <w:tc>
          <w:tcPr>
            <w:tcW w:w="6911" w:type="dxa"/>
          </w:tcPr>
          <w:p w14:paraId="24E8ED61" w14:textId="60A77543"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Pr>
                <w:lang w:eastAsia="ja-JP"/>
              </w:rPr>
              <w:t>G</w:t>
            </w:r>
            <w:r w:rsidRPr="00616431">
              <w:rPr>
                <w:lang w:eastAsia="ja-JP"/>
              </w:rPr>
              <w:t>lucagon-like peptide-1</w:t>
            </w:r>
          </w:p>
        </w:tc>
      </w:tr>
      <w:tr w:rsidR="00EA3DD5" w:rsidRPr="003442FE" w14:paraId="0483F862"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4F10A857" w14:textId="2B37836F" w:rsidR="00EA3DD5" w:rsidRDefault="00EA3DD5" w:rsidP="00CE7FEE">
            <w:pPr>
              <w:spacing w:before="0" w:after="0" w:line="240" w:lineRule="auto"/>
            </w:pPr>
            <w:r w:rsidRPr="00616431">
              <w:rPr>
                <w:sz w:val="21"/>
                <w:lang w:eastAsia="ja-JP"/>
              </w:rPr>
              <w:t>HbA</w:t>
            </w:r>
            <w:r w:rsidRPr="00616431">
              <w:rPr>
                <w:sz w:val="21"/>
                <w:vertAlign w:val="subscript"/>
                <w:lang w:eastAsia="ja-JP"/>
              </w:rPr>
              <w:t>1c</w:t>
            </w:r>
          </w:p>
        </w:tc>
        <w:tc>
          <w:tcPr>
            <w:tcW w:w="6911" w:type="dxa"/>
          </w:tcPr>
          <w:p w14:paraId="4D16F363" w14:textId="77763DDD"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616431">
              <w:t xml:space="preserve">Glycated </w:t>
            </w:r>
            <w:r>
              <w:t>h</w:t>
            </w:r>
            <w:r w:rsidRPr="00616431">
              <w:t>aemoglobin</w:t>
            </w:r>
          </w:p>
        </w:tc>
      </w:tr>
      <w:tr w:rsidR="00EA3DD5" w:rsidRPr="003442FE" w14:paraId="732E36BF"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5E9E91E1" w14:textId="6DDA10A7" w:rsidR="00EA3DD5" w:rsidRDefault="00EA3DD5" w:rsidP="00CE7FEE">
            <w:pPr>
              <w:spacing w:before="0" w:after="0" w:line="240" w:lineRule="auto"/>
            </w:pPr>
            <w:r>
              <w:t>IAsp</w:t>
            </w:r>
          </w:p>
        </w:tc>
        <w:tc>
          <w:tcPr>
            <w:tcW w:w="6911" w:type="dxa"/>
          </w:tcPr>
          <w:p w14:paraId="044F59A1" w14:textId="4A8FDEB1"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Insulin aspart</w:t>
            </w:r>
          </w:p>
        </w:tc>
      </w:tr>
      <w:tr w:rsidR="00EA3DD5" w:rsidRPr="003442FE" w14:paraId="042DBC9C"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5C896579" w14:textId="364FEFAC" w:rsidR="00EA3DD5" w:rsidRDefault="00EA3DD5" w:rsidP="00CE7FEE">
            <w:pPr>
              <w:spacing w:before="0" w:after="0" w:line="240" w:lineRule="auto"/>
            </w:pPr>
            <w:r>
              <w:t>IDeg</w:t>
            </w:r>
          </w:p>
        </w:tc>
        <w:tc>
          <w:tcPr>
            <w:tcW w:w="6911" w:type="dxa"/>
          </w:tcPr>
          <w:p w14:paraId="1E06C12E" w14:textId="2A178B5B"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Insulin degludec</w:t>
            </w:r>
          </w:p>
        </w:tc>
      </w:tr>
      <w:tr w:rsidR="00EA3DD5" w:rsidRPr="003442FE" w14:paraId="22E7D255"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7DB2499C" w14:textId="036BAE16" w:rsidR="00EA3DD5" w:rsidRDefault="00EA3DD5" w:rsidP="00CE7FEE">
            <w:pPr>
              <w:spacing w:before="0" w:after="0" w:line="240" w:lineRule="auto"/>
            </w:pPr>
            <w:r>
              <w:t>IDegAsp</w:t>
            </w:r>
          </w:p>
        </w:tc>
        <w:tc>
          <w:tcPr>
            <w:tcW w:w="6911" w:type="dxa"/>
          </w:tcPr>
          <w:p w14:paraId="3BBED46B" w14:textId="519BE4D3"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Insulin degludec (rys)/insulin aspart (rys)</w:t>
            </w:r>
          </w:p>
        </w:tc>
      </w:tr>
      <w:tr w:rsidR="00EA3DD5" w:rsidRPr="003442FE" w14:paraId="14871CF3"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5FDFB600" w14:textId="5BA8E5BF" w:rsidR="00EA3DD5" w:rsidRDefault="00EA3DD5" w:rsidP="00CE7FEE">
            <w:pPr>
              <w:spacing w:before="0" w:after="0" w:line="240" w:lineRule="auto"/>
            </w:pPr>
            <w:r>
              <w:t>IDet</w:t>
            </w:r>
          </w:p>
        </w:tc>
        <w:tc>
          <w:tcPr>
            <w:tcW w:w="6911" w:type="dxa"/>
          </w:tcPr>
          <w:p w14:paraId="24560EEB" w14:textId="2464A945"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In</w:t>
            </w:r>
            <w:r w:rsidRPr="0087340F">
              <w:t>sulin detemir</w:t>
            </w:r>
          </w:p>
        </w:tc>
      </w:tr>
      <w:tr w:rsidR="00EA3DD5" w:rsidRPr="003442FE" w14:paraId="3D411BD1"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691E43E0" w14:textId="5D19C781" w:rsidR="00EA3DD5" w:rsidRDefault="00EA3DD5" w:rsidP="00CE7FEE">
            <w:pPr>
              <w:spacing w:before="0" w:after="0" w:line="240" w:lineRule="auto"/>
            </w:pPr>
            <w:r w:rsidRPr="00616431">
              <w:t>IGlar</w:t>
            </w:r>
          </w:p>
        </w:tc>
        <w:tc>
          <w:tcPr>
            <w:tcW w:w="6911" w:type="dxa"/>
          </w:tcPr>
          <w:p w14:paraId="491ECA3B" w14:textId="5B134F2D"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616431">
              <w:t>Insulin glargine</w:t>
            </w:r>
          </w:p>
        </w:tc>
      </w:tr>
      <w:tr w:rsidR="00EA3DD5" w:rsidRPr="003442FE" w14:paraId="79E00025"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22F0316" w14:textId="1071A8C4" w:rsidR="00EA3DD5" w:rsidRDefault="00EA3DD5" w:rsidP="00CE7FEE">
            <w:pPr>
              <w:spacing w:before="0" w:after="0" w:line="240" w:lineRule="auto"/>
            </w:pPr>
            <w:r>
              <w:t>ISS</w:t>
            </w:r>
          </w:p>
        </w:tc>
        <w:tc>
          <w:tcPr>
            <w:tcW w:w="6911" w:type="dxa"/>
          </w:tcPr>
          <w:p w14:paraId="60961CE9" w14:textId="61FE9B47"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Integrated Summary of Safety </w:t>
            </w:r>
          </w:p>
        </w:tc>
      </w:tr>
      <w:tr w:rsidR="00EA3DD5" w:rsidRPr="003442FE" w14:paraId="2B882DF0"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21660494" w14:textId="01410A1C" w:rsidR="00EA3DD5" w:rsidRDefault="00EA3DD5" w:rsidP="00CE7FEE">
            <w:pPr>
              <w:spacing w:before="0" w:after="0" w:line="240" w:lineRule="auto"/>
            </w:pPr>
            <w:r w:rsidRPr="00616431">
              <w:t>MACE</w:t>
            </w:r>
          </w:p>
        </w:tc>
        <w:tc>
          <w:tcPr>
            <w:tcW w:w="6911" w:type="dxa"/>
          </w:tcPr>
          <w:p w14:paraId="61CA5E15" w14:textId="67554D03"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616431">
              <w:t>Major Adverse Cardiovascular Event</w:t>
            </w:r>
          </w:p>
        </w:tc>
      </w:tr>
      <w:tr w:rsidR="00EA3DD5" w:rsidRPr="003442FE" w14:paraId="0A9E5907"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3B31DDC" w14:textId="7A9D84E9" w:rsidR="00EA3DD5" w:rsidRDefault="00EA3DD5" w:rsidP="00CE7FEE">
            <w:pPr>
              <w:spacing w:before="0" w:after="0" w:line="240" w:lineRule="auto"/>
            </w:pPr>
            <w:r>
              <w:t>MACE (ISA)</w:t>
            </w:r>
          </w:p>
        </w:tc>
        <w:tc>
          <w:tcPr>
            <w:tcW w:w="6911" w:type="dxa"/>
          </w:tcPr>
          <w:p w14:paraId="098D3E5E" w14:textId="2207F850"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616431">
              <w:t>Major Adverse Cardiovascular Event</w:t>
            </w:r>
            <w:r>
              <w:t xml:space="preserve"> (Integrated safety analysis)</w:t>
            </w:r>
          </w:p>
        </w:tc>
      </w:tr>
      <w:tr w:rsidR="00EA3DD5" w:rsidRPr="003442FE" w14:paraId="1702A688"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56F2BCDF" w14:textId="400EC23E" w:rsidR="00EA3DD5" w:rsidRDefault="00EA3DD5" w:rsidP="00CE7FEE">
            <w:pPr>
              <w:spacing w:before="0" w:after="0" w:line="240" w:lineRule="auto"/>
            </w:pPr>
            <w:r w:rsidRPr="00616431">
              <w:t>MedDRA</w:t>
            </w:r>
          </w:p>
        </w:tc>
        <w:tc>
          <w:tcPr>
            <w:tcW w:w="6911" w:type="dxa"/>
          </w:tcPr>
          <w:p w14:paraId="39449486" w14:textId="2C6D6F04"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616431">
              <w:t>Medical Dictionary for Regulatory Activities</w:t>
            </w:r>
          </w:p>
        </w:tc>
      </w:tr>
      <w:tr w:rsidR="00EA3DD5" w:rsidRPr="003442FE" w14:paraId="0171151B"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349F7FC2" w14:textId="6A1D31BD" w:rsidR="00EA3DD5" w:rsidRDefault="00EA3DD5" w:rsidP="00CE7FEE">
            <w:pPr>
              <w:spacing w:before="0" w:after="0" w:line="240" w:lineRule="auto"/>
            </w:pPr>
            <w:r>
              <w:t>OAD</w:t>
            </w:r>
          </w:p>
        </w:tc>
        <w:tc>
          <w:tcPr>
            <w:tcW w:w="6911" w:type="dxa"/>
          </w:tcPr>
          <w:p w14:paraId="65F4F53D" w14:textId="0459224B"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616431">
              <w:t>Oral antidiabetic drug</w:t>
            </w:r>
          </w:p>
        </w:tc>
      </w:tr>
      <w:tr w:rsidR="00EA3DD5" w:rsidRPr="003442FE" w14:paraId="56286AAD"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1E8AADE2" w14:textId="1850D8B5" w:rsidR="00EA3DD5" w:rsidRDefault="00EA3DD5" w:rsidP="00CE7FEE">
            <w:pPr>
              <w:spacing w:before="0" w:after="0" w:line="240" w:lineRule="auto"/>
            </w:pPr>
            <w:r>
              <w:t>OD</w:t>
            </w:r>
          </w:p>
        </w:tc>
        <w:tc>
          <w:tcPr>
            <w:tcW w:w="6911" w:type="dxa"/>
          </w:tcPr>
          <w:p w14:paraId="493D77C4" w14:textId="522418D8"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Once daily</w:t>
            </w:r>
          </w:p>
        </w:tc>
      </w:tr>
      <w:tr w:rsidR="00EA3DD5" w:rsidRPr="003442FE" w14:paraId="2692CBE3"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2C6DEE78" w14:textId="3EB0C3AE" w:rsidR="00EA3DD5" w:rsidRDefault="00EA3DD5" w:rsidP="00CE7FEE">
            <w:pPr>
              <w:spacing w:before="0" w:after="0" w:line="240" w:lineRule="auto"/>
            </w:pPr>
            <w:r>
              <w:t>PD</w:t>
            </w:r>
          </w:p>
        </w:tc>
        <w:tc>
          <w:tcPr>
            <w:tcW w:w="6911" w:type="dxa"/>
          </w:tcPr>
          <w:p w14:paraId="10624F8F" w14:textId="73FBC595"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Pharmacodynamic</w:t>
            </w:r>
          </w:p>
        </w:tc>
      </w:tr>
      <w:tr w:rsidR="00EA3DD5" w:rsidRPr="003442FE" w14:paraId="38D6DE95"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6DBD29E" w14:textId="21354340" w:rsidR="00EA3DD5" w:rsidRDefault="00EA3DD5" w:rsidP="00CE7FEE">
            <w:pPr>
              <w:spacing w:before="0" w:after="0" w:line="240" w:lineRule="auto"/>
            </w:pPr>
            <w:r>
              <w:t>PK</w:t>
            </w:r>
          </w:p>
        </w:tc>
        <w:tc>
          <w:tcPr>
            <w:tcW w:w="6911" w:type="dxa"/>
          </w:tcPr>
          <w:p w14:paraId="3A2BAE9F" w14:textId="248BC27A"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Pharmacokinetic</w:t>
            </w:r>
          </w:p>
        </w:tc>
      </w:tr>
      <w:tr w:rsidR="00EA3DD5" w:rsidRPr="003442FE" w14:paraId="255A3FD8"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47250006" w14:textId="2DDD36B0" w:rsidR="00EA3DD5" w:rsidRDefault="00EA3DD5" w:rsidP="00CE7FEE">
            <w:pPr>
              <w:spacing w:before="0" w:after="0" w:line="240" w:lineRule="auto"/>
            </w:pPr>
            <w:r w:rsidRPr="00616431">
              <w:lastRenderedPageBreak/>
              <w:t>PSUR</w:t>
            </w:r>
          </w:p>
        </w:tc>
        <w:tc>
          <w:tcPr>
            <w:tcW w:w="6911" w:type="dxa"/>
          </w:tcPr>
          <w:p w14:paraId="717EB7B3" w14:textId="64490EAF" w:rsidR="00EA3DD5"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616431">
              <w:rPr>
                <w:lang w:eastAsia="ja-JP"/>
              </w:rPr>
              <w:t>Periodic safety update report</w:t>
            </w:r>
          </w:p>
        </w:tc>
      </w:tr>
      <w:tr w:rsidR="00EA3DD5" w:rsidRPr="003442FE" w14:paraId="2624D059"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7B0B7529" w14:textId="61C54177" w:rsidR="00EA3DD5" w:rsidRPr="00616431" w:rsidRDefault="00EA3DD5" w:rsidP="00CE7FEE">
            <w:pPr>
              <w:spacing w:before="0" w:after="0" w:line="240" w:lineRule="auto"/>
            </w:pPr>
            <w:r w:rsidRPr="00616431">
              <w:rPr>
                <w:lang w:eastAsia="ja-JP"/>
              </w:rPr>
              <w:t>PBRER</w:t>
            </w:r>
          </w:p>
        </w:tc>
        <w:tc>
          <w:tcPr>
            <w:tcW w:w="6911" w:type="dxa"/>
          </w:tcPr>
          <w:p w14:paraId="019AAE7E" w14:textId="676D4FAA"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rsidRPr="00616431">
              <w:rPr>
                <w:lang w:eastAsia="ja-JP"/>
              </w:rPr>
              <w:t>Periodic benefit–risk evaluation report</w:t>
            </w:r>
          </w:p>
        </w:tc>
      </w:tr>
      <w:tr w:rsidR="00EA3DD5" w:rsidRPr="003442FE" w14:paraId="33049ADB"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3B6DBDE6" w14:textId="67961A00" w:rsidR="00EA3DD5" w:rsidRPr="00616431" w:rsidRDefault="00EA3DD5" w:rsidP="00CE7FEE">
            <w:pPr>
              <w:spacing w:before="0" w:after="0" w:line="240" w:lineRule="auto"/>
            </w:pPr>
            <w:r w:rsidRPr="00616431">
              <w:t>PYE</w:t>
            </w:r>
          </w:p>
        </w:tc>
        <w:tc>
          <w:tcPr>
            <w:tcW w:w="6911" w:type="dxa"/>
          </w:tcPr>
          <w:p w14:paraId="7C1B010F" w14:textId="04706BC3"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t>P</w:t>
            </w:r>
            <w:r w:rsidRPr="00616431">
              <w:t>atient years of exposure</w:t>
            </w:r>
          </w:p>
        </w:tc>
      </w:tr>
      <w:tr w:rsidR="00EA3DD5" w:rsidRPr="003442FE" w14:paraId="1938313A"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06AA7E4" w14:textId="67E2D1AF" w:rsidR="00EA3DD5" w:rsidRPr="00616431" w:rsidRDefault="00EA3DD5" w:rsidP="00CE7FEE">
            <w:pPr>
              <w:spacing w:before="0" w:after="0" w:line="240" w:lineRule="auto"/>
            </w:pPr>
            <w:r w:rsidRPr="00D64188">
              <w:t>RMP</w:t>
            </w:r>
          </w:p>
        </w:tc>
        <w:tc>
          <w:tcPr>
            <w:tcW w:w="6911" w:type="dxa"/>
          </w:tcPr>
          <w:p w14:paraId="16B78363" w14:textId="0393091C"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rsidRPr="00D64188">
              <w:t xml:space="preserve">Risk </w:t>
            </w:r>
            <w:r>
              <w:t>m</w:t>
            </w:r>
            <w:r w:rsidRPr="00D64188">
              <w:t xml:space="preserve">anagement </w:t>
            </w:r>
            <w:r>
              <w:t>p</w:t>
            </w:r>
            <w:r w:rsidRPr="00D64188">
              <w:t>lan</w:t>
            </w:r>
          </w:p>
        </w:tc>
      </w:tr>
      <w:tr w:rsidR="00EA3DD5" w:rsidRPr="003442FE" w14:paraId="7EE017BC"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38BFD172" w14:textId="3AD1252E" w:rsidR="00EA3DD5" w:rsidRPr="00616431" w:rsidRDefault="00EA3DD5" w:rsidP="00CE7FEE">
            <w:pPr>
              <w:spacing w:before="0" w:after="0" w:line="240" w:lineRule="auto"/>
            </w:pPr>
            <w:r>
              <w:t>SD</w:t>
            </w:r>
          </w:p>
        </w:tc>
        <w:tc>
          <w:tcPr>
            <w:tcW w:w="6911" w:type="dxa"/>
          </w:tcPr>
          <w:p w14:paraId="31D2CBC5" w14:textId="048C1D6C"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t>S</w:t>
            </w:r>
            <w:r w:rsidRPr="0087340F">
              <w:t>tandard deviation</w:t>
            </w:r>
          </w:p>
        </w:tc>
      </w:tr>
      <w:tr w:rsidR="00EA3DD5" w:rsidRPr="003442FE" w14:paraId="41E1F2B5"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32821188" w14:textId="0E516532" w:rsidR="00EA3DD5" w:rsidRPr="00616431" w:rsidRDefault="00EA3DD5" w:rsidP="00CE7FEE">
            <w:pPr>
              <w:spacing w:before="0" w:after="0" w:line="240" w:lineRule="auto"/>
            </w:pPr>
            <w:r>
              <w:t>Ref</w:t>
            </w:r>
          </w:p>
        </w:tc>
        <w:tc>
          <w:tcPr>
            <w:tcW w:w="6911" w:type="dxa"/>
          </w:tcPr>
          <w:p w14:paraId="42E76386" w14:textId="263B6C65" w:rsidR="00EA3DD5" w:rsidRPr="00616431" w:rsidRDefault="00CE7FEE"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t>Reference</w:t>
            </w:r>
          </w:p>
        </w:tc>
      </w:tr>
      <w:tr w:rsidR="00EA3DD5" w:rsidRPr="003442FE" w14:paraId="4BBF1CAB"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47FCC2E2" w14:textId="21238049" w:rsidR="00EA3DD5" w:rsidRPr="00616431" w:rsidRDefault="00EA3DD5" w:rsidP="00CE7FEE">
            <w:pPr>
              <w:spacing w:before="0" w:after="0" w:line="240" w:lineRule="auto"/>
            </w:pPr>
            <w:r>
              <w:t>SAE</w:t>
            </w:r>
          </w:p>
        </w:tc>
        <w:tc>
          <w:tcPr>
            <w:tcW w:w="6911" w:type="dxa"/>
          </w:tcPr>
          <w:p w14:paraId="46CD4439" w14:textId="69FD4483"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t>Serious adverse event</w:t>
            </w:r>
          </w:p>
        </w:tc>
      </w:tr>
      <w:tr w:rsidR="00EA3DD5" w:rsidRPr="003442FE" w14:paraId="1C6CDE79"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1CDF517D" w14:textId="343A472F" w:rsidR="00EA3DD5" w:rsidRPr="00616431" w:rsidRDefault="00EA3DD5" w:rsidP="00CE7FEE">
            <w:pPr>
              <w:spacing w:before="0" w:after="0" w:line="240" w:lineRule="auto"/>
            </w:pPr>
            <w:r>
              <w:t>SMPG</w:t>
            </w:r>
          </w:p>
        </w:tc>
        <w:tc>
          <w:tcPr>
            <w:tcW w:w="6911" w:type="dxa"/>
          </w:tcPr>
          <w:p w14:paraId="3E45F24A" w14:textId="3AC997A3"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t>S</w:t>
            </w:r>
            <w:r w:rsidRPr="0087340F">
              <w:t>elf-measured plasma glucose</w:t>
            </w:r>
          </w:p>
        </w:tc>
      </w:tr>
      <w:tr w:rsidR="00EA3DD5" w:rsidRPr="003442FE" w14:paraId="65795F98"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690B35B" w14:textId="62CB1F94" w:rsidR="00EA3DD5" w:rsidRPr="00616431" w:rsidRDefault="00EA3DD5" w:rsidP="00CE7FEE">
            <w:pPr>
              <w:spacing w:before="0" w:after="0" w:line="240" w:lineRule="auto"/>
            </w:pPr>
            <w:r w:rsidRPr="00616431">
              <w:t>SOC</w:t>
            </w:r>
          </w:p>
        </w:tc>
        <w:tc>
          <w:tcPr>
            <w:tcW w:w="6911" w:type="dxa"/>
          </w:tcPr>
          <w:p w14:paraId="783D5F2E" w14:textId="25876907"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rsidRPr="00616431">
              <w:rPr>
                <w:lang w:eastAsia="ja-JP"/>
              </w:rPr>
              <w:t>System organ class</w:t>
            </w:r>
          </w:p>
        </w:tc>
      </w:tr>
      <w:tr w:rsidR="00EA3DD5" w:rsidRPr="003442FE" w14:paraId="7A55B1AC"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5A824CD0" w14:textId="56D4F979" w:rsidR="00EA3DD5" w:rsidRPr="00616431" w:rsidRDefault="00EA3DD5" w:rsidP="00CE7FEE">
            <w:pPr>
              <w:spacing w:before="0" w:after="0" w:line="240" w:lineRule="auto"/>
            </w:pPr>
            <w:r>
              <w:rPr>
                <w:rFonts w:eastAsiaTheme="minorHAnsi" w:cs="Cambria"/>
              </w:rPr>
              <w:t>T1DM</w:t>
            </w:r>
          </w:p>
        </w:tc>
        <w:tc>
          <w:tcPr>
            <w:tcW w:w="6911" w:type="dxa"/>
          </w:tcPr>
          <w:p w14:paraId="53C9A898" w14:textId="43737F2F"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t>Type 1 diabetes mellitus</w:t>
            </w:r>
          </w:p>
        </w:tc>
      </w:tr>
      <w:tr w:rsidR="00EA3DD5" w:rsidRPr="003442FE" w14:paraId="473EDA56"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2C952815" w14:textId="40E2FAF3" w:rsidR="00EA3DD5" w:rsidRPr="00616431" w:rsidRDefault="00EA3DD5" w:rsidP="00CE7FEE">
            <w:pPr>
              <w:spacing w:before="0" w:after="0" w:line="240" w:lineRule="auto"/>
            </w:pPr>
            <w:r>
              <w:t>T2DM</w:t>
            </w:r>
          </w:p>
        </w:tc>
        <w:tc>
          <w:tcPr>
            <w:tcW w:w="6911" w:type="dxa"/>
          </w:tcPr>
          <w:p w14:paraId="712F8644" w14:textId="5EC2240D"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t>Type 2 diabetes mellitus</w:t>
            </w:r>
          </w:p>
        </w:tc>
      </w:tr>
      <w:tr w:rsidR="00EA3DD5" w:rsidRPr="003442FE" w14:paraId="34D66F3B"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5228D8C" w14:textId="58EDF684" w:rsidR="00EA3DD5" w:rsidRPr="00616431" w:rsidRDefault="00EA3DD5" w:rsidP="00CE7FEE">
            <w:pPr>
              <w:spacing w:before="0" w:after="0" w:line="240" w:lineRule="auto"/>
            </w:pPr>
            <w:r>
              <w:t>TID</w:t>
            </w:r>
          </w:p>
        </w:tc>
        <w:tc>
          <w:tcPr>
            <w:tcW w:w="6911" w:type="dxa"/>
          </w:tcPr>
          <w:p w14:paraId="199CF101" w14:textId="3CB8FD70" w:rsidR="00EA3DD5" w:rsidRPr="00616431" w:rsidRDefault="00D44164"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t>3</w:t>
            </w:r>
            <w:r w:rsidR="00EA3DD5">
              <w:t xml:space="preserve"> times daily</w:t>
            </w:r>
          </w:p>
        </w:tc>
      </w:tr>
      <w:tr w:rsidR="00EA3DD5" w:rsidRPr="003442FE" w14:paraId="653E5391"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274D4C83" w14:textId="596B5FE6" w:rsidR="00EA3DD5" w:rsidRPr="00616431" w:rsidRDefault="00EA3DD5" w:rsidP="00CE7FEE">
            <w:pPr>
              <w:spacing w:before="0" w:after="0" w:line="240" w:lineRule="auto"/>
            </w:pPr>
            <w:r>
              <w:t>TZD</w:t>
            </w:r>
          </w:p>
        </w:tc>
        <w:tc>
          <w:tcPr>
            <w:tcW w:w="6911" w:type="dxa"/>
          </w:tcPr>
          <w:p w14:paraId="5B7CFE8D" w14:textId="074AE9D4"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ja-JP"/>
              </w:rPr>
            </w:pPr>
            <w:r>
              <w:t>T</w:t>
            </w:r>
            <w:r w:rsidRPr="0087340F">
              <w:t>hiazolidinedione</w:t>
            </w:r>
          </w:p>
        </w:tc>
      </w:tr>
      <w:tr w:rsidR="00EA3DD5" w:rsidRPr="003442FE" w14:paraId="73507EB5"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020A6300" w14:textId="5FF91360" w:rsidR="00EA3DD5" w:rsidRPr="00616431" w:rsidRDefault="00EA3DD5" w:rsidP="00CE7FEE">
            <w:pPr>
              <w:spacing w:before="0" w:after="0" w:line="240" w:lineRule="auto"/>
            </w:pPr>
            <w:r w:rsidRPr="00616431">
              <w:t>U</w:t>
            </w:r>
          </w:p>
        </w:tc>
        <w:tc>
          <w:tcPr>
            <w:tcW w:w="6911" w:type="dxa"/>
          </w:tcPr>
          <w:p w14:paraId="6384A8E7" w14:textId="71692DE7"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t>U</w:t>
            </w:r>
            <w:r w:rsidRPr="00616431">
              <w:t>nits</w:t>
            </w:r>
          </w:p>
        </w:tc>
      </w:tr>
      <w:tr w:rsidR="00EA3DD5" w:rsidRPr="003442FE" w14:paraId="436E0B71" w14:textId="77777777" w:rsidTr="00CE7FEE">
        <w:trPr>
          <w:trHeight w:val="340"/>
        </w:trPr>
        <w:tc>
          <w:tcPr>
            <w:cnfStyle w:val="001000000000" w:firstRow="0" w:lastRow="0" w:firstColumn="1" w:lastColumn="0" w:oddVBand="0" w:evenVBand="0" w:oddHBand="0" w:evenHBand="0" w:firstRowFirstColumn="0" w:firstRowLastColumn="0" w:lastRowFirstColumn="0" w:lastRowLastColumn="0"/>
            <w:tcW w:w="1890" w:type="dxa"/>
          </w:tcPr>
          <w:p w14:paraId="6FBCC3ED" w14:textId="6B12E390" w:rsidR="00EA3DD5" w:rsidRPr="00616431" w:rsidRDefault="00EA3DD5" w:rsidP="00CE7FEE">
            <w:pPr>
              <w:spacing w:before="0" w:after="0" w:line="240" w:lineRule="auto"/>
            </w:pPr>
            <w:r w:rsidRPr="00616431">
              <w:t>UAP</w:t>
            </w:r>
          </w:p>
        </w:tc>
        <w:tc>
          <w:tcPr>
            <w:tcW w:w="6911" w:type="dxa"/>
          </w:tcPr>
          <w:p w14:paraId="37B55AED" w14:textId="4EB0F3D6" w:rsidR="00EA3DD5" w:rsidRPr="00616431" w:rsidRDefault="00EA3DD5" w:rsidP="00CE7F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616431">
              <w:t>Unstable angina pectoris</w:t>
            </w:r>
          </w:p>
        </w:tc>
      </w:tr>
    </w:tbl>
    <w:p w14:paraId="41F98D0D" w14:textId="77777777" w:rsidR="0094614A" w:rsidRDefault="0094614A" w:rsidP="00656251">
      <w:pPr>
        <w:pStyle w:val="Heading2"/>
      </w:pPr>
      <w:bookmarkStart w:id="8" w:name="_Toc517768396"/>
      <w:bookmarkStart w:id="9" w:name="_Toc351718900"/>
      <w:bookmarkStart w:id="10" w:name="_Toc355338635"/>
      <w:r w:rsidRPr="003442FE">
        <w:t>Introduction</w:t>
      </w:r>
      <w:bookmarkEnd w:id="8"/>
    </w:p>
    <w:p w14:paraId="4DE14A09" w14:textId="77777777" w:rsidR="00EA3DD5" w:rsidRPr="00EA3DD5" w:rsidRDefault="00EA3DD5" w:rsidP="00EA3DD5">
      <w:pPr>
        <w:pStyle w:val="Heading3"/>
        <w:rPr>
          <w:rFonts w:eastAsia="Cambria"/>
        </w:rPr>
      </w:pPr>
      <w:bookmarkStart w:id="11" w:name="_Toc487202364"/>
      <w:bookmarkStart w:id="12" w:name="_Toc517768397"/>
      <w:r w:rsidRPr="00EA3DD5">
        <w:rPr>
          <w:rFonts w:eastAsia="Cambria"/>
        </w:rPr>
        <w:t>Submission type</w:t>
      </w:r>
      <w:bookmarkEnd w:id="11"/>
      <w:bookmarkEnd w:id="12"/>
    </w:p>
    <w:p w14:paraId="5AED4FE2" w14:textId="797C904F" w:rsidR="00EA3DD5" w:rsidRPr="00EA3DD5" w:rsidRDefault="00EA3DD5" w:rsidP="00EA3DD5">
      <w:pPr>
        <w:rPr>
          <w:lang w:eastAsia="en-AU"/>
        </w:rPr>
      </w:pPr>
      <w:r>
        <w:rPr>
          <w:lang w:eastAsia="en-AU"/>
        </w:rPr>
        <w:t xml:space="preserve">This was a resubmission </w:t>
      </w:r>
      <w:r w:rsidRPr="00EA3DD5">
        <w:rPr>
          <w:lang w:eastAsia="en-AU"/>
        </w:rPr>
        <w:t>to register the new fixed dose combination (FDC) pr</w:t>
      </w:r>
      <w:r w:rsidR="00F40EE6">
        <w:rPr>
          <w:lang w:eastAsia="en-AU"/>
        </w:rPr>
        <w:t>oduct i</w:t>
      </w:r>
      <w:r w:rsidRPr="00EA3DD5">
        <w:rPr>
          <w:lang w:eastAsia="en-AU"/>
        </w:rPr>
        <w:t>nsulin degludec (rys)/insulin aspart (r</w:t>
      </w:r>
      <w:r w:rsidR="00FE5FE3">
        <w:rPr>
          <w:lang w:eastAsia="en-AU"/>
        </w:rPr>
        <w:t xml:space="preserve">ys) (IDegAsp). Insulin degludec </w:t>
      </w:r>
      <w:r w:rsidRPr="00EA3DD5">
        <w:rPr>
          <w:lang w:eastAsia="en-AU"/>
        </w:rPr>
        <w:t xml:space="preserve">is a new medicine and the subject of a </w:t>
      </w:r>
      <w:r w:rsidR="00F40EE6">
        <w:rPr>
          <w:lang w:eastAsia="en-AU"/>
        </w:rPr>
        <w:t>new</w:t>
      </w:r>
      <w:r w:rsidRPr="00EA3DD5">
        <w:rPr>
          <w:lang w:eastAsia="en-AU"/>
        </w:rPr>
        <w:t xml:space="preserve"> </w:t>
      </w:r>
      <w:r w:rsidR="00FE5FE3">
        <w:rPr>
          <w:lang w:eastAsia="en-AU"/>
        </w:rPr>
        <w:t xml:space="preserve">related </w:t>
      </w:r>
      <w:r w:rsidRPr="00EA3DD5">
        <w:rPr>
          <w:lang w:eastAsia="en-AU"/>
        </w:rPr>
        <w:t>submission</w:t>
      </w:r>
      <w:r w:rsidR="00FE5FE3">
        <w:rPr>
          <w:lang w:eastAsia="en-AU"/>
        </w:rPr>
        <w:t xml:space="preserve"> as a single agent product</w:t>
      </w:r>
      <w:r w:rsidRPr="00EA3DD5">
        <w:rPr>
          <w:lang w:eastAsia="en-AU"/>
        </w:rPr>
        <w:t xml:space="preserve"> </w:t>
      </w:r>
      <w:r w:rsidR="00F40EE6">
        <w:rPr>
          <w:lang w:eastAsia="en-AU"/>
        </w:rPr>
        <w:t>(</w:t>
      </w:r>
      <w:r w:rsidR="00FE5FE3">
        <w:rPr>
          <w:lang w:eastAsia="en-AU"/>
        </w:rPr>
        <w:t>Tresiba FlexTouch/Penfill</w:t>
      </w:r>
      <w:r w:rsidR="00F40EE6">
        <w:rPr>
          <w:lang w:eastAsia="en-AU"/>
        </w:rPr>
        <w:t>)</w:t>
      </w:r>
      <w:r w:rsidRPr="00EA3DD5">
        <w:rPr>
          <w:lang w:eastAsia="en-AU"/>
        </w:rPr>
        <w:t>;</w:t>
      </w:r>
      <w:bookmarkStart w:id="13" w:name="_Ref511595014"/>
      <w:r w:rsidR="006D2393">
        <w:rPr>
          <w:rStyle w:val="FootnoteReference"/>
          <w:lang w:eastAsia="en-AU"/>
        </w:rPr>
        <w:footnoteReference w:id="1"/>
      </w:r>
      <w:bookmarkEnd w:id="13"/>
      <w:r w:rsidRPr="00EA3DD5">
        <w:rPr>
          <w:lang w:eastAsia="en-AU"/>
        </w:rPr>
        <w:t xml:space="preserve"> insulin aspart is listed on the ARTG.</w:t>
      </w:r>
    </w:p>
    <w:p w14:paraId="1DA4F8C0" w14:textId="77777777" w:rsidR="00425634" w:rsidRDefault="00425634" w:rsidP="00425634">
      <w:pPr>
        <w:pStyle w:val="Heading3"/>
        <w:rPr>
          <w:rFonts w:eastAsia="Cambria"/>
        </w:rPr>
      </w:pPr>
      <w:bookmarkStart w:id="14" w:name="_Toc272414596"/>
      <w:bookmarkStart w:id="15" w:name="_Toc290846218"/>
      <w:bookmarkStart w:id="16" w:name="_Toc457473392"/>
      <w:bookmarkStart w:id="17" w:name="_Toc517768398"/>
      <w:r w:rsidRPr="003442FE">
        <w:rPr>
          <w:rFonts w:eastAsia="Cambria"/>
        </w:rPr>
        <w:t>Drug class and therapeutic indication</w:t>
      </w:r>
      <w:bookmarkEnd w:id="14"/>
      <w:bookmarkEnd w:id="15"/>
      <w:bookmarkEnd w:id="16"/>
      <w:bookmarkEnd w:id="17"/>
    </w:p>
    <w:p w14:paraId="2C9C343F" w14:textId="560F1E75" w:rsidR="00F40EE6" w:rsidRPr="00F40EE6" w:rsidRDefault="00F40EE6" w:rsidP="00F40EE6">
      <w:pPr>
        <w:rPr>
          <w:lang w:eastAsia="ja-JP"/>
        </w:rPr>
      </w:pPr>
      <w:r w:rsidRPr="00F40EE6">
        <w:rPr>
          <w:lang w:eastAsia="ja-JP"/>
        </w:rPr>
        <w:t>Insulin degludec (rys)/insulin aspart (rys) combines ultra-l</w:t>
      </w:r>
      <w:r>
        <w:rPr>
          <w:lang w:eastAsia="ja-JP"/>
        </w:rPr>
        <w:t>ong acting insulin with a rapid </w:t>
      </w:r>
      <w:r w:rsidRPr="00F40EE6">
        <w:rPr>
          <w:lang w:eastAsia="ja-JP"/>
        </w:rPr>
        <w:t>acting insulin analogue. Insulin aspart (rys) is an active component of products already registered in Australia (NovoMix and NovoRapid).</w:t>
      </w:r>
    </w:p>
    <w:p w14:paraId="467FB6FF" w14:textId="1233B10E" w:rsidR="00F40EE6" w:rsidRPr="00F40EE6" w:rsidRDefault="00F40EE6" w:rsidP="00F40EE6">
      <w:pPr>
        <w:rPr>
          <w:i/>
          <w:lang w:eastAsia="ja-JP"/>
        </w:rPr>
      </w:pPr>
      <w:r w:rsidRPr="00F40EE6">
        <w:rPr>
          <w:lang w:eastAsia="ja-JP"/>
        </w:rPr>
        <w:t>The proposed indication is ‘</w:t>
      </w:r>
      <w:r w:rsidRPr="00F40EE6">
        <w:rPr>
          <w:i/>
          <w:lang w:eastAsia="ja-JP"/>
        </w:rPr>
        <w:t>to improve glycaemic control in adult patients with diabetes mellitus.’</w:t>
      </w:r>
    </w:p>
    <w:p w14:paraId="5CE7AD19" w14:textId="77777777" w:rsidR="00FF7B45" w:rsidRDefault="00FF7B45" w:rsidP="00FF7B45">
      <w:pPr>
        <w:pStyle w:val="Heading3"/>
        <w:rPr>
          <w:rFonts w:eastAsia="Cambria"/>
        </w:rPr>
      </w:pPr>
      <w:bookmarkStart w:id="18" w:name="_Toc272414597"/>
      <w:bookmarkStart w:id="19" w:name="_Toc290846219"/>
      <w:bookmarkStart w:id="20" w:name="_Toc457473393"/>
      <w:bookmarkStart w:id="21" w:name="_Toc517768399"/>
      <w:r w:rsidRPr="003442FE">
        <w:rPr>
          <w:rFonts w:eastAsia="Cambria"/>
        </w:rPr>
        <w:t>Dosage forms and strengths</w:t>
      </w:r>
      <w:bookmarkEnd w:id="18"/>
      <w:bookmarkEnd w:id="19"/>
      <w:bookmarkEnd w:id="20"/>
      <w:bookmarkEnd w:id="21"/>
    </w:p>
    <w:p w14:paraId="362C20D9" w14:textId="5406BAA3" w:rsidR="00F40EE6" w:rsidRPr="00F40EE6" w:rsidRDefault="00F40EE6" w:rsidP="00F40EE6">
      <w:pPr>
        <w:rPr>
          <w:lang w:eastAsia="ja-JP"/>
        </w:rPr>
      </w:pPr>
      <w:r w:rsidRPr="00F40EE6">
        <w:rPr>
          <w:lang w:eastAsia="ja-JP"/>
        </w:rPr>
        <w:t>The proposed d</w:t>
      </w:r>
      <w:r>
        <w:rPr>
          <w:lang w:eastAsia="ja-JP"/>
        </w:rPr>
        <w:t>osage forms/strengths are shown below in Table 1.</w:t>
      </w:r>
    </w:p>
    <w:p w14:paraId="55F4F647" w14:textId="3431623C" w:rsidR="00F40EE6" w:rsidRPr="00F40EE6" w:rsidRDefault="00F40EE6" w:rsidP="00912111">
      <w:pPr>
        <w:pStyle w:val="Tabletitle"/>
        <w:rPr>
          <w:lang w:eastAsia="ja-JP"/>
        </w:rPr>
      </w:pPr>
      <w:bookmarkStart w:id="22" w:name="_Toc487195068"/>
      <w:r w:rsidRPr="00F40EE6">
        <w:rPr>
          <w:lang w:eastAsia="ja-JP"/>
        </w:rPr>
        <w:t xml:space="preserve">Table </w:t>
      </w:r>
      <w:r>
        <w:rPr>
          <w:lang w:eastAsia="ja-JP"/>
        </w:rPr>
        <w:t>1</w:t>
      </w:r>
      <w:r w:rsidR="00FF49F5">
        <w:rPr>
          <w:lang w:eastAsia="ja-JP"/>
        </w:rPr>
        <w:t>:</w:t>
      </w:r>
      <w:r>
        <w:rPr>
          <w:lang w:eastAsia="ja-JP"/>
        </w:rPr>
        <w:t xml:space="preserve"> </w:t>
      </w:r>
      <w:r w:rsidRPr="00F40EE6">
        <w:rPr>
          <w:lang w:eastAsia="ja-JP"/>
        </w:rPr>
        <w:t>Proposed dosage forms/strengths</w:t>
      </w:r>
      <w:bookmarkEnd w:id="22"/>
    </w:p>
    <w:tbl>
      <w:tblPr>
        <w:tblStyle w:val="TableTGAblue"/>
        <w:tblW w:w="9560" w:type="dxa"/>
        <w:tblLook w:val="04A0" w:firstRow="1" w:lastRow="0" w:firstColumn="1" w:lastColumn="0" w:noHBand="0" w:noVBand="1"/>
        <w:tblDescription w:val="Table 1: Proposed dosage forms/strengths"/>
      </w:tblPr>
      <w:tblGrid>
        <w:gridCol w:w="2518"/>
        <w:gridCol w:w="2270"/>
        <w:gridCol w:w="4772"/>
      </w:tblGrid>
      <w:tr w:rsidR="00912111" w:rsidRPr="00F40EE6" w14:paraId="44F133CB" w14:textId="77777777" w:rsidTr="00842D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14:paraId="3198ECA4" w14:textId="77777777" w:rsidR="00F40EE6" w:rsidRPr="00F40EE6" w:rsidRDefault="00F40EE6" w:rsidP="00912111">
            <w:pPr>
              <w:ind w:left="0"/>
              <w:rPr>
                <w:szCs w:val="22"/>
                <w:lang w:eastAsia="ja-JP"/>
              </w:rPr>
            </w:pPr>
            <w:r w:rsidRPr="00F40EE6">
              <w:rPr>
                <w:szCs w:val="22"/>
                <w:lang w:eastAsia="ja-JP"/>
              </w:rPr>
              <w:t>Active ingredients</w:t>
            </w:r>
          </w:p>
        </w:tc>
        <w:tc>
          <w:tcPr>
            <w:tcW w:w="2270" w:type="dxa"/>
          </w:tcPr>
          <w:p w14:paraId="52BB2A2A" w14:textId="77777777" w:rsidR="00F40EE6" w:rsidRPr="00F40EE6" w:rsidRDefault="00F40EE6" w:rsidP="00912111">
            <w:pPr>
              <w:ind w:left="0"/>
              <w:cnfStyle w:val="100000000000" w:firstRow="1" w:lastRow="0" w:firstColumn="0" w:lastColumn="0" w:oddVBand="0" w:evenVBand="0" w:oddHBand="0" w:evenHBand="0" w:firstRowFirstColumn="0" w:firstRowLastColumn="0" w:lastRowFirstColumn="0" w:lastRowLastColumn="0"/>
              <w:rPr>
                <w:szCs w:val="22"/>
                <w:lang w:eastAsia="ja-JP"/>
              </w:rPr>
            </w:pPr>
            <w:r w:rsidRPr="00F40EE6">
              <w:rPr>
                <w:szCs w:val="22"/>
                <w:lang w:eastAsia="ja-JP"/>
              </w:rPr>
              <w:t>Trade name</w:t>
            </w:r>
          </w:p>
        </w:tc>
        <w:tc>
          <w:tcPr>
            <w:tcW w:w="4772" w:type="dxa"/>
          </w:tcPr>
          <w:p w14:paraId="714D7E3F" w14:textId="77777777" w:rsidR="00F40EE6" w:rsidRPr="00F40EE6" w:rsidRDefault="00F40EE6" w:rsidP="00912111">
            <w:pPr>
              <w:ind w:left="0"/>
              <w:cnfStyle w:val="100000000000" w:firstRow="1" w:lastRow="0" w:firstColumn="0" w:lastColumn="0" w:oddVBand="0" w:evenVBand="0" w:oddHBand="0" w:evenHBand="0" w:firstRowFirstColumn="0" w:firstRowLastColumn="0" w:lastRowFirstColumn="0" w:lastRowLastColumn="0"/>
              <w:rPr>
                <w:szCs w:val="22"/>
                <w:lang w:eastAsia="ja-JP"/>
              </w:rPr>
            </w:pPr>
            <w:r w:rsidRPr="00F40EE6">
              <w:rPr>
                <w:szCs w:val="22"/>
                <w:lang w:eastAsia="ja-JP"/>
              </w:rPr>
              <w:t>Dosage forms/strengths</w:t>
            </w:r>
          </w:p>
        </w:tc>
      </w:tr>
      <w:tr w:rsidR="00912111" w:rsidRPr="00F40EE6" w14:paraId="6C79952E" w14:textId="77777777" w:rsidTr="00912111">
        <w:tc>
          <w:tcPr>
            <w:cnfStyle w:val="001000000000" w:firstRow="0" w:lastRow="0" w:firstColumn="1" w:lastColumn="0" w:oddVBand="0" w:evenVBand="0" w:oddHBand="0" w:evenHBand="0" w:firstRowFirstColumn="0" w:firstRowLastColumn="0" w:lastRowFirstColumn="0" w:lastRowLastColumn="0"/>
            <w:tcW w:w="2518" w:type="dxa"/>
            <w:vMerge w:val="restart"/>
          </w:tcPr>
          <w:p w14:paraId="745CC4CA" w14:textId="36CB66E4" w:rsidR="00F40EE6" w:rsidRPr="00F40EE6" w:rsidRDefault="00912111" w:rsidP="00912111">
            <w:pPr>
              <w:ind w:left="0" w:right="0"/>
              <w:rPr>
                <w:szCs w:val="22"/>
                <w:lang w:eastAsia="ja-JP"/>
              </w:rPr>
            </w:pPr>
            <w:r>
              <w:rPr>
                <w:szCs w:val="22"/>
                <w:lang w:eastAsia="ja-JP"/>
              </w:rPr>
              <w:lastRenderedPageBreak/>
              <w:t xml:space="preserve">Insulin degludec (rys)/ </w:t>
            </w:r>
            <w:r w:rsidR="00F40EE6" w:rsidRPr="00F40EE6">
              <w:rPr>
                <w:szCs w:val="22"/>
                <w:lang w:eastAsia="ja-JP"/>
              </w:rPr>
              <w:t>insulin aspart (rys)</w:t>
            </w:r>
          </w:p>
        </w:tc>
        <w:tc>
          <w:tcPr>
            <w:tcW w:w="2270" w:type="dxa"/>
          </w:tcPr>
          <w:p w14:paraId="25F6759E" w14:textId="77777777" w:rsidR="00F40EE6" w:rsidRPr="00F40EE6" w:rsidRDefault="00F40EE6" w:rsidP="00912111">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F40EE6">
              <w:rPr>
                <w:szCs w:val="22"/>
                <w:lang w:eastAsia="ja-JP"/>
              </w:rPr>
              <w:t>Ryzodeg FlexTouch</w:t>
            </w:r>
          </w:p>
        </w:tc>
        <w:tc>
          <w:tcPr>
            <w:tcW w:w="4772" w:type="dxa"/>
          </w:tcPr>
          <w:p w14:paraId="7B0AE82A" w14:textId="7167BFFF" w:rsidR="00F40EE6" w:rsidRPr="00F40EE6" w:rsidRDefault="00F40EE6" w:rsidP="00912111">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F40EE6">
              <w:rPr>
                <w:szCs w:val="22"/>
                <w:lang w:eastAsia="ja-JP"/>
              </w:rPr>
              <w:t>FlexTouch 100 U/mL (70% soluble insulin degludec a</w:t>
            </w:r>
            <w:r w:rsidR="00912111">
              <w:rPr>
                <w:szCs w:val="22"/>
                <w:lang w:eastAsia="ja-JP"/>
              </w:rPr>
              <w:t xml:space="preserve">nd 30% soluble insulin aspart), </w:t>
            </w:r>
            <w:r w:rsidRPr="00F40EE6">
              <w:rPr>
                <w:szCs w:val="22"/>
                <w:lang w:eastAsia="ja-JP"/>
              </w:rPr>
              <w:t>3 mL solution for injection in prefilled pen</w:t>
            </w:r>
          </w:p>
        </w:tc>
      </w:tr>
      <w:tr w:rsidR="00912111" w:rsidRPr="00F40EE6" w14:paraId="60FC8FF7" w14:textId="77777777" w:rsidTr="00912111">
        <w:tc>
          <w:tcPr>
            <w:cnfStyle w:val="001000000000" w:firstRow="0" w:lastRow="0" w:firstColumn="1" w:lastColumn="0" w:oddVBand="0" w:evenVBand="0" w:oddHBand="0" w:evenHBand="0" w:firstRowFirstColumn="0" w:firstRowLastColumn="0" w:lastRowFirstColumn="0" w:lastRowLastColumn="0"/>
            <w:tcW w:w="2518" w:type="dxa"/>
            <w:vMerge/>
          </w:tcPr>
          <w:p w14:paraId="0F5D04B8" w14:textId="77777777" w:rsidR="00F40EE6" w:rsidRPr="00F40EE6" w:rsidRDefault="00F40EE6" w:rsidP="00912111">
            <w:pPr>
              <w:ind w:right="0"/>
              <w:rPr>
                <w:szCs w:val="22"/>
                <w:lang w:eastAsia="ja-JP"/>
              </w:rPr>
            </w:pPr>
          </w:p>
        </w:tc>
        <w:tc>
          <w:tcPr>
            <w:tcW w:w="2270" w:type="dxa"/>
          </w:tcPr>
          <w:p w14:paraId="7E8AB5D2" w14:textId="77777777" w:rsidR="00F40EE6" w:rsidRPr="00F40EE6" w:rsidRDefault="00F40EE6" w:rsidP="00912111">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F40EE6">
              <w:rPr>
                <w:szCs w:val="22"/>
                <w:lang w:eastAsia="ja-JP"/>
              </w:rPr>
              <w:t>Ryzodeg Penfill</w:t>
            </w:r>
          </w:p>
        </w:tc>
        <w:tc>
          <w:tcPr>
            <w:tcW w:w="4772" w:type="dxa"/>
          </w:tcPr>
          <w:p w14:paraId="2A6E3539" w14:textId="77777777" w:rsidR="00F40EE6" w:rsidRPr="00F40EE6" w:rsidRDefault="00F40EE6" w:rsidP="00912111">
            <w:pPr>
              <w:ind w:left="0" w:right="0"/>
              <w:cnfStyle w:val="000000000000" w:firstRow="0" w:lastRow="0" w:firstColumn="0" w:lastColumn="0" w:oddVBand="0" w:evenVBand="0" w:oddHBand="0" w:evenHBand="0" w:firstRowFirstColumn="0" w:firstRowLastColumn="0" w:lastRowFirstColumn="0" w:lastRowLastColumn="0"/>
              <w:rPr>
                <w:szCs w:val="22"/>
                <w:lang w:eastAsia="ja-JP"/>
              </w:rPr>
            </w:pPr>
            <w:r w:rsidRPr="00F40EE6">
              <w:rPr>
                <w:szCs w:val="22"/>
                <w:lang w:eastAsia="ja-JP"/>
              </w:rPr>
              <w:t>Penfill 100 U/mL (70% soluble insulin degludec and 30% soluble insulin aspart), 3 mL solution for injection in cartridge</w:t>
            </w:r>
          </w:p>
        </w:tc>
      </w:tr>
    </w:tbl>
    <w:p w14:paraId="3EE87FA2" w14:textId="77777777" w:rsidR="00586F98" w:rsidRPr="003442FE" w:rsidRDefault="00586F98" w:rsidP="00912111">
      <w:pPr>
        <w:pStyle w:val="Heading2"/>
      </w:pPr>
      <w:bookmarkStart w:id="23" w:name="_Toc517768400"/>
      <w:r w:rsidRPr="003442FE">
        <w:t>Clinical rationale</w:t>
      </w:r>
      <w:bookmarkEnd w:id="23"/>
    </w:p>
    <w:p w14:paraId="618DDD01" w14:textId="46BEB95E" w:rsidR="00912111" w:rsidRPr="00912111" w:rsidRDefault="00FF7B45" w:rsidP="00912111">
      <w:pPr>
        <w:pStyle w:val="Heading3"/>
        <w:rPr>
          <w:rFonts w:eastAsia="Cambria"/>
        </w:rPr>
      </w:pPr>
      <w:bookmarkStart w:id="24" w:name="_Toc457473397"/>
      <w:bookmarkStart w:id="25" w:name="_Toc517768401"/>
      <w:r w:rsidRPr="003442FE">
        <w:rPr>
          <w:rFonts w:eastAsia="Cambria"/>
        </w:rPr>
        <w:t>Background</w:t>
      </w:r>
      <w:bookmarkEnd w:id="24"/>
      <w:bookmarkEnd w:id="25"/>
    </w:p>
    <w:p w14:paraId="1A64527F" w14:textId="70B36DD7" w:rsidR="00912111" w:rsidRPr="00912111" w:rsidRDefault="00431C33" w:rsidP="00912111">
      <w:pPr>
        <w:rPr>
          <w:lang w:eastAsia="ja-JP"/>
        </w:rPr>
      </w:pPr>
      <w:r>
        <w:rPr>
          <w:lang w:eastAsia="ja-JP"/>
        </w:rPr>
        <w:t>Diabetes m</w:t>
      </w:r>
      <w:r w:rsidR="00912111" w:rsidRPr="00912111">
        <w:rPr>
          <w:lang w:eastAsia="ja-JP"/>
        </w:rPr>
        <w:t xml:space="preserve">ellitus is associated with chronic hyperglycaemia due to either inadequate insulin production, insulin resistance or a combination of the </w:t>
      </w:r>
      <w:r w:rsidR="00AF315E">
        <w:rPr>
          <w:lang w:eastAsia="ja-JP"/>
        </w:rPr>
        <w:t>two</w:t>
      </w:r>
      <w:r w:rsidR="00912111" w:rsidRPr="00912111">
        <w:rPr>
          <w:lang w:eastAsia="ja-JP"/>
        </w:rPr>
        <w:t>. Long term ocular, peripheral nervous system, renal and arterial damage can result.</w:t>
      </w:r>
    </w:p>
    <w:p w14:paraId="15BD9187" w14:textId="184D0941" w:rsidR="00912111" w:rsidRPr="00912111" w:rsidRDefault="00912111" w:rsidP="00584BC1">
      <w:pPr>
        <w:keepNext/>
        <w:rPr>
          <w:lang w:eastAsia="ja-JP"/>
        </w:rPr>
      </w:pPr>
      <w:r w:rsidRPr="00912111">
        <w:rPr>
          <w:lang w:eastAsia="ja-JP"/>
        </w:rPr>
        <w:t xml:space="preserve">There are predominantly </w:t>
      </w:r>
      <w:r>
        <w:rPr>
          <w:lang w:eastAsia="ja-JP"/>
        </w:rPr>
        <w:t>2</w:t>
      </w:r>
      <w:r w:rsidRPr="00912111">
        <w:rPr>
          <w:lang w:eastAsia="ja-JP"/>
        </w:rPr>
        <w:t xml:space="preserve"> types of diabetes:</w:t>
      </w:r>
    </w:p>
    <w:p w14:paraId="2484B525" w14:textId="75A39E1F" w:rsidR="00912111" w:rsidRPr="00912111" w:rsidRDefault="00912111" w:rsidP="00584BC1">
      <w:pPr>
        <w:pStyle w:val="ListBullet"/>
        <w:keepNext/>
        <w:rPr>
          <w:lang w:eastAsia="ja-JP"/>
        </w:rPr>
      </w:pPr>
      <w:r>
        <w:rPr>
          <w:lang w:eastAsia="ja-JP"/>
        </w:rPr>
        <w:t>Type 1,</w:t>
      </w:r>
      <w:r w:rsidRPr="00912111">
        <w:rPr>
          <w:lang w:eastAsia="ja-JP"/>
        </w:rPr>
        <w:t xml:space="preserve"> immune mediated pancreatic cell destruction results in insulin deficiency. Typ</w:t>
      </w:r>
      <w:r w:rsidR="00431C33">
        <w:rPr>
          <w:lang w:eastAsia="ja-JP"/>
        </w:rPr>
        <w:t>e 1 diabetes m</w:t>
      </w:r>
      <w:r w:rsidRPr="00912111">
        <w:rPr>
          <w:lang w:eastAsia="ja-JP"/>
        </w:rPr>
        <w:t>ellitus (T1DM) most commonly develops in childhood.</w:t>
      </w:r>
    </w:p>
    <w:p w14:paraId="122622C3" w14:textId="763D68E2" w:rsidR="00912111" w:rsidRPr="00912111" w:rsidRDefault="00912111" w:rsidP="00912111">
      <w:pPr>
        <w:pStyle w:val="ListBullet"/>
        <w:rPr>
          <w:lang w:eastAsia="ja-JP"/>
        </w:rPr>
      </w:pPr>
      <w:r>
        <w:rPr>
          <w:lang w:eastAsia="ja-JP"/>
        </w:rPr>
        <w:t>Type 2,</w:t>
      </w:r>
      <w:r w:rsidR="005874E2">
        <w:rPr>
          <w:lang w:eastAsia="ja-JP"/>
        </w:rPr>
        <w:t xml:space="preserve"> </w:t>
      </w:r>
      <w:r w:rsidRPr="00912111">
        <w:rPr>
          <w:lang w:eastAsia="ja-JP"/>
        </w:rPr>
        <w:t>a combination of gradual insulin resistance and failure of the pancreas to prod</w:t>
      </w:r>
      <w:r w:rsidR="00431C33">
        <w:rPr>
          <w:lang w:eastAsia="ja-JP"/>
        </w:rPr>
        <w:t>uce sufficient insulin. Type 2 diabetes m</w:t>
      </w:r>
      <w:r w:rsidRPr="00912111">
        <w:rPr>
          <w:lang w:eastAsia="ja-JP"/>
        </w:rPr>
        <w:t>ellitus (T2DM) most commonly develops in adulthood.</w:t>
      </w:r>
    </w:p>
    <w:p w14:paraId="36F122AB" w14:textId="33FDB0EA" w:rsidR="00832370" w:rsidRDefault="00912111" w:rsidP="00912111">
      <w:pPr>
        <w:rPr>
          <w:lang w:eastAsia="ja-JP"/>
        </w:rPr>
      </w:pPr>
      <w:r w:rsidRPr="00912111">
        <w:rPr>
          <w:lang w:eastAsia="ja-JP"/>
        </w:rPr>
        <w:t>In Australia, the estimated prevalence of adults with diabetes (both type 1 and 2) in 20</w:t>
      </w:r>
      <w:r>
        <w:rPr>
          <w:lang w:eastAsia="ja-JP"/>
        </w:rPr>
        <w:t xml:space="preserve">11 to </w:t>
      </w:r>
      <w:r w:rsidRPr="00912111">
        <w:rPr>
          <w:lang w:eastAsia="ja-JP"/>
        </w:rPr>
        <w:t>2012 was 5.4% and in 20</w:t>
      </w:r>
      <w:r>
        <w:rPr>
          <w:lang w:eastAsia="ja-JP"/>
        </w:rPr>
        <w:t>13, over 6000 children (aged 0</w:t>
      </w:r>
      <w:r w:rsidR="005874E2">
        <w:rPr>
          <w:lang w:eastAsia="ja-JP"/>
        </w:rPr>
        <w:t xml:space="preserve"> </w:t>
      </w:r>
      <w:r>
        <w:rPr>
          <w:lang w:eastAsia="ja-JP"/>
        </w:rPr>
        <w:t xml:space="preserve">to </w:t>
      </w:r>
      <w:r w:rsidRPr="00912111">
        <w:rPr>
          <w:lang w:eastAsia="ja-JP"/>
        </w:rPr>
        <w:t>14 years) were estimated to have T1DM</w:t>
      </w:r>
      <w:r>
        <w:rPr>
          <w:lang w:eastAsia="ja-JP"/>
        </w:rPr>
        <w:t>.</w:t>
      </w:r>
      <w:r w:rsidRPr="00912111">
        <w:rPr>
          <w:vertAlign w:val="superscript"/>
          <w:lang w:eastAsia="ja-JP"/>
        </w:rPr>
        <w:footnoteReference w:id="2"/>
      </w:r>
    </w:p>
    <w:p w14:paraId="5C104FE8" w14:textId="5BCBBFBA" w:rsidR="00912111" w:rsidRPr="00912111" w:rsidRDefault="00912111" w:rsidP="00912111">
      <w:pPr>
        <w:rPr>
          <w:lang w:eastAsia="ja-JP"/>
        </w:rPr>
      </w:pPr>
      <w:r w:rsidRPr="00912111">
        <w:rPr>
          <w:lang w:eastAsia="ja-JP"/>
        </w:rPr>
        <w:t>T2DM is by far the</w:t>
      </w:r>
      <w:r>
        <w:rPr>
          <w:lang w:eastAsia="ja-JP"/>
        </w:rPr>
        <w:t xml:space="preserve"> most common type of diabetes; an estimated 849,</w:t>
      </w:r>
      <w:r w:rsidRPr="00912111">
        <w:rPr>
          <w:lang w:eastAsia="ja-JP"/>
        </w:rPr>
        <w:t>000 adults (4.7%) reported that th</w:t>
      </w:r>
      <w:r>
        <w:rPr>
          <w:lang w:eastAsia="ja-JP"/>
        </w:rPr>
        <w:t>ey have type 2 diabetes in 2011 to 20</w:t>
      </w:r>
      <w:r w:rsidRPr="00912111">
        <w:rPr>
          <w:lang w:eastAsia="ja-JP"/>
        </w:rPr>
        <w:t>12, although this is thought to be an underestimate. I</w:t>
      </w:r>
      <w:r>
        <w:rPr>
          <w:lang w:eastAsia="ja-JP"/>
        </w:rPr>
        <w:t>t is estimated that in 2011, 36,</w:t>
      </w:r>
      <w:r w:rsidRPr="00912111">
        <w:rPr>
          <w:lang w:eastAsia="ja-JP"/>
        </w:rPr>
        <w:t>263 Australians started using insulin to treat T2DM</w:t>
      </w:r>
      <w:r>
        <w:rPr>
          <w:lang w:eastAsia="ja-JP"/>
        </w:rPr>
        <w:t xml:space="preserve"> (164 people per 100,</w:t>
      </w:r>
      <w:r w:rsidRPr="00912111">
        <w:rPr>
          <w:lang w:eastAsia="ja-JP"/>
        </w:rPr>
        <w:t>000 population) and the incidence of insulin use for T2DM</w:t>
      </w:r>
      <w:r>
        <w:rPr>
          <w:lang w:eastAsia="ja-JP"/>
        </w:rPr>
        <w:t xml:space="preserve"> increases with age; </w:t>
      </w:r>
      <w:r w:rsidRPr="00912111">
        <w:rPr>
          <w:lang w:eastAsia="ja-JP"/>
        </w:rPr>
        <w:t>it is</w:t>
      </w:r>
      <w:r>
        <w:rPr>
          <w:lang w:eastAsia="ja-JP"/>
        </w:rPr>
        <w:t xml:space="preserve"> estimated that there is a</w:t>
      </w:r>
      <w:r w:rsidR="00431C33">
        <w:rPr>
          <w:lang w:eastAsia="ja-JP"/>
        </w:rPr>
        <w:t>5</w:t>
      </w:r>
      <w:r>
        <w:rPr>
          <w:lang w:eastAsia="ja-JP"/>
        </w:rPr>
        <w:t xml:space="preserve"> </w:t>
      </w:r>
      <w:r w:rsidRPr="00912111">
        <w:rPr>
          <w:lang w:eastAsia="ja-JP"/>
        </w:rPr>
        <w:t>fold increase in the use of i</w:t>
      </w:r>
      <w:r>
        <w:rPr>
          <w:lang w:eastAsia="ja-JP"/>
        </w:rPr>
        <w:t>nsulin between the ages of 40 to 44 and 70 to</w:t>
      </w:r>
      <w:r w:rsidRPr="00912111">
        <w:rPr>
          <w:lang w:eastAsia="ja-JP"/>
        </w:rPr>
        <w:t xml:space="preserve"> 74 years</w:t>
      </w:r>
      <w:r>
        <w:rPr>
          <w:lang w:eastAsia="ja-JP"/>
        </w:rPr>
        <w:t>.</w:t>
      </w:r>
      <w:r w:rsidRPr="00912111">
        <w:rPr>
          <w:vertAlign w:val="superscript"/>
          <w:lang w:eastAsia="ja-JP"/>
        </w:rPr>
        <w:footnoteReference w:id="3"/>
      </w:r>
    </w:p>
    <w:p w14:paraId="0E1A446C" w14:textId="77777777" w:rsidR="00EF15D1" w:rsidRPr="00EF15D1" w:rsidRDefault="00EF15D1" w:rsidP="00EF15D1">
      <w:pPr>
        <w:pStyle w:val="Heading3"/>
        <w:rPr>
          <w:rFonts w:eastAsia="Cambria"/>
        </w:rPr>
      </w:pPr>
      <w:bookmarkStart w:id="26" w:name="_Toc487202371"/>
      <w:bookmarkStart w:id="27" w:name="_Toc517768402"/>
      <w:r w:rsidRPr="00EF15D1">
        <w:rPr>
          <w:rFonts w:eastAsia="Cambria"/>
        </w:rPr>
        <w:t>Current treatment options</w:t>
      </w:r>
      <w:bookmarkStart w:id="28" w:name="_Ref511594837"/>
      <w:r w:rsidRPr="00EF15D1">
        <w:rPr>
          <w:rFonts w:eastAsia="Cambria"/>
          <w:vertAlign w:val="superscript"/>
        </w:rPr>
        <w:footnoteReference w:id="4"/>
      </w:r>
      <w:bookmarkEnd w:id="26"/>
      <w:bookmarkEnd w:id="28"/>
      <w:bookmarkEnd w:id="27"/>
    </w:p>
    <w:p w14:paraId="20BF9A3C" w14:textId="77777777" w:rsidR="00EF15D1" w:rsidRPr="00EF15D1" w:rsidRDefault="00EF15D1" w:rsidP="00EF15D1">
      <w:pPr>
        <w:pStyle w:val="Heading4"/>
      </w:pPr>
      <w:r w:rsidRPr="00EF15D1">
        <w:t>Type 1 diabetes mellitus</w:t>
      </w:r>
    </w:p>
    <w:p w14:paraId="718CAFB5" w14:textId="6A9A6668" w:rsidR="00EF15D1" w:rsidRPr="00EF15D1" w:rsidRDefault="00EF15D1" w:rsidP="00EF15D1">
      <w:pPr>
        <w:rPr>
          <w:lang w:eastAsia="ja-JP"/>
        </w:rPr>
      </w:pPr>
      <w:r w:rsidRPr="00EF15D1">
        <w:rPr>
          <w:lang w:eastAsia="ja-JP"/>
        </w:rPr>
        <w:t>Insulin is the cornerstone of treatment. Insulin need</w:t>
      </w:r>
      <w:r>
        <w:rPr>
          <w:lang w:eastAsia="ja-JP"/>
        </w:rPr>
        <w:t>s may be considered in terms of:</w:t>
      </w:r>
    </w:p>
    <w:p w14:paraId="02AE16B0" w14:textId="2F4F1C36" w:rsidR="00EF15D1" w:rsidRPr="00431C33" w:rsidRDefault="00BB64EA" w:rsidP="00EF15D1">
      <w:pPr>
        <w:pStyle w:val="ListBullet"/>
        <w:rPr>
          <w:lang w:eastAsia="ja-JP"/>
        </w:rPr>
      </w:pPr>
      <w:r>
        <w:rPr>
          <w:lang w:eastAsia="ja-JP"/>
        </w:rPr>
        <w:t>Basal</w:t>
      </w:r>
      <w:r w:rsidR="00EF15D1">
        <w:rPr>
          <w:lang w:eastAsia="ja-JP"/>
        </w:rPr>
        <w:t xml:space="preserve"> insulin, </w:t>
      </w:r>
      <w:r w:rsidR="00EF15D1" w:rsidRPr="00EF15D1">
        <w:rPr>
          <w:lang w:eastAsia="ja-JP"/>
        </w:rPr>
        <w:t xml:space="preserve">which is the background requirement of insulin and is independent of carbohydrate needs. This is usually administered via long or </w:t>
      </w:r>
      <w:r w:rsidR="00EF15D1">
        <w:rPr>
          <w:lang w:eastAsia="ja-JP"/>
        </w:rPr>
        <w:t xml:space="preserve">intermediate acting insulin once </w:t>
      </w:r>
      <w:r w:rsidR="00431C33">
        <w:rPr>
          <w:lang w:eastAsia="ja-JP"/>
        </w:rPr>
        <w:t xml:space="preserve">or twice a day; </w:t>
      </w:r>
      <w:r w:rsidR="00431C33" w:rsidRPr="00431C33">
        <w:rPr>
          <w:lang w:eastAsia="ja-JP"/>
        </w:rPr>
        <w:t>a</w:t>
      </w:r>
      <w:r w:rsidR="00EF15D1" w:rsidRPr="00431C33">
        <w:rPr>
          <w:lang w:eastAsia="ja-JP"/>
        </w:rPr>
        <w:t>nd</w:t>
      </w:r>
    </w:p>
    <w:p w14:paraId="6BA91DA0" w14:textId="6B5BE615" w:rsidR="00EF15D1" w:rsidRPr="00EF15D1" w:rsidRDefault="00BB64EA" w:rsidP="00EF15D1">
      <w:pPr>
        <w:pStyle w:val="ListBullet"/>
        <w:rPr>
          <w:lang w:eastAsia="ja-JP"/>
        </w:rPr>
      </w:pPr>
      <w:r>
        <w:rPr>
          <w:lang w:eastAsia="ja-JP"/>
        </w:rPr>
        <w:lastRenderedPageBreak/>
        <w:t>Bolus</w:t>
      </w:r>
      <w:r w:rsidR="00EF15D1">
        <w:rPr>
          <w:lang w:eastAsia="ja-JP"/>
        </w:rPr>
        <w:t xml:space="preserve"> insulin; </w:t>
      </w:r>
      <w:r w:rsidR="00EF15D1" w:rsidRPr="00EF15D1">
        <w:rPr>
          <w:lang w:eastAsia="ja-JP"/>
        </w:rPr>
        <w:t>which includes prandial insulin to cover oral carbohydrate intake and correction doses which are used to manage very high blood glucose levels. This is usually administered with short or very s</w:t>
      </w:r>
      <w:r w:rsidR="00EF15D1">
        <w:rPr>
          <w:lang w:eastAsia="ja-JP"/>
        </w:rPr>
        <w:t>hort acting insulin formations.</w:t>
      </w:r>
    </w:p>
    <w:p w14:paraId="51E26C1A" w14:textId="77777777" w:rsidR="00EF15D1" w:rsidRPr="00EF15D1" w:rsidRDefault="00EF15D1" w:rsidP="00EF15D1">
      <w:pPr>
        <w:pStyle w:val="Heading4"/>
      </w:pPr>
      <w:r w:rsidRPr="00EF15D1">
        <w:t>Type 2 diabetes mellitus</w:t>
      </w:r>
    </w:p>
    <w:p w14:paraId="7659FE47" w14:textId="1195D97A" w:rsidR="00EF15D1" w:rsidRDefault="00EF15D1" w:rsidP="00EF15D1">
      <w:pPr>
        <w:rPr>
          <w:lang w:eastAsia="ja-JP"/>
        </w:rPr>
      </w:pPr>
      <w:r w:rsidRPr="00EF15D1">
        <w:rPr>
          <w:lang w:eastAsia="ja-JP"/>
        </w:rPr>
        <w:t>Initial treatment usually starts with addressing lifestyle factors. As per current Therapeutic Guidelines, if glycaemic targets are not met with addressing lifestyle factors, metformin is recommended as first line therapy.</w:t>
      </w:r>
      <w:r w:rsidR="00832370" w:rsidRPr="00832370">
        <w:rPr>
          <w:vertAlign w:val="superscript"/>
          <w:lang w:eastAsia="ja-JP"/>
        </w:rPr>
        <w:fldChar w:fldCharType="begin"/>
      </w:r>
      <w:r w:rsidR="00832370" w:rsidRPr="00832370">
        <w:rPr>
          <w:vertAlign w:val="superscript"/>
          <w:lang w:eastAsia="ja-JP"/>
        </w:rPr>
        <w:instrText xml:space="preserve"> NOTEREF _Ref511594837 \h  \* MERGEFORMAT </w:instrText>
      </w:r>
      <w:r w:rsidR="00832370" w:rsidRPr="00832370">
        <w:rPr>
          <w:vertAlign w:val="superscript"/>
          <w:lang w:eastAsia="ja-JP"/>
        </w:rPr>
      </w:r>
      <w:r w:rsidR="00832370" w:rsidRPr="00832370">
        <w:rPr>
          <w:vertAlign w:val="superscript"/>
          <w:lang w:eastAsia="ja-JP"/>
        </w:rPr>
        <w:fldChar w:fldCharType="separate"/>
      </w:r>
      <w:r w:rsidR="00090E68">
        <w:rPr>
          <w:vertAlign w:val="superscript"/>
          <w:lang w:eastAsia="ja-JP"/>
        </w:rPr>
        <w:t>4</w:t>
      </w:r>
      <w:r w:rsidR="00832370" w:rsidRPr="00832370">
        <w:rPr>
          <w:vertAlign w:val="superscript"/>
          <w:lang w:eastAsia="ja-JP"/>
        </w:rPr>
        <w:fldChar w:fldCharType="end"/>
      </w:r>
      <w:r w:rsidRPr="00EF15D1">
        <w:rPr>
          <w:lang w:eastAsia="ja-JP"/>
        </w:rPr>
        <w:t xml:space="preserve"> If glycaemic targets are still not met, current options include a sulfonylurea, </w:t>
      </w:r>
      <w:r w:rsidRPr="00EF15D1">
        <w:rPr>
          <w:lang w:val="en" w:eastAsia="ja-JP"/>
        </w:rPr>
        <w:t>dipeptidyl peptidase-4</w:t>
      </w:r>
      <w:r w:rsidRPr="00EF15D1">
        <w:rPr>
          <w:lang w:eastAsia="ja-JP"/>
        </w:rPr>
        <w:t xml:space="preserve"> (DPP-4) inhibito</w:t>
      </w:r>
      <w:r w:rsidR="00AF5382">
        <w:rPr>
          <w:lang w:eastAsia="ja-JP"/>
        </w:rPr>
        <w:t>r, glucagon-like peptide-1 (GLP</w:t>
      </w:r>
      <w:r w:rsidR="00AF5382">
        <w:rPr>
          <w:lang w:eastAsia="ja-JP"/>
        </w:rPr>
        <w:noBreakHyphen/>
      </w:r>
      <w:r w:rsidRPr="00EF15D1">
        <w:rPr>
          <w:lang w:eastAsia="ja-JP"/>
        </w:rPr>
        <w:t>1) agonist, SGLT-2 inhibitor, thiazolidinedione, acarbose or insulin</w:t>
      </w:r>
      <w:r>
        <w:rPr>
          <w:lang w:eastAsia="ja-JP"/>
        </w:rPr>
        <w:t>.</w:t>
      </w:r>
    </w:p>
    <w:p w14:paraId="183EE792" w14:textId="533E4FBA" w:rsidR="002C36E9" w:rsidRPr="002C36E9" w:rsidRDefault="002C36E9" w:rsidP="002C36E9">
      <w:pPr>
        <w:rPr>
          <w:lang w:eastAsia="ja-JP"/>
        </w:rPr>
      </w:pPr>
      <w:r w:rsidRPr="002C36E9">
        <w:rPr>
          <w:lang w:eastAsia="ja-JP"/>
        </w:rPr>
        <w:t>For patients with T2DM, insulin therapy is generally started as a once daily basal insulin</w:t>
      </w:r>
      <w:r w:rsidR="0033056D">
        <w:rPr>
          <w:lang w:eastAsia="ja-JP"/>
        </w:rPr>
        <w:t xml:space="preserve"> </w:t>
      </w:r>
      <w:r w:rsidR="00BB64EA">
        <w:rPr>
          <w:lang w:eastAsia="ja-JP"/>
        </w:rPr>
        <w:t>injection</w:t>
      </w:r>
      <w:r w:rsidR="00BB64EA" w:rsidRPr="002C36E9">
        <w:rPr>
          <w:lang w:eastAsia="ja-JP"/>
        </w:rPr>
        <w:t>;</w:t>
      </w:r>
      <w:r w:rsidRPr="002C36E9">
        <w:rPr>
          <w:lang w:eastAsia="ja-JP"/>
        </w:rPr>
        <w:t xml:space="preserve"> however some patients may require more intensive treatment. Insulin is usually started in combination to an oral hypoglycaemic therapy.</w:t>
      </w:r>
    </w:p>
    <w:p w14:paraId="77B0ECCC" w14:textId="6DFDBB0E" w:rsidR="00832370" w:rsidRDefault="002C36E9" w:rsidP="00832370">
      <w:pPr>
        <w:rPr>
          <w:lang w:eastAsia="ja-JP"/>
        </w:rPr>
      </w:pPr>
      <w:r w:rsidRPr="002C36E9">
        <w:rPr>
          <w:lang w:eastAsia="ja-JP"/>
        </w:rPr>
        <w:t>The following insulin formulations are available in Australia, as shown below in Table 2.</w:t>
      </w:r>
      <w:bookmarkStart w:id="29" w:name="_Toc487195069"/>
    </w:p>
    <w:p w14:paraId="474E0C69" w14:textId="3DBF7028" w:rsidR="002C36E9" w:rsidRDefault="00EF15D1" w:rsidP="00FF49F5">
      <w:pPr>
        <w:pStyle w:val="Tabletitle"/>
        <w:keepLines/>
        <w:rPr>
          <w:lang w:eastAsia="ja-JP"/>
        </w:rPr>
      </w:pPr>
      <w:r w:rsidRPr="002C36E9">
        <w:rPr>
          <w:lang w:eastAsia="ja-JP"/>
        </w:rPr>
        <w:t xml:space="preserve">Table </w:t>
      </w:r>
      <w:r w:rsidR="008420D0" w:rsidRPr="002C36E9">
        <w:rPr>
          <w:lang w:eastAsia="ja-JP"/>
        </w:rPr>
        <w:t>2</w:t>
      </w:r>
      <w:r w:rsidR="00FF49F5">
        <w:rPr>
          <w:lang w:eastAsia="ja-JP"/>
        </w:rPr>
        <w:t xml:space="preserve">: </w:t>
      </w:r>
      <w:r w:rsidRPr="002C36E9">
        <w:rPr>
          <w:lang w:eastAsia="ja-JP"/>
        </w:rPr>
        <w:t>ARTG registered insulin formulations in Australia</w:t>
      </w:r>
      <w:bookmarkEnd w:id="29"/>
    </w:p>
    <w:tbl>
      <w:tblPr>
        <w:tblStyle w:val="TableTGAblue"/>
        <w:tblW w:w="9240" w:type="dxa"/>
        <w:tblLook w:val="04A0" w:firstRow="1" w:lastRow="0" w:firstColumn="1" w:lastColumn="0" w:noHBand="0" w:noVBand="1"/>
        <w:tblDescription w:val="Table 2: ARTG registered insulin formulations in Australia"/>
      </w:tblPr>
      <w:tblGrid>
        <w:gridCol w:w="2310"/>
        <w:gridCol w:w="2310"/>
        <w:gridCol w:w="2310"/>
        <w:gridCol w:w="2310"/>
      </w:tblGrid>
      <w:tr w:rsidR="009F4052" w14:paraId="1E4CFB0C" w14:textId="77777777" w:rsidTr="009F40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10" w:type="dxa"/>
          </w:tcPr>
          <w:p w14:paraId="2D73CE50" w14:textId="536DC83D" w:rsidR="009F4052" w:rsidRDefault="009F4052" w:rsidP="00090E68">
            <w:pPr>
              <w:keepNext/>
              <w:rPr>
                <w:lang w:eastAsia="ja-JP"/>
              </w:rPr>
            </w:pPr>
            <w:r w:rsidRPr="00BB64EA">
              <w:rPr>
                <w:sz w:val="20"/>
                <w:szCs w:val="20"/>
              </w:rPr>
              <w:t>Type</w:t>
            </w:r>
          </w:p>
        </w:tc>
        <w:tc>
          <w:tcPr>
            <w:tcW w:w="2310" w:type="dxa"/>
          </w:tcPr>
          <w:p w14:paraId="4EBE90F4" w14:textId="35A79F7B" w:rsidR="009F4052" w:rsidRDefault="009F4052" w:rsidP="00090E68">
            <w:pPr>
              <w:keepNext/>
              <w:cnfStyle w:val="100000000000" w:firstRow="1" w:lastRow="0" w:firstColumn="0" w:lastColumn="0" w:oddVBand="0" w:evenVBand="0" w:oddHBand="0" w:evenHBand="0" w:firstRowFirstColumn="0" w:firstRowLastColumn="0" w:lastRowFirstColumn="0" w:lastRowLastColumn="0"/>
              <w:rPr>
                <w:lang w:eastAsia="ja-JP"/>
              </w:rPr>
            </w:pPr>
            <w:r w:rsidRPr="00BB64EA">
              <w:rPr>
                <w:sz w:val="20"/>
                <w:szCs w:val="20"/>
              </w:rPr>
              <w:t>(Relative) Duration of action</w:t>
            </w:r>
          </w:p>
        </w:tc>
        <w:tc>
          <w:tcPr>
            <w:tcW w:w="2310" w:type="dxa"/>
          </w:tcPr>
          <w:p w14:paraId="7FCBBBD3" w14:textId="7A9E0AEC" w:rsidR="009F4052" w:rsidRDefault="009F4052" w:rsidP="00090E68">
            <w:pPr>
              <w:keepNext/>
              <w:cnfStyle w:val="100000000000" w:firstRow="1" w:lastRow="0" w:firstColumn="0" w:lastColumn="0" w:oddVBand="0" w:evenVBand="0" w:oddHBand="0" w:evenHBand="0" w:firstRowFirstColumn="0" w:firstRowLastColumn="0" w:lastRowFirstColumn="0" w:lastRowLastColumn="0"/>
              <w:rPr>
                <w:lang w:eastAsia="ja-JP"/>
              </w:rPr>
            </w:pPr>
            <w:r w:rsidRPr="00BB64EA">
              <w:rPr>
                <w:sz w:val="20"/>
                <w:szCs w:val="20"/>
              </w:rPr>
              <w:t>Active ingredient</w:t>
            </w:r>
          </w:p>
        </w:tc>
        <w:tc>
          <w:tcPr>
            <w:tcW w:w="2310" w:type="dxa"/>
          </w:tcPr>
          <w:p w14:paraId="45F19007" w14:textId="1C15E663" w:rsidR="009F4052" w:rsidRDefault="009F4052" w:rsidP="00090E68">
            <w:pPr>
              <w:keepNext/>
              <w:cnfStyle w:val="100000000000" w:firstRow="1" w:lastRow="0" w:firstColumn="0" w:lastColumn="0" w:oddVBand="0" w:evenVBand="0" w:oddHBand="0" w:evenHBand="0" w:firstRowFirstColumn="0" w:firstRowLastColumn="0" w:lastRowFirstColumn="0" w:lastRowLastColumn="0"/>
              <w:rPr>
                <w:lang w:eastAsia="ja-JP"/>
              </w:rPr>
            </w:pPr>
            <w:r w:rsidRPr="00BB64EA">
              <w:rPr>
                <w:sz w:val="20"/>
                <w:szCs w:val="20"/>
              </w:rPr>
              <w:t>Brand name</w:t>
            </w:r>
          </w:p>
        </w:tc>
      </w:tr>
      <w:tr w:rsidR="009F4052" w14:paraId="38490645"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val="restart"/>
          </w:tcPr>
          <w:p w14:paraId="31969BA7" w14:textId="0F3437F6" w:rsidR="009F4052" w:rsidRDefault="009F4052" w:rsidP="00090E68">
            <w:pPr>
              <w:keepNext/>
              <w:rPr>
                <w:lang w:eastAsia="ja-JP"/>
              </w:rPr>
            </w:pPr>
            <w:r w:rsidRPr="00BB64EA">
              <w:rPr>
                <w:sz w:val="20"/>
                <w:szCs w:val="20"/>
              </w:rPr>
              <w:t>Basal</w:t>
            </w:r>
          </w:p>
        </w:tc>
        <w:tc>
          <w:tcPr>
            <w:tcW w:w="2310" w:type="dxa"/>
            <w:vMerge w:val="restart"/>
          </w:tcPr>
          <w:p w14:paraId="79DE2EC1" w14:textId="6153A398" w:rsidR="009F4052" w:rsidRDefault="009F4052" w:rsidP="00090E68">
            <w:pPr>
              <w:keepNext/>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Long acting</w:t>
            </w:r>
          </w:p>
        </w:tc>
        <w:tc>
          <w:tcPr>
            <w:tcW w:w="2310" w:type="dxa"/>
          </w:tcPr>
          <w:p w14:paraId="5BB4A131" w14:textId="60B7E625" w:rsidR="009F4052" w:rsidRDefault="009F4052" w:rsidP="00090E68">
            <w:pPr>
              <w:keepNext/>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detemir</w:t>
            </w:r>
          </w:p>
        </w:tc>
        <w:tc>
          <w:tcPr>
            <w:tcW w:w="2310" w:type="dxa"/>
          </w:tcPr>
          <w:p w14:paraId="3B98B10A" w14:textId="0A04F0D0" w:rsidR="009F4052" w:rsidRDefault="009F4052" w:rsidP="00090E68">
            <w:pPr>
              <w:keepNext/>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Levemir</w:t>
            </w:r>
          </w:p>
        </w:tc>
      </w:tr>
      <w:tr w:rsidR="009F4052" w14:paraId="50D639D2"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tcPr>
          <w:p w14:paraId="22CDFC25" w14:textId="77777777" w:rsidR="009F4052" w:rsidRDefault="009F4052" w:rsidP="00090E68">
            <w:pPr>
              <w:keepNext/>
              <w:rPr>
                <w:lang w:eastAsia="ja-JP"/>
              </w:rPr>
            </w:pPr>
          </w:p>
        </w:tc>
        <w:tc>
          <w:tcPr>
            <w:tcW w:w="2310" w:type="dxa"/>
            <w:vMerge/>
          </w:tcPr>
          <w:p w14:paraId="534ECB5E" w14:textId="77777777" w:rsidR="009F4052" w:rsidRDefault="009F4052" w:rsidP="00090E68">
            <w:pPr>
              <w:keepNext/>
              <w:cnfStyle w:val="000000000000" w:firstRow="0" w:lastRow="0" w:firstColumn="0" w:lastColumn="0" w:oddVBand="0" w:evenVBand="0" w:oddHBand="0" w:evenHBand="0" w:firstRowFirstColumn="0" w:firstRowLastColumn="0" w:lastRowFirstColumn="0" w:lastRowLastColumn="0"/>
              <w:rPr>
                <w:lang w:eastAsia="ja-JP"/>
              </w:rPr>
            </w:pPr>
          </w:p>
        </w:tc>
        <w:tc>
          <w:tcPr>
            <w:tcW w:w="2310" w:type="dxa"/>
          </w:tcPr>
          <w:p w14:paraId="10DCAA45" w14:textId="7A970718" w:rsidR="009F4052" w:rsidRDefault="009F4052" w:rsidP="00090E68">
            <w:pPr>
              <w:keepNext/>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glargine</w:t>
            </w:r>
          </w:p>
        </w:tc>
        <w:tc>
          <w:tcPr>
            <w:tcW w:w="2310" w:type="dxa"/>
          </w:tcPr>
          <w:p w14:paraId="7C7CD9BA" w14:textId="0EF81204" w:rsidR="009F4052" w:rsidRDefault="009F4052" w:rsidP="00090E68">
            <w:pPr>
              <w:keepNext/>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Lantus, Toujeo, Optisulin</w:t>
            </w:r>
          </w:p>
        </w:tc>
      </w:tr>
      <w:tr w:rsidR="009F4052" w14:paraId="4CCAB5A7"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tcPr>
          <w:p w14:paraId="59F191C4" w14:textId="77777777" w:rsidR="009F4052" w:rsidRDefault="009F4052" w:rsidP="00BB64EA">
            <w:pPr>
              <w:rPr>
                <w:lang w:eastAsia="ja-JP"/>
              </w:rPr>
            </w:pPr>
          </w:p>
        </w:tc>
        <w:tc>
          <w:tcPr>
            <w:tcW w:w="2310" w:type="dxa"/>
          </w:tcPr>
          <w:p w14:paraId="2371F601" w14:textId="5DD7E550"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Intermediate acting</w:t>
            </w:r>
          </w:p>
        </w:tc>
        <w:tc>
          <w:tcPr>
            <w:tcW w:w="2310" w:type="dxa"/>
          </w:tcPr>
          <w:p w14:paraId="65F74A1F" w14:textId="3E85214D"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Isophane (protamine suspension)</w:t>
            </w:r>
          </w:p>
        </w:tc>
        <w:tc>
          <w:tcPr>
            <w:tcW w:w="2310" w:type="dxa"/>
          </w:tcPr>
          <w:p w14:paraId="5AE36538" w14:textId="145B6EC0"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Humulin NPH, Protaphane, Hypurin Isophane</w:t>
            </w:r>
          </w:p>
        </w:tc>
      </w:tr>
      <w:tr w:rsidR="009F4052" w14:paraId="6F87F1B9"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val="restart"/>
          </w:tcPr>
          <w:p w14:paraId="3692BC46" w14:textId="12B4852F" w:rsidR="009F4052" w:rsidRDefault="009F4052" w:rsidP="00BB64EA">
            <w:pPr>
              <w:rPr>
                <w:lang w:eastAsia="ja-JP"/>
              </w:rPr>
            </w:pPr>
            <w:r w:rsidRPr="00BB64EA">
              <w:rPr>
                <w:sz w:val="20"/>
                <w:szCs w:val="20"/>
              </w:rPr>
              <w:t>Bolus</w:t>
            </w:r>
          </w:p>
        </w:tc>
        <w:tc>
          <w:tcPr>
            <w:tcW w:w="2310" w:type="dxa"/>
            <w:vMerge w:val="restart"/>
          </w:tcPr>
          <w:p w14:paraId="364DAC43" w14:textId="32660FDA"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Very short acting (rapid)</w:t>
            </w:r>
          </w:p>
        </w:tc>
        <w:tc>
          <w:tcPr>
            <w:tcW w:w="2310" w:type="dxa"/>
          </w:tcPr>
          <w:p w14:paraId="5CD65038" w14:textId="107AE561"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glulisine</w:t>
            </w:r>
          </w:p>
        </w:tc>
        <w:tc>
          <w:tcPr>
            <w:tcW w:w="2310" w:type="dxa"/>
          </w:tcPr>
          <w:p w14:paraId="24D051EE" w14:textId="55BE8324"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Apidra</w:t>
            </w:r>
          </w:p>
        </w:tc>
      </w:tr>
      <w:tr w:rsidR="009F4052" w14:paraId="5EAC4BED"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tcPr>
          <w:p w14:paraId="50EC514F" w14:textId="77777777" w:rsidR="009F4052" w:rsidRDefault="009F4052" w:rsidP="00BB64EA">
            <w:pPr>
              <w:rPr>
                <w:lang w:eastAsia="ja-JP"/>
              </w:rPr>
            </w:pPr>
          </w:p>
        </w:tc>
        <w:tc>
          <w:tcPr>
            <w:tcW w:w="2310" w:type="dxa"/>
            <w:vMerge/>
          </w:tcPr>
          <w:p w14:paraId="14F824A9" w14:textId="77777777"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p>
        </w:tc>
        <w:tc>
          <w:tcPr>
            <w:tcW w:w="2310" w:type="dxa"/>
          </w:tcPr>
          <w:p w14:paraId="0EA31C86" w14:textId="08B9F22B"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lispro</w:t>
            </w:r>
          </w:p>
        </w:tc>
        <w:tc>
          <w:tcPr>
            <w:tcW w:w="2310" w:type="dxa"/>
          </w:tcPr>
          <w:p w14:paraId="2289EBD7" w14:textId="608C1949"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Humalog</w:t>
            </w:r>
          </w:p>
        </w:tc>
      </w:tr>
      <w:tr w:rsidR="009F4052" w14:paraId="6D8EDA7E"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tcPr>
          <w:p w14:paraId="6EB6DE6A" w14:textId="77777777" w:rsidR="009F4052" w:rsidRDefault="009F4052" w:rsidP="00BB64EA">
            <w:pPr>
              <w:rPr>
                <w:lang w:eastAsia="ja-JP"/>
              </w:rPr>
            </w:pPr>
          </w:p>
        </w:tc>
        <w:tc>
          <w:tcPr>
            <w:tcW w:w="2310" w:type="dxa"/>
            <w:vMerge/>
          </w:tcPr>
          <w:p w14:paraId="787F79DF" w14:textId="77777777"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p>
        </w:tc>
        <w:tc>
          <w:tcPr>
            <w:tcW w:w="2310" w:type="dxa"/>
          </w:tcPr>
          <w:p w14:paraId="4D735978" w14:textId="79B2F22A"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aspart</w:t>
            </w:r>
          </w:p>
        </w:tc>
        <w:tc>
          <w:tcPr>
            <w:tcW w:w="2310" w:type="dxa"/>
          </w:tcPr>
          <w:p w14:paraId="5D3C3B5D" w14:textId="61011DA2"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NovoRapid</w:t>
            </w:r>
          </w:p>
        </w:tc>
      </w:tr>
      <w:tr w:rsidR="009F4052" w14:paraId="4FC46604"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tcPr>
          <w:p w14:paraId="23604C51" w14:textId="77777777" w:rsidR="009F4052" w:rsidRDefault="009F4052" w:rsidP="00BB64EA">
            <w:pPr>
              <w:rPr>
                <w:lang w:eastAsia="ja-JP"/>
              </w:rPr>
            </w:pPr>
          </w:p>
        </w:tc>
        <w:tc>
          <w:tcPr>
            <w:tcW w:w="2310" w:type="dxa"/>
          </w:tcPr>
          <w:p w14:paraId="405C9598" w14:textId="02DAAABE"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Short acting</w:t>
            </w:r>
          </w:p>
        </w:tc>
        <w:tc>
          <w:tcPr>
            <w:tcW w:w="2310" w:type="dxa"/>
          </w:tcPr>
          <w:p w14:paraId="3AE3BDB6" w14:textId="19D4FB2A"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Neutral</w:t>
            </w:r>
          </w:p>
        </w:tc>
        <w:tc>
          <w:tcPr>
            <w:tcW w:w="2310" w:type="dxa"/>
          </w:tcPr>
          <w:p w14:paraId="4DF1D29F" w14:textId="1AB44052"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Actrapid, Humulin R, Hypurin Neutral</w:t>
            </w:r>
          </w:p>
        </w:tc>
      </w:tr>
      <w:tr w:rsidR="009F4052" w14:paraId="06DFA3B7"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val="restart"/>
          </w:tcPr>
          <w:p w14:paraId="534E9222" w14:textId="10144DE7" w:rsidR="009F4052" w:rsidRDefault="009F4052" w:rsidP="00BB64EA">
            <w:pPr>
              <w:rPr>
                <w:lang w:eastAsia="ja-JP"/>
              </w:rPr>
            </w:pPr>
            <w:r w:rsidRPr="00BB64EA">
              <w:rPr>
                <w:sz w:val="20"/>
                <w:szCs w:val="20"/>
              </w:rPr>
              <w:t>Combination</w:t>
            </w:r>
          </w:p>
        </w:tc>
        <w:tc>
          <w:tcPr>
            <w:tcW w:w="2310" w:type="dxa"/>
            <w:vMerge w:val="restart"/>
          </w:tcPr>
          <w:p w14:paraId="0848FA8C" w14:textId="75FD4EA9"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Biphasic, pre-mixed</w:t>
            </w:r>
          </w:p>
        </w:tc>
        <w:tc>
          <w:tcPr>
            <w:tcW w:w="2310" w:type="dxa"/>
          </w:tcPr>
          <w:p w14:paraId="72C07851" w14:textId="11BFAEFF"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Neutral/isophane</w:t>
            </w:r>
          </w:p>
        </w:tc>
        <w:tc>
          <w:tcPr>
            <w:tcW w:w="2310" w:type="dxa"/>
          </w:tcPr>
          <w:p w14:paraId="5CD4A2C0" w14:textId="01A91B05"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Mixtard 50/50, Mixtard 30/70</w:t>
            </w:r>
          </w:p>
        </w:tc>
      </w:tr>
      <w:tr w:rsidR="009F4052" w14:paraId="7EEBE5B6"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tcPr>
          <w:p w14:paraId="66324774" w14:textId="77777777" w:rsidR="009F4052" w:rsidRDefault="009F4052" w:rsidP="00BB64EA">
            <w:pPr>
              <w:rPr>
                <w:lang w:eastAsia="ja-JP"/>
              </w:rPr>
            </w:pPr>
          </w:p>
        </w:tc>
        <w:tc>
          <w:tcPr>
            <w:tcW w:w="2310" w:type="dxa"/>
            <w:vMerge/>
          </w:tcPr>
          <w:p w14:paraId="31EC1451" w14:textId="77777777"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p>
        </w:tc>
        <w:tc>
          <w:tcPr>
            <w:tcW w:w="2310" w:type="dxa"/>
          </w:tcPr>
          <w:p w14:paraId="48D445D6" w14:textId="4F7E5300"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Lispro/lispro protamine</w:t>
            </w:r>
          </w:p>
        </w:tc>
        <w:tc>
          <w:tcPr>
            <w:tcW w:w="2310" w:type="dxa"/>
          </w:tcPr>
          <w:p w14:paraId="1287F77D" w14:textId="3C430C14"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Humalog Mix25, Humalog Mix50</w:t>
            </w:r>
          </w:p>
        </w:tc>
      </w:tr>
      <w:tr w:rsidR="009F4052" w14:paraId="5D636178"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tcPr>
          <w:p w14:paraId="598ABE4C" w14:textId="77777777" w:rsidR="009F4052" w:rsidRDefault="009F4052" w:rsidP="00BB64EA">
            <w:pPr>
              <w:rPr>
                <w:lang w:eastAsia="ja-JP"/>
              </w:rPr>
            </w:pPr>
          </w:p>
        </w:tc>
        <w:tc>
          <w:tcPr>
            <w:tcW w:w="2310" w:type="dxa"/>
            <w:vMerge/>
          </w:tcPr>
          <w:p w14:paraId="3AB344B9" w14:textId="77777777"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p>
        </w:tc>
        <w:tc>
          <w:tcPr>
            <w:tcW w:w="2310" w:type="dxa"/>
          </w:tcPr>
          <w:p w14:paraId="0A604241" w14:textId="733341D7"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Aspart/aspart protamine</w:t>
            </w:r>
          </w:p>
        </w:tc>
        <w:tc>
          <w:tcPr>
            <w:tcW w:w="2310" w:type="dxa"/>
          </w:tcPr>
          <w:p w14:paraId="29DA714F" w14:textId="1071C880"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NovoMix 30</w:t>
            </w:r>
          </w:p>
        </w:tc>
      </w:tr>
      <w:tr w:rsidR="009F4052" w14:paraId="78395329" w14:textId="77777777" w:rsidTr="009F4052">
        <w:tc>
          <w:tcPr>
            <w:cnfStyle w:val="001000000000" w:firstRow="0" w:lastRow="0" w:firstColumn="1" w:lastColumn="0" w:oddVBand="0" w:evenVBand="0" w:oddHBand="0" w:evenHBand="0" w:firstRowFirstColumn="0" w:firstRowLastColumn="0" w:lastRowFirstColumn="0" w:lastRowLastColumn="0"/>
            <w:tcW w:w="2310" w:type="dxa"/>
            <w:vMerge/>
          </w:tcPr>
          <w:p w14:paraId="0D5FF1DC" w14:textId="77777777" w:rsidR="009F4052" w:rsidRDefault="009F4052" w:rsidP="00BB64EA">
            <w:pPr>
              <w:rPr>
                <w:lang w:eastAsia="ja-JP"/>
              </w:rPr>
            </w:pPr>
          </w:p>
        </w:tc>
        <w:tc>
          <w:tcPr>
            <w:tcW w:w="2310" w:type="dxa"/>
            <w:vMerge/>
          </w:tcPr>
          <w:p w14:paraId="34CE4BE1" w14:textId="77777777"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p>
        </w:tc>
        <w:tc>
          <w:tcPr>
            <w:tcW w:w="2310" w:type="dxa"/>
          </w:tcPr>
          <w:p w14:paraId="6941D119" w14:textId="78257F7C"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Neutral/isophane</w:t>
            </w:r>
          </w:p>
        </w:tc>
        <w:tc>
          <w:tcPr>
            <w:tcW w:w="2310" w:type="dxa"/>
          </w:tcPr>
          <w:p w14:paraId="1CFFAE89" w14:textId="51989F99" w:rsidR="009F4052" w:rsidRDefault="009F4052" w:rsidP="00BB64EA">
            <w:pPr>
              <w:cnfStyle w:val="000000000000" w:firstRow="0" w:lastRow="0" w:firstColumn="0" w:lastColumn="0" w:oddVBand="0" w:evenVBand="0" w:oddHBand="0" w:evenHBand="0" w:firstRowFirstColumn="0" w:firstRowLastColumn="0" w:lastRowFirstColumn="0" w:lastRowLastColumn="0"/>
              <w:rPr>
                <w:lang w:eastAsia="ja-JP"/>
              </w:rPr>
            </w:pPr>
            <w:r w:rsidRPr="00BB64EA">
              <w:rPr>
                <w:sz w:val="20"/>
                <w:szCs w:val="20"/>
              </w:rPr>
              <w:t>Humulin 30/70</w:t>
            </w:r>
          </w:p>
        </w:tc>
      </w:tr>
    </w:tbl>
    <w:p w14:paraId="0E875C89" w14:textId="60573CDF" w:rsidR="00912111" w:rsidRPr="00912111" w:rsidRDefault="00832370" w:rsidP="00707EC7">
      <w:pPr>
        <w:pStyle w:val="TableDescription"/>
        <w:keepNext/>
        <w:keepLines/>
        <w:rPr>
          <w:lang w:eastAsia="ja-JP"/>
        </w:rPr>
      </w:pPr>
      <w:r>
        <w:rPr>
          <w:lang w:eastAsia="ja-JP"/>
        </w:rPr>
        <w:lastRenderedPageBreak/>
        <w:t>Adapted from T</w:t>
      </w:r>
      <w:r w:rsidR="00EF15D1" w:rsidRPr="00EF15D1">
        <w:rPr>
          <w:lang w:eastAsia="ja-JP"/>
        </w:rPr>
        <w:t xml:space="preserve">able 5.4 in ‘Diabetes: management’, Endocrinology, eTG Complete. </w:t>
      </w:r>
      <w:proofErr w:type="gramStart"/>
      <w:r w:rsidR="00EF15D1" w:rsidRPr="00EF15D1">
        <w:rPr>
          <w:lang w:eastAsia="ja-JP"/>
        </w:rPr>
        <w:t xml:space="preserve">Additional information from ARTG website (current </w:t>
      </w:r>
      <w:r w:rsidR="00423072">
        <w:rPr>
          <w:lang w:eastAsia="ja-JP"/>
        </w:rPr>
        <w:t>as of 6 October 2016).</w:t>
      </w:r>
      <w:proofErr w:type="gramEnd"/>
    </w:p>
    <w:p w14:paraId="45DAED29" w14:textId="77777777" w:rsidR="004846EE" w:rsidRDefault="004846EE" w:rsidP="004846EE">
      <w:pPr>
        <w:pStyle w:val="Heading3"/>
        <w:rPr>
          <w:rFonts w:eastAsia="Cambria"/>
        </w:rPr>
      </w:pPr>
      <w:bookmarkStart w:id="30" w:name="_Toc457473406"/>
      <w:bookmarkStart w:id="31" w:name="_Toc517768403"/>
      <w:r w:rsidRPr="004846EE">
        <w:rPr>
          <w:rFonts w:eastAsia="Cambria"/>
        </w:rPr>
        <w:t>Clinical rationale</w:t>
      </w:r>
      <w:bookmarkEnd w:id="30"/>
      <w:bookmarkEnd w:id="31"/>
    </w:p>
    <w:p w14:paraId="2B0606DB" w14:textId="687C2964" w:rsidR="00423072" w:rsidRPr="00423072" w:rsidRDefault="00423072" w:rsidP="00423072">
      <w:pPr>
        <w:rPr>
          <w:lang w:eastAsia="ja-JP"/>
        </w:rPr>
      </w:pPr>
      <w:r w:rsidRPr="00423072">
        <w:rPr>
          <w:lang w:eastAsia="ja-JP"/>
        </w:rPr>
        <w:t>The sponsor’s rationale for this new</w:t>
      </w:r>
      <w:r>
        <w:rPr>
          <w:lang w:eastAsia="ja-JP"/>
        </w:rPr>
        <w:t xml:space="preserve"> FDC is that there is </w:t>
      </w:r>
      <w:r w:rsidRPr="00423072">
        <w:rPr>
          <w:lang w:eastAsia="ja-JP"/>
        </w:rPr>
        <w:t>‘</w:t>
      </w:r>
      <w:r>
        <w:rPr>
          <w:i/>
          <w:lang w:eastAsia="ja-JP"/>
        </w:rPr>
        <w:t xml:space="preserve">a need for an ultra </w:t>
      </w:r>
      <w:r w:rsidRPr="00423072">
        <w:rPr>
          <w:i/>
          <w:lang w:eastAsia="ja-JP"/>
        </w:rPr>
        <w:t>long acting basal insulin which more closely mimics endogenous</w:t>
      </w:r>
      <w:r>
        <w:rPr>
          <w:i/>
          <w:lang w:eastAsia="ja-JP"/>
        </w:rPr>
        <w:t xml:space="preserve"> insulin secretion with low day to day variability of glucose </w:t>
      </w:r>
      <w:r w:rsidRPr="00423072">
        <w:rPr>
          <w:i/>
          <w:lang w:eastAsia="ja-JP"/>
        </w:rPr>
        <w:t>lowering action, to deliver improved glycaemic control with a reduced risk of hypoglycaemia relative to premixed insulin</w:t>
      </w:r>
      <w:r w:rsidRPr="00423072">
        <w:rPr>
          <w:lang w:eastAsia="ja-JP"/>
        </w:rPr>
        <w:t>’ (as stated in the c</w:t>
      </w:r>
      <w:r>
        <w:rPr>
          <w:lang w:eastAsia="ja-JP"/>
        </w:rPr>
        <w:t>over letter dated 20 September </w:t>
      </w:r>
      <w:r w:rsidRPr="00423072">
        <w:rPr>
          <w:lang w:eastAsia="ja-JP"/>
        </w:rPr>
        <w:t>2016).</w:t>
      </w:r>
    </w:p>
    <w:p w14:paraId="7AC92A50" w14:textId="77777777" w:rsidR="00762291" w:rsidRDefault="00762291" w:rsidP="00DB4AD4">
      <w:pPr>
        <w:pStyle w:val="Heading3"/>
        <w:rPr>
          <w:rFonts w:eastAsia="Cambria"/>
        </w:rPr>
      </w:pPr>
      <w:bookmarkStart w:id="32" w:name="_Toc517768404"/>
      <w:r w:rsidRPr="00762291">
        <w:rPr>
          <w:rFonts w:eastAsia="Cambria"/>
        </w:rPr>
        <w:t>Guidance</w:t>
      </w:r>
      <w:bookmarkEnd w:id="32"/>
    </w:p>
    <w:p w14:paraId="7A78632B" w14:textId="08CAE1ED" w:rsidR="00554F6A" w:rsidRDefault="00554F6A" w:rsidP="00554F6A">
      <w:r>
        <w:t>Refer to IDeg clinical evaluation report [see Attachment 2 for the Tresiba submission].</w:t>
      </w:r>
      <w:bookmarkStart w:id="33" w:name="_Toc487202375"/>
      <w:r w:rsidRPr="00554F6A">
        <w:rPr>
          <w:vertAlign w:val="superscript"/>
        </w:rPr>
        <w:fldChar w:fldCharType="begin"/>
      </w:r>
      <w:r w:rsidRPr="00554F6A">
        <w:rPr>
          <w:vertAlign w:val="superscript"/>
        </w:rPr>
        <w:instrText xml:space="preserve"> NOTEREF _Ref511595014 \h </w:instrText>
      </w:r>
      <w:r>
        <w:rPr>
          <w:vertAlign w:val="superscript"/>
        </w:rPr>
        <w:instrText xml:space="preserve"> \* MERGEFORMAT </w:instrText>
      </w:r>
      <w:r w:rsidRPr="00554F6A">
        <w:rPr>
          <w:vertAlign w:val="superscript"/>
        </w:rPr>
      </w:r>
      <w:r w:rsidRPr="00554F6A">
        <w:rPr>
          <w:vertAlign w:val="superscript"/>
        </w:rPr>
        <w:fldChar w:fldCharType="separate"/>
      </w:r>
      <w:r w:rsidR="00090E68">
        <w:rPr>
          <w:vertAlign w:val="superscript"/>
        </w:rPr>
        <w:t>1</w:t>
      </w:r>
      <w:r w:rsidRPr="00554F6A">
        <w:rPr>
          <w:vertAlign w:val="superscript"/>
        </w:rPr>
        <w:fldChar w:fldCharType="end"/>
      </w:r>
    </w:p>
    <w:p w14:paraId="5E34419B" w14:textId="778155DD" w:rsidR="00423072" w:rsidRPr="00423072" w:rsidRDefault="00423072" w:rsidP="00554F6A">
      <w:pPr>
        <w:pStyle w:val="Heading3"/>
        <w:rPr>
          <w:rFonts w:eastAsia="Cambria"/>
        </w:rPr>
      </w:pPr>
      <w:bookmarkStart w:id="34" w:name="_Toc517768405"/>
      <w:r w:rsidRPr="00423072">
        <w:rPr>
          <w:rFonts w:eastAsia="Cambria"/>
        </w:rPr>
        <w:t>Evaluator’s commentary on the background information</w:t>
      </w:r>
      <w:bookmarkEnd w:id="33"/>
      <w:bookmarkEnd w:id="34"/>
    </w:p>
    <w:p w14:paraId="20C2D02C" w14:textId="3B4B165E" w:rsidR="00423072" w:rsidRPr="00423072" w:rsidRDefault="00423072" w:rsidP="00423072">
      <w:pPr>
        <w:rPr>
          <w:lang w:eastAsia="ja-JP"/>
        </w:rPr>
      </w:pPr>
      <w:r w:rsidRPr="00423072">
        <w:rPr>
          <w:lang w:eastAsia="ja-JP"/>
        </w:rPr>
        <w:t xml:space="preserve">The events that lead to the withdrawal of the original dossier for IDegAsp are noted. </w:t>
      </w:r>
      <w:r>
        <w:rPr>
          <w:lang w:eastAsia="ja-JP"/>
        </w:rPr>
        <w:t>As agreed at the pre-</w:t>
      </w:r>
      <w:r w:rsidRPr="00423072">
        <w:rPr>
          <w:lang w:eastAsia="ja-JP"/>
        </w:rPr>
        <w:t>submission meeting on 20 October, 2016, the focus of the evaluation of the resubmitted dossier will be on new and updated data; especially the cardiovascular outcomes trial.</w:t>
      </w:r>
    </w:p>
    <w:p w14:paraId="126938E6" w14:textId="77777777" w:rsidR="00586F98" w:rsidRDefault="00586F98" w:rsidP="00586F98">
      <w:pPr>
        <w:pStyle w:val="Heading2"/>
        <w:rPr>
          <w:lang w:eastAsia="en-AU"/>
        </w:rPr>
      </w:pPr>
      <w:bookmarkStart w:id="35" w:name="_Toc517768406"/>
      <w:r w:rsidRPr="003442FE">
        <w:rPr>
          <w:lang w:eastAsia="en-AU"/>
        </w:rPr>
        <w:t>Contents of the clinical dossier</w:t>
      </w:r>
      <w:bookmarkEnd w:id="9"/>
      <w:bookmarkEnd w:id="10"/>
      <w:bookmarkEnd w:id="35"/>
    </w:p>
    <w:p w14:paraId="69B89084" w14:textId="77777777" w:rsidR="00586F98" w:rsidRDefault="00586F98" w:rsidP="00586F98">
      <w:pPr>
        <w:pStyle w:val="Heading3"/>
      </w:pPr>
      <w:bookmarkStart w:id="36" w:name="_Toc517768407"/>
      <w:r w:rsidRPr="003442FE">
        <w:t>Scope of the clinical dossier</w:t>
      </w:r>
      <w:bookmarkEnd w:id="36"/>
    </w:p>
    <w:p w14:paraId="4AA5F495" w14:textId="333291D3" w:rsidR="00423072" w:rsidRDefault="00423072" w:rsidP="00423072">
      <w:pPr>
        <w:rPr>
          <w:lang w:eastAsia="ja-JP"/>
        </w:rPr>
      </w:pPr>
      <w:r>
        <w:rPr>
          <w:lang w:eastAsia="ja-JP"/>
        </w:rPr>
        <w:t>The s</w:t>
      </w:r>
      <w:r w:rsidRPr="00423072">
        <w:rPr>
          <w:lang w:eastAsia="ja-JP"/>
        </w:rPr>
        <w:t>ponsor conducted a pre-submission meeting with the TGA on 20 June 2016, where it was agreed the dossier for IDegAsp</w:t>
      </w:r>
      <w:r w:rsidR="00DA7A84">
        <w:rPr>
          <w:lang w:eastAsia="ja-JP"/>
        </w:rPr>
        <w:t xml:space="preserve"> would be re</w:t>
      </w:r>
      <w:r w:rsidRPr="00423072">
        <w:rPr>
          <w:lang w:eastAsia="ja-JP"/>
        </w:rPr>
        <w:t xml:space="preserve">submitted. In view of the previous evaluation, it was decided the dossier would be limited to data from the DEVOTE </w:t>
      </w:r>
      <w:r w:rsidR="00554F6A">
        <w:rPr>
          <w:lang w:eastAsia="ja-JP"/>
        </w:rPr>
        <w:t>trial</w:t>
      </w:r>
      <w:r w:rsidRPr="00423072">
        <w:rPr>
          <w:lang w:eastAsia="ja-JP"/>
        </w:rPr>
        <w:t>, synopses of studies completed since the previous submission rather than full clinical trial reports</w:t>
      </w:r>
      <w:r w:rsidR="00DA7A84">
        <w:rPr>
          <w:lang w:eastAsia="ja-JP"/>
        </w:rPr>
        <w:t>,</w:t>
      </w:r>
      <w:r w:rsidRPr="00423072">
        <w:rPr>
          <w:lang w:eastAsia="ja-JP"/>
        </w:rPr>
        <w:t xml:space="preserve"> and addressing any outstanding issues from the previous s</w:t>
      </w:r>
      <w:r w:rsidR="00DA7A84">
        <w:rPr>
          <w:lang w:eastAsia="ja-JP"/>
        </w:rPr>
        <w:t>ubmission.</w:t>
      </w:r>
    </w:p>
    <w:p w14:paraId="0DC517C4" w14:textId="77777777" w:rsidR="00611FB6" w:rsidRDefault="00DA7A84" w:rsidP="00DA7A84">
      <w:r w:rsidRPr="00DA7A84">
        <w:t>New studies:</w:t>
      </w:r>
    </w:p>
    <w:p w14:paraId="7C73D97F" w14:textId="77777777" w:rsidR="00611FB6" w:rsidRDefault="00611FB6" w:rsidP="00DA7A84">
      <w:pPr>
        <w:pStyle w:val="ListBullet"/>
      </w:pPr>
      <w:r>
        <w:rPr>
          <w:lang w:eastAsia="ja-JP"/>
        </w:rPr>
        <w:t>10</w:t>
      </w:r>
      <w:r w:rsidR="00DA7A84" w:rsidRPr="00DA7A84">
        <w:rPr>
          <w:lang w:eastAsia="ja-JP"/>
        </w:rPr>
        <w:t xml:space="preserve"> new IDegAsp studies were submitted (compared with the original submission) as synopses. These included 7</w:t>
      </w:r>
      <w:r>
        <w:rPr>
          <w:lang w:eastAsia="ja-JP"/>
        </w:rPr>
        <w:t xml:space="preserve"> Phase III</w:t>
      </w:r>
      <w:r w:rsidR="00DA7A84" w:rsidRPr="00DA7A84">
        <w:rPr>
          <w:lang w:eastAsia="ja-JP"/>
        </w:rPr>
        <w:t xml:space="preserve"> trials (including 1 extension part) and 3 clinical pharmaco</w:t>
      </w:r>
      <w:r>
        <w:rPr>
          <w:lang w:eastAsia="ja-JP"/>
        </w:rPr>
        <w:t>logy trials.</w:t>
      </w:r>
    </w:p>
    <w:p w14:paraId="04791F6F" w14:textId="47A10867" w:rsidR="00DA7A84" w:rsidRPr="00DA7A84" w:rsidRDefault="00DA7A84" w:rsidP="00DA7A84">
      <w:pPr>
        <w:pStyle w:val="ListBullet"/>
      </w:pPr>
      <w:r w:rsidRPr="00DA7A84">
        <w:rPr>
          <w:lang w:eastAsia="ja-JP"/>
        </w:rPr>
        <w:t>Additional information w</w:t>
      </w:r>
      <w:r w:rsidR="00611FB6">
        <w:rPr>
          <w:lang w:eastAsia="ja-JP"/>
        </w:rPr>
        <w:t xml:space="preserve">as submitted in December 2016; </w:t>
      </w:r>
      <w:r w:rsidRPr="00DA7A84">
        <w:rPr>
          <w:lang w:eastAsia="ja-JP"/>
        </w:rPr>
        <w:t>this was the interim data fr</w:t>
      </w:r>
      <w:r w:rsidR="00611FB6">
        <w:rPr>
          <w:lang w:eastAsia="ja-JP"/>
        </w:rPr>
        <w:t xml:space="preserve">om the cardiovascular outcomes </w:t>
      </w:r>
      <w:r w:rsidRPr="00DA7A84">
        <w:rPr>
          <w:lang w:eastAsia="ja-JP"/>
        </w:rPr>
        <w:t xml:space="preserve">DEVOTE </w:t>
      </w:r>
      <w:r w:rsidR="00B27CF9">
        <w:rPr>
          <w:lang w:eastAsia="ja-JP"/>
        </w:rPr>
        <w:t xml:space="preserve">trial </w:t>
      </w:r>
      <w:r w:rsidRPr="00DA7A84">
        <w:rPr>
          <w:lang w:eastAsia="ja-JP"/>
        </w:rPr>
        <w:t>(</w:t>
      </w:r>
      <w:r w:rsidR="00611FB6">
        <w:rPr>
          <w:lang w:eastAsia="ja-JP"/>
        </w:rPr>
        <w:t xml:space="preserve">Study </w:t>
      </w:r>
      <w:r w:rsidRPr="00DA7A84">
        <w:rPr>
          <w:lang w:eastAsia="ja-JP"/>
        </w:rPr>
        <w:t>EX1250-4080).</w:t>
      </w:r>
    </w:p>
    <w:p w14:paraId="35B7A7C9" w14:textId="77777777" w:rsidR="00DA7A84" w:rsidRPr="00611FB6" w:rsidRDefault="00DA7A84" w:rsidP="00611FB6">
      <w:r w:rsidRPr="00611FB6">
        <w:t>Other key documents included:</w:t>
      </w:r>
    </w:p>
    <w:p w14:paraId="72B90828" w14:textId="433563A5" w:rsidR="00DA7A84" w:rsidRPr="00611FB6" w:rsidRDefault="00DA7A84" w:rsidP="00611FB6">
      <w:pPr>
        <w:pStyle w:val="ListBullet"/>
        <w:rPr>
          <w:lang w:eastAsia="ja-JP"/>
        </w:rPr>
      </w:pPr>
      <w:r w:rsidRPr="00DA7A84">
        <w:rPr>
          <w:lang w:eastAsia="ja-JP"/>
        </w:rPr>
        <w:t xml:space="preserve">Periodic Safety </w:t>
      </w:r>
      <w:r w:rsidR="00611FB6">
        <w:rPr>
          <w:lang w:eastAsia="ja-JP"/>
        </w:rPr>
        <w:t>Update Report/Periodic Benefit-</w:t>
      </w:r>
      <w:r w:rsidRPr="00DA7A84">
        <w:rPr>
          <w:lang w:eastAsia="ja-JP"/>
        </w:rPr>
        <w:t>Risk Evaluation Report IDegAsp</w:t>
      </w:r>
      <w:r w:rsidR="00611FB6">
        <w:rPr>
          <w:lang w:eastAsia="ja-JP"/>
        </w:rPr>
        <w:t xml:space="preserve"> (1 </w:t>
      </w:r>
      <w:r w:rsidRPr="00DA7A84">
        <w:rPr>
          <w:lang w:eastAsia="ja-JP"/>
        </w:rPr>
        <w:t>Oct</w:t>
      </w:r>
      <w:r w:rsidR="00611FB6">
        <w:rPr>
          <w:lang w:eastAsia="ja-JP"/>
        </w:rPr>
        <w:t>ober 2014 to</w:t>
      </w:r>
      <w:r w:rsidRPr="00DA7A84">
        <w:rPr>
          <w:lang w:eastAsia="ja-JP"/>
        </w:rPr>
        <w:t xml:space="preserve"> 30 Sep</w:t>
      </w:r>
      <w:r w:rsidR="00611FB6">
        <w:rPr>
          <w:lang w:eastAsia="ja-JP"/>
        </w:rPr>
        <w:t>tember</w:t>
      </w:r>
      <w:r w:rsidRPr="00DA7A84">
        <w:rPr>
          <w:lang w:eastAsia="ja-JP"/>
        </w:rPr>
        <w:t xml:space="preserve"> 2015</w:t>
      </w:r>
      <w:r w:rsidR="00611FB6">
        <w:rPr>
          <w:lang w:eastAsia="ja-JP"/>
        </w:rPr>
        <w:t>)</w:t>
      </w:r>
      <w:r w:rsidRPr="00DA7A84">
        <w:rPr>
          <w:lang w:eastAsia="ja-JP"/>
        </w:rPr>
        <w:t>.</w:t>
      </w:r>
    </w:p>
    <w:p w14:paraId="3F7ACADC" w14:textId="77777777" w:rsidR="00DA7A84" w:rsidRPr="00DA7A84" w:rsidRDefault="00DA7A84" w:rsidP="00DA7A84">
      <w:pPr>
        <w:rPr>
          <w:lang w:eastAsia="ja-JP"/>
        </w:rPr>
      </w:pPr>
      <w:r w:rsidRPr="00DA7A84">
        <w:rPr>
          <w:lang w:eastAsia="ja-JP"/>
        </w:rPr>
        <w:t>The following documents were provided:</w:t>
      </w:r>
    </w:p>
    <w:p w14:paraId="64C53C27" w14:textId="20451C7D" w:rsidR="00DA7A84" w:rsidRPr="00DA7A84" w:rsidRDefault="00611FB6" w:rsidP="00611FB6">
      <w:pPr>
        <w:pStyle w:val="ListBullet"/>
        <w:rPr>
          <w:lang w:eastAsia="ja-JP"/>
        </w:rPr>
      </w:pPr>
      <w:r>
        <w:rPr>
          <w:lang w:eastAsia="ja-JP"/>
        </w:rPr>
        <w:t>Introduction</w:t>
      </w:r>
    </w:p>
    <w:p w14:paraId="7DA18306" w14:textId="77777777" w:rsidR="00DA7A84" w:rsidRPr="00DA7A84" w:rsidRDefault="00DA7A84" w:rsidP="00611FB6">
      <w:pPr>
        <w:pStyle w:val="ListBullet"/>
        <w:rPr>
          <w:lang w:eastAsia="ja-JP"/>
        </w:rPr>
      </w:pPr>
      <w:r w:rsidRPr="00DA7A84">
        <w:rPr>
          <w:lang w:eastAsia="ja-JP"/>
        </w:rPr>
        <w:t>Quality Overall Summaries</w:t>
      </w:r>
    </w:p>
    <w:p w14:paraId="382C7BBC" w14:textId="1D63CC9A" w:rsidR="00DA7A84" w:rsidRPr="00DA7A84" w:rsidRDefault="00FC61BD" w:rsidP="00611FB6">
      <w:pPr>
        <w:pStyle w:val="ListBullet"/>
        <w:rPr>
          <w:lang w:eastAsia="ja-JP"/>
        </w:rPr>
      </w:pPr>
      <w:r>
        <w:rPr>
          <w:lang w:eastAsia="ja-JP"/>
        </w:rPr>
        <w:t>Non</w:t>
      </w:r>
      <w:r w:rsidR="00DA7A84" w:rsidRPr="00DA7A84">
        <w:rPr>
          <w:lang w:eastAsia="ja-JP"/>
        </w:rPr>
        <w:t>clinical overview for both IDegAsp and IAsp</w:t>
      </w:r>
    </w:p>
    <w:p w14:paraId="1D93AD32" w14:textId="77777777" w:rsidR="00DA7A84" w:rsidRPr="00DA7A84" w:rsidRDefault="00DA7A84" w:rsidP="00611FB6">
      <w:pPr>
        <w:pStyle w:val="ListBullet"/>
        <w:rPr>
          <w:lang w:eastAsia="ja-JP"/>
        </w:rPr>
      </w:pPr>
      <w:r w:rsidRPr="00DA7A84">
        <w:rPr>
          <w:lang w:eastAsia="ja-JP"/>
        </w:rPr>
        <w:t>Clinical overview for IDegAsp, IDeg and IAsp</w:t>
      </w:r>
    </w:p>
    <w:p w14:paraId="45681F18" w14:textId="18ACE91E" w:rsidR="00DA7A84" w:rsidRPr="00DA7A84" w:rsidRDefault="00DA7A84" w:rsidP="00611FB6">
      <w:pPr>
        <w:pStyle w:val="ListBullet"/>
        <w:rPr>
          <w:lang w:eastAsia="ja-JP"/>
        </w:rPr>
      </w:pPr>
      <w:r w:rsidRPr="00DA7A84">
        <w:rPr>
          <w:lang w:eastAsia="ja-JP"/>
        </w:rPr>
        <w:t>Non</w:t>
      </w:r>
      <w:r w:rsidR="00611FB6">
        <w:rPr>
          <w:lang w:eastAsia="ja-JP"/>
        </w:rPr>
        <w:t>clinical summaries for IDegAsp</w:t>
      </w:r>
    </w:p>
    <w:p w14:paraId="428F6BCE" w14:textId="2B125022" w:rsidR="00DA7A84" w:rsidRPr="00423072" w:rsidRDefault="00DA7A84" w:rsidP="00423072">
      <w:pPr>
        <w:pStyle w:val="ListBullet"/>
        <w:rPr>
          <w:lang w:eastAsia="ja-JP"/>
        </w:rPr>
      </w:pPr>
      <w:r w:rsidRPr="00DA7A84">
        <w:rPr>
          <w:lang w:eastAsia="ja-JP"/>
        </w:rPr>
        <w:lastRenderedPageBreak/>
        <w:t>Clinical summaries for IDegAsp and IDeg (including Summary of clinical safety addendum, IDegAsp</w:t>
      </w:r>
      <w:r w:rsidR="00611FB6">
        <w:rPr>
          <w:lang w:eastAsia="ja-JP"/>
        </w:rPr>
        <w:t>)</w:t>
      </w:r>
    </w:p>
    <w:p w14:paraId="688D044C" w14:textId="77777777" w:rsidR="00586F98" w:rsidRDefault="00586F98" w:rsidP="00586F98">
      <w:pPr>
        <w:pStyle w:val="Heading3"/>
      </w:pPr>
      <w:bookmarkStart w:id="37" w:name="_Toc517768408"/>
      <w:r w:rsidRPr="003442FE">
        <w:t>Paediatric data</w:t>
      </w:r>
      <w:bookmarkEnd w:id="37"/>
    </w:p>
    <w:p w14:paraId="5FF5485C" w14:textId="04F47F6D" w:rsidR="00FC61BD" w:rsidRPr="00FC61BD" w:rsidRDefault="00FC61BD" w:rsidP="00FC61BD">
      <w:pPr>
        <w:rPr>
          <w:lang w:eastAsia="ja-JP"/>
        </w:rPr>
      </w:pPr>
      <w:r w:rsidRPr="00FC61BD">
        <w:rPr>
          <w:lang w:eastAsia="ja-JP"/>
        </w:rPr>
        <w:t xml:space="preserve">No paediatric data was been submitted; as of 30 September, 2014, </w:t>
      </w:r>
      <w:r>
        <w:rPr>
          <w:lang w:eastAsia="ja-JP"/>
        </w:rPr>
        <w:t>1</w:t>
      </w:r>
      <w:r w:rsidRPr="00FC61BD">
        <w:rPr>
          <w:lang w:eastAsia="ja-JP"/>
        </w:rPr>
        <w:t xml:space="preserve"> paediatric trial was ongoing. No paediatric indication is being sought in Australia. Paediatric data is relevant for this medicine as diabetes also occurs in infants and children.</w:t>
      </w:r>
    </w:p>
    <w:p w14:paraId="04EACA7A" w14:textId="77777777" w:rsidR="00586F98" w:rsidRDefault="00586F98" w:rsidP="00586F98">
      <w:pPr>
        <w:pStyle w:val="Heading3"/>
      </w:pPr>
      <w:bookmarkStart w:id="38" w:name="_Toc517768409"/>
      <w:r w:rsidRPr="003442FE">
        <w:t>Good clinical practice</w:t>
      </w:r>
      <w:bookmarkEnd w:id="38"/>
    </w:p>
    <w:p w14:paraId="6976348A" w14:textId="0F52135C" w:rsidR="00FC61BD" w:rsidRPr="00FC61BD" w:rsidRDefault="00FC61BD" w:rsidP="00FC61BD">
      <w:pPr>
        <w:rPr>
          <w:lang w:eastAsia="ja-JP"/>
        </w:rPr>
      </w:pPr>
      <w:r w:rsidRPr="00FC61BD">
        <w:rPr>
          <w:lang w:eastAsia="ja-JP"/>
        </w:rPr>
        <w:t>The newly submitted study synopses state the studies were conducted in accordance with the principles of Good Clinical Practice</w:t>
      </w:r>
      <w:r>
        <w:rPr>
          <w:lang w:eastAsia="ja-JP"/>
        </w:rPr>
        <w:t>.</w:t>
      </w:r>
    </w:p>
    <w:p w14:paraId="5C9AF20B" w14:textId="77777777" w:rsidR="00FC61BD" w:rsidRPr="00FC61BD" w:rsidRDefault="00FC61BD" w:rsidP="00707EC7">
      <w:pPr>
        <w:pStyle w:val="Heading3"/>
        <w:rPr>
          <w:rFonts w:eastAsia="Cambria"/>
        </w:rPr>
      </w:pPr>
      <w:bookmarkStart w:id="39" w:name="_Toc487202380"/>
      <w:bookmarkStart w:id="40" w:name="_Toc517768410"/>
      <w:r w:rsidRPr="00FC61BD">
        <w:rPr>
          <w:rFonts w:eastAsia="Cambria"/>
        </w:rPr>
        <w:t>Evaluator’s commentary on the clinical dossier</w:t>
      </w:r>
      <w:bookmarkEnd w:id="39"/>
      <w:bookmarkEnd w:id="40"/>
    </w:p>
    <w:p w14:paraId="3F447513" w14:textId="5365386D" w:rsidR="00FC61BD" w:rsidRPr="00FC61BD" w:rsidRDefault="00FC61BD" w:rsidP="00FC61BD">
      <w:pPr>
        <w:rPr>
          <w:lang w:eastAsia="ja-JP"/>
        </w:rPr>
      </w:pPr>
      <w:r w:rsidRPr="00FC61BD">
        <w:rPr>
          <w:lang w:eastAsia="ja-JP"/>
        </w:rPr>
        <w:t>The clinical dossier is consistent with the agreemen</w:t>
      </w:r>
      <w:r>
        <w:rPr>
          <w:lang w:eastAsia="ja-JP"/>
        </w:rPr>
        <w:t>t at the pre-submission meeting.</w:t>
      </w:r>
    </w:p>
    <w:p w14:paraId="79DADE9C" w14:textId="1637005A" w:rsidR="00FC61BD" w:rsidRDefault="00FC61BD" w:rsidP="00FC61BD">
      <w:pPr>
        <w:rPr>
          <w:lang w:eastAsia="ja-JP"/>
        </w:rPr>
      </w:pPr>
      <w:r w:rsidRPr="00FC61BD">
        <w:rPr>
          <w:lang w:eastAsia="ja-JP"/>
        </w:rPr>
        <w:t>The clinical safety section (Section 7</w:t>
      </w:r>
      <w:r>
        <w:rPr>
          <w:lang w:eastAsia="ja-JP"/>
        </w:rPr>
        <w:t xml:space="preserve"> of this report</w:t>
      </w:r>
      <w:r w:rsidRPr="00FC61BD">
        <w:rPr>
          <w:lang w:eastAsia="ja-JP"/>
        </w:rPr>
        <w:t xml:space="preserve">) refers to updated integrated safety data with </w:t>
      </w:r>
      <w:r w:rsidR="009F4052">
        <w:rPr>
          <w:lang w:eastAsia="ja-JP"/>
        </w:rPr>
        <w:t>cut-</w:t>
      </w:r>
      <w:r w:rsidR="009F4052" w:rsidRPr="00FC61BD">
        <w:rPr>
          <w:lang w:eastAsia="ja-JP"/>
        </w:rPr>
        <w:t>off</w:t>
      </w:r>
      <w:r w:rsidRPr="00FC61BD">
        <w:rPr>
          <w:lang w:eastAsia="ja-JP"/>
        </w:rPr>
        <w:t xml:space="preserve"> of 30 September 2014. This integrated data was presented in the submitted document ‘Summary of Clinical Safety Addendum, IDegAsp’ which compared the updated data to a dataset with </w:t>
      </w:r>
      <w:r w:rsidR="009F4052">
        <w:rPr>
          <w:lang w:eastAsia="ja-JP"/>
        </w:rPr>
        <w:t>cut-</w:t>
      </w:r>
      <w:r w:rsidR="009F4052" w:rsidRPr="00FC61BD">
        <w:rPr>
          <w:lang w:eastAsia="ja-JP"/>
        </w:rPr>
        <w:t>off</w:t>
      </w:r>
      <w:r w:rsidRPr="00FC61BD">
        <w:rPr>
          <w:lang w:eastAsia="ja-JP"/>
        </w:rPr>
        <w:t xml:space="preserve"> of 31 January 2011 contained within the document entitled ‘Integrated Safety Summary’ (24</w:t>
      </w:r>
      <w:r w:rsidR="00707EC7">
        <w:rPr>
          <w:lang w:eastAsia="ja-JP"/>
        </w:rPr>
        <w:t xml:space="preserve"> August 2011</w:t>
      </w:r>
      <w:r w:rsidRPr="00FC61BD">
        <w:rPr>
          <w:lang w:eastAsia="ja-JP"/>
        </w:rPr>
        <w:t xml:space="preserve">). However the ‘Integrated Safety Summary’ was not submitted to the TGA with the original </w:t>
      </w:r>
      <w:r w:rsidR="00B27CF9">
        <w:rPr>
          <w:lang w:eastAsia="ja-JP"/>
        </w:rPr>
        <w:t xml:space="preserve">withdrawn </w:t>
      </w:r>
      <w:r w:rsidRPr="00FC61BD">
        <w:rPr>
          <w:lang w:eastAsia="ja-JP"/>
        </w:rPr>
        <w:t>submission; please see Section 7 for further discussion.</w:t>
      </w:r>
    </w:p>
    <w:p w14:paraId="4D1393EA" w14:textId="6254C50A" w:rsidR="00707EC7" w:rsidRDefault="00707EC7" w:rsidP="00707EC7">
      <w:pPr>
        <w:pStyle w:val="Heading2"/>
        <w:rPr>
          <w:rFonts w:eastAsia="Cambria"/>
        </w:rPr>
      </w:pPr>
      <w:bookmarkStart w:id="41" w:name="_Toc355338639"/>
      <w:bookmarkStart w:id="42" w:name="_Toc517768411"/>
      <w:r w:rsidRPr="00707EC7">
        <w:rPr>
          <w:rFonts w:eastAsia="Cambria"/>
        </w:rPr>
        <w:t>Pharmacokinetics</w:t>
      </w:r>
      <w:bookmarkEnd w:id="41"/>
      <w:bookmarkEnd w:id="42"/>
    </w:p>
    <w:p w14:paraId="5036BC5A" w14:textId="48CA1C1D" w:rsidR="00707EC7" w:rsidRDefault="00707EC7" w:rsidP="00707EC7">
      <w:pPr>
        <w:rPr>
          <w:lang w:eastAsia="ja-JP"/>
        </w:rPr>
      </w:pPr>
      <w:r w:rsidRPr="00707EC7">
        <w:rPr>
          <w:lang w:eastAsia="ja-JP"/>
        </w:rPr>
        <w:t xml:space="preserve">The PK profile of IDegAsp has been determined in the original </w:t>
      </w:r>
      <w:r w:rsidR="00554F6A">
        <w:rPr>
          <w:lang w:eastAsia="ja-JP"/>
        </w:rPr>
        <w:t xml:space="preserve">withdrawn </w:t>
      </w:r>
      <w:r w:rsidRPr="00707EC7">
        <w:rPr>
          <w:lang w:eastAsia="ja-JP"/>
        </w:rPr>
        <w:t>submission. A summary of the PKs of IDegAsp is provided</w:t>
      </w:r>
      <w:r>
        <w:rPr>
          <w:lang w:eastAsia="ja-JP"/>
        </w:rPr>
        <w:t xml:space="preserve"> in Table 3</w:t>
      </w:r>
      <w:r w:rsidRPr="00707EC7">
        <w:rPr>
          <w:lang w:eastAsia="ja-JP"/>
        </w:rPr>
        <w:t xml:space="preserve"> below</w:t>
      </w:r>
      <w:r>
        <w:rPr>
          <w:lang w:eastAsia="ja-JP"/>
        </w:rPr>
        <w:t xml:space="preserve"> </w:t>
      </w:r>
      <w:r w:rsidRPr="00707EC7">
        <w:rPr>
          <w:lang w:eastAsia="ja-JP"/>
        </w:rPr>
        <w:t xml:space="preserve">from the </w:t>
      </w:r>
      <w:r>
        <w:rPr>
          <w:lang w:eastAsia="ja-JP"/>
        </w:rPr>
        <w:t>proposed PI.</w:t>
      </w:r>
    </w:p>
    <w:p w14:paraId="2F0693A3" w14:textId="743E7676" w:rsidR="00707EC7" w:rsidRPr="00707EC7" w:rsidRDefault="00707EC7" w:rsidP="00931AE2">
      <w:pPr>
        <w:pStyle w:val="Tabletitle"/>
        <w:rPr>
          <w:lang w:eastAsia="ja-JP"/>
        </w:rPr>
      </w:pPr>
      <w:bookmarkStart w:id="43" w:name="_Toc487195072"/>
      <w:r w:rsidRPr="00707EC7">
        <w:rPr>
          <w:lang w:eastAsia="ja-JP"/>
        </w:rPr>
        <w:t xml:space="preserve">Table </w:t>
      </w:r>
      <w:r>
        <w:rPr>
          <w:lang w:eastAsia="ja-JP"/>
        </w:rPr>
        <w:t>3</w:t>
      </w:r>
      <w:r w:rsidR="00FF49F5">
        <w:rPr>
          <w:lang w:eastAsia="ja-JP"/>
        </w:rPr>
        <w:t>:</w:t>
      </w:r>
      <w:r>
        <w:rPr>
          <w:lang w:eastAsia="ja-JP"/>
        </w:rPr>
        <w:t xml:space="preserve"> </w:t>
      </w:r>
      <w:r w:rsidRPr="00707EC7">
        <w:rPr>
          <w:lang w:eastAsia="ja-JP"/>
        </w:rPr>
        <w:t>Pharmacokinetics summary</w:t>
      </w:r>
      <w:bookmarkEnd w:id="43"/>
    </w:p>
    <w:tbl>
      <w:tblPr>
        <w:tblStyle w:val="TableGrid"/>
        <w:tblW w:w="0" w:type="auto"/>
        <w:tblLook w:val="04A0" w:firstRow="1" w:lastRow="0" w:firstColumn="1" w:lastColumn="0" w:noHBand="0" w:noVBand="1"/>
        <w:tblDescription w:val="Table 3: Pharmacokinetics summary"/>
      </w:tblPr>
      <w:tblGrid>
        <w:gridCol w:w="2518"/>
        <w:gridCol w:w="6724"/>
      </w:tblGrid>
      <w:tr w:rsidR="00707EC7" w:rsidRPr="00707EC7" w14:paraId="41876348" w14:textId="77777777" w:rsidTr="00842D51">
        <w:trPr>
          <w:tblHeader/>
        </w:trPr>
        <w:tc>
          <w:tcPr>
            <w:tcW w:w="2518" w:type="dxa"/>
            <w:shd w:val="clear" w:color="auto" w:fill="0070C0"/>
          </w:tcPr>
          <w:p w14:paraId="2A5AA297" w14:textId="77777777" w:rsidR="00707EC7" w:rsidRPr="00BB64EA" w:rsidRDefault="00707EC7" w:rsidP="00931AE2">
            <w:pPr>
              <w:keepNext/>
              <w:rPr>
                <w:b/>
                <w:color w:val="FFFFFF" w:themeColor="background1"/>
                <w:sz w:val="20"/>
                <w:szCs w:val="20"/>
                <w:lang w:eastAsia="ja-JP"/>
              </w:rPr>
            </w:pPr>
            <w:r w:rsidRPr="00BB64EA">
              <w:rPr>
                <w:b/>
                <w:color w:val="FFFFFF" w:themeColor="background1"/>
                <w:sz w:val="20"/>
                <w:szCs w:val="20"/>
                <w:lang w:eastAsia="ja-JP"/>
              </w:rPr>
              <w:t>Absorption</w:t>
            </w:r>
          </w:p>
        </w:tc>
        <w:tc>
          <w:tcPr>
            <w:tcW w:w="6724" w:type="dxa"/>
          </w:tcPr>
          <w:p w14:paraId="721C548B" w14:textId="77777777" w:rsidR="00707EC7" w:rsidRPr="00BB64EA" w:rsidRDefault="00707EC7" w:rsidP="00931AE2">
            <w:pPr>
              <w:keepNext/>
              <w:rPr>
                <w:sz w:val="20"/>
                <w:szCs w:val="20"/>
              </w:rPr>
            </w:pPr>
            <w:r w:rsidRPr="00BB64EA">
              <w:rPr>
                <w:sz w:val="20"/>
                <w:szCs w:val="20"/>
              </w:rPr>
              <w:t>Following subcutaneous injection:</w:t>
            </w:r>
          </w:p>
          <w:p w14:paraId="43E44298" w14:textId="38E95626" w:rsidR="00707EC7" w:rsidRPr="00BB64EA" w:rsidRDefault="00931AE2" w:rsidP="00931AE2">
            <w:pPr>
              <w:pStyle w:val="ListBullet"/>
              <w:keepNext/>
              <w:rPr>
                <w:sz w:val="20"/>
                <w:szCs w:val="20"/>
              </w:rPr>
            </w:pPr>
            <w:r w:rsidRPr="00BB64EA">
              <w:rPr>
                <w:sz w:val="20"/>
                <w:szCs w:val="20"/>
              </w:rPr>
              <w:t>IDeg: Stable multi</w:t>
            </w:r>
            <w:r w:rsidR="00707EC7" w:rsidRPr="00BB64EA">
              <w:rPr>
                <w:sz w:val="20"/>
                <w:szCs w:val="20"/>
              </w:rPr>
              <w:t>hexamers are formed, resulting in a depot of IDeg. IDeg monomers gradually separate resulting in a slower and continual release into the circulation.</w:t>
            </w:r>
            <w:r w:rsidRPr="00BB64EA">
              <w:rPr>
                <w:sz w:val="20"/>
                <w:szCs w:val="20"/>
              </w:rPr>
              <w:t xml:space="preserve"> Steady </w:t>
            </w:r>
            <w:r w:rsidR="00707EC7" w:rsidRPr="00BB64EA">
              <w:rPr>
                <w:sz w:val="20"/>
                <w:szCs w:val="20"/>
              </w:rPr>
              <w:t>state con</w:t>
            </w:r>
            <w:r w:rsidRPr="00BB64EA">
              <w:rPr>
                <w:sz w:val="20"/>
                <w:szCs w:val="20"/>
              </w:rPr>
              <w:t xml:space="preserve">centrations are reached after 2 to </w:t>
            </w:r>
            <w:r w:rsidR="00707EC7" w:rsidRPr="00BB64EA">
              <w:rPr>
                <w:sz w:val="20"/>
                <w:szCs w:val="20"/>
              </w:rPr>
              <w:t>3 days of daily IDegAsp administration</w:t>
            </w:r>
          </w:p>
          <w:p w14:paraId="530352AC" w14:textId="72BB25F2" w:rsidR="00707EC7" w:rsidRPr="00BB64EA" w:rsidRDefault="00707EC7" w:rsidP="00931AE2">
            <w:pPr>
              <w:pStyle w:val="ListBullet"/>
              <w:keepNext/>
              <w:rPr>
                <w:sz w:val="20"/>
                <w:szCs w:val="20"/>
                <w:lang w:eastAsia="ja-JP"/>
              </w:rPr>
            </w:pPr>
            <w:r w:rsidRPr="00BB64EA">
              <w:rPr>
                <w:sz w:val="20"/>
                <w:szCs w:val="20"/>
              </w:rPr>
              <w:t>IAsp: there is rapid release of IAsp monomers into the circulation. Insulin aspart appears 14 minutes after injection and peak concentration occurs after 72 minutes</w:t>
            </w:r>
          </w:p>
        </w:tc>
      </w:tr>
      <w:tr w:rsidR="00707EC7" w:rsidRPr="00707EC7" w14:paraId="687A83C6" w14:textId="77777777" w:rsidTr="00BB64EA">
        <w:tc>
          <w:tcPr>
            <w:tcW w:w="2518" w:type="dxa"/>
            <w:shd w:val="clear" w:color="auto" w:fill="0070C0"/>
          </w:tcPr>
          <w:p w14:paraId="01F88FFC" w14:textId="77777777" w:rsidR="00707EC7" w:rsidRPr="00BB64EA" w:rsidRDefault="00707EC7" w:rsidP="00707EC7">
            <w:pPr>
              <w:rPr>
                <w:b/>
                <w:color w:val="FFFFFF" w:themeColor="background1"/>
                <w:sz w:val="20"/>
                <w:szCs w:val="20"/>
                <w:lang w:eastAsia="ja-JP"/>
              </w:rPr>
            </w:pPr>
            <w:r w:rsidRPr="00BB64EA">
              <w:rPr>
                <w:b/>
                <w:color w:val="FFFFFF" w:themeColor="background1"/>
                <w:sz w:val="20"/>
                <w:szCs w:val="20"/>
                <w:lang w:eastAsia="ja-JP"/>
              </w:rPr>
              <w:t>Distribution</w:t>
            </w:r>
          </w:p>
        </w:tc>
        <w:tc>
          <w:tcPr>
            <w:tcW w:w="6724" w:type="dxa"/>
          </w:tcPr>
          <w:p w14:paraId="37B86D52" w14:textId="30DED2DE" w:rsidR="00707EC7" w:rsidRPr="00BB64EA" w:rsidRDefault="00707EC7" w:rsidP="00931AE2">
            <w:pPr>
              <w:pStyle w:val="ListBullet"/>
              <w:rPr>
                <w:b/>
                <w:sz w:val="20"/>
                <w:szCs w:val="20"/>
                <w:lang w:eastAsia="ja-JP"/>
              </w:rPr>
            </w:pPr>
            <w:r w:rsidRPr="00BB64EA">
              <w:rPr>
                <w:sz w:val="20"/>
                <w:szCs w:val="20"/>
                <w:lang w:eastAsia="ja-JP"/>
              </w:rPr>
              <w:t>IDeg: Plasma protein binding of &gt;</w:t>
            </w:r>
            <w:r w:rsidR="00931AE2" w:rsidRPr="00BB64EA">
              <w:rPr>
                <w:sz w:val="20"/>
                <w:szCs w:val="20"/>
                <w:lang w:eastAsia="ja-JP"/>
              </w:rPr>
              <w:t xml:space="preserve"> </w:t>
            </w:r>
            <w:r w:rsidRPr="00BB64EA">
              <w:rPr>
                <w:sz w:val="20"/>
                <w:szCs w:val="20"/>
                <w:lang w:eastAsia="ja-JP"/>
              </w:rPr>
              <w:t>99% in human plasma</w:t>
            </w:r>
          </w:p>
          <w:p w14:paraId="3946B42A" w14:textId="619C11B8" w:rsidR="00707EC7" w:rsidRPr="00BB64EA" w:rsidRDefault="00707EC7" w:rsidP="00931AE2">
            <w:pPr>
              <w:pStyle w:val="ListBullet"/>
              <w:rPr>
                <w:b/>
                <w:sz w:val="20"/>
                <w:szCs w:val="20"/>
                <w:lang w:eastAsia="ja-JP"/>
              </w:rPr>
            </w:pPr>
            <w:r w:rsidRPr="00BB64EA">
              <w:rPr>
                <w:sz w:val="20"/>
                <w:szCs w:val="20"/>
                <w:lang w:eastAsia="ja-JP"/>
              </w:rPr>
              <w:t>IAsp: Plasma protein binding of &lt;</w:t>
            </w:r>
            <w:r w:rsidR="00931AE2" w:rsidRPr="00BB64EA">
              <w:rPr>
                <w:sz w:val="20"/>
                <w:szCs w:val="20"/>
                <w:lang w:eastAsia="ja-JP"/>
              </w:rPr>
              <w:t xml:space="preserve"> </w:t>
            </w:r>
            <w:r w:rsidRPr="00BB64EA">
              <w:rPr>
                <w:sz w:val="20"/>
                <w:szCs w:val="20"/>
                <w:lang w:eastAsia="ja-JP"/>
              </w:rPr>
              <w:t>10% in human plasma</w:t>
            </w:r>
            <w:r w:rsidR="00931AE2" w:rsidRPr="00BB64EA">
              <w:rPr>
                <w:sz w:val="20"/>
                <w:szCs w:val="20"/>
                <w:lang w:eastAsia="ja-JP"/>
              </w:rPr>
              <w:t>.</w:t>
            </w:r>
          </w:p>
        </w:tc>
      </w:tr>
      <w:tr w:rsidR="00707EC7" w:rsidRPr="00707EC7" w14:paraId="5D1E32B1" w14:textId="77777777" w:rsidTr="00BB64EA">
        <w:tc>
          <w:tcPr>
            <w:tcW w:w="2518" w:type="dxa"/>
            <w:shd w:val="clear" w:color="auto" w:fill="0070C0"/>
          </w:tcPr>
          <w:p w14:paraId="3F1E3EF0" w14:textId="77777777" w:rsidR="00707EC7" w:rsidRPr="00BB64EA" w:rsidRDefault="00707EC7" w:rsidP="00707EC7">
            <w:pPr>
              <w:rPr>
                <w:b/>
                <w:color w:val="FFFFFF" w:themeColor="background1"/>
                <w:sz w:val="20"/>
                <w:szCs w:val="20"/>
                <w:lang w:eastAsia="ja-JP"/>
              </w:rPr>
            </w:pPr>
            <w:r w:rsidRPr="00BB64EA">
              <w:rPr>
                <w:b/>
                <w:color w:val="FFFFFF" w:themeColor="background1"/>
                <w:sz w:val="20"/>
                <w:szCs w:val="20"/>
                <w:lang w:eastAsia="ja-JP"/>
              </w:rPr>
              <w:t>Metabolism</w:t>
            </w:r>
          </w:p>
        </w:tc>
        <w:tc>
          <w:tcPr>
            <w:tcW w:w="6724" w:type="dxa"/>
          </w:tcPr>
          <w:p w14:paraId="06614845" w14:textId="77777777" w:rsidR="00707EC7" w:rsidRPr="00BB64EA" w:rsidRDefault="00707EC7" w:rsidP="00707EC7">
            <w:pPr>
              <w:rPr>
                <w:b/>
                <w:sz w:val="20"/>
                <w:szCs w:val="20"/>
                <w:lang w:eastAsia="ja-JP"/>
              </w:rPr>
            </w:pPr>
            <w:r w:rsidRPr="00BB64EA">
              <w:rPr>
                <w:sz w:val="20"/>
                <w:szCs w:val="20"/>
                <w:lang w:eastAsia="ja-JP"/>
              </w:rPr>
              <w:t>Degradation of insulin degludec and insulin aspart is similar to that of human insulin.</w:t>
            </w:r>
          </w:p>
        </w:tc>
      </w:tr>
      <w:tr w:rsidR="00707EC7" w:rsidRPr="00707EC7" w14:paraId="75B55993" w14:textId="77777777" w:rsidTr="00BB64EA">
        <w:tc>
          <w:tcPr>
            <w:tcW w:w="2518" w:type="dxa"/>
            <w:shd w:val="clear" w:color="auto" w:fill="0070C0"/>
          </w:tcPr>
          <w:p w14:paraId="6A8B8FE8" w14:textId="77777777" w:rsidR="00707EC7" w:rsidRPr="00BB64EA" w:rsidRDefault="00707EC7" w:rsidP="00707EC7">
            <w:pPr>
              <w:rPr>
                <w:b/>
                <w:color w:val="FFFFFF" w:themeColor="background1"/>
                <w:sz w:val="20"/>
                <w:szCs w:val="20"/>
                <w:lang w:eastAsia="ja-JP"/>
              </w:rPr>
            </w:pPr>
            <w:r w:rsidRPr="00BB64EA">
              <w:rPr>
                <w:b/>
                <w:color w:val="FFFFFF" w:themeColor="background1"/>
                <w:sz w:val="20"/>
                <w:szCs w:val="20"/>
                <w:lang w:eastAsia="ja-JP"/>
              </w:rPr>
              <w:t>Excretion</w:t>
            </w:r>
          </w:p>
        </w:tc>
        <w:tc>
          <w:tcPr>
            <w:tcW w:w="6724" w:type="dxa"/>
          </w:tcPr>
          <w:p w14:paraId="071CAECC" w14:textId="411B0AD6" w:rsidR="00707EC7" w:rsidRPr="00BB64EA" w:rsidRDefault="00707EC7" w:rsidP="00707EC7">
            <w:pPr>
              <w:rPr>
                <w:sz w:val="20"/>
                <w:szCs w:val="20"/>
                <w:lang w:eastAsia="ja-JP"/>
              </w:rPr>
            </w:pPr>
            <w:r w:rsidRPr="00BB64EA">
              <w:rPr>
                <w:sz w:val="20"/>
                <w:szCs w:val="20"/>
                <w:lang w:eastAsia="ja-JP"/>
              </w:rPr>
              <w:t xml:space="preserve">IDeg </w:t>
            </w:r>
            <w:r w:rsidR="009F4052" w:rsidRPr="00BB64EA">
              <w:rPr>
                <w:sz w:val="20"/>
                <w:szCs w:val="20"/>
                <w:lang w:eastAsia="ja-JP"/>
              </w:rPr>
              <w:t>half-life</w:t>
            </w:r>
            <w:r w:rsidRPr="00BB64EA">
              <w:rPr>
                <w:sz w:val="20"/>
                <w:szCs w:val="20"/>
                <w:lang w:eastAsia="ja-JP"/>
              </w:rPr>
              <w:t>: 25 hours</w:t>
            </w:r>
          </w:p>
          <w:p w14:paraId="726A70B8" w14:textId="77777777" w:rsidR="00707EC7" w:rsidRPr="00BB64EA" w:rsidRDefault="00707EC7" w:rsidP="00931AE2">
            <w:pPr>
              <w:pStyle w:val="ListBullet"/>
              <w:rPr>
                <w:b/>
                <w:sz w:val="20"/>
                <w:szCs w:val="20"/>
                <w:lang w:eastAsia="ja-JP"/>
              </w:rPr>
            </w:pPr>
            <w:r w:rsidRPr="00BB64EA">
              <w:rPr>
                <w:sz w:val="20"/>
                <w:szCs w:val="20"/>
                <w:lang w:eastAsia="ja-JP"/>
              </w:rPr>
              <w:t>independent of dose</w:t>
            </w:r>
          </w:p>
          <w:p w14:paraId="78732DEA" w14:textId="77777777" w:rsidR="00707EC7" w:rsidRPr="00BB64EA" w:rsidRDefault="00707EC7" w:rsidP="00931AE2">
            <w:pPr>
              <w:pStyle w:val="ListBullet"/>
              <w:rPr>
                <w:b/>
                <w:sz w:val="20"/>
                <w:szCs w:val="20"/>
                <w:lang w:eastAsia="ja-JP"/>
              </w:rPr>
            </w:pPr>
            <w:proofErr w:type="gramStart"/>
            <w:r w:rsidRPr="00BB64EA">
              <w:rPr>
                <w:sz w:val="20"/>
                <w:szCs w:val="20"/>
                <w:lang w:eastAsia="ja-JP"/>
              </w:rPr>
              <w:t>determined</w:t>
            </w:r>
            <w:proofErr w:type="gramEnd"/>
            <w:r w:rsidRPr="00BB64EA">
              <w:rPr>
                <w:sz w:val="20"/>
                <w:szCs w:val="20"/>
                <w:lang w:eastAsia="ja-JP"/>
              </w:rPr>
              <w:t xml:space="preserve"> by rate of absorption from subcutaneous tissue.</w:t>
            </w:r>
          </w:p>
        </w:tc>
      </w:tr>
      <w:tr w:rsidR="00707EC7" w:rsidRPr="00707EC7" w14:paraId="02503B68" w14:textId="77777777" w:rsidTr="00BB64EA">
        <w:tc>
          <w:tcPr>
            <w:tcW w:w="2518" w:type="dxa"/>
            <w:shd w:val="clear" w:color="auto" w:fill="0070C0"/>
          </w:tcPr>
          <w:p w14:paraId="493A4813" w14:textId="77777777" w:rsidR="00707EC7" w:rsidRPr="00BB64EA" w:rsidRDefault="00707EC7" w:rsidP="00707EC7">
            <w:pPr>
              <w:rPr>
                <w:b/>
                <w:color w:val="FFFFFF" w:themeColor="background1"/>
                <w:sz w:val="20"/>
                <w:szCs w:val="20"/>
                <w:lang w:eastAsia="ja-JP"/>
              </w:rPr>
            </w:pPr>
            <w:r w:rsidRPr="00BB64EA">
              <w:rPr>
                <w:b/>
                <w:color w:val="FFFFFF" w:themeColor="background1"/>
                <w:sz w:val="20"/>
                <w:szCs w:val="20"/>
                <w:lang w:eastAsia="ja-JP"/>
              </w:rPr>
              <w:lastRenderedPageBreak/>
              <w:t>Linearity</w:t>
            </w:r>
          </w:p>
        </w:tc>
        <w:tc>
          <w:tcPr>
            <w:tcW w:w="6724" w:type="dxa"/>
          </w:tcPr>
          <w:p w14:paraId="5BEBDB7D" w14:textId="77777777" w:rsidR="00707EC7" w:rsidRPr="00BB64EA" w:rsidRDefault="00707EC7" w:rsidP="00707EC7">
            <w:pPr>
              <w:rPr>
                <w:sz w:val="20"/>
                <w:szCs w:val="20"/>
                <w:lang w:eastAsia="ja-JP"/>
              </w:rPr>
            </w:pPr>
            <w:r w:rsidRPr="00BB64EA">
              <w:rPr>
                <w:sz w:val="20"/>
                <w:szCs w:val="20"/>
                <w:lang w:eastAsia="ja-JP"/>
              </w:rPr>
              <w:t>Total exposure with IDegAsp increases proportionally with increasing dose of the basal component (insulin degludec) and the mealtime component (insulin aspart) in type 1 and type 2 diabetes mellitus.</w:t>
            </w:r>
          </w:p>
        </w:tc>
      </w:tr>
      <w:tr w:rsidR="00707EC7" w:rsidRPr="00707EC7" w14:paraId="59ECD682" w14:textId="77777777" w:rsidTr="00BB64EA">
        <w:tc>
          <w:tcPr>
            <w:tcW w:w="2518" w:type="dxa"/>
            <w:shd w:val="clear" w:color="auto" w:fill="0070C0"/>
          </w:tcPr>
          <w:p w14:paraId="5B03B4F5" w14:textId="05141351" w:rsidR="00707EC7" w:rsidRPr="00BB64EA" w:rsidRDefault="00707EC7" w:rsidP="00707EC7">
            <w:pPr>
              <w:rPr>
                <w:b/>
                <w:color w:val="FFFFFF" w:themeColor="background1"/>
                <w:sz w:val="20"/>
                <w:szCs w:val="20"/>
                <w:lang w:eastAsia="ja-JP"/>
              </w:rPr>
            </w:pPr>
            <w:r w:rsidRPr="00BB64EA">
              <w:rPr>
                <w:b/>
                <w:color w:val="FFFFFF" w:themeColor="background1"/>
                <w:sz w:val="20"/>
                <w:szCs w:val="20"/>
                <w:lang w:eastAsia="ja-JP"/>
              </w:rPr>
              <w:t>Special populations</w:t>
            </w:r>
          </w:p>
        </w:tc>
        <w:tc>
          <w:tcPr>
            <w:tcW w:w="6724" w:type="dxa"/>
          </w:tcPr>
          <w:p w14:paraId="38421358" w14:textId="3B60A12D" w:rsidR="00707EC7" w:rsidRPr="00BB64EA" w:rsidRDefault="00707EC7" w:rsidP="00707EC7">
            <w:pPr>
              <w:rPr>
                <w:sz w:val="20"/>
                <w:szCs w:val="20"/>
                <w:lang w:eastAsia="ja-JP"/>
              </w:rPr>
            </w:pPr>
            <w:r w:rsidRPr="00BB64EA">
              <w:rPr>
                <w:sz w:val="20"/>
                <w:szCs w:val="20"/>
                <w:lang w:eastAsia="ja-JP"/>
              </w:rPr>
              <w:t>No differences in PK parameters in hepatic and renal impairment compared to normal subjects. No differences in PK parameters between elderly and younger patients.</w:t>
            </w:r>
          </w:p>
        </w:tc>
      </w:tr>
    </w:tbl>
    <w:p w14:paraId="618C42C7" w14:textId="3D1A11F5" w:rsidR="00707EC7" w:rsidRPr="00707EC7" w:rsidRDefault="00707EC7" w:rsidP="00707EC7">
      <w:pPr>
        <w:rPr>
          <w:lang w:eastAsia="ja-JP"/>
        </w:rPr>
      </w:pPr>
      <w:r w:rsidRPr="00707EC7">
        <w:rPr>
          <w:lang w:eastAsia="ja-JP"/>
        </w:rPr>
        <w:t>As evidenced in the first and second round discus</w:t>
      </w:r>
      <w:r w:rsidR="00931AE2">
        <w:rPr>
          <w:lang w:eastAsia="ja-JP"/>
        </w:rPr>
        <w:t>sions in the original CER, the c</w:t>
      </w:r>
      <w:r w:rsidRPr="00707EC7">
        <w:rPr>
          <w:lang w:eastAsia="ja-JP"/>
        </w:rPr>
        <w:t xml:space="preserve">linical </w:t>
      </w:r>
      <w:r w:rsidR="00931AE2">
        <w:rPr>
          <w:lang w:eastAsia="ja-JP"/>
        </w:rPr>
        <w:t>e</w:t>
      </w:r>
      <w:r w:rsidRPr="00707EC7">
        <w:rPr>
          <w:lang w:eastAsia="ja-JP"/>
        </w:rPr>
        <w:t xml:space="preserve">valuator for </w:t>
      </w:r>
      <w:r w:rsidR="00554F6A">
        <w:rPr>
          <w:lang w:eastAsia="ja-JP"/>
        </w:rPr>
        <w:t>the original withdrawn submission</w:t>
      </w:r>
      <w:r w:rsidRPr="00707EC7">
        <w:rPr>
          <w:lang w:eastAsia="ja-JP"/>
        </w:rPr>
        <w:t xml:space="preserve"> stated bioequivalence between the IDegAsp fixed dose combination product and the IAsp component was not demonstrated, concluding the </w:t>
      </w:r>
      <w:r w:rsidR="00931AE2">
        <w:rPr>
          <w:lang w:eastAsia="ja-JP"/>
        </w:rPr>
        <w:t>second round</w:t>
      </w:r>
      <w:r w:rsidRPr="00707EC7">
        <w:rPr>
          <w:lang w:eastAsia="ja-JP"/>
        </w:rPr>
        <w:t xml:space="preserve"> CER</w:t>
      </w:r>
      <w:r w:rsidR="00931AE2">
        <w:rPr>
          <w:lang w:eastAsia="ja-JP"/>
        </w:rPr>
        <w:t xml:space="preserve"> with</w:t>
      </w:r>
      <w:r w:rsidRPr="00707EC7">
        <w:rPr>
          <w:lang w:eastAsia="ja-JP"/>
        </w:rPr>
        <w:t>:</w:t>
      </w:r>
    </w:p>
    <w:p w14:paraId="5CEAB09F" w14:textId="787098FF" w:rsidR="00707EC7" w:rsidRPr="00931AE2" w:rsidRDefault="00707EC7" w:rsidP="00931AE2">
      <w:pPr>
        <w:ind w:left="720"/>
        <w:rPr>
          <w:i/>
          <w:lang w:eastAsia="ja-JP"/>
        </w:rPr>
      </w:pPr>
      <w:r w:rsidRPr="00931AE2">
        <w:rPr>
          <w:i/>
          <w:lang w:eastAsia="ja-JP"/>
        </w:rPr>
        <w:t>‘C</w:t>
      </w:r>
      <w:r w:rsidRPr="00931AE2">
        <w:rPr>
          <w:bCs/>
          <w:i/>
          <w:iCs/>
          <w:lang w:eastAsia="ja-JP"/>
        </w:rPr>
        <w:t xml:space="preserve">linical pharmacology studies have also shown that </w:t>
      </w:r>
      <w:r w:rsidRPr="00931AE2">
        <w:rPr>
          <w:i/>
          <w:lang w:eastAsia="ja-JP"/>
        </w:rPr>
        <w:t xml:space="preserve">the fixed combination IDegAsp is not bioequivalent with co-administration of separate injections with respect to the IAsp component. The clinical implication would be that the reduction in post-prandial plasma glucose was statistically significantly less with IDegAsp compared to separate injections with IDeg and IAsp (as </w:t>
      </w:r>
      <w:r w:rsidR="00931AE2">
        <w:rPr>
          <w:i/>
          <w:lang w:eastAsia="ja-JP"/>
        </w:rPr>
        <w:t>shown in the PK and PD Studies</w:t>
      </w:r>
      <w:r w:rsidR="00AF315E">
        <w:rPr>
          <w:i/>
          <w:lang w:eastAsia="ja-JP"/>
        </w:rPr>
        <w:t xml:space="preserve"> </w:t>
      </w:r>
      <w:r w:rsidR="00AF315E" w:rsidRPr="00AF315E">
        <w:rPr>
          <w:i/>
          <w:lang w:eastAsia="ja-JP"/>
        </w:rPr>
        <w:t>NN5401</w:t>
      </w:r>
      <w:r w:rsidR="00931AE2">
        <w:rPr>
          <w:i/>
          <w:lang w:eastAsia="ja-JP"/>
        </w:rPr>
        <w:t xml:space="preserve"> </w:t>
      </w:r>
      <w:r w:rsidR="00AF315E">
        <w:rPr>
          <w:i/>
          <w:lang w:eastAsia="ja-JP"/>
        </w:rPr>
        <w:t>-</w:t>
      </w:r>
      <w:r w:rsidR="00931AE2">
        <w:rPr>
          <w:i/>
          <w:lang w:eastAsia="ja-JP"/>
        </w:rPr>
        <w:t xml:space="preserve">1959 and </w:t>
      </w:r>
      <w:r w:rsidR="00AF315E">
        <w:rPr>
          <w:i/>
          <w:lang w:eastAsia="ja-JP"/>
        </w:rPr>
        <w:t>-</w:t>
      </w:r>
      <w:r w:rsidR="00931AE2">
        <w:rPr>
          <w:i/>
          <w:lang w:eastAsia="ja-JP"/>
        </w:rPr>
        <w:t>1738)</w:t>
      </w:r>
      <w:r w:rsidRPr="00931AE2">
        <w:rPr>
          <w:i/>
          <w:lang w:eastAsia="ja-JP"/>
        </w:rPr>
        <w:t>).’</w:t>
      </w:r>
    </w:p>
    <w:p w14:paraId="3286A5EB" w14:textId="7F237925" w:rsidR="00707EC7" w:rsidRPr="00707EC7" w:rsidRDefault="00931AE2" w:rsidP="00707EC7">
      <w:pPr>
        <w:rPr>
          <w:lang w:eastAsia="ja-JP"/>
        </w:rPr>
      </w:pPr>
      <w:r>
        <w:rPr>
          <w:lang w:eastAsia="ja-JP"/>
        </w:rPr>
        <w:t>The s</w:t>
      </w:r>
      <w:r w:rsidR="00707EC7" w:rsidRPr="00707EC7">
        <w:rPr>
          <w:lang w:eastAsia="ja-JP"/>
        </w:rPr>
        <w:t>ponsor’s response to these comment</w:t>
      </w:r>
      <w:r>
        <w:rPr>
          <w:lang w:eastAsia="ja-JP"/>
        </w:rPr>
        <w:t>s included the following points:</w:t>
      </w:r>
    </w:p>
    <w:p w14:paraId="72980042" w14:textId="4CF181C2" w:rsidR="00707EC7" w:rsidRPr="00707EC7" w:rsidRDefault="00AF315E" w:rsidP="00931AE2">
      <w:pPr>
        <w:pStyle w:val="ListBullet"/>
        <w:rPr>
          <w:lang w:eastAsia="ja-JP"/>
        </w:rPr>
      </w:pPr>
      <w:r w:rsidRPr="00AF315E">
        <w:rPr>
          <w:lang w:eastAsia="ja-JP"/>
        </w:rPr>
        <w:t>Study NN5401</w:t>
      </w:r>
      <w:r>
        <w:rPr>
          <w:lang w:eastAsia="ja-JP"/>
        </w:rPr>
        <w:t>-</w:t>
      </w:r>
      <w:r w:rsidR="00707EC7" w:rsidRPr="00707EC7">
        <w:rPr>
          <w:lang w:eastAsia="ja-JP"/>
        </w:rPr>
        <w:t xml:space="preserve">1959 was designed to compare IDegAsp with corresponding actual doses of each of the components given as separate injection whereas Studies </w:t>
      </w:r>
      <w:r w:rsidRPr="00AF315E">
        <w:rPr>
          <w:lang w:eastAsia="ja-JP"/>
        </w:rPr>
        <w:t>NN5401</w:t>
      </w:r>
      <w:r>
        <w:rPr>
          <w:lang w:eastAsia="ja-JP"/>
        </w:rPr>
        <w:t>-</w:t>
      </w:r>
      <w:r w:rsidR="00707EC7" w:rsidRPr="00707EC7">
        <w:rPr>
          <w:lang w:eastAsia="ja-JP"/>
        </w:rPr>
        <w:t xml:space="preserve">3857 and </w:t>
      </w:r>
      <w:r w:rsidRPr="00AF315E">
        <w:rPr>
          <w:lang w:eastAsia="ja-JP"/>
        </w:rPr>
        <w:t>NN5401</w:t>
      </w:r>
      <w:r>
        <w:rPr>
          <w:lang w:eastAsia="ja-JP"/>
        </w:rPr>
        <w:t>-</w:t>
      </w:r>
      <w:r w:rsidR="00707EC7" w:rsidRPr="00707EC7">
        <w:rPr>
          <w:lang w:eastAsia="ja-JP"/>
        </w:rPr>
        <w:t>1977 were designed to compare IDegAsp with IDeg and IAsp at corresponding doses of each product to meet FDA requirement of documenting distinctiveness between IDegAsp and the individual co</w:t>
      </w:r>
      <w:r w:rsidR="00931AE2">
        <w:rPr>
          <w:lang w:eastAsia="ja-JP"/>
        </w:rPr>
        <w:t>mponent products IDeg and IAsp.</w:t>
      </w:r>
    </w:p>
    <w:p w14:paraId="4C4EE6A7" w14:textId="13F6A054" w:rsidR="00707EC7" w:rsidRPr="00707EC7" w:rsidRDefault="00707EC7" w:rsidP="00931AE2">
      <w:pPr>
        <w:pStyle w:val="ListBullet"/>
        <w:rPr>
          <w:lang w:eastAsia="ja-JP"/>
        </w:rPr>
      </w:pPr>
      <w:r w:rsidRPr="00707EC7">
        <w:rPr>
          <w:lang w:eastAsia="ja-JP"/>
        </w:rPr>
        <w:t>When describing the glucose lowering effect profile of IDegAsp, the effect of the IAsp component in IDegAsp is mainly evident in the glucose infusion rate (GIR) profile during the first 6 hours after dosing. While it may be possi</w:t>
      </w:r>
      <w:r w:rsidR="00931AE2">
        <w:rPr>
          <w:lang w:eastAsia="ja-JP"/>
        </w:rPr>
        <w:t xml:space="preserve">ble to find differences for subintervals of this 6 </w:t>
      </w:r>
      <w:r w:rsidRPr="00707EC7">
        <w:rPr>
          <w:lang w:eastAsia="ja-JP"/>
        </w:rPr>
        <w:t>hour period, these only account for a smaller fraction of the IAsp effect.</w:t>
      </w:r>
    </w:p>
    <w:p w14:paraId="09F3661E" w14:textId="349593A0" w:rsidR="00707EC7" w:rsidRPr="00707EC7" w:rsidRDefault="00707EC7" w:rsidP="00931AE2">
      <w:pPr>
        <w:pStyle w:val="ListBullet"/>
        <w:rPr>
          <w:lang w:eastAsia="ja-JP"/>
        </w:rPr>
      </w:pPr>
      <w:r w:rsidRPr="00707EC7">
        <w:rPr>
          <w:lang w:eastAsia="ja-JP"/>
        </w:rPr>
        <w:t>If considering the effect during the first 2 hours after dosing (AUC</w:t>
      </w:r>
      <w:r w:rsidRPr="00707EC7">
        <w:rPr>
          <w:vertAlign w:val="subscript"/>
          <w:lang w:eastAsia="ja-JP"/>
        </w:rPr>
        <w:t>GIR0-2h</w:t>
      </w:r>
      <w:r w:rsidR="00931AE2">
        <w:rPr>
          <w:lang w:eastAsia="ja-JP"/>
        </w:rPr>
        <w:t>), as pointed to by the e</w:t>
      </w:r>
      <w:r w:rsidRPr="00707EC7">
        <w:rPr>
          <w:lang w:eastAsia="ja-JP"/>
        </w:rPr>
        <w:t xml:space="preserve">valuator, </w:t>
      </w:r>
      <w:r w:rsidR="00931AE2">
        <w:rPr>
          <w:lang w:eastAsia="ja-JP"/>
        </w:rPr>
        <w:t>the sponsor</w:t>
      </w:r>
      <w:r w:rsidRPr="00707EC7">
        <w:rPr>
          <w:lang w:eastAsia="ja-JP"/>
        </w:rPr>
        <w:t xml:space="preserve"> proposes that the results for Trial 1959 are amended with the dose normalised results of 3857 for the same endpoint. The reason is that, the AUC</w:t>
      </w:r>
      <w:r w:rsidRPr="00707EC7">
        <w:rPr>
          <w:vertAlign w:val="subscript"/>
          <w:lang w:eastAsia="ja-JP"/>
        </w:rPr>
        <w:t>GIR0-2h</w:t>
      </w:r>
      <w:r w:rsidRPr="00707EC7">
        <w:rPr>
          <w:lang w:eastAsia="ja-JP"/>
        </w:rPr>
        <w:t xml:space="preserve"> was estimated to be 26% smaller with IDegAsp than IAsp in </w:t>
      </w:r>
      <w:r w:rsidR="00931AE2">
        <w:rPr>
          <w:lang w:eastAsia="ja-JP"/>
        </w:rPr>
        <w:t xml:space="preserve">Trial </w:t>
      </w:r>
      <w:r w:rsidRPr="00707EC7">
        <w:rPr>
          <w:lang w:eastAsia="ja-JP"/>
        </w:rPr>
        <w:t>1959, it was estimated to be 23% greater in</w:t>
      </w:r>
      <w:r w:rsidR="00910A26">
        <w:rPr>
          <w:lang w:eastAsia="ja-JP"/>
        </w:rPr>
        <w:t xml:space="preserve"> 3587 (results provided by the s</w:t>
      </w:r>
      <w:r w:rsidRPr="00707EC7">
        <w:rPr>
          <w:lang w:eastAsia="ja-JP"/>
        </w:rPr>
        <w:t xml:space="preserve">ponsor </w:t>
      </w:r>
      <w:r w:rsidR="00910A26">
        <w:rPr>
          <w:lang w:eastAsia="ja-JP"/>
        </w:rPr>
        <w:t xml:space="preserve">in the </w:t>
      </w:r>
      <w:r w:rsidRPr="00707EC7">
        <w:rPr>
          <w:lang w:eastAsia="ja-JP"/>
        </w:rPr>
        <w:t xml:space="preserve">second round CER). In relation to the BE evaluation for the IAsp component, </w:t>
      </w:r>
      <w:r w:rsidR="00910A26">
        <w:rPr>
          <w:lang w:eastAsia="ja-JP"/>
        </w:rPr>
        <w:t>the sponsor</w:t>
      </w:r>
      <w:r w:rsidRPr="00707EC7">
        <w:rPr>
          <w:lang w:eastAsia="ja-JP"/>
        </w:rPr>
        <w:t xml:space="preserve"> proposes that the relative effect over the first 6 hour period after dosing (AUC</w:t>
      </w:r>
      <w:r w:rsidRPr="00707EC7">
        <w:rPr>
          <w:vertAlign w:val="subscript"/>
          <w:lang w:eastAsia="ja-JP"/>
        </w:rPr>
        <w:t>GIR0-6h</w:t>
      </w:r>
      <w:r w:rsidRPr="00707EC7">
        <w:rPr>
          <w:lang w:eastAsia="ja-JP"/>
        </w:rPr>
        <w:t>) and maximum effect (GIR</w:t>
      </w:r>
      <w:r w:rsidRPr="00707EC7">
        <w:rPr>
          <w:vertAlign w:val="subscript"/>
          <w:lang w:eastAsia="ja-JP"/>
        </w:rPr>
        <w:t>max</w:t>
      </w:r>
      <w:r w:rsidRPr="00707EC7">
        <w:rPr>
          <w:lang w:eastAsia="ja-JP"/>
        </w:rPr>
        <w:t>) is also emphasised. These are considered similar for IDegAsp and IAsp based on estimated ratios for AUC</w:t>
      </w:r>
      <w:r w:rsidRPr="00707EC7">
        <w:rPr>
          <w:vertAlign w:val="subscript"/>
          <w:lang w:eastAsia="ja-JP"/>
        </w:rPr>
        <w:t>GIR0-6h</w:t>
      </w:r>
      <w:r w:rsidR="00910A26">
        <w:rPr>
          <w:lang w:eastAsia="ja-JP"/>
        </w:rPr>
        <w:t xml:space="preserve"> (0.97 (0.88; 1.06)</w:t>
      </w:r>
      <w:r w:rsidRPr="00707EC7">
        <w:rPr>
          <w:lang w:eastAsia="ja-JP"/>
        </w:rPr>
        <w:t>) and GIR</w:t>
      </w:r>
      <w:r w:rsidRPr="00707EC7">
        <w:rPr>
          <w:vertAlign w:val="subscript"/>
          <w:lang w:eastAsia="ja-JP"/>
        </w:rPr>
        <w:t>max</w:t>
      </w:r>
      <w:r w:rsidR="00910A26">
        <w:rPr>
          <w:lang w:eastAsia="ja-JP"/>
        </w:rPr>
        <w:t xml:space="preserve"> (0.94 (0.86; 10.3)</w:t>
      </w:r>
      <w:r w:rsidRPr="00707EC7">
        <w:rPr>
          <w:lang w:eastAsia="ja-JP"/>
        </w:rPr>
        <w:t>) in Trial 1959.</w:t>
      </w:r>
    </w:p>
    <w:p w14:paraId="46720E5C" w14:textId="77777777" w:rsidR="00910A26" w:rsidRDefault="00910A26" w:rsidP="00707EC7">
      <w:pPr>
        <w:pStyle w:val="ListBullet"/>
        <w:rPr>
          <w:lang w:eastAsia="ja-JP"/>
        </w:rPr>
      </w:pPr>
      <w:r>
        <w:rPr>
          <w:lang w:eastAsia="ja-JP"/>
        </w:rPr>
        <w:t>In T</w:t>
      </w:r>
      <w:r w:rsidR="00707EC7" w:rsidRPr="00707EC7">
        <w:rPr>
          <w:lang w:eastAsia="ja-JP"/>
        </w:rPr>
        <w:t>rial 3594/3645,</w:t>
      </w:r>
      <w:r>
        <w:rPr>
          <w:lang w:eastAsia="ja-JP"/>
        </w:rPr>
        <w:t xml:space="preserve"> subjects achieved similar long </w:t>
      </w:r>
      <w:r w:rsidR="00707EC7" w:rsidRPr="00707EC7">
        <w:rPr>
          <w:lang w:eastAsia="ja-JP"/>
        </w:rPr>
        <w:t>term glycae</w:t>
      </w:r>
      <w:r>
        <w:rPr>
          <w:lang w:eastAsia="ja-JP"/>
        </w:rPr>
        <w:t xml:space="preserve">mic control (HbA1c) after basal </w:t>
      </w:r>
      <w:r w:rsidR="00707EC7" w:rsidRPr="00707EC7">
        <w:rPr>
          <w:lang w:eastAsia="ja-JP"/>
        </w:rPr>
        <w:t>bolus treatment with IDegAsp OD + IAsp at remaining meals (7.65%) compared with IDet + IAsp at all meals (7.72%). At end of trial, the total daily bolus dose was similar in both groups irrespective of whethe</w:t>
      </w:r>
      <w:r>
        <w:rPr>
          <w:lang w:eastAsia="ja-JP"/>
        </w:rPr>
        <w:t>r IAsp was given as IDegAsp OD +</w:t>
      </w:r>
      <w:r w:rsidR="00707EC7" w:rsidRPr="00707EC7">
        <w:rPr>
          <w:lang w:eastAsia="ja-JP"/>
        </w:rPr>
        <w:t xml:space="preserve"> IAsp at remaining meals (41 U) or as IDet + IAsp at all meals (43 U). Also at end of trial, the total dose of IDet + IAsp (82 </w:t>
      </w:r>
      <w:r w:rsidR="00707EC7" w:rsidRPr="00707EC7">
        <w:rPr>
          <w:lang w:eastAsia="ja-JP"/>
        </w:rPr>
        <w:lastRenderedPageBreak/>
        <w:t>U) was slightly higher than the total dose of IDegAsp OD + IAsp (72 U), which was solely attributed to a higher basal dose in the IDet group compared with the IDegAsp group.</w:t>
      </w:r>
    </w:p>
    <w:p w14:paraId="7206DD6D" w14:textId="6B46AE73" w:rsidR="00707EC7" w:rsidRPr="00707EC7" w:rsidRDefault="00910A26" w:rsidP="00707EC7">
      <w:pPr>
        <w:pStyle w:val="ListBullet"/>
        <w:rPr>
          <w:lang w:eastAsia="ja-JP"/>
        </w:rPr>
      </w:pPr>
      <w:r>
        <w:rPr>
          <w:lang w:eastAsia="ja-JP"/>
        </w:rPr>
        <w:t>In T</w:t>
      </w:r>
      <w:r w:rsidR="00707EC7" w:rsidRPr="00707EC7">
        <w:rPr>
          <w:lang w:eastAsia="ja-JP"/>
        </w:rPr>
        <w:t>rials 3592 and 3597, subjects achieved similar long-term glycaemic control (HbA1c) with IDegAsp (7.05 % and 7.07%, respectively) and NovoMix 30 (7.10% and 7.02%, respectively) at similar or lower dose levels at end of trial (90.3 and 55 U of IDegAsp and 97.7 and 68.3 U of NovoMix 30, respectively).</w:t>
      </w:r>
    </w:p>
    <w:p w14:paraId="0C699B82" w14:textId="1F3931BB" w:rsidR="00707EC7" w:rsidRPr="00707EC7" w:rsidRDefault="00910A26" w:rsidP="00910A26">
      <w:pPr>
        <w:pStyle w:val="Comment"/>
        <w:rPr>
          <w:lang w:eastAsia="ja-JP"/>
        </w:rPr>
      </w:pPr>
      <w:r w:rsidRPr="00910A26">
        <w:rPr>
          <w:b/>
        </w:rPr>
        <w:t>C</w:t>
      </w:r>
      <w:r w:rsidR="00707EC7" w:rsidRPr="00910A26">
        <w:rPr>
          <w:b/>
          <w:lang w:eastAsia="ja-JP"/>
        </w:rPr>
        <w:t>omment:</w:t>
      </w:r>
      <w:r w:rsidR="00707EC7" w:rsidRPr="00707EC7">
        <w:rPr>
          <w:lang w:eastAsia="ja-JP"/>
        </w:rPr>
        <w:t xml:space="preserve"> </w:t>
      </w:r>
      <w:r>
        <w:rPr>
          <w:lang w:eastAsia="ja-JP"/>
        </w:rPr>
        <w:t xml:space="preserve"> </w:t>
      </w:r>
      <w:r w:rsidR="00707EC7" w:rsidRPr="00707EC7">
        <w:rPr>
          <w:lang w:eastAsia="ja-JP"/>
        </w:rPr>
        <w:t xml:space="preserve">In terms of glucose lowering effect, the </w:t>
      </w:r>
      <w:r w:rsidR="0033056D">
        <w:rPr>
          <w:lang w:eastAsia="ja-JP"/>
        </w:rPr>
        <w:t>c</w:t>
      </w:r>
      <w:r w:rsidR="00707EC7" w:rsidRPr="00707EC7">
        <w:rPr>
          <w:lang w:eastAsia="ja-JP"/>
        </w:rPr>
        <w:t xml:space="preserve">linical </w:t>
      </w:r>
      <w:r w:rsidR="0033056D">
        <w:rPr>
          <w:lang w:eastAsia="ja-JP"/>
        </w:rPr>
        <w:t>e</w:t>
      </w:r>
      <w:r w:rsidR="00707EC7" w:rsidRPr="00707EC7">
        <w:rPr>
          <w:lang w:eastAsia="ja-JP"/>
        </w:rPr>
        <w:t xml:space="preserve">valuator of the original submission stated whilst matched doses of the co-formulation with separate injections of IDeg and IAsp resulted in similar </w:t>
      </w:r>
      <w:proofErr w:type="gramStart"/>
      <w:r w:rsidR="00707EC7" w:rsidRPr="00707EC7">
        <w:rPr>
          <w:lang w:eastAsia="ja-JP"/>
        </w:rPr>
        <w:t>AUC</w:t>
      </w:r>
      <w:r w:rsidR="00707EC7" w:rsidRPr="00707EC7">
        <w:rPr>
          <w:vertAlign w:val="subscript"/>
          <w:lang w:eastAsia="ja-JP"/>
        </w:rPr>
        <w:t>GIR(</w:t>
      </w:r>
      <w:proofErr w:type="gramEnd"/>
      <w:r w:rsidR="00707EC7" w:rsidRPr="00707EC7">
        <w:rPr>
          <w:vertAlign w:val="subscript"/>
          <w:lang w:eastAsia="ja-JP"/>
        </w:rPr>
        <w:t>0-6)</w:t>
      </w:r>
      <w:r w:rsidR="00707EC7" w:rsidRPr="00707EC7">
        <w:rPr>
          <w:lang w:eastAsia="ja-JP"/>
        </w:rPr>
        <w:t xml:space="preserve"> and AUC</w:t>
      </w:r>
      <w:r w:rsidR="00707EC7" w:rsidRPr="00707EC7">
        <w:rPr>
          <w:vertAlign w:val="subscript"/>
          <w:lang w:eastAsia="ja-JP"/>
        </w:rPr>
        <w:t>GIR(0-24)</w:t>
      </w:r>
      <w:r w:rsidR="00707EC7" w:rsidRPr="00707EC7">
        <w:rPr>
          <w:lang w:eastAsia="ja-JP"/>
        </w:rPr>
        <w:t>, the AUC</w:t>
      </w:r>
      <w:r w:rsidR="00707EC7" w:rsidRPr="00707EC7">
        <w:rPr>
          <w:vertAlign w:val="subscript"/>
          <w:lang w:eastAsia="ja-JP"/>
        </w:rPr>
        <w:t>GIR(0-2)</w:t>
      </w:r>
      <w:r w:rsidR="00707EC7" w:rsidRPr="00707EC7">
        <w:rPr>
          <w:lang w:eastAsia="ja-JP"/>
        </w:rPr>
        <w:t xml:space="preserve"> for the co-formulation was statistically significantly lower compared with the free injection, concluding the post-prandial component of glucose lowering is relatively blunted for the co-formulat</w:t>
      </w:r>
      <w:r>
        <w:rPr>
          <w:lang w:eastAsia="ja-JP"/>
        </w:rPr>
        <w:t>ion.</w:t>
      </w:r>
    </w:p>
    <w:p w14:paraId="4A7F75E9" w14:textId="77777777" w:rsidR="00707EC7" w:rsidRPr="00707EC7" w:rsidRDefault="00707EC7" w:rsidP="00910A26">
      <w:pPr>
        <w:pStyle w:val="Comment"/>
        <w:ind w:firstLine="0"/>
        <w:rPr>
          <w:lang w:eastAsia="ja-JP"/>
        </w:rPr>
      </w:pPr>
      <w:r w:rsidRPr="00707EC7">
        <w:rPr>
          <w:lang w:eastAsia="ja-JP"/>
        </w:rPr>
        <w:t>From a clinical perspective, the key issue is whether these observed PK/PD differences are associated with clinically relevant effects.</w:t>
      </w:r>
    </w:p>
    <w:p w14:paraId="16DB4184" w14:textId="43295933" w:rsidR="00707EC7" w:rsidRPr="00707EC7" w:rsidRDefault="00910A26" w:rsidP="00910A26">
      <w:pPr>
        <w:pStyle w:val="Comment"/>
        <w:ind w:firstLine="0"/>
        <w:rPr>
          <w:lang w:eastAsia="ja-JP"/>
        </w:rPr>
      </w:pPr>
      <w:r>
        <w:rPr>
          <w:lang w:eastAsia="ja-JP"/>
        </w:rPr>
        <w:t>The clinical e</w:t>
      </w:r>
      <w:r w:rsidR="00707EC7" w:rsidRPr="00707EC7">
        <w:rPr>
          <w:lang w:eastAsia="ja-JP"/>
        </w:rPr>
        <w:t xml:space="preserve">valuator of </w:t>
      </w:r>
      <w:r>
        <w:rPr>
          <w:lang w:eastAsia="ja-JP"/>
        </w:rPr>
        <w:t xml:space="preserve">the </w:t>
      </w:r>
      <w:r w:rsidR="00554F6A">
        <w:rPr>
          <w:lang w:eastAsia="ja-JP"/>
        </w:rPr>
        <w:t xml:space="preserve">original withdrawn </w:t>
      </w:r>
      <w:r>
        <w:rPr>
          <w:lang w:eastAsia="ja-JP"/>
        </w:rPr>
        <w:t>s</w:t>
      </w:r>
      <w:r w:rsidR="00707EC7" w:rsidRPr="00707EC7">
        <w:rPr>
          <w:lang w:eastAsia="ja-JP"/>
        </w:rPr>
        <w:t xml:space="preserve">ubmission noted the </w:t>
      </w:r>
      <w:r>
        <w:rPr>
          <w:lang w:eastAsia="ja-JP"/>
        </w:rPr>
        <w:t xml:space="preserve">total daily insulin dose was 12% to </w:t>
      </w:r>
      <w:r w:rsidR="00707EC7" w:rsidRPr="00707EC7">
        <w:rPr>
          <w:lang w:eastAsia="ja-JP"/>
        </w:rPr>
        <w:t>13% lower in the IDegAsp group than the IDet group. This was driven primarily by a lower basal insulin dose, as similar bolus doses of IAsp were reported for both groups (40 U and 42 U for IDegAsp an</w:t>
      </w:r>
      <w:r>
        <w:rPr>
          <w:lang w:eastAsia="ja-JP"/>
        </w:rPr>
        <w:t>d IDet respectively), with the clinical e</w:t>
      </w:r>
      <w:r w:rsidR="00707EC7" w:rsidRPr="00707EC7">
        <w:rPr>
          <w:lang w:eastAsia="ja-JP"/>
        </w:rPr>
        <w:t>valuator concluding T1DM subjects treated with IDegAsp achieved similar glycaemic control using a lower dose of insulin at end of trial compared w</w:t>
      </w:r>
      <w:r>
        <w:rPr>
          <w:lang w:eastAsia="ja-JP"/>
        </w:rPr>
        <w:t xml:space="preserve">ith IDet treated subjects. The clinical evaluator stated the 9 </w:t>
      </w:r>
      <w:r w:rsidR="00707EC7" w:rsidRPr="00707EC7">
        <w:rPr>
          <w:lang w:eastAsia="ja-JP"/>
        </w:rPr>
        <w:t xml:space="preserve">point SMPG profile was similar between IDegAsp and IDet after 26 and 52 weeks, except before lunch and the evening meal where the mean plasma glucose value was lower for </w:t>
      </w:r>
      <w:r>
        <w:rPr>
          <w:lang w:eastAsia="ja-JP"/>
        </w:rPr>
        <w:t xml:space="preserve">IDegAsp OD than for IDet. The 9 </w:t>
      </w:r>
      <w:r w:rsidR="00707EC7" w:rsidRPr="00707EC7">
        <w:rPr>
          <w:lang w:eastAsia="ja-JP"/>
        </w:rPr>
        <w:t xml:space="preserve">point SMPG after 26 </w:t>
      </w:r>
      <w:r>
        <w:rPr>
          <w:lang w:eastAsia="ja-JP"/>
        </w:rPr>
        <w:t>weeks of treatment compared to B</w:t>
      </w:r>
      <w:r w:rsidR="00707EC7" w:rsidRPr="00707EC7">
        <w:rPr>
          <w:lang w:eastAsia="ja-JP"/>
        </w:rPr>
        <w:t xml:space="preserve">aseline was illustrated in </w:t>
      </w:r>
      <w:r>
        <w:rPr>
          <w:lang w:eastAsia="ja-JP"/>
        </w:rPr>
        <w:t xml:space="preserve">a figure </w:t>
      </w:r>
      <w:r w:rsidR="0033056D">
        <w:rPr>
          <w:lang w:eastAsia="ja-JP"/>
        </w:rPr>
        <w:t>(</w:t>
      </w:r>
      <w:r w:rsidR="00FF49F5">
        <w:rPr>
          <w:lang w:eastAsia="ja-JP"/>
        </w:rPr>
        <w:t xml:space="preserve">see </w:t>
      </w:r>
      <w:r>
        <w:rPr>
          <w:lang w:eastAsia="ja-JP"/>
        </w:rPr>
        <w:t>Figure 1</w:t>
      </w:r>
      <w:r w:rsidR="00FF49F5">
        <w:rPr>
          <w:lang w:eastAsia="ja-JP"/>
        </w:rPr>
        <w:t>, below</w:t>
      </w:r>
      <w:r w:rsidR="0033056D">
        <w:rPr>
          <w:lang w:eastAsia="ja-JP"/>
        </w:rPr>
        <w:t>)</w:t>
      </w:r>
      <w:r>
        <w:rPr>
          <w:lang w:eastAsia="ja-JP"/>
        </w:rPr>
        <w:t>.</w:t>
      </w:r>
    </w:p>
    <w:p w14:paraId="193ABB08" w14:textId="1B537518" w:rsidR="00707EC7" w:rsidRPr="00910A26" w:rsidRDefault="00707EC7" w:rsidP="00910A26">
      <w:pPr>
        <w:pStyle w:val="FigureTitle"/>
        <w:keepNext/>
      </w:pPr>
      <w:bookmarkStart w:id="44" w:name="_Toc487195105"/>
      <w:r w:rsidRPr="00910A26">
        <w:t>Figure</w:t>
      </w:r>
      <w:r w:rsidR="009F4052">
        <w:t xml:space="preserve"> 1</w:t>
      </w:r>
      <w:r w:rsidR="00FF49F5">
        <w:t>:</w:t>
      </w:r>
      <w:r w:rsidRPr="00910A26">
        <w:t xml:space="preserve"> </w:t>
      </w:r>
      <w:r w:rsidR="00910A26">
        <w:t>9 point SMPG (mm</w:t>
      </w:r>
      <w:r w:rsidRPr="00910A26">
        <w:t xml:space="preserve">ol/L) at </w:t>
      </w:r>
      <w:r w:rsidR="00910A26">
        <w:t>B</w:t>
      </w:r>
      <w:r w:rsidRPr="00910A26">
        <w:t>aseline (le</w:t>
      </w:r>
      <w:r w:rsidR="00910A26">
        <w:t>ft) and after 26 weeks (right); LOCF mean plot (</w:t>
      </w:r>
      <w:r w:rsidRPr="00910A26">
        <w:t>FAS</w:t>
      </w:r>
      <w:r w:rsidR="00910A26">
        <w:t>)</w:t>
      </w:r>
      <w:bookmarkEnd w:id="44"/>
    </w:p>
    <w:p w14:paraId="7D25DC46" w14:textId="77777777" w:rsidR="00707EC7" w:rsidRPr="00707EC7" w:rsidRDefault="00707EC7" w:rsidP="00707EC7">
      <w:pPr>
        <w:rPr>
          <w:b/>
          <w:u w:val="single"/>
          <w:lang w:eastAsia="ja-JP"/>
        </w:rPr>
      </w:pPr>
      <w:r w:rsidRPr="00707EC7">
        <w:rPr>
          <w:b/>
          <w:noProof/>
          <w:u w:val="single"/>
          <w:lang w:eastAsia="en-AU"/>
        </w:rPr>
        <w:drawing>
          <wp:inline distT="0" distB="0" distL="0" distR="0" wp14:anchorId="50AC2B6F" wp14:editId="0F649C8E">
            <wp:extent cx="5481638" cy="1695450"/>
            <wp:effectExtent l="19050" t="19050" r="24130" b="19050"/>
            <wp:docPr id="14" name="Picture 14" descr="9 point SMPG (mmol/L) at Baseline (left) and after 26 weeks (right); LOCF mean plot (FAS)" title="9 point SMPG (mmol/L) at Baseline (left) and after 26 weeks (right); LOCF mean plo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4360" b="11737"/>
                    <a:stretch/>
                  </pic:blipFill>
                  <pic:spPr bwMode="auto">
                    <a:xfrm>
                      <a:off x="0" y="0"/>
                      <a:ext cx="5481621" cy="169544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67E7EE9" w14:textId="5526A5A1" w:rsidR="00707EC7" w:rsidRPr="00707EC7" w:rsidRDefault="00707EC7" w:rsidP="00707EC7">
      <w:pPr>
        <w:rPr>
          <w:lang w:eastAsia="ja-JP"/>
        </w:rPr>
      </w:pPr>
      <w:r w:rsidRPr="00707EC7">
        <w:rPr>
          <w:lang w:eastAsia="ja-JP"/>
        </w:rPr>
        <w:t xml:space="preserve">From the above efficacy data, there is no evidence the identified concern regarding lack of bioequivalence of IDegAsp with the IAsp </w:t>
      </w:r>
      <w:r w:rsidR="00E31B2E">
        <w:rPr>
          <w:lang w:eastAsia="ja-JP"/>
        </w:rPr>
        <w:t xml:space="preserve">individual </w:t>
      </w:r>
      <w:r w:rsidR="00E31B2E" w:rsidRPr="00707EC7">
        <w:rPr>
          <w:lang w:eastAsia="ja-JP"/>
        </w:rPr>
        <w:t xml:space="preserve">component </w:t>
      </w:r>
      <w:r w:rsidRPr="00707EC7">
        <w:rPr>
          <w:lang w:eastAsia="ja-JP"/>
        </w:rPr>
        <w:t>was associated with a clinically me</w:t>
      </w:r>
      <w:r w:rsidR="003B216D">
        <w:rPr>
          <w:lang w:eastAsia="ja-JP"/>
        </w:rPr>
        <w:t>aningful effect. Further, this e</w:t>
      </w:r>
      <w:r w:rsidRPr="00707EC7">
        <w:rPr>
          <w:lang w:eastAsia="ja-JP"/>
        </w:rPr>
        <w:t>valuator notes the Australian PI for the prem</w:t>
      </w:r>
      <w:r w:rsidR="003B216D">
        <w:rPr>
          <w:lang w:eastAsia="ja-JP"/>
        </w:rPr>
        <w:t>ixed insulin product Mixtard 30/</w:t>
      </w:r>
      <w:r w:rsidRPr="00707EC7">
        <w:rPr>
          <w:lang w:eastAsia="ja-JP"/>
        </w:rPr>
        <w:t>70 (biphasic isophane insulin injection) states ‘</w:t>
      </w:r>
      <w:r w:rsidRPr="00707EC7">
        <w:rPr>
          <w:i/>
          <w:lang w:eastAsia="ja-JP"/>
        </w:rPr>
        <w:t>Mixtard 30/70 is not exactly equivalent to its component insulins’.</w:t>
      </w:r>
      <w:r w:rsidR="003B216D" w:rsidRPr="00707EC7">
        <w:rPr>
          <w:vertAlign w:val="superscript"/>
          <w:lang w:eastAsia="ja-JP"/>
        </w:rPr>
        <w:footnoteReference w:id="5"/>
      </w:r>
    </w:p>
    <w:p w14:paraId="187A832A" w14:textId="6EC84D80" w:rsidR="00707EC7" w:rsidRDefault="00707EC7" w:rsidP="00707EC7">
      <w:pPr>
        <w:rPr>
          <w:lang w:eastAsia="ja-JP"/>
        </w:rPr>
      </w:pPr>
      <w:r w:rsidRPr="00707EC7">
        <w:rPr>
          <w:lang w:eastAsia="ja-JP"/>
        </w:rPr>
        <w:t>Given the comprehensive Phase III data provided with the submission, approval of the product will be contingent on the clinical data rather than PK parameters.</w:t>
      </w:r>
    </w:p>
    <w:p w14:paraId="4DBD3791" w14:textId="77777777" w:rsidR="003B216D" w:rsidRPr="003B216D" w:rsidRDefault="003B216D" w:rsidP="003B216D">
      <w:pPr>
        <w:pStyle w:val="Heading3"/>
        <w:rPr>
          <w:rFonts w:eastAsia="Cambria"/>
        </w:rPr>
      </w:pPr>
      <w:bookmarkStart w:id="45" w:name="_Toc487202382"/>
      <w:bookmarkStart w:id="46" w:name="_Toc517768412"/>
      <w:r w:rsidRPr="003B216D">
        <w:rPr>
          <w:rFonts w:eastAsia="Cambria"/>
        </w:rPr>
        <w:lastRenderedPageBreak/>
        <w:t>New studies providing pharmacokinetic information</w:t>
      </w:r>
      <w:bookmarkEnd w:id="45"/>
      <w:bookmarkEnd w:id="46"/>
    </w:p>
    <w:p w14:paraId="6F099EDF" w14:textId="77DA0BBB" w:rsidR="003B216D" w:rsidRPr="003B216D" w:rsidRDefault="003B216D" w:rsidP="003B216D">
      <w:pPr>
        <w:rPr>
          <w:lang w:eastAsia="ja-JP"/>
        </w:rPr>
      </w:pPr>
      <w:r w:rsidRPr="003B216D">
        <w:rPr>
          <w:lang w:eastAsia="ja-JP"/>
        </w:rPr>
        <w:t xml:space="preserve">The PK data for IDegAsp has been evaluated in </w:t>
      </w:r>
      <w:r w:rsidR="00554F6A">
        <w:rPr>
          <w:lang w:eastAsia="ja-JP"/>
        </w:rPr>
        <w:t>the original withdrawn submission</w:t>
      </w:r>
      <w:r w:rsidRPr="003B216D">
        <w:rPr>
          <w:lang w:eastAsia="ja-JP"/>
        </w:rPr>
        <w:t xml:space="preserve">. The current dossier contained synopses for </w:t>
      </w:r>
      <w:r>
        <w:rPr>
          <w:lang w:eastAsia="ja-JP"/>
        </w:rPr>
        <w:t xml:space="preserve">1 </w:t>
      </w:r>
      <w:r w:rsidRPr="003B216D">
        <w:rPr>
          <w:lang w:eastAsia="ja-JP"/>
        </w:rPr>
        <w:t>additional PD/PK trial (</w:t>
      </w:r>
      <w:r w:rsidR="00AF315E" w:rsidRPr="00AF315E">
        <w:rPr>
          <w:lang w:eastAsia="ja-JP"/>
        </w:rPr>
        <w:t>Study NN5401</w:t>
      </w:r>
      <w:r w:rsidR="00AF315E">
        <w:rPr>
          <w:lang w:eastAsia="ja-JP"/>
        </w:rPr>
        <w:t>-</w:t>
      </w:r>
      <w:r w:rsidRPr="003B216D">
        <w:rPr>
          <w:lang w:eastAsia="ja-JP"/>
        </w:rPr>
        <w:t>1979) as discussed below and in Section 5.2</w:t>
      </w:r>
      <w:r>
        <w:rPr>
          <w:lang w:eastAsia="ja-JP"/>
        </w:rPr>
        <w:t xml:space="preserve"> of this report</w:t>
      </w:r>
      <w:r w:rsidRPr="003B216D">
        <w:rPr>
          <w:lang w:eastAsia="ja-JP"/>
        </w:rPr>
        <w:t>.</w:t>
      </w:r>
    </w:p>
    <w:p w14:paraId="5F20D21D" w14:textId="77777777" w:rsidR="003B216D" w:rsidRPr="003B216D" w:rsidRDefault="003B216D" w:rsidP="003B216D">
      <w:pPr>
        <w:pStyle w:val="Heading3"/>
        <w:rPr>
          <w:rFonts w:eastAsia="Cambria"/>
        </w:rPr>
      </w:pPr>
      <w:bookmarkStart w:id="47" w:name="_Toc241374296"/>
      <w:bookmarkStart w:id="48" w:name="_Ref269982040"/>
      <w:bookmarkStart w:id="49" w:name="_Ref271018704"/>
      <w:bookmarkStart w:id="50" w:name="_Ref271018755"/>
      <w:bookmarkStart w:id="51" w:name="_Toc272414635"/>
      <w:bookmarkStart w:id="52" w:name="_Toc290888484"/>
      <w:bookmarkStart w:id="53" w:name="_Toc416353681"/>
      <w:bookmarkStart w:id="54" w:name="_Toc421005250"/>
      <w:bookmarkStart w:id="55" w:name="_Toc432079132"/>
      <w:bookmarkStart w:id="56" w:name="_Toc432080705"/>
      <w:bookmarkStart w:id="57" w:name="_Toc487202383"/>
      <w:bookmarkStart w:id="58" w:name="_Toc517768413"/>
      <w:r w:rsidRPr="003B216D">
        <w:rPr>
          <w:rFonts w:eastAsia="Cambria"/>
        </w:rPr>
        <w:t xml:space="preserve">Summary </w:t>
      </w:r>
      <w:bookmarkEnd w:id="47"/>
      <w:bookmarkEnd w:id="48"/>
      <w:bookmarkEnd w:id="49"/>
      <w:bookmarkEnd w:id="50"/>
      <w:bookmarkEnd w:id="51"/>
      <w:bookmarkEnd w:id="52"/>
      <w:bookmarkEnd w:id="53"/>
      <w:bookmarkEnd w:id="54"/>
      <w:bookmarkEnd w:id="55"/>
      <w:bookmarkEnd w:id="56"/>
      <w:r w:rsidRPr="003B216D">
        <w:rPr>
          <w:rFonts w:eastAsia="Cambria"/>
        </w:rPr>
        <w:t>of pharmacokinetics</w:t>
      </w:r>
      <w:bookmarkEnd w:id="57"/>
      <w:bookmarkEnd w:id="58"/>
    </w:p>
    <w:p w14:paraId="09297B2E" w14:textId="77777777" w:rsidR="003B216D" w:rsidRPr="003B216D" w:rsidRDefault="003B216D" w:rsidP="003B216D">
      <w:pPr>
        <w:pStyle w:val="Heading4"/>
      </w:pPr>
      <w:r w:rsidRPr="003B216D">
        <w:t>Pharmacokinetics in the target population</w:t>
      </w:r>
    </w:p>
    <w:p w14:paraId="1767429E" w14:textId="79CEFB02" w:rsidR="003B216D" w:rsidRPr="003B216D" w:rsidRDefault="003B216D" w:rsidP="003B216D">
      <w:pPr>
        <w:pStyle w:val="Heading5"/>
        <w:rPr>
          <w:lang w:eastAsia="ja-JP"/>
        </w:rPr>
      </w:pPr>
      <w:bookmarkStart w:id="59" w:name="_Toc241374293"/>
      <w:bookmarkStart w:id="60" w:name="_Toc272414626"/>
      <w:bookmarkStart w:id="61" w:name="_Toc290888475"/>
      <w:bookmarkStart w:id="62" w:name="_Toc416353671"/>
      <w:bookmarkStart w:id="63" w:name="_Toc421005246"/>
      <w:bookmarkStart w:id="64" w:name="_Toc432079128"/>
      <w:bookmarkStart w:id="65" w:name="_Toc432080701"/>
      <w:r w:rsidRPr="003B216D">
        <w:rPr>
          <w:lang w:eastAsia="ja-JP"/>
        </w:rPr>
        <w:t xml:space="preserve">Study </w:t>
      </w:r>
      <w:r>
        <w:rPr>
          <w:lang w:eastAsia="ja-JP"/>
        </w:rPr>
        <w:t>NN5401-1979</w:t>
      </w:r>
    </w:p>
    <w:p w14:paraId="6F7375FF" w14:textId="1E2E8BF6" w:rsidR="003B216D" w:rsidRPr="003B216D" w:rsidRDefault="003B216D" w:rsidP="003B216D">
      <w:pPr>
        <w:rPr>
          <w:lang w:eastAsia="ja-JP"/>
        </w:rPr>
      </w:pPr>
      <w:r w:rsidRPr="003B216D">
        <w:rPr>
          <w:lang w:eastAsia="ja-JP"/>
        </w:rPr>
        <w:t>Study NN5401-1979 was a single</w:t>
      </w:r>
      <w:r>
        <w:rPr>
          <w:lang w:eastAsia="ja-JP"/>
        </w:rPr>
        <w:t xml:space="preserve"> </w:t>
      </w:r>
      <w:r w:rsidRPr="003B216D">
        <w:rPr>
          <w:lang w:eastAsia="ja-JP"/>
        </w:rPr>
        <w:t>centre, open</w:t>
      </w:r>
      <w:r>
        <w:rPr>
          <w:lang w:eastAsia="ja-JP"/>
        </w:rPr>
        <w:t xml:space="preserve"> </w:t>
      </w:r>
      <w:r w:rsidRPr="003B216D">
        <w:rPr>
          <w:lang w:eastAsia="ja-JP"/>
        </w:rPr>
        <w:t>label, multiple</w:t>
      </w:r>
      <w:r>
        <w:rPr>
          <w:lang w:eastAsia="ja-JP"/>
        </w:rPr>
        <w:t xml:space="preserve"> </w:t>
      </w:r>
      <w:r w:rsidRPr="003B216D">
        <w:rPr>
          <w:lang w:eastAsia="ja-JP"/>
        </w:rPr>
        <w:t>dose study to assess the PD and PK properties of IDegAsp (at steady-state) in 22 adult subjects with T1DM</w:t>
      </w:r>
      <w:r>
        <w:rPr>
          <w:lang w:eastAsia="ja-JP"/>
        </w:rPr>
        <w:t>.</w:t>
      </w:r>
    </w:p>
    <w:p w14:paraId="3B82A63B" w14:textId="7D477986" w:rsidR="003B216D" w:rsidRPr="003B216D" w:rsidRDefault="003B216D" w:rsidP="003B216D">
      <w:pPr>
        <w:rPr>
          <w:lang w:eastAsia="ja-JP"/>
        </w:rPr>
      </w:pPr>
      <w:r w:rsidRPr="003B216D">
        <w:rPr>
          <w:lang w:eastAsia="ja-JP"/>
        </w:rPr>
        <w:t>All subjects received a fixed subcutaneous dose of IDeg (0.42U/kg body weight) daily for 5 consecutive days (plus IAsp as bolus insulin as needed, dosage n</w:t>
      </w:r>
      <w:r w:rsidR="004416C6">
        <w:rPr>
          <w:lang w:eastAsia="ja-JP"/>
        </w:rPr>
        <w:t xml:space="preserve">ot specified) to achieve steady </w:t>
      </w:r>
      <w:r w:rsidRPr="003B216D">
        <w:rPr>
          <w:lang w:eastAsia="ja-JP"/>
        </w:rPr>
        <w:t xml:space="preserve">state for IDeg followed by a single fixed subcutaneous dose of IDegAsp (0.6 U/kg body weight, corresponding to 0.42 U/kg IDeg and 0.18 U/kg IAsp) on Day 6. PK properties were </w:t>
      </w:r>
      <w:r>
        <w:rPr>
          <w:lang w:eastAsia="ja-JP"/>
        </w:rPr>
        <w:t>evaluated for 120 hours.</w:t>
      </w:r>
    </w:p>
    <w:p w14:paraId="1E30032C" w14:textId="3D31FEDE" w:rsidR="003B216D" w:rsidRPr="003B216D" w:rsidRDefault="003B216D" w:rsidP="003B216D">
      <w:pPr>
        <w:rPr>
          <w:lang w:eastAsia="ja-JP"/>
        </w:rPr>
      </w:pPr>
      <w:r w:rsidRPr="003B216D">
        <w:rPr>
          <w:lang w:eastAsia="ja-JP"/>
        </w:rPr>
        <w:t>The mean total serum exposure of IDeg in IDegAsp at steady state during</w:t>
      </w:r>
      <w:r w:rsidR="00D44164">
        <w:rPr>
          <w:lang w:eastAsia="ja-JP"/>
        </w:rPr>
        <w:t xml:space="preserve"> 1</w:t>
      </w:r>
      <w:r w:rsidRPr="003B216D">
        <w:rPr>
          <w:lang w:eastAsia="ja-JP"/>
        </w:rPr>
        <w:t xml:space="preserve"> dosing interval (AUC</w:t>
      </w:r>
      <w:r w:rsidRPr="003B216D">
        <w:rPr>
          <w:vertAlign w:val="subscript"/>
          <w:lang w:eastAsia="ja-JP"/>
        </w:rPr>
        <w:t>IDeg</w:t>
      </w:r>
      <w:proofErr w:type="gramStart"/>
      <w:r w:rsidRPr="003B216D">
        <w:rPr>
          <w:vertAlign w:val="subscript"/>
          <w:lang w:eastAsia="ja-JP"/>
        </w:rPr>
        <w:t>,τ,ss</w:t>
      </w:r>
      <w:proofErr w:type="gramEnd"/>
      <w:r>
        <w:rPr>
          <w:lang w:eastAsia="ja-JP"/>
        </w:rPr>
        <w:t>) was 72084 pmol.</w:t>
      </w:r>
      <w:r w:rsidRPr="003B216D">
        <w:rPr>
          <w:lang w:eastAsia="ja-JP"/>
        </w:rPr>
        <w:t>h/L and the mean C</w:t>
      </w:r>
      <w:r w:rsidRPr="003B216D">
        <w:rPr>
          <w:vertAlign w:val="subscript"/>
          <w:lang w:eastAsia="ja-JP"/>
        </w:rPr>
        <w:t>max,IDeg ss</w:t>
      </w:r>
      <w:r w:rsidRPr="003B216D">
        <w:rPr>
          <w:lang w:eastAsia="ja-JP"/>
        </w:rPr>
        <w:t xml:space="preserve"> was 3938 pmol/L. Mean total serum exposure of IAsp in IDegAsp (AUC</w:t>
      </w:r>
      <w:r w:rsidRPr="003B216D">
        <w:rPr>
          <w:vertAlign w:val="subscript"/>
          <w:lang w:eastAsia="ja-JP"/>
        </w:rPr>
        <w:t>IAsp,0–12h</w:t>
      </w:r>
      <w:r w:rsidRPr="003B216D">
        <w:rPr>
          <w:lang w:eastAsia="ja-JP"/>
        </w:rPr>
        <w:t>) was 1087 pmol.h/L and mean C</w:t>
      </w:r>
      <w:r w:rsidRPr="003B216D">
        <w:rPr>
          <w:vertAlign w:val="subscript"/>
          <w:lang w:eastAsia="ja-JP"/>
        </w:rPr>
        <w:t>max,IAsp</w:t>
      </w:r>
      <w:r>
        <w:rPr>
          <w:lang w:eastAsia="ja-JP"/>
        </w:rPr>
        <w:t xml:space="preserve"> was 326 </w:t>
      </w:r>
      <w:r w:rsidRPr="003B216D">
        <w:rPr>
          <w:lang w:eastAsia="ja-JP"/>
        </w:rPr>
        <w:t>pmol/L, with a median time to peak serum concentration of IAsp (t</w:t>
      </w:r>
      <w:r w:rsidRPr="003B216D">
        <w:rPr>
          <w:vertAlign w:val="subscript"/>
          <w:lang w:eastAsia="ja-JP"/>
        </w:rPr>
        <w:t>max,IAsp</w:t>
      </w:r>
      <w:r>
        <w:rPr>
          <w:lang w:eastAsia="ja-JP"/>
        </w:rPr>
        <w:t>) of 1.3 hours.</w:t>
      </w:r>
    </w:p>
    <w:p w14:paraId="32F66B61" w14:textId="45DD8906" w:rsidR="003B216D" w:rsidRPr="003B216D" w:rsidRDefault="003B216D" w:rsidP="003B216D">
      <w:pPr>
        <w:rPr>
          <w:lang w:eastAsia="ja-JP"/>
        </w:rPr>
      </w:pPr>
      <w:r w:rsidRPr="003B216D">
        <w:rPr>
          <w:lang w:eastAsia="ja-JP"/>
        </w:rPr>
        <w:t>On visual inspection, the IAsp component of IDegAsp had a fast onset of appearance and a peak covering the prandial phase, whilst IDeg had a flat and evenly distributed pharmacokinetic profile over 24 hours. The mean ratio between AUC</w:t>
      </w:r>
      <w:r w:rsidRPr="003B216D">
        <w:rPr>
          <w:vertAlign w:val="subscript"/>
          <w:lang w:eastAsia="ja-JP"/>
        </w:rPr>
        <w:t>IDeg,0-12h,SS</w:t>
      </w:r>
      <w:r w:rsidRPr="003B216D">
        <w:rPr>
          <w:lang w:eastAsia="ja-JP"/>
        </w:rPr>
        <w:t xml:space="preserve"> and AUC</w:t>
      </w:r>
      <w:r w:rsidRPr="003B216D">
        <w:rPr>
          <w:vertAlign w:val="subscript"/>
          <w:lang w:eastAsia="ja-JP"/>
        </w:rPr>
        <w:t>IDeg,τ,SS</w:t>
      </w:r>
      <w:r w:rsidRPr="003B216D">
        <w:rPr>
          <w:lang w:eastAsia="ja-JP"/>
        </w:rPr>
        <w:t xml:space="preserve"> was 0.51 indicating that exposure to IDeg in IDegAsp was similar for the first 12 hours compared to the following 12 hours of </w:t>
      </w:r>
      <w:r w:rsidR="004416C6">
        <w:rPr>
          <w:lang w:eastAsia="ja-JP"/>
        </w:rPr>
        <w:t>1</w:t>
      </w:r>
      <w:r w:rsidRPr="003B216D">
        <w:rPr>
          <w:lang w:eastAsia="ja-JP"/>
        </w:rPr>
        <w:t>dosing interval at steady state.</w:t>
      </w:r>
    </w:p>
    <w:p w14:paraId="46BE3283" w14:textId="20560824" w:rsidR="003B216D" w:rsidRPr="003B216D" w:rsidRDefault="003B216D" w:rsidP="003B216D">
      <w:pPr>
        <w:rPr>
          <w:lang w:eastAsia="ja-JP"/>
        </w:rPr>
      </w:pPr>
      <w:r w:rsidRPr="003B216D">
        <w:rPr>
          <w:lang w:eastAsia="ja-JP"/>
        </w:rPr>
        <w:t>The PD results for this study are discussed in Section 5.2</w:t>
      </w:r>
      <w:r>
        <w:rPr>
          <w:lang w:eastAsia="ja-JP"/>
        </w:rPr>
        <w:t xml:space="preserve"> of this report.</w:t>
      </w:r>
    </w:p>
    <w:p w14:paraId="09A4A00A" w14:textId="2816965C" w:rsidR="003B216D" w:rsidRPr="003B216D" w:rsidRDefault="003B216D" w:rsidP="003B216D">
      <w:pPr>
        <w:pStyle w:val="Comment"/>
        <w:rPr>
          <w:lang w:eastAsia="ja-JP"/>
        </w:rPr>
      </w:pPr>
      <w:r w:rsidRPr="003B216D">
        <w:rPr>
          <w:b/>
          <w:lang w:eastAsia="ja-JP"/>
        </w:rPr>
        <w:t xml:space="preserve">Comment:  </w:t>
      </w:r>
      <w:r w:rsidRPr="003B216D">
        <w:rPr>
          <w:lang w:eastAsia="ja-JP"/>
        </w:rPr>
        <w:t>The PK of IDeg at steady state in subjects with</w:t>
      </w:r>
      <w:r>
        <w:rPr>
          <w:lang w:eastAsia="ja-JP"/>
        </w:rPr>
        <w:t xml:space="preserve"> T1DM was determined in Studies </w:t>
      </w:r>
      <w:r w:rsidRPr="003B216D">
        <w:rPr>
          <w:lang w:eastAsia="ja-JP"/>
        </w:rPr>
        <w:t xml:space="preserve">1991 and 1993 in </w:t>
      </w:r>
      <w:r>
        <w:rPr>
          <w:lang w:eastAsia="ja-JP"/>
        </w:rPr>
        <w:t xml:space="preserve">the </w:t>
      </w:r>
      <w:r w:rsidR="004416C6">
        <w:rPr>
          <w:lang w:eastAsia="ja-JP"/>
        </w:rPr>
        <w:t>original withdrawn submission</w:t>
      </w:r>
      <w:r>
        <w:rPr>
          <w:lang w:eastAsia="ja-JP"/>
        </w:rPr>
        <w:t>. The clinical e</w:t>
      </w:r>
      <w:r w:rsidRPr="003B216D">
        <w:rPr>
          <w:lang w:eastAsia="ja-JP"/>
        </w:rPr>
        <w:t>valuator for</w:t>
      </w:r>
      <w:r w:rsidR="004416C6">
        <w:rPr>
          <w:lang w:eastAsia="ja-JP"/>
        </w:rPr>
        <w:t xml:space="preserve"> that submission </w:t>
      </w:r>
      <w:r w:rsidRPr="003B216D">
        <w:rPr>
          <w:lang w:eastAsia="ja-JP"/>
        </w:rPr>
        <w:t>noted IDeg exposure was similar for the first 12 hours compared to the following 12 hours of</w:t>
      </w:r>
      <w:r w:rsidR="00D44164">
        <w:rPr>
          <w:lang w:eastAsia="ja-JP"/>
        </w:rPr>
        <w:t xml:space="preserve"> 1</w:t>
      </w:r>
      <w:r w:rsidRPr="003B216D">
        <w:rPr>
          <w:lang w:eastAsia="ja-JP"/>
        </w:rPr>
        <w:t xml:space="preserve"> dosing interval; the above results are consistent with these findings. </w:t>
      </w:r>
      <w:bookmarkEnd w:id="59"/>
      <w:bookmarkEnd w:id="60"/>
      <w:bookmarkEnd w:id="61"/>
      <w:bookmarkEnd w:id="62"/>
      <w:bookmarkEnd w:id="63"/>
      <w:bookmarkEnd w:id="64"/>
      <w:bookmarkEnd w:id="65"/>
      <w:r w:rsidR="00386BEF">
        <w:rPr>
          <w:lang w:eastAsia="ja-JP"/>
        </w:rPr>
        <w:t xml:space="preserve">However, as the </w:t>
      </w:r>
      <w:r w:rsidR="009F4052">
        <w:rPr>
          <w:lang w:eastAsia="ja-JP"/>
        </w:rPr>
        <w:t>half-</w:t>
      </w:r>
      <w:r w:rsidR="009F4052" w:rsidRPr="003B216D">
        <w:rPr>
          <w:lang w:eastAsia="ja-JP"/>
        </w:rPr>
        <w:t>life</w:t>
      </w:r>
      <w:r w:rsidRPr="003B216D">
        <w:rPr>
          <w:lang w:eastAsia="ja-JP"/>
        </w:rPr>
        <w:t xml:space="preserve"> of IDeg is 25 hours, the PK parameters of the IDeg component of the IDegAsp would have been influenced by previous dosing of IDeg.</w:t>
      </w:r>
    </w:p>
    <w:p w14:paraId="0B9C47F3" w14:textId="77777777" w:rsidR="003B216D" w:rsidRPr="003B216D" w:rsidRDefault="003B216D" w:rsidP="00386BEF">
      <w:pPr>
        <w:pStyle w:val="Heading3"/>
        <w:rPr>
          <w:rFonts w:eastAsia="Cambria"/>
        </w:rPr>
      </w:pPr>
      <w:bookmarkStart w:id="66" w:name="_Toc487202384"/>
      <w:bookmarkStart w:id="67" w:name="_Toc517768414"/>
      <w:r w:rsidRPr="003B216D">
        <w:rPr>
          <w:rFonts w:eastAsia="Cambria"/>
        </w:rPr>
        <w:t>Evaluator’s overall conclusions on pharmacokinetics</w:t>
      </w:r>
      <w:bookmarkEnd w:id="66"/>
      <w:bookmarkEnd w:id="67"/>
    </w:p>
    <w:p w14:paraId="0580DE1E" w14:textId="703109FC" w:rsidR="003B216D" w:rsidRPr="003B216D" w:rsidRDefault="003B216D" w:rsidP="003B216D">
      <w:pPr>
        <w:rPr>
          <w:lang w:eastAsia="ja-JP"/>
        </w:rPr>
      </w:pPr>
      <w:r w:rsidRPr="003B216D">
        <w:rPr>
          <w:lang w:eastAsia="ja-JP"/>
        </w:rPr>
        <w:t>The pharmacokinetic characteristics of IDegAsp have been established in</w:t>
      </w:r>
      <w:r w:rsidR="004416C6">
        <w:rPr>
          <w:lang w:eastAsia="ja-JP"/>
        </w:rPr>
        <w:t xml:space="preserve"> the original withdrawn submission.</w:t>
      </w:r>
    </w:p>
    <w:p w14:paraId="139ECA22" w14:textId="083A4920" w:rsidR="003B216D" w:rsidRPr="00707EC7" w:rsidRDefault="003B216D" w:rsidP="00707EC7">
      <w:pPr>
        <w:rPr>
          <w:lang w:eastAsia="ja-JP"/>
        </w:rPr>
      </w:pPr>
      <w:r w:rsidRPr="003B216D">
        <w:rPr>
          <w:lang w:eastAsia="ja-JP"/>
        </w:rPr>
        <w:t>The issue of bioequivalence</w:t>
      </w:r>
      <w:r w:rsidR="00386BEF">
        <w:rPr>
          <w:lang w:eastAsia="ja-JP"/>
        </w:rPr>
        <w:t xml:space="preserve"> has been addressed above within this section</w:t>
      </w:r>
      <w:r w:rsidRPr="003B216D">
        <w:rPr>
          <w:lang w:eastAsia="ja-JP"/>
        </w:rPr>
        <w:t xml:space="preserve">. It is recommended that the PI contain information as to the different PK parameters of IDegAsp </w:t>
      </w:r>
      <w:r w:rsidR="00386BEF">
        <w:rPr>
          <w:lang w:eastAsia="ja-JP"/>
        </w:rPr>
        <w:t xml:space="preserve">compared to the </w:t>
      </w:r>
      <w:r w:rsidR="009F4052">
        <w:rPr>
          <w:lang w:eastAsia="ja-JP"/>
        </w:rPr>
        <w:t xml:space="preserve">individual </w:t>
      </w:r>
      <w:r w:rsidR="00386BEF">
        <w:rPr>
          <w:lang w:eastAsia="ja-JP"/>
        </w:rPr>
        <w:t>components.</w:t>
      </w:r>
    </w:p>
    <w:p w14:paraId="3CBE2E92" w14:textId="77777777" w:rsidR="00586F98" w:rsidRDefault="00586F98" w:rsidP="00586F98">
      <w:pPr>
        <w:pStyle w:val="Heading2"/>
      </w:pPr>
      <w:bookmarkStart w:id="68" w:name="_Toc517768415"/>
      <w:r w:rsidRPr="003442FE">
        <w:lastRenderedPageBreak/>
        <w:t>Pharmacodynamics</w:t>
      </w:r>
      <w:bookmarkEnd w:id="68"/>
    </w:p>
    <w:p w14:paraId="5B37626A" w14:textId="77777777" w:rsidR="00386BEF" w:rsidRPr="00386BEF" w:rsidRDefault="00386BEF" w:rsidP="00386BEF">
      <w:pPr>
        <w:pStyle w:val="Heading3"/>
        <w:rPr>
          <w:rFonts w:eastAsia="Cambria"/>
        </w:rPr>
      </w:pPr>
      <w:bookmarkStart w:id="69" w:name="_Toc487202386"/>
      <w:bookmarkStart w:id="70" w:name="_Toc517768416"/>
      <w:r w:rsidRPr="00386BEF">
        <w:rPr>
          <w:rFonts w:eastAsia="Cambria"/>
        </w:rPr>
        <w:t>Studies providing pharmacodynamic information</w:t>
      </w:r>
      <w:bookmarkEnd w:id="69"/>
      <w:bookmarkEnd w:id="70"/>
    </w:p>
    <w:p w14:paraId="76C768C7" w14:textId="57D3ABE5" w:rsidR="00386BEF" w:rsidRPr="00386BEF" w:rsidRDefault="00386BEF" w:rsidP="00386BEF">
      <w:pPr>
        <w:rPr>
          <w:lang w:eastAsia="ja-JP"/>
        </w:rPr>
      </w:pPr>
      <w:r w:rsidRPr="00386BEF">
        <w:rPr>
          <w:lang w:eastAsia="ja-JP"/>
        </w:rPr>
        <w:t>The pharmacodynamic profile of IDegAsp has been described in</w:t>
      </w:r>
      <w:r>
        <w:rPr>
          <w:lang w:eastAsia="ja-JP"/>
        </w:rPr>
        <w:t xml:space="preserve"> the </w:t>
      </w:r>
      <w:r w:rsidR="004416C6">
        <w:rPr>
          <w:lang w:eastAsia="ja-JP"/>
        </w:rPr>
        <w:t xml:space="preserve">original withdrawn submission. </w:t>
      </w:r>
      <w:r w:rsidRPr="00386BEF">
        <w:rPr>
          <w:lang w:eastAsia="ja-JP"/>
        </w:rPr>
        <w:t>The current submission included additional PD dat</w:t>
      </w:r>
      <w:r w:rsidR="004416C6">
        <w:rPr>
          <w:lang w:eastAsia="ja-JP"/>
        </w:rPr>
        <w:t xml:space="preserve">a for IDegAsp provided in </w:t>
      </w:r>
      <w:r w:rsidR="00B27CF9">
        <w:rPr>
          <w:lang w:eastAsia="ja-JP"/>
        </w:rPr>
        <w:t>Study </w:t>
      </w:r>
      <w:r w:rsidR="00AF315E" w:rsidRPr="00AF315E">
        <w:rPr>
          <w:lang w:eastAsia="ja-JP"/>
        </w:rPr>
        <w:t>NN5401</w:t>
      </w:r>
      <w:r w:rsidR="00AF315E">
        <w:rPr>
          <w:lang w:eastAsia="ja-JP"/>
        </w:rPr>
        <w:t>-</w:t>
      </w:r>
      <w:r w:rsidRPr="00386BEF">
        <w:rPr>
          <w:lang w:eastAsia="ja-JP"/>
        </w:rPr>
        <w:t>1979 as discussed below.</w:t>
      </w:r>
    </w:p>
    <w:p w14:paraId="5B0B8630" w14:textId="77777777" w:rsidR="00386BEF" w:rsidRPr="00386BEF" w:rsidRDefault="00386BEF" w:rsidP="00386BEF">
      <w:pPr>
        <w:pStyle w:val="Heading3"/>
        <w:rPr>
          <w:rFonts w:eastAsia="Cambria"/>
        </w:rPr>
      </w:pPr>
      <w:bookmarkStart w:id="71" w:name="_Toc290888496"/>
      <w:bookmarkStart w:id="72" w:name="_Toc416353693"/>
      <w:bookmarkStart w:id="73" w:name="_Toc421005260"/>
      <w:bookmarkStart w:id="74" w:name="_Toc432079142"/>
      <w:bookmarkStart w:id="75" w:name="_Toc432080715"/>
      <w:bookmarkStart w:id="76" w:name="_Toc487202387"/>
      <w:bookmarkStart w:id="77" w:name="_Toc517768417"/>
      <w:r w:rsidRPr="00386BEF">
        <w:rPr>
          <w:rFonts w:eastAsia="Cambria"/>
        </w:rPr>
        <w:t>Summary of pharmacodynamics</w:t>
      </w:r>
      <w:bookmarkEnd w:id="71"/>
      <w:bookmarkEnd w:id="72"/>
      <w:bookmarkEnd w:id="73"/>
      <w:bookmarkEnd w:id="74"/>
      <w:bookmarkEnd w:id="75"/>
      <w:bookmarkEnd w:id="76"/>
      <w:bookmarkEnd w:id="77"/>
    </w:p>
    <w:p w14:paraId="6427CEDB" w14:textId="11FD7E6A" w:rsidR="00386BEF" w:rsidRPr="00386BEF" w:rsidRDefault="00386BEF" w:rsidP="00386BEF">
      <w:pPr>
        <w:pStyle w:val="Heading4"/>
      </w:pPr>
      <w:r w:rsidRPr="00386BEF">
        <w:t xml:space="preserve">Study </w:t>
      </w:r>
      <w:r>
        <w:t>NN5401-1979</w:t>
      </w:r>
    </w:p>
    <w:p w14:paraId="66378538" w14:textId="616E35B8" w:rsidR="00386BEF" w:rsidRPr="00386BEF" w:rsidRDefault="00386BEF" w:rsidP="00386BEF">
      <w:pPr>
        <w:rPr>
          <w:lang w:eastAsia="ja-JP"/>
        </w:rPr>
      </w:pPr>
      <w:r w:rsidRPr="00386BEF">
        <w:rPr>
          <w:lang w:eastAsia="ja-JP"/>
        </w:rPr>
        <w:t xml:space="preserve">Study NN5401-1979 was a </w:t>
      </w:r>
      <w:r>
        <w:rPr>
          <w:lang w:eastAsia="ja-JP"/>
        </w:rPr>
        <w:t xml:space="preserve">single </w:t>
      </w:r>
      <w:r w:rsidRPr="00386BEF">
        <w:rPr>
          <w:lang w:eastAsia="ja-JP"/>
        </w:rPr>
        <w:t>centre, open</w:t>
      </w:r>
      <w:r>
        <w:rPr>
          <w:lang w:eastAsia="ja-JP"/>
        </w:rPr>
        <w:t xml:space="preserve"> </w:t>
      </w:r>
      <w:r w:rsidRPr="00386BEF">
        <w:rPr>
          <w:lang w:eastAsia="ja-JP"/>
        </w:rPr>
        <w:t>label, multiple</w:t>
      </w:r>
      <w:r>
        <w:rPr>
          <w:lang w:eastAsia="ja-JP"/>
        </w:rPr>
        <w:t xml:space="preserve"> </w:t>
      </w:r>
      <w:r w:rsidRPr="00386BEF">
        <w:rPr>
          <w:lang w:eastAsia="ja-JP"/>
        </w:rPr>
        <w:t>dose study to assess the PD and PK p</w:t>
      </w:r>
      <w:r>
        <w:rPr>
          <w:lang w:eastAsia="ja-JP"/>
        </w:rPr>
        <w:t xml:space="preserve">roperties of IDegAsp (at steady </w:t>
      </w:r>
      <w:r w:rsidRPr="00386BEF">
        <w:rPr>
          <w:lang w:eastAsia="ja-JP"/>
        </w:rPr>
        <w:t>state) in 22 adult subjects with T1DM.</w:t>
      </w:r>
    </w:p>
    <w:p w14:paraId="13128C63" w14:textId="445F21AB" w:rsidR="00386BEF" w:rsidRPr="00386BEF" w:rsidRDefault="00386BEF" w:rsidP="00386BEF">
      <w:pPr>
        <w:rPr>
          <w:b/>
          <w:lang w:eastAsia="ja-JP"/>
        </w:rPr>
      </w:pPr>
      <w:r w:rsidRPr="00386BEF">
        <w:rPr>
          <w:lang w:eastAsia="ja-JP"/>
        </w:rPr>
        <w:t>All subjects received a fixed subcutaneous dose of IDeg (0.</w:t>
      </w:r>
      <w:r>
        <w:rPr>
          <w:lang w:eastAsia="ja-JP"/>
        </w:rPr>
        <w:t>42U/kg body weight) daily for 5 </w:t>
      </w:r>
      <w:r w:rsidRPr="00386BEF">
        <w:rPr>
          <w:lang w:eastAsia="ja-JP"/>
        </w:rPr>
        <w:t>consecutive days (plus IAsp as bolus insulin as needed) to achieve steady-state conditions for IDeg. On Day 6, subjects received a fixed subcutaneous dose of IDegAsp (0.6 U/kg body weight, corresponding to 0.42 U/kg IDeg and 0.18 U/kg IAsp). After administration of IDegAsp the steady</w:t>
      </w:r>
      <w:r>
        <w:rPr>
          <w:lang w:eastAsia="ja-JP"/>
        </w:rPr>
        <w:t xml:space="preserve"> </w:t>
      </w:r>
      <w:r w:rsidRPr="00386BEF">
        <w:rPr>
          <w:lang w:eastAsia="ja-JP"/>
        </w:rPr>
        <w:t>state PD res</w:t>
      </w:r>
      <w:r>
        <w:rPr>
          <w:lang w:eastAsia="ja-JP"/>
        </w:rPr>
        <w:t xml:space="preserve">ponse was evaluated during a 30 </w:t>
      </w:r>
      <w:r w:rsidRPr="00386BEF">
        <w:rPr>
          <w:lang w:eastAsia="ja-JP"/>
        </w:rPr>
        <w:t>hour euglycaemic clamp. The primary endpoint was the glucose infusion rate (GIR) at steady state. The mean 24</w:t>
      </w:r>
      <w:r>
        <w:rPr>
          <w:lang w:eastAsia="ja-JP"/>
        </w:rPr>
        <w:t xml:space="preserve"> </w:t>
      </w:r>
      <w:r w:rsidRPr="00386BEF">
        <w:rPr>
          <w:lang w:eastAsia="ja-JP"/>
        </w:rPr>
        <w:t xml:space="preserve">hour smoothed pharmacodynamic GIR profile for the IDegAsp at steady state condition is shown in Figure </w:t>
      </w:r>
      <w:r>
        <w:rPr>
          <w:lang w:eastAsia="ja-JP"/>
        </w:rPr>
        <w:t>2,</w:t>
      </w:r>
      <w:r w:rsidRPr="00386BEF">
        <w:rPr>
          <w:lang w:eastAsia="ja-JP"/>
        </w:rPr>
        <w:t xml:space="preserve"> below.</w:t>
      </w:r>
    </w:p>
    <w:p w14:paraId="49A06CEF" w14:textId="6BBFE6AB" w:rsidR="00386BEF" w:rsidRPr="00386BEF" w:rsidRDefault="00BD46CF" w:rsidP="00386BEF">
      <w:pPr>
        <w:pStyle w:val="FigureTitle"/>
        <w:keepNext/>
        <w:rPr>
          <w:lang w:eastAsia="ja-JP"/>
        </w:rPr>
      </w:pPr>
      <w:bookmarkStart w:id="78" w:name="_Toc487195106"/>
      <w:r>
        <w:rPr>
          <w:lang w:eastAsia="ja-JP"/>
        </w:rPr>
        <w:t>Figure 2</w:t>
      </w:r>
      <w:r w:rsidR="00FF49F5">
        <w:rPr>
          <w:lang w:eastAsia="ja-JP"/>
        </w:rPr>
        <w:t>:</w:t>
      </w:r>
      <w:r w:rsidR="00386BEF" w:rsidRPr="00386BEF">
        <w:rPr>
          <w:lang w:eastAsia="ja-JP"/>
        </w:rPr>
        <w:t xml:space="preserve"> Mea</w:t>
      </w:r>
      <w:r w:rsidR="00386BEF">
        <w:rPr>
          <w:lang w:eastAsia="ja-JP"/>
        </w:rPr>
        <w:t xml:space="preserve">n 24 </w:t>
      </w:r>
      <w:r w:rsidR="00386BEF" w:rsidRPr="00386BEF">
        <w:rPr>
          <w:lang w:eastAsia="ja-JP"/>
        </w:rPr>
        <w:t>hour smoothed pharmacodynamic GIR profile for IDegAsp at steady state condition</w:t>
      </w:r>
      <w:bookmarkEnd w:id="78"/>
    </w:p>
    <w:p w14:paraId="2A7FE4CB" w14:textId="77777777" w:rsidR="00386BEF" w:rsidRPr="00386BEF" w:rsidRDefault="00386BEF" w:rsidP="00386BEF">
      <w:pPr>
        <w:rPr>
          <w:lang w:eastAsia="ja-JP"/>
        </w:rPr>
      </w:pPr>
      <w:r w:rsidRPr="00386BEF">
        <w:rPr>
          <w:b/>
          <w:noProof/>
          <w:lang w:eastAsia="en-AU"/>
        </w:rPr>
        <w:drawing>
          <wp:inline distT="0" distB="0" distL="0" distR="0" wp14:anchorId="7921EB62" wp14:editId="4CE28853">
            <wp:extent cx="5731510" cy="3231697"/>
            <wp:effectExtent l="0" t="0" r="8890" b="0"/>
            <wp:docPr id="27" name="Picture 27" descr="Mean 24 hour smoothed pharmacodynamic GIR profile for IDegAsp at steady state condition&#10;" title="Mean 24 hour smoothed pharmacodynamic GIR profile for IDegAsp at steady state cond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31697"/>
                    </a:xfrm>
                    <a:prstGeom prst="rect">
                      <a:avLst/>
                    </a:prstGeom>
                    <a:noFill/>
                    <a:ln>
                      <a:noFill/>
                    </a:ln>
                  </pic:spPr>
                </pic:pic>
              </a:graphicData>
            </a:graphic>
          </wp:inline>
        </w:drawing>
      </w:r>
    </w:p>
    <w:p w14:paraId="5A8BB7DA" w14:textId="10A0DCA5" w:rsidR="00386BEF" w:rsidRPr="00386BEF" w:rsidRDefault="00386BEF" w:rsidP="00386BEF">
      <w:pPr>
        <w:rPr>
          <w:lang w:eastAsia="ja-JP"/>
        </w:rPr>
      </w:pPr>
      <w:r w:rsidRPr="00386BEF">
        <w:rPr>
          <w:lang w:eastAsia="ja-JP"/>
        </w:rPr>
        <w:t>Following admi</w:t>
      </w:r>
      <w:r>
        <w:rPr>
          <w:lang w:eastAsia="ja-JP"/>
        </w:rPr>
        <w:t xml:space="preserve">nistration of IDegAsp at steady </w:t>
      </w:r>
      <w:r w:rsidRPr="00386BEF">
        <w:rPr>
          <w:lang w:eastAsia="ja-JP"/>
        </w:rPr>
        <w:t>state conditions, the total glucose lowering effect (estimated mean AUC</w:t>
      </w:r>
      <w:r w:rsidRPr="00386BEF">
        <w:rPr>
          <w:vertAlign w:val="subscript"/>
          <w:lang w:eastAsia="ja-JP"/>
        </w:rPr>
        <w:t>GIR,τ,</w:t>
      </w:r>
      <w:r w:rsidR="00FE30F0">
        <w:rPr>
          <w:vertAlign w:val="subscript"/>
          <w:lang w:eastAsia="ja-JP"/>
        </w:rPr>
        <w:t>SS</w:t>
      </w:r>
      <w:r w:rsidRPr="00386BEF">
        <w:rPr>
          <w:lang w:eastAsia="ja-JP"/>
        </w:rPr>
        <w:t>) wa</w:t>
      </w:r>
      <w:r>
        <w:rPr>
          <w:lang w:eastAsia="ja-JP"/>
        </w:rPr>
        <w:t xml:space="preserve">s 3859.1 mg/kg (95% CI: 3261.9 to </w:t>
      </w:r>
      <w:r w:rsidRPr="00386BEF">
        <w:rPr>
          <w:lang w:eastAsia="ja-JP"/>
        </w:rPr>
        <w:t>4565.6) and m</w:t>
      </w:r>
      <w:r w:rsidR="00FE30F0">
        <w:rPr>
          <w:lang w:eastAsia="ja-JP"/>
        </w:rPr>
        <w:t xml:space="preserve">aximum glucose </w:t>
      </w:r>
      <w:r w:rsidRPr="00386BEF">
        <w:rPr>
          <w:lang w:eastAsia="ja-JP"/>
        </w:rPr>
        <w:t>lowering effect (geometric mean GIR</w:t>
      </w:r>
      <w:r w:rsidRPr="00386BEF">
        <w:rPr>
          <w:vertAlign w:val="subscript"/>
          <w:lang w:eastAsia="ja-JP"/>
        </w:rPr>
        <w:t>max,SS</w:t>
      </w:r>
      <w:r w:rsidR="00FE30F0">
        <w:rPr>
          <w:lang w:eastAsia="ja-JP"/>
        </w:rPr>
        <w:t xml:space="preserve">) was 7.0 mg/(kg x </w:t>
      </w:r>
      <w:r w:rsidRPr="00386BEF">
        <w:rPr>
          <w:lang w:eastAsia="ja-JP"/>
        </w:rPr>
        <w:t>min) with median time to maximal glucose infusion rate (tGIR</w:t>
      </w:r>
      <w:r w:rsidRPr="00386BEF">
        <w:rPr>
          <w:vertAlign w:val="subscript"/>
          <w:lang w:eastAsia="ja-JP"/>
        </w:rPr>
        <w:t>max,SS</w:t>
      </w:r>
      <w:r w:rsidRPr="00386BEF">
        <w:rPr>
          <w:lang w:eastAsia="ja-JP"/>
        </w:rPr>
        <w:t>) 2.5 hours. At steady</w:t>
      </w:r>
      <w:r w:rsidR="00FE30F0">
        <w:rPr>
          <w:lang w:eastAsia="ja-JP"/>
        </w:rPr>
        <w:t xml:space="preserve"> </w:t>
      </w:r>
      <w:r w:rsidRPr="00386BEF">
        <w:rPr>
          <w:lang w:eastAsia="ja-JP"/>
        </w:rPr>
        <w:t>state, the glucose</w:t>
      </w:r>
      <w:r w:rsidR="00FE30F0">
        <w:rPr>
          <w:lang w:eastAsia="ja-JP"/>
        </w:rPr>
        <w:t xml:space="preserve"> </w:t>
      </w:r>
      <w:r w:rsidRPr="00386BEF">
        <w:rPr>
          <w:lang w:eastAsia="ja-JP"/>
        </w:rPr>
        <w:t>lowering effect of IDegAsp is characterised by a distinct peak action due to IAsp, and a separate and stable basal action from IDeg that is sustained for &gt; 30 hours.</w:t>
      </w:r>
    </w:p>
    <w:p w14:paraId="3D18FD43" w14:textId="00E508FB" w:rsidR="00386BEF" w:rsidRPr="00386BEF" w:rsidRDefault="00386BEF" w:rsidP="00FE30F0">
      <w:pPr>
        <w:pStyle w:val="Comment"/>
        <w:rPr>
          <w:lang w:eastAsia="ja-JP"/>
        </w:rPr>
      </w:pPr>
      <w:r w:rsidRPr="00FE30F0">
        <w:rPr>
          <w:b/>
          <w:lang w:eastAsia="ja-JP"/>
        </w:rPr>
        <w:lastRenderedPageBreak/>
        <w:t xml:space="preserve">Comment: </w:t>
      </w:r>
      <w:r w:rsidR="00FE30F0" w:rsidRPr="00FE30F0">
        <w:rPr>
          <w:b/>
        </w:rPr>
        <w:t xml:space="preserve"> </w:t>
      </w:r>
      <w:r w:rsidRPr="00386BEF">
        <w:rPr>
          <w:lang w:eastAsia="ja-JP"/>
        </w:rPr>
        <w:t xml:space="preserve">The PD properties of IDegAsp </w:t>
      </w:r>
      <w:r w:rsidR="00FE30F0">
        <w:rPr>
          <w:lang w:eastAsia="ja-JP"/>
        </w:rPr>
        <w:t xml:space="preserve">were investigated in the single </w:t>
      </w:r>
      <w:r w:rsidRPr="00386BEF">
        <w:rPr>
          <w:lang w:eastAsia="ja-JP"/>
        </w:rPr>
        <w:t xml:space="preserve">dose </w:t>
      </w:r>
      <w:r w:rsidR="00AF315E">
        <w:rPr>
          <w:lang w:eastAsia="ja-JP"/>
        </w:rPr>
        <w:t>Study </w:t>
      </w:r>
      <w:r w:rsidR="00AF315E" w:rsidRPr="00AF315E">
        <w:rPr>
          <w:lang w:eastAsia="ja-JP"/>
        </w:rPr>
        <w:t>NN5401</w:t>
      </w:r>
      <w:r w:rsidR="007A517F">
        <w:rPr>
          <w:lang w:eastAsia="ja-JP"/>
        </w:rPr>
        <w:noBreakHyphen/>
      </w:r>
      <w:r w:rsidRPr="00386BEF">
        <w:rPr>
          <w:lang w:eastAsia="ja-JP"/>
        </w:rPr>
        <w:t>3539 evaluated in</w:t>
      </w:r>
      <w:r w:rsidR="00FE30F0">
        <w:rPr>
          <w:lang w:eastAsia="ja-JP"/>
        </w:rPr>
        <w:t xml:space="preserve"> the</w:t>
      </w:r>
      <w:r w:rsidR="00FB1B7B">
        <w:rPr>
          <w:lang w:eastAsia="ja-JP"/>
        </w:rPr>
        <w:t xml:space="preserve"> original withdrawn submission</w:t>
      </w:r>
      <w:r w:rsidRPr="00386BEF">
        <w:rPr>
          <w:lang w:eastAsia="ja-JP"/>
        </w:rPr>
        <w:t xml:space="preserve">. The PK parameters are as expected for a fixed dose product combining a basal and </w:t>
      </w:r>
      <w:r w:rsidR="009F4052">
        <w:rPr>
          <w:lang w:eastAsia="ja-JP"/>
        </w:rPr>
        <w:t xml:space="preserve">a </w:t>
      </w:r>
      <w:r w:rsidRPr="00386BEF">
        <w:rPr>
          <w:lang w:eastAsia="ja-JP"/>
        </w:rPr>
        <w:t>fast acting insulin</w:t>
      </w:r>
      <w:r w:rsidR="009F4052">
        <w:rPr>
          <w:lang w:eastAsia="ja-JP"/>
        </w:rPr>
        <w:t xml:space="preserve"> component</w:t>
      </w:r>
      <w:r w:rsidRPr="00386BEF">
        <w:rPr>
          <w:lang w:eastAsia="ja-JP"/>
        </w:rPr>
        <w:t>.</w:t>
      </w:r>
    </w:p>
    <w:p w14:paraId="02B8CFBB" w14:textId="77777777" w:rsidR="00386BEF" w:rsidRPr="00386BEF" w:rsidRDefault="00386BEF" w:rsidP="00FE30F0">
      <w:pPr>
        <w:pStyle w:val="Heading3"/>
        <w:rPr>
          <w:rFonts w:eastAsia="Cambria"/>
        </w:rPr>
      </w:pPr>
      <w:bookmarkStart w:id="79" w:name="_Toc487202388"/>
      <w:bookmarkStart w:id="80" w:name="_Toc517768418"/>
      <w:r w:rsidRPr="00386BEF">
        <w:rPr>
          <w:rFonts w:eastAsia="Cambria"/>
        </w:rPr>
        <w:t>Evaluator’s overall conclusions on pharmacodynamics</w:t>
      </w:r>
      <w:bookmarkEnd w:id="79"/>
      <w:bookmarkEnd w:id="80"/>
    </w:p>
    <w:p w14:paraId="0705EAFD" w14:textId="57F47BCF" w:rsidR="00386BEF" w:rsidRPr="00386BEF" w:rsidRDefault="00386BEF" w:rsidP="00386BEF">
      <w:pPr>
        <w:rPr>
          <w:lang w:eastAsia="ja-JP"/>
        </w:rPr>
      </w:pPr>
      <w:r w:rsidRPr="00386BEF">
        <w:rPr>
          <w:lang w:eastAsia="ja-JP"/>
        </w:rPr>
        <w:t xml:space="preserve">The pharmacodynamic effect of IDegAsp has been determined in </w:t>
      </w:r>
      <w:r w:rsidR="00FD4512">
        <w:rPr>
          <w:lang w:eastAsia="ja-JP"/>
        </w:rPr>
        <w:t>the original withdrawn</w:t>
      </w:r>
      <w:r w:rsidR="00FE30F0">
        <w:rPr>
          <w:lang w:eastAsia="ja-JP"/>
        </w:rPr>
        <w:t xml:space="preserve"> submission.</w:t>
      </w:r>
    </w:p>
    <w:p w14:paraId="15F7B715" w14:textId="1D9DB31A" w:rsidR="00386BEF" w:rsidRPr="00386BEF" w:rsidRDefault="00386BEF" w:rsidP="00386BEF">
      <w:pPr>
        <w:rPr>
          <w:lang w:eastAsia="ja-JP"/>
        </w:rPr>
      </w:pPr>
      <w:r w:rsidRPr="00386BEF">
        <w:rPr>
          <w:lang w:eastAsia="ja-JP"/>
        </w:rPr>
        <w:t xml:space="preserve">The concern </w:t>
      </w:r>
      <w:r w:rsidR="00FE30F0">
        <w:rPr>
          <w:lang w:eastAsia="ja-JP"/>
        </w:rPr>
        <w:t>raised by the clinical e</w:t>
      </w:r>
      <w:r w:rsidRPr="00386BEF">
        <w:rPr>
          <w:lang w:eastAsia="ja-JP"/>
        </w:rPr>
        <w:t xml:space="preserve">valuator of </w:t>
      </w:r>
      <w:r w:rsidR="00FE30F0">
        <w:rPr>
          <w:lang w:eastAsia="ja-JP"/>
        </w:rPr>
        <w:t>that s</w:t>
      </w:r>
      <w:r w:rsidRPr="00386BEF">
        <w:rPr>
          <w:lang w:eastAsia="ja-JP"/>
        </w:rPr>
        <w:t xml:space="preserve">ubmission regarding the effect during the first </w:t>
      </w:r>
      <w:r w:rsidR="00FE30F0">
        <w:rPr>
          <w:lang w:eastAsia="ja-JP"/>
        </w:rPr>
        <w:t>2</w:t>
      </w:r>
      <w:r w:rsidRPr="00386BEF">
        <w:rPr>
          <w:lang w:eastAsia="ja-JP"/>
        </w:rPr>
        <w:t xml:space="preserve"> hours of dosing with IDegAsp compared to separate injections of IDeg and IAsp has be</w:t>
      </w:r>
      <w:r w:rsidR="00FE30F0">
        <w:rPr>
          <w:lang w:eastAsia="ja-JP"/>
        </w:rPr>
        <w:t>en discussed above in Section 4 of this report</w:t>
      </w:r>
    </w:p>
    <w:p w14:paraId="477F7590" w14:textId="77777777" w:rsidR="00C22678" w:rsidRPr="003442FE" w:rsidRDefault="00C22678" w:rsidP="00C22678">
      <w:pPr>
        <w:pStyle w:val="Heading2"/>
      </w:pPr>
      <w:bookmarkStart w:id="81" w:name="_Toc517768419"/>
      <w:r w:rsidRPr="003442FE">
        <w:t>Clinical efficacy</w:t>
      </w:r>
      <w:bookmarkEnd w:id="81"/>
    </w:p>
    <w:p w14:paraId="10B1DE9D" w14:textId="63136C26" w:rsidR="00607F38" w:rsidRPr="00607F38" w:rsidRDefault="00607F38" w:rsidP="00607F38">
      <w:pPr>
        <w:rPr>
          <w:lang w:eastAsia="ja-JP"/>
        </w:rPr>
      </w:pPr>
      <w:r w:rsidRPr="00607F38">
        <w:rPr>
          <w:lang w:eastAsia="ja-JP"/>
        </w:rPr>
        <w:t xml:space="preserve">There were 5 therapeutic confirmatory trials of similar design submitted and evaluated in </w:t>
      </w:r>
      <w:r w:rsidR="004D297A">
        <w:rPr>
          <w:lang w:eastAsia="ja-JP"/>
        </w:rPr>
        <w:t xml:space="preserve">the </w:t>
      </w:r>
      <w:r w:rsidR="00FB1B7B">
        <w:rPr>
          <w:lang w:eastAsia="ja-JP"/>
        </w:rPr>
        <w:t>original withdrawn submission</w:t>
      </w:r>
      <w:r w:rsidRPr="00607F38">
        <w:rPr>
          <w:lang w:eastAsia="ja-JP"/>
        </w:rPr>
        <w:t>. The purpose of this evaluation is to ad</w:t>
      </w:r>
      <w:r w:rsidR="004D297A">
        <w:rPr>
          <w:lang w:eastAsia="ja-JP"/>
        </w:rPr>
        <w:t>dress issues identified by the clinical e</w:t>
      </w:r>
      <w:r w:rsidRPr="00607F38">
        <w:rPr>
          <w:lang w:eastAsia="ja-JP"/>
        </w:rPr>
        <w:t>valuator of this submission, and discuss new data provid</w:t>
      </w:r>
      <w:r w:rsidR="004D297A">
        <w:rPr>
          <w:lang w:eastAsia="ja-JP"/>
        </w:rPr>
        <w:t>ed with the current submission.</w:t>
      </w:r>
    </w:p>
    <w:p w14:paraId="12B5DB92" w14:textId="49A2CAC4" w:rsidR="00607F38" w:rsidRPr="00607F38" w:rsidRDefault="00607F38" w:rsidP="00607F38">
      <w:pPr>
        <w:rPr>
          <w:lang w:eastAsia="ja-JP"/>
        </w:rPr>
      </w:pPr>
      <w:r w:rsidRPr="00607F38">
        <w:rPr>
          <w:lang w:eastAsia="ja-JP"/>
        </w:rPr>
        <w:t xml:space="preserve">A summary of the previously submitted confirmatory trials and issues regarding efficacy identified by the </w:t>
      </w:r>
      <w:r w:rsidR="004D297A">
        <w:rPr>
          <w:lang w:eastAsia="ja-JP"/>
        </w:rPr>
        <w:t>c</w:t>
      </w:r>
      <w:r w:rsidRPr="00607F38">
        <w:rPr>
          <w:lang w:eastAsia="ja-JP"/>
        </w:rPr>
        <w:t xml:space="preserve">linical </w:t>
      </w:r>
      <w:r w:rsidR="004D297A">
        <w:rPr>
          <w:lang w:eastAsia="ja-JP"/>
        </w:rPr>
        <w:t>e</w:t>
      </w:r>
      <w:r w:rsidRPr="00607F38">
        <w:rPr>
          <w:lang w:eastAsia="ja-JP"/>
        </w:rPr>
        <w:t xml:space="preserve">valuator of </w:t>
      </w:r>
      <w:r w:rsidR="004D297A">
        <w:rPr>
          <w:lang w:eastAsia="ja-JP"/>
        </w:rPr>
        <w:t xml:space="preserve">the </w:t>
      </w:r>
      <w:r w:rsidR="00FD4512">
        <w:rPr>
          <w:lang w:eastAsia="ja-JP"/>
        </w:rPr>
        <w:t xml:space="preserve">original withdrawn </w:t>
      </w:r>
      <w:r w:rsidR="004D297A">
        <w:rPr>
          <w:lang w:eastAsia="ja-JP"/>
        </w:rPr>
        <w:t>s</w:t>
      </w:r>
      <w:r w:rsidRPr="00607F38">
        <w:rPr>
          <w:lang w:eastAsia="ja-JP"/>
        </w:rPr>
        <w:t xml:space="preserve">ubmission </w:t>
      </w:r>
      <w:r w:rsidR="004D297A">
        <w:rPr>
          <w:lang w:eastAsia="ja-JP"/>
        </w:rPr>
        <w:t>are discussed below in Section </w:t>
      </w:r>
      <w:r w:rsidRPr="00607F38">
        <w:rPr>
          <w:lang w:eastAsia="ja-JP"/>
        </w:rPr>
        <w:t>6.1</w:t>
      </w:r>
      <w:r w:rsidR="004D297A">
        <w:rPr>
          <w:lang w:eastAsia="ja-JP"/>
        </w:rPr>
        <w:t xml:space="preserve"> of this report</w:t>
      </w:r>
      <w:r w:rsidRPr="00607F38">
        <w:rPr>
          <w:lang w:eastAsia="ja-JP"/>
        </w:rPr>
        <w:t>. The main concerns raised by the</w:t>
      </w:r>
      <w:r w:rsidR="004D297A">
        <w:rPr>
          <w:lang w:eastAsia="ja-JP"/>
        </w:rPr>
        <w:t xml:space="preserve"> clinical e</w:t>
      </w:r>
      <w:r w:rsidRPr="00607F38">
        <w:rPr>
          <w:lang w:eastAsia="ja-JP"/>
        </w:rPr>
        <w:t xml:space="preserve">valuator of </w:t>
      </w:r>
      <w:r w:rsidR="004D297A">
        <w:rPr>
          <w:lang w:eastAsia="ja-JP"/>
        </w:rPr>
        <w:t xml:space="preserve">the previous submission </w:t>
      </w:r>
      <w:r w:rsidRPr="00607F38">
        <w:rPr>
          <w:lang w:eastAsia="ja-JP"/>
        </w:rPr>
        <w:t>relate to choice of comparator in some studies and twice daily</w:t>
      </w:r>
      <w:r w:rsidR="00FB1B7B">
        <w:rPr>
          <w:lang w:eastAsia="ja-JP"/>
        </w:rPr>
        <w:t xml:space="preserve"> dosing of IDegAsp (see Section </w:t>
      </w:r>
      <w:r w:rsidRPr="00607F38">
        <w:rPr>
          <w:lang w:eastAsia="ja-JP"/>
        </w:rPr>
        <w:t>6.1 of this report</w:t>
      </w:r>
      <w:r w:rsidR="004D297A">
        <w:rPr>
          <w:lang w:eastAsia="ja-JP"/>
        </w:rPr>
        <w:t>, below</w:t>
      </w:r>
      <w:r w:rsidRPr="00607F38">
        <w:rPr>
          <w:lang w:eastAsia="ja-JP"/>
        </w:rPr>
        <w:t>).</w:t>
      </w:r>
    </w:p>
    <w:p w14:paraId="65B51BCC" w14:textId="04FF8447" w:rsidR="00607F38" w:rsidRPr="00607F38" w:rsidRDefault="00607F38" w:rsidP="00607F38">
      <w:pPr>
        <w:rPr>
          <w:lang w:eastAsia="ja-JP"/>
        </w:rPr>
      </w:pPr>
      <w:r w:rsidRPr="00607F38">
        <w:rPr>
          <w:lang w:eastAsia="ja-JP"/>
        </w:rPr>
        <w:t>The new efficacy studies were provided as synopses (as per pre-s</w:t>
      </w:r>
      <w:r w:rsidR="004D297A">
        <w:rPr>
          <w:lang w:eastAsia="ja-JP"/>
        </w:rPr>
        <w:t xml:space="preserve">ubmission meeting with the TGA) </w:t>
      </w:r>
      <w:r w:rsidRPr="00607F38">
        <w:rPr>
          <w:lang w:eastAsia="ja-JP"/>
        </w:rPr>
        <w:t>and discussed in Section 6.2.</w:t>
      </w:r>
    </w:p>
    <w:p w14:paraId="6FF83DF1" w14:textId="77777777" w:rsidR="00607F38" w:rsidRPr="00607F38" w:rsidRDefault="00607F38" w:rsidP="004D297A">
      <w:pPr>
        <w:pStyle w:val="Heading3"/>
      </w:pPr>
      <w:bookmarkStart w:id="82" w:name="_Toc487202390"/>
      <w:bookmarkStart w:id="83" w:name="_Toc517768420"/>
      <w:bookmarkStart w:id="84" w:name="_Ref271037274"/>
      <w:bookmarkStart w:id="85" w:name="_Toc272414652"/>
      <w:bookmarkStart w:id="86" w:name="_Toc290888500"/>
      <w:bookmarkStart w:id="87" w:name="_Toc416353716"/>
      <w:bookmarkStart w:id="88" w:name="_Toc421005269"/>
      <w:bookmarkStart w:id="89" w:name="_Toc432079151"/>
      <w:bookmarkStart w:id="90" w:name="_Toc432080724"/>
      <w:r w:rsidRPr="00607F38">
        <w:t>Summary of previously submitted studies</w:t>
      </w:r>
      <w:bookmarkEnd w:id="82"/>
      <w:bookmarkEnd w:id="83"/>
      <w:r w:rsidRPr="00607F38">
        <w:t xml:space="preserve"> </w:t>
      </w:r>
    </w:p>
    <w:p w14:paraId="216D48C7" w14:textId="3C011CDE" w:rsidR="00607F38" w:rsidRPr="00607F38" w:rsidRDefault="00607F38" w:rsidP="00607F38">
      <w:pPr>
        <w:rPr>
          <w:lang w:eastAsia="ja-JP"/>
        </w:rPr>
      </w:pPr>
      <w:r w:rsidRPr="00607F38">
        <w:rPr>
          <w:lang w:eastAsia="ja-JP"/>
        </w:rPr>
        <w:t xml:space="preserve">A summary of the 5 therapeutic trials evaluated in </w:t>
      </w:r>
      <w:r w:rsidR="004D297A">
        <w:rPr>
          <w:lang w:eastAsia="ja-JP"/>
        </w:rPr>
        <w:t xml:space="preserve">the </w:t>
      </w:r>
      <w:r w:rsidR="00FB1B7B">
        <w:rPr>
          <w:lang w:eastAsia="ja-JP"/>
        </w:rPr>
        <w:t xml:space="preserve">original withdrawn submission </w:t>
      </w:r>
      <w:r w:rsidR="004D297A">
        <w:rPr>
          <w:lang w:eastAsia="ja-JP"/>
        </w:rPr>
        <w:t xml:space="preserve">is provided below in Table 4. </w:t>
      </w:r>
      <w:r w:rsidRPr="00607F38">
        <w:rPr>
          <w:lang w:eastAsia="ja-JP"/>
        </w:rPr>
        <w:t>All trials were r</w:t>
      </w:r>
      <w:r w:rsidR="004D297A">
        <w:rPr>
          <w:lang w:eastAsia="ja-JP"/>
        </w:rPr>
        <w:t>andomised, controlled, parallel group, open label, multi</w:t>
      </w:r>
      <w:r w:rsidRPr="00607F38">
        <w:rPr>
          <w:lang w:eastAsia="ja-JP"/>
        </w:rPr>
        <w:t>nat</w:t>
      </w:r>
      <w:r w:rsidR="004D297A">
        <w:rPr>
          <w:lang w:eastAsia="ja-JP"/>
        </w:rPr>
        <w:t xml:space="preserve">ional, multicentre, treat to </w:t>
      </w:r>
      <w:r w:rsidRPr="00607F38">
        <w:rPr>
          <w:lang w:eastAsia="ja-JP"/>
        </w:rPr>
        <w:t>target studies comparing IDegAsp with an active comparator (IDet, IGlar</w:t>
      </w:r>
      <w:r w:rsidR="004D297A">
        <w:rPr>
          <w:lang w:eastAsia="ja-JP"/>
        </w:rPr>
        <w:t xml:space="preserve"> or biphasic insulin aspart 30 (</w:t>
      </w:r>
      <w:r w:rsidRPr="00607F38">
        <w:rPr>
          <w:lang w:eastAsia="ja-JP"/>
        </w:rPr>
        <w:t>BIAsp 30; NovoMix</w:t>
      </w:r>
      <w:r w:rsidR="004D297A">
        <w:rPr>
          <w:lang w:eastAsia="ja-JP"/>
        </w:rPr>
        <w:t xml:space="preserve"> 30)</w:t>
      </w:r>
      <w:r w:rsidRPr="00607F38">
        <w:rPr>
          <w:lang w:eastAsia="ja-JP"/>
        </w:rPr>
        <w:t>).</w:t>
      </w:r>
      <w:r w:rsidR="00D44164">
        <w:rPr>
          <w:lang w:eastAsia="ja-JP"/>
        </w:rPr>
        <w:t xml:space="preserve"> 1</w:t>
      </w:r>
      <w:r w:rsidRPr="00607F38">
        <w:rPr>
          <w:lang w:eastAsia="ja-JP"/>
        </w:rPr>
        <w:t xml:space="preserve"> study was conducted in subjects with T1DM (Study</w:t>
      </w:r>
      <w:r w:rsidR="007F105E" w:rsidRPr="007F105E">
        <w:rPr>
          <w:lang w:eastAsia="ja-JP"/>
        </w:rPr>
        <w:t xml:space="preserve"> NN5401</w:t>
      </w:r>
      <w:r w:rsidR="007F105E">
        <w:rPr>
          <w:lang w:eastAsia="ja-JP"/>
        </w:rPr>
        <w:t>-</w:t>
      </w:r>
      <w:r w:rsidRPr="00607F38">
        <w:rPr>
          <w:lang w:eastAsia="ja-JP"/>
        </w:rPr>
        <w:t xml:space="preserve">3594), and </w:t>
      </w:r>
      <w:r w:rsidR="004D297A">
        <w:rPr>
          <w:lang w:eastAsia="ja-JP"/>
        </w:rPr>
        <w:t>4</w:t>
      </w:r>
      <w:r w:rsidRPr="00607F38">
        <w:rPr>
          <w:lang w:eastAsia="ja-JP"/>
        </w:rPr>
        <w:t xml:space="preserve"> studies in subjects with T2DM who were either insulin</w:t>
      </w:r>
      <w:r w:rsidR="004D297A">
        <w:rPr>
          <w:lang w:eastAsia="ja-JP"/>
        </w:rPr>
        <w:t xml:space="preserve"> naïve (</w:t>
      </w:r>
      <w:r w:rsidR="007F105E" w:rsidRPr="007F105E">
        <w:rPr>
          <w:lang w:eastAsia="ja-JP"/>
        </w:rPr>
        <w:t>Study NN5401</w:t>
      </w:r>
      <w:r w:rsidR="007F105E">
        <w:rPr>
          <w:lang w:eastAsia="ja-JP"/>
        </w:rPr>
        <w:t>-</w:t>
      </w:r>
      <w:r w:rsidR="004D297A">
        <w:rPr>
          <w:lang w:eastAsia="ja-JP"/>
        </w:rPr>
        <w:t xml:space="preserve">3590) or insulin </w:t>
      </w:r>
      <w:r w:rsidRPr="00607F38">
        <w:rPr>
          <w:lang w:eastAsia="ja-JP"/>
        </w:rPr>
        <w:t xml:space="preserve">treated (Studies </w:t>
      </w:r>
      <w:r w:rsidR="007F105E" w:rsidRPr="007F105E">
        <w:rPr>
          <w:lang w:eastAsia="ja-JP"/>
        </w:rPr>
        <w:t>NN5401</w:t>
      </w:r>
      <w:r w:rsidR="007F105E">
        <w:rPr>
          <w:lang w:eastAsia="ja-JP"/>
        </w:rPr>
        <w:t xml:space="preserve"> -</w:t>
      </w:r>
      <w:r w:rsidRPr="00607F38">
        <w:rPr>
          <w:lang w:eastAsia="ja-JP"/>
        </w:rPr>
        <w:t xml:space="preserve">3592, </w:t>
      </w:r>
      <w:r w:rsidR="007F105E">
        <w:rPr>
          <w:lang w:eastAsia="ja-JP"/>
        </w:rPr>
        <w:t>-</w:t>
      </w:r>
      <w:r w:rsidRPr="00607F38">
        <w:rPr>
          <w:lang w:eastAsia="ja-JP"/>
        </w:rPr>
        <w:t xml:space="preserve">3593, </w:t>
      </w:r>
      <w:r w:rsidR="007F105E">
        <w:rPr>
          <w:lang w:eastAsia="ja-JP"/>
        </w:rPr>
        <w:t>and -</w:t>
      </w:r>
      <w:r w:rsidRPr="00607F38">
        <w:rPr>
          <w:lang w:eastAsia="ja-JP"/>
        </w:rPr>
        <w:t>3597) in combination with oral anti-diabetic drugs (OADs). A twice daily dosa</w:t>
      </w:r>
      <w:r w:rsidR="004D297A">
        <w:rPr>
          <w:lang w:eastAsia="ja-JP"/>
        </w:rPr>
        <w:t xml:space="preserve">ge regimen was used for insulin </w:t>
      </w:r>
      <w:r w:rsidRPr="00607F38">
        <w:rPr>
          <w:lang w:eastAsia="ja-JP"/>
        </w:rPr>
        <w:t xml:space="preserve">treated T2DM subjects in </w:t>
      </w:r>
      <w:r w:rsidR="007F105E">
        <w:rPr>
          <w:lang w:eastAsia="ja-JP"/>
        </w:rPr>
        <w:t xml:space="preserve">Studies </w:t>
      </w:r>
      <w:r w:rsidR="007F105E" w:rsidRPr="007F105E">
        <w:rPr>
          <w:lang w:eastAsia="ja-JP"/>
        </w:rPr>
        <w:t>Study NN5401</w:t>
      </w:r>
      <w:r w:rsidR="007F105E">
        <w:rPr>
          <w:lang w:eastAsia="ja-JP"/>
        </w:rPr>
        <w:t>-</w:t>
      </w:r>
      <w:r w:rsidRPr="00607F38">
        <w:rPr>
          <w:lang w:eastAsia="ja-JP"/>
        </w:rPr>
        <w:t xml:space="preserve">3592 and </w:t>
      </w:r>
      <w:r w:rsidR="007F105E">
        <w:rPr>
          <w:lang w:eastAsia="ja-JP"/>
        </w:rPr>
        <w:t>-</w:t>
      </w:r>
      <w:r w:rsidRPr="00607F38">
        <w:rPr>
          <w:lang w:eastAsia="ja-JP"/>
        </w:rPr>
        <w:t>3597. For the T2DM trials, OAD therapy with insulin secretogogues, α-glucosidase inhibitors (α–GI) and GLP-1 agonists was not permitted.</w:t>
      </w:r>
    </w:p>
    <w:p w14:paraId="788DC871" w14:textId="4C34A33C" w:rsidR="00607F38" w:rsidRPr="00607F38" w:rsidRDefault="00607F38" w:rsidP="00607F38">
      <w:pPr>
        <w:rPr>
          <w:lang w:eastAsia="ja-JP"/>
        </w:rPr>
      </w:pPr>
      <w:r w:rsidRPr="00607F38">
        <w:rPr>
          <w:lang w:eastAsia="ja-JP"/>
        </w:rPr>
        <w:t xml:space="preserve">All studies were of 26 weeks duration, with </w:t>
      </w:r>
      <w:r w:rsidR="00D44164">
        <w:rPr>
          <w:lang w:eastAsia="ja-JP"/>
        </w:rPr>
        <w:t>2</w:t>
      </w:r>
      <w:r w:rsidRPr="00607F38">
        <w:rPr>
          <w:lang w:eastAsia="ja-JP"/>
        </w:rPr>
        <w:t xml:space="preserve"> trials (</w:t>
      </w:r>
      <w:r w:rsidR="004D297A">
        <w:rPr>
          <w:lang w:eastAsia="ja-JP"/>
        </w:rPr>
        <w:t xml:space="preserve">Studies </w:t>
      </w:r>
      <w:r w:rsidRPr="00607F38">
        <w:rPr>
          <w:lang w:eastAsia="ja-JP"/>
        </w:rPr>
        <w:t>3594 and 3590) extended by an addi</w:t>
      </w:r>
      <w:r w:rsidR="004D297A">
        <w:rPr>
          <w:lang w:eastAsia="ja-JP"/>
        </w:rPr>
        <w:t xml:space="preserve">tional 26 weeks to provide long </w:t>
      </w:r>
      <w:r w:rsidRPr="00607F38">
        <w:rPr>
          <w:lang w:eastAsia="ja-JP"/>
        </w:rPr>
        <w:t>term safety data. The tria</w:t>
      </w:r>
      <w:r w:rsidR="004D297A">
        <w:rPr>
          <w:lang w:eastAsia="ja-JP"/>
        </w:rPr>
        <w:t xml:space="preserve">ls were conducted using a treat to </w:t>
      </w:r>
      <w:r w:rsidRPr="00607F38">
        <w:rPr>
          <w:lang w:eastAsia="ja-JP"/>
        </w:rPr>
        <w:t>target principle, with i</w:t>
      </w:r>
      <w:r w:rsidR="004D297A">
        <w:rPr>
          <w:lang w:eastAsia="ja-JP"/>
        </w:rPr>
        <w:t>nsulin dose adjusted as per pre</w:t>
      </w:r>
      <w:r w:rsidRPr="00607F38">
        <w:rPr>
          <w:lang w:eastAsia="ja-JP"/>
        </w:rPr>
        <w:t>defined titration algorithms, and a non-inferiority design applied. There were a total of 548 subjects with T1DM (IDegAsp = 366, comparator = 182) and 1866 subjects with T2DM (IDegAsp = 1004, comparator = 862) included in the 5 confirmatory studies.</w:t>
      </w:r>
    </w:p>
    <w:p w14:paraId="6F42AEC6" w14:textId="7E61781E" w:rsidR="00607F38" w:rsidRPr="00607F38" w:rsidRDefault="00607F38" w:rsidP="00607F38">
      <w:pPr>
        <w:rPr>
          <w:lang w:eastAsia="ja-JP"/>
        </w:rPr>
      </w:pPr>
      <w:r w:rsidRPr="00607F38">
        <w:rPr>
          <w:lang w:eastAsia="ja-JP"/>
        </w:rPr>
        <w:t xml:space="preserve">The primary objective for all studies was to demonstrate efficacy of IDegAsp in controlling glycaemia, measured as the change from </w:t>
      </w:r>
      <w:r w:rsidR="004D297A">
        <w:rPr>
          <w:lang w:eastAsia="ja-JP"/>
        </w:rPr>
        <w:t>B</w:t>
      </w:r>
      <w:r w:rsidRPr="00607F38">
        <w:rPr>
          <w:lang w:eastAsia="ja-JP"/>
        </w:rPr>
        <w:t xml:space="preserve">aseline in HbA1c after 26 weeks of treatment. Non-inferiority of IDegAsp to the active comparator was considered demonstrated if the upper bound of the </w:t>
      </w:r>
      <w:r w:rsidR="00D44164">
        <w:rPr>
          <w:lang w:eastAsia="ja-JP"/>
        </w:rPr>
        <w:t>2</w:t>
      </w:r>
      <w:r w:rsidRPr="00607F38">
        <w:rPr>
          <w:lang w:eastAsia="ja-JP"/>
        </w:rPr>
        <w:t xml:space="preserve">-sided 95% confidence interval for the estimated treatment difference for the mean change from baseline in HbA1c was ≤ 0.4%. Secondary efficacy parameters included FPG </w:t>
      </w:r>
      <w:r w:rsidRPr="00607F38">
        <w:rPr>
          <w:lang w:eastAsia="ja-JP"/>
        </w:rPr>
        <w:lastRenderedPageBreak/>
        <w:t xml:space="preserve">and frequency of responders (HbA1c &lt; 7.0%) without confirmed hypoglycaemia. Hypoglycaemic endpoints (confirmed hypoglycaemia and nocturnal confirmed hypoglycaemia) were safety endpoints; these results are summarised in </w:t>
      </w:r>
      <w:r w:rsidR="004D297A">
        <w:rPr>
          <w:lang w:eastAsia="ja-JP"/>
        </w:rPr>
        <w:t>Table 4</w:t>
      </w:r>
      <w:r w:rsidR="005C3B74">
        <w:rPr>
          <w:lang w:eastAsia="ja-JP"/>
        </w:rPr>
        <w:t xml:space="preserve"> (below)</w:t>
      </w:r>
      <w:r w:rsidR="004D297A">
        <w:rPr>
          <w:lang w:eastAsia="ja-JP"/>
        </w:rPr>
        <w:t xml:space="preserve"> </w:t>
      </w:r>
      <w:r w:rsidRPr="00607F38">
        <w:rPr>
          <w:lang w:eastAsia="ja-JP"/>
        </w:rPr>
        <w:t>and</w:t>
      </w:r>
      <w:r w:rsidR="004D297A">
        <w:rPr>
          <w:lang w:eastAsia="ja-JP"/>
        </w:rPr>
        <w:t xml:space="preserve"> are</w:t>
      </w:r>
      <w:r w:rsidRPr="00607F38">
        <w:rPr>
          <w:lang w:eastAsia="ja-JP"/>
        </w:rPr>
        <w:t xml:space="preserve"> discussed further in Section 7. It is noted that patients were not blinded to their treatment allocation. This is unlikely to have affected efficacy endpoints as these were objective, however may have created some bias in the </w:t>
      </w:r>
      <w:r w:rsidR="004D297A">
        <w:rPr>
          <w:lang w:eastAsia="ja-JP"/>
        </w:rPr>
        <w:t>reporting of safety endpoints.</w:t>
      </w:r>
    </w:p>
    <w:p w14:paraId="6C37D072" w14:textId="11BD35F6" w:rsidR="00607F38" w:rsidRPr="00607F38" w:rsidRDefault="00607F38" w:rsidP="004D297A">
      <w:pPr>
        <w:pStyle w:val="Tabletitle"/>
        <w:rPr>
          <w:lang w:eastAsia="ja-JP"/>
        </w:rPr>
      </w:pPr>
      <w:bookmarkStart w:id="91" w:name="_Ref479227721"/>
      <w:bookmarkStart w:id="92" w:name="_Ref479227716"/>
      <w:bookmarkStart w:id="93" w:name="_Toc487195073"/>
      <w:bookmarkStart w:id="94" w:name="_Ref271037188"/>
      <w:bookmarkStart w:id="95" w:name="_Ref271037210"/>
      <w:bookmarkStart w:id="96" w:name="_Toc272414655"/>
      <w:bookmarkStart w:id="97" w:name="_Toc290888503"/>
      <w:bookmarkStart w:id="98" w:name="_Toc416353719"/>
      <w:bookmarkStart w:id="99" w:name="_Toc421005270"/>
      <w:bookmarkStart w:id="100" w:name="_Toc432079152"/>
      <w:bookmarkStart w:id="101" w:name="_Toc432080725"/>
      <w:bookmarkStart w:id="102" w:name="_Toc241374311"/>
      <w:bookmarkStart w:id="103" w:name="_Ref243294291"/>
      <w:bookmarkEnd w:id="84"/>
      <w:bookmarkEnd w:id="85"/>
      <w:bookmarkEnd w:id="86"/>
      <w:bookmarkEnd w:id="87"/>
      <w:bookmarkEnd w:id="88"/>
      <w:bookmarkEnd w:id="89"/>
      <w:bookmarkEnd w:id="90"/>
      <w:r w:rsidRPr="00607F38">
        <w:rPr>
          <w:lang w:eastAsia="ja-JP"/>
        </w:rPr>
        <w:t xml:space="preserve">Table </w:t>
      </w:r>
      <w:bookmarkEnd w:id="91"/>
      <w:r>
        <w:rPr>
          <w:lang w:eastAsia="ja-JP"/>
        </w:rPr>
        <w:t>4</w:t>
      </w:r>
      <w:r w:rsidR="00D548E5">
        <w:rPr>
          <w:lang w:eastAsia="ja-JP"/>
        </w:rPr>
        <w:t>:</w:t>
      </w:r>
      <w:r w:rsidRPr="00607F38">
        <w:rPr>
          <w:lang w:eastAsia="ja-JP"/>
        </w:rPr>
        <w:t xml:space="preserve"> </w:t>
      </w:r>
      <w:r w:rsidRPr="00607F38">
        <w:rPr>
          <w:lang w:val="en-US" w:eastAsia="ja-JP"/>
        </w:rPr>
        <w:t>Summary of studies with IDegAsp</w:t>
      </w:r>
      <w:bookmarkEnd w:id="92"/>
      <w:bookmarkEnd w:id="93"/>
    </w:p>
    <w:tbl>
      <w:tblPr>
        <w:tblStyle w:val="TableTGAblue"/>
        <w:tblW w:w="9990" w:type="dxa"/>
        <w:tblInd w:w="-162" w:type="dxa"/>
        <w:tblLayout w:type="fixed"/>
        <w:tblLook w:val="04A0" w:firstRow="1" w:lastRow="0" w:firstColumn="1" w:lastColumn="0" w:noHBand="0" w:noVBand="1"/>
        <w:tblDescription w:val="Table 4: Summary of studies with IDegAsp"/>
      </w:tblPr>
      <w:tblGrid>
        <w:gridCol w:w="1404"/>
        <w:gridCol w:w="936"/>
        <w:gridCol w:w="624"/>
        <w:gridCol w:w="906"/>
        <w:gridCol w:w="630"/>
        <w:gridCol w:w="873"/>
        <w:gridCol w:w="837"/>
        <w:gridCol w:w="900"/>
        <w:gridCol w:w="106"/>
        <w:gridCol w:w="851"/>
        <w:gridCol w:w="933"/>
        <w:gridCol w:w="990"/>
      </w:tblGrid>
      <w:tr w:rsidR="00607F38" w:rsidRPr="00A21900" w14:paraId="7B9C3B4A" w14:textId="77777777" w:rsidTr="00BB64EA">
        <w:trPr>
          <w:cnfStyle w:val="100000000000" w:firstRow="1" w:lastRow="0" w:firstColumn="0" w:lastColumn="0" w:oddVBand="0" w:evenVBand="0" w:oddHBand="0" w:evenHBand="0" w:firstRowFirstColumn="0" w:firstRowLastColumn="0" w:lastRowFirstColumn="0" w:lastRowLastColumn="0"/>
          <w:cantSplit/>
          <w:trHeight w:val="514"/>
          <w:tblHeader/>
        </w:trPr>
        <w:tc>
          <w:tcPr>
            <w:cnfStyle w:val="001000000000" w:firstRow="0" w:lastRow="0" w:firstColumn="1" w:lastColumn="0" w:oddVBand="0" w:evenVBand="0" w:oddHBand="0" w:evenHBand="0" w:firstRowFirstColumn="0" w:firstRowLastColumn="0" w:lastRowFirstColumn="0" w:lastRowLastColumn="0"/>
            <w:tcW w:w="1404" w:type="dxa"/>
          </w:tcPr>
          <w:p w14:paraId="3444A29F" w14:textId="77777777" w:rsidR="00607F38" w:rsidRPr="00A21900" w:rsidRDefault="00607F38" w:rsidP="00073FD6">
            <w:pPr>
              <w:ind w:left="0" w:right="0"/>
              <w:rPr>
                <w:sz w:val="18"/>
                <w:szCs w:val="22"/>
                <w:lang w:eastAsia="ja-JP"/>
              </w:rPr>
            </w:pPr>
            <w:r w:rsidRPr="00A21900">
              <w:rPr>
                <w:sz w:val="18"/>
                <w:szCs w:val="22"/>
                <w:lang w:eastAsia="ja-JP"/>
              </w:rPr>
              <w:t>Parameter</w:t>
            </w:r>
          </w:p>
        </w:tc>
        <w:tc>
          <w:tcPr>
            <w:tcW w:w="1560" w:type="dxa"/>
            <w:gridSpan w:val="2"/>
          </w:tcPr>
          <w:p w14:paraId="481F7551" w14:textId="77777777" w:rsidR="00607F38" w:rsidRPr="00A21900" w:rsidRDefault="00607F38" w:rsidP="00073FD6">
            <w:pPr>
              <w:ind w:left="0" w:right="0"/>
              <w:cnfStyle w:val="100000000000" w:firstRow="1"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Study 3594</w:t>
            </w:r>
          </w:p>
        </w:tc>
        <w:tc>
          <w:tcPr>
            <w:tcW w:w="1536" w:type="dxa"/>
            <w:gridSpan w:val="2"/>
          </w:tcPr>
          <w:p w14:paraId="79E4902B" w14:textId="77777777" w:rsidR="00607F38" w:rsidRPr="00A21900" w:rsidRDefault="00607F38" w:rsidP="00073FD6">
            <w:pPr>
              <w:ind w:left="0" w:right="0"/>
              <w:cnfStyle w:val="100000000000" w:firstRow="1"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Study 3590</w:t>
            </w:r>
          </w:p>
        </w:tc>
        <w:tc>
          <w:tcPr>
            <w:tcW w:w="1710" w:type="dxa"/>
            <w:gridSpan w:val="2"/>
          </w:tcPr>
          <w:p w14:paraId="507BC977" w14:textId="77777777" w:rsidR="00607F38" w:rsidRPr="00A21900" w:rsidRDefault="00607F38" w:rsidP="00073FD6">
            <w:pPr>
              <w:ind w:left="0" w:right="0"/>
              <w:cnfStyle w:val="100000000000" w:firstRow="1"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Study 3593</w:t>
            </w:r>
          </w:p>
        </w:tc>
        <w:tc>
          <w:tcPr>
            <w:tcW w:w="1857" w:type="dxa"/>
            <w:gridSpan w:val="3"/>
          </w:tcPr>
          <w:p w14:paraId="37ECC035" w14:textId="77777777" w:rsidR="00607F38" w:rsidRPr="00A21900" w:rsidRDefault="00607F38" w:rsidP="00073FD6">
            <w:pPr>
              <w:ind w:left="0" w:right="0"/>
              <w:cnfStyle w:val="100000000000" w:firstRow="1"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Study 3592</w:t>
            </w:r>
          </w:p>
        </w:tc>
        <w:tc>
          <w:tcPr>
            <w:tcW w:w="1923" w:type="dxa"/>
            <w:gridSpan w:val="2"/>
          </w:tcPr>
          <w:p w14:paraId="10969343" w14:textId="77777777" w:rsidR="00607F38" w:rsidRPr="00A21900" w:rsidRDefault="00607F38" w:rsidP="00073FD6">
            <w:pPr>
              <w:ind w:left="0" w:right="0"/>
              <w:cnfStyle w:val="100000000000" w:firstRow="1"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Study 3597 </w:t>
            </w:r>
          </w:p>
        </w:tc>
      </w:tr>
      <w:tr w:rsidR="00607F38" w:rsidRPr="00A21900" w14:paraId="1C5F7CC7" w14:textId="77777777" w:rsidTr="00254EAE">
        <w:trPr>
          <w:trHeight w:val="514"/>
        </w:trPr>
        <w:tc>
          <w:tcPr>
            <w:cnfStyle w:val="001000000000" w:firstRow="0" w:lastRow="0" w:firstColumn="1" w:lastColumn="0" w:oddVBand="0" w:evenVBand="0" w:oddHBand="0" w:evenHBand="0" w:firstRowFirstColumn="0" w:firstRowLastColumn="0" w:lastRowFirstColumn="0" w:lastRowLastColumn="0"/>
            <w:tcW w:w="1404" w:type="dxa"/>
          </w:tcPr>
          <w:p w14:paraId="339B90CD" w14:textId="77777777" w:rsidR="00607F38" w:rsidRPr="00A21900" w:rsidRDefault="00607F38" w:rsidP="005C3B74">
            <w:pPr>
              <w:ind w:left="0" w:right="0"/>
              <w:rPr>
                <w:sz w:val="18"/>
                <w:szCs w:val="22"/>
                <w:lang w:eastAsia="ja-JP"/>
              </w:rPr>
            </w:pPr>
            <w:r w:rsidRPr="00A21900">
              <w:rPr>
                <w:sz w:val="18"/>
                <w:szCs w:val="22"/>
                <w:lang w:eastAsia="ja-JP"/>
              </w:rPr>
              <w:t>Design</w:t>
            </w:r>
          </w:p>
        </w:tc>
        <w:tc>
          <w:tcPr>
            <w:tcW w:w="1560" w:type="dxa"/>
            <w:gridSpan w:val="2"/>
          </w:tcPr>
          <w:p w14:paraId="720ED951" w14:textId="19E8A5E0" w:rsidR="00607F38" w:rsidRPr="00A21900" w:rsidRDefault="005C3B74"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26 week (+ 26 </w:t>
            </w:r>
            <w:r w:rsidR="00607F38" w:rsidRPr="00A21900">
              <w:rPr>
                <w:sz w:val="18"/>
                <w:szCs w:val="22"/>
                <w:lang w:eastAsia="ja-JP"/>
              </w:rPr>
              <w:t>week extension) efficacy and safety study comparing IDegAsp OD with IDet OD in adult subjects with T1DM.</w:t>
            </w:r>
          </w:p>
        </w:tc>
        <w:tc>
          <w:tcPr>
            <w:tcW w:w="1536" w:type="dxa"/>
            <w:gridSpan w:val="2"/>
          </w:tcPr>
          <w:p w14:paraId="3EB3F841" w14:textId="3F785432"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26 week efficacy and safety study comparing IDeg</w:t>
            </w:r>
            <w:r w:rsidR="005C3B74" w:rsidRPr="00A21900">
              <w:rPr>
                <w:sz w:val="18"/>
                <w:szCs w:val="22"/>
                <w:lang w:eastAsia="ja-JP"/>
              </w:rPr>
              <w:t xml:space="preserve">Asp OD with IGlar OD in insulin </w:t>
            </w:r>
            <w:r w:rsidRPr="00A21900">
              <w:rPr>
                <w:sz w:val="18"/>
                <w:szCs w:val="22"/>
                <w:lang w:eastAsia="ja-JP"/>
              </w:rPr>
              <w:t>naïve adult subjects with T2DM currently treated with metformin.</w:t>
            </w:r>
          </w:p>
        </w:tc>
        <w:tc>
          <w:tcPr>
            <w:tcW w:w="1710" w:type="dxa"/>
            <w:gridSpan w:val="2"/>
          </w:tcPr>
          <w:p w14:paraId="1947AAF6" w14:textId="5B8A8F45"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26 week efficacy and safety study comparing IDe</w:t>
            </w:r>
            <w:r w:rsidR="005C3B74" w:rsidRPr="00A21900">
              <w:rPr>
                <w:sz w:val="18"/>
                <w:szCs w:val="22"/>
                <w:lang w:eastAsia="ja-JP"/>
              </w:rPr>
              <w:t xml:space="preserve">gAsp OD and IGlar OD in insulin </w:t>
            </w:r>
            <w:r w:rsidRPr="00A21900">
              <w:rPr>
                <w:sz w:val="18"/>
                <w:szCs w:val="22"/>
                <w:lang w:eastAsia="ja-JP"/>
              </w:rPr>
              <w:t>treated adult subjects with T2DM in combination with OADs (metformin ± pioglitazone ±</w:t>
            </w:r>
            <w:r w:rsidR="005C3B74" w:rsidRPr="00A21900">
              <w:rPr>
                <w:sz w:val="18"/>
                <w:szCs w:val="22"/>
                <w:lang w:eastAsia="ja-JP"/>
              </w:rPr>
              <w:t> DDP-4I</w:t>
            </w:r>
            <w:r w:rsidRPr="00A21900">
              <w:rPr>
                <w:sz w:val="18"/>
                <w:szCs w:val="22"/>
                <w:lang w:eastAsia="ja-JP"/>
              </w:rPr>
              <w:t>)</w:t>
            </w:r>
          </w:p>
        </w:tc>
        <w:tc>
          <w:tcPr>
            <w:tcW w:w="1857" w:type="dxa"/>
            <w:gridSpan w:val="3"/>
          </w:tcPr>
          <w:p w14:paraId="6D764E92" w14:textId="1F60906F"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26 week efficacy and safety study comparing IDegAsp BD and BIAsp 30 BD in adult subjects with T2DM</w:t>
            </w:r>
            <w:r w:rsidR="005C3B74" w:rsidRPr="00A21900">
              <w:rPr>
                <w:sz w:val="18"/>
                <w:szCs w:val="22"/>
                <w:lang w:eastAsia="ja-JP"/>
              </w:rPr>
              <w:t xml:space="preserve"> treated with insulin ± OADs (± </w:t>
            </w:r>
            <w:r w:rsidRPr="00A21900">
              <w:rPr>
                <w:sz w:val="18"/>
                <w:szCs w:val="22"/>
                <w:lang w:eastAsia="ja-JP"/>
              </w:rPr>
              <w:t>metformin ±</w:t>
            </w:r>
            <w:r w:rsidR="005C3B74" w:rsidRPr="00A21900">
              <w:rPr>
                <w:sz w:val="18"/>
                <w:szCs w:val="22"/>
                <w:lang w:eastAsia="ja-JP"/>
              </w:rPr>
              <w:t> </w:t>
            </w:r>
            <w:r w:rsidRPr="00A21900">
              <w:rPr>
                <w:sz w:val="18"/>
                <w:szCs w:val="22"/>
                <w:lang w:eastAsia="ja-JP"/>
              </w:rPr>
              <w:t>DDP-4I ± pioglitazone)</w:t>
            </w:r>
          </w:p>
        </w:tc>
        <w:tc>
          <w:tcPr>
            <w:tcW w:w="1923" w:type="dxa"/>
            <w:gridSpan w:val="2"/>
          </w:tcPr>
          <w:p w14:paraId="6EB1218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26 week Pan-Asian efficacy and safety study comparing IDegAsp BD and BIAsp 30 BD in adult subjects with T2DM treated with insulin ± metformin.</w:t>
            </w:r>
          </w:p>
        </w:tc>
      </w:tr>
      <w:tr w:rsidR="00607F38" w:rsidRPr="00A21900" w14:paraId="50773D2A" w14:textId="77777777" w:rsidTr="00254EAE">
        <w:trPr>
          <w:cantSplit/>
          <w:trHeight w:val="514"/>
        </w:trPr>
        <w:tc>
          <w:tcPr>
            <w:cnfStyle w:val="001000000000" w:firstRow="0" w:lastRow="0" w:firstColumn="1" w:lastColumn="0" w:oddVBand="0" w:evenVBand="0" w:oddHBand="0" w:evenHBand="0" w:firstRowFirstColumn="0" w:firstRowLastColumn="0" w:lastRowFirstColumn="0" w:lastRowLastColumn="0"/>
            <w:tcW w:w="1404" w:type="dxa"/>
          </w:tcPr>
          <w:p w14:paraId="16429E36" w14:textId="77777777" w:rsidR="00607F38" w:rsidRPr="00A21900" w:rsidRDefault="00607F38" w:rsidP="005C3B74">
            <w:pPr>
              <w:ind w:left="0" w:right="0"/>
              <w:rPr>
                <w:sz w:val="18"/>
                <w:szCs w:val="22"/>
                <w:lang w:eastAsia="ja-JP"/>
              </w:rPr>
            </w:pPr>
            <w:r w:rsidRPr="00A21900">
              <w:rPr>
                <w:sz w:val="18"/>
                <w:szCs w:val="22"/>
                <w:lang w:eastAsia="ja-JP"/>
              </w:rPr>
              <w:t>Treatments</w:t>
            </w:r>
          </w:p>
        </w:tc>
        <w:tc>
          <w:tcPr>
            <w:tcW w:w="1560" w:type="dxa"/>
            <w:gridSpan w:val="2"/>
          </w:tcPr>
          <w:p w14:paraId="4C36FE1B" w14:textId="708F3032" w:rsidR="00607F38" w:rsidRPr="00A21900" w:rsidRDefault="005C3B74"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Randomised 2:1 to </w:t>
            </w:r>
            <w:r w:rsidR="00607F38" w:rsidRPr="00A21900">
              <w:rPr>
                <w:sz w:val="18"/>
                <w:szCs w:val="22"/>
                <w:lang w:eastAsia="ja-JP"/>
              </w:rPr>
              <w:t xml:space="preserve">IDegAsp OD + </w:t>
            </w:r>
            <w:r w:rsidRPr="00A21900">
              <w:rPr>
                <w:sz w:val="18"/>
                <w:szCs w:val="22"/>
                <w:lang w:eastAsia="ja-JP"/>
              </w:rPr>
              <w:t>IAsp (n</w:t>
            </w:r>
            <w:r w:rsidR="00A21900" w:rsidRPr="00A21900">
              <w:rPr>
                <w:sz w:val="18"/>
                <w:szCs w:val="22"/>
                <w:lang w:eastAsia="ja-JP"/>
              </w:rPr>
              <w:t> </w:t>
            </w:r>
            <w:r w:rsidRPr="00A21900">
              <w:rPr>
                <w:sz w:val="18"/>
                <w:szCs w:val="22"/>
                <w:lang w:eastAsia="ja-JP"/>
              </w:rPr>
              <w:t>=</w:t>
            </w:r>
            <w:r w:rsidR="00A21900" w:rsidRPr="00A21900">
              <w:rPr>
                <w:sz w:val="18"/>
                <w:szCs w:val="22"/>
                <w:lang w:eastAsia="ja-JP"/>
              </w:rPr>
              <w:t> </w:t>
            </w:r>
            <w:r w:rsidRPr="00A21900">
              <w:rPr>
                <w:sz w:val="18"/>
                <w:szCs w:val="22"/>
                <w:lang w:eastAsia="ja-JP"/>
              </w:rPr>
              <w:t xml:space="preserve">366); </w:t>
            </w:r>
            <w:r w:rsidR="00607F38" w:rsidRPr="00A21900">
              <w:rPr>
                <w:sz w:val="18"/>
                <w:szCs w:val="22"/>
                <w:lang w:eastAsia="ja-JP"/>
              </w:rPr>
              <w:t>or</w:t>
            </w:r>
            <w:r w:rsidRPr="00A21900">
              <w:rPr>
                <w:sz w:val="18"/>
                <w:szCs w:val="22"/>
                <w:lang w:eastAsia="ja-JP"/>
              </w:rPr>
              <w:t xml:space="preserve"> </w:t>
            </w:r>
            <w:r w:rsidR="00607F38" w:rsidRPr="00A21900">
              <w:rPr>
                <w:sz w:val="18"/>
                <w:szCs w:val="22"/>
                <w:lang w:eastAsia="ja-JP"/>
              </w:rPr>
              <w:t>IDet + IAsp (n = 182)</w:t>
            </w:r>
          </w:p>
        </w:tc>
        <w:tc>
          <w:tcPr>
            <w:tcW w:w="1536" w:type="dxa"/>
            <w:gridSpan w:val="2"/>
          </w:tcPr>
          <w:p w14:paraId="7590EE1F" w14:textId="4AD7081D" w:rsidR="00607F38" w:rsidRPr="00A21900" w:rsidRDefault="005C3B74"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Randomised 1:</w:t>
            </w:r>
            <w:r w:rsidR="00607F38" w:rsidRPr="00A21900">
              <w:rPr>
                <w:sz w:val="18"/>
                <w:szCs w:val="22"/>
                <w:lang w:eastAsia="ja-JP"/>
              </w:rPr>
              <w:t>1 to:</w:t>
            </w:r>
            <w:r w:rsidRPr="00A21900">
              <w:rPr>
                <w:sz w:val="18"/>
                <w:szCs w:val="22"/>
                <w:lang w:eastAsia="ja-JP"/>
              </w:rPr>
              <w:t xml:space="preserve"> </w:t>
            </w:r>
            <w:r w:rsidR="00A21900" w:rsidRPr="00A21900">
              <w:rPr>
                <w:sz w:val="18"/>
                <w:szCs w:val="22"/>
                <w:lang w:eastAsia="ja-JP"/>
              </w:rPr>
              <w:t xml:space="preserve">IDegAsp OD </w:t>
            </w:r>
            <w:r w:rsidRPr="00A21900">
              <w:rPr>
                <w:sz w:val="18"/>
                <w:szCs w:val="22"/>
                <w:lang w:eastAsia="ja-JP"/>
              </w:rPr>
              <w:t>+</w:t>
            </w:r>
            <w:r w:rsidR="00A21900" w:rsidRPr="00A21900">
              <w:rPr>
                <w:sz w:val="18"/>
                <w:szCs w:val="22"/>
                <w:lang w:eastAsia="ja-JP"/>
              </w:rPr>
              <w:t xml:space="preserve"> </w:t>
            </w:r>
            <w:r w:rsidR="00607F38" w:rsidRPr="00A21900">
              <w:rPr>
                <w:sz w:val="18"/>
                <w:szCs w:val="22"/>
                <w:lang w:eastAsia="ja-JP"/>
              </w:rPr>
              <w:t>met</w:t>
            </w:r>
            <w:r w:rsidRPr="00A21900">
              <w:rPr>
                <w:sz w:val="18"/>
                <w:szCs w:val="22"/>
                <w:lang w:eastAsia="ja-JP"/>
              </w:rPr>
              <w:t>formin (n = </w:t>
            </w:r>
            <w:r w:rsidR="00607F38" w:rsidRPr="00A21900">
              <w:rPr>
                <w:sz w:val="18"/>
                <w:szCs w:val="22"/>
                <w:lang w:eastAsia="ja-JP"/>
              </w:rPr>
              <w:t>266)</w:t>
            </w:r>
            <w:r w:rsidRPr="00A21900">
              <w:rPr>
                <w:sz w:val="18"/>
                <w:szCs w:val="22"/>
                <w:lang w:eastAsia="ja-JP"/>
              </w:rPr>
              <w:t>;</w:t>
            </w:r>
            <w:r w:rsidR="00607F38" w:rsidRPr="00A21900">
              <w:rPr>
                <w:sz w:val="18"/>
                <w:szCs w:val="22"/>
                <w:lang w:eastAsia="ja-JP"/>
              </w:rPr>
              <w:t xml:space="preserve"> or</w:t>
            </w:r>
            <w:r w:rsidRPr="00A21900">
              <w:rPr>
                <w:sz w:val="18"/>
                <w:szCs w:val="22"/>
                <w:lang w:eastAsia="ja-JP"/>
              </w:rPr>
              <w:t xml:space="preserve"> IGlar OD + metformin (n = </w:t>
            </w:r>
            <w:r w:rsidR="00607F38" w:rsidRPr="00A21900">
              <w:rPr>
                <w:sz w:val="18"/>
                <w:szCs w:val="22"/>
                <w:lang w:eastAsia="ja-JP"/>
              </w:rPr>
              <w:t>264)</w:t>
            </w:r>
            <w:r w:rsidRPr="00A21900">
              <w:rPr>
                <w:sz w:val="18"/>
                <w:szCs w:val="22"/>
                <w:lang w:eastAsia="ja-JP"/>
              </w:rPr>
              <w:t>.</w:t>
            </w:r>
          </w:p>
        </w:tc>
        <w:tc>
          <w:tcPr>
            <w:tcW w:w="1710" w:type="dxa"/>
            <w:gridSpan w:val="2"/>
          </w:tcPr>
          <w:p w14:paraId="561F9E96" w14:textId="12FF6C4B"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Randomised 1:1 to </w:t>
            </w:r>
            <w:r w:rsidR="005C3B74" w:rsidRPr="00A21900">
              <w:rPr>
                <w:sz w:val="18"/>
                <w:szCs w:val="22"/>
                <w:lang w:eastAsia="ja-JP"/>
              </w:rPr>
              <w:t xml:space="preserve">IDegAsp OD + OADs (n = 230); or </w:t>
            </w:r>
            <w:r w:rsidRPr="00A21900">
              <w:rPr>
                <w:sz w:val="18"/>
                <w:szCs w:val="22"/>
                <w:lang w:eastAsia="ja-JP"/>
              </w:rPr>
              <w:t>IGlar OD + OADs (n = 233)</w:t>
            </w:r>
            <w:r w:rsidR="005C3B74" w:rsidRPr="00A21900">
              <w:rPr>
                <w:sz w:val="18"/>
                <w:szCs w:val="22"/>
                <w:lang w:eastAsia="ja-JP"/>
              </w:rPr>
              <w:t>.</w:t>
            </w:r>
          </w:p>
        </w:tc>
        <w:tc>
          <w:tcPr>
            <w:tcW w:w="1857" w:type="dxa"/>
            <w:gridSpan w:val="3"/>
          </w:tcPr>
          <w:p w14:paraId="07CB9E18" w14:textId="52C01307" w:rsidR="00607F38" w:rsidRPr="00A21900" w:rsidRDefault="005C3B74"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Randomised 1:1 to IDegAsp BD (n = </w:t>
            </w:r>
            <w:r w:rsidR="00607F38" w:rsidRPr="00A21900">
              <w:rPr>
                <w:sz w:val="18"/>
                <w:szCs w:val="22"/>
                <w:lang w:eastAsia="ja-JP"/>
              </w:rPr>
              <w:t xml:space="preserve">224) or </w:t>
            </w:r>
            <w:r w:rsidRPr="00A21900">
              <w:rPr>
                <w:sz w:val="18"/>
                <w:szCs w:val="22"/>
                <w:lang w:eastAsia="ja-JP"/>
              </w:rPr>
              <w:t>BIAsp 30 BD (n = 223).</w:t>
            </w:r>
          </w:p>
        </w:tc>
        <w:tc>
          <w:tcPr>
            <w:tcW w:w="1923" w:type="dxa"/>
            <w:gridSpan w:val="2"/>
          </w:tcPr>
          <w:p w14:paraId="528EEF18" w14:textId="03F239B5"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Randomised 2:1 to IDegAsp (n = 280) or</w:t>
            </w:r>
            <w:r w:rsidR="005874E2">
              <w:rPr>
                <w:sz w:val="18"/>
                <w:szCs w:val="22"/>
                <w:lang w:eastAsia="ja-JP"/>
              </w:rPr>
              <w:t xml:space="preserve"> </w:t>
            </w:r>
            <w:r w:rsidRPr="00A21900">
              <w:rPr>
                <w:sz w:val="18"/>
                <w:szCs w:val="22"/>
                <w:lang w:eastAsia="ja-JP"/>
              </w:rPr>
              <w:t>BI</w:t>
            </w:r>
            <w:r w:rsidR="005C3B74" w:rsidRPr="00A21900">
              <w:rPr>
                <w:sz w:val="18"/>
                <w:szCs w:val="22"/>
                <w:lang w:eastAsia="ja-JP"/>
              </w:rPr>
              <w:t>Asp 30 (n = 142).</w:t>
            </w:r>
          </w:p>
        </w:tc>
      </w:tr>
      <w:tr w:rsidR="00607F38" w:rsidRPr="00A21900" w14:paraId="4D807AC2" w14:textId="77777777" w:rsidTr="00254EAE">
        <w:trPr>
          <w:trHeight w:val="514"/>
        </w:trPr>
        <w:tc>
          <w:tcPr>
            <w:cnfStyle w:val="001000000000" w:firstRow="0" w:lastRow="0" w:firstColumn="1" w:lastColumn="0" w:oddVBand="0" w:evenVBand="0" w:oddHBand="0" w:evenHBand="0" w:firstRowFirstColumn="0" w:firstRowLastColumn="0" w:lastRowFirstColumn="0" w:lastRowLastColumn="0"/>
            <w:tcW w:w="1404" w:type="dxa"/>
          </w:tcPr>
          <w:p w14:paraId="09725F1C" w14:textId="77777777" w:rsidR="00607F38" w:rsidRPr="00A21900" w:rsidRDefault="00607F38" w:rsidP="005C3B74">
            <w:pPr>
              <w:ind w:left="0" w:right="0"/>
              <w:rPr>
                <w:sz w:val="18"/>
                <w:szCs w:val="22"/>
                <w:lang w:eastAsia="ja-JP"/>
              </w:rPr>
            </w:pPr>
            <w:r w:rsidRPr="00A21900">
              <w:rPr>
                <w:sz w:val="18"/>
                <w:szCs w:val="22"/>
                <w:lang w:eastAsia="ja-JP"/>
              </w:rPr>
              <w:t>Treatment administration</w:t>
            </w:r>
          </w:p>
        </w:tc>
        <w:tc>
          <w:tcPr>
            <w:tcW w:w="1560" w:type="dxa"/>
            <w:gridSpan w:val="2"/>
          </w:tcPr>
          <w:p w14:paraId="49B2681E" w14:textId="13247DA0" w:rsidR="00607F38" w:rsidRPr="00A21900" w:rsidRDefault="00A21900"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Pr>
                <w:sz w:val="18"/>
                <w:szCs w:val="22"/>
                <w:lang w:eastAsia="ja-JP"/>
              </w:rPr>
              <w:t>IDegAsp 100 </w:t>
            </w:r>
            <w:r w:rsidR="00607F38" w:rsidRPr="00A21900">
              <w:rPr>
                <w:sz w:val="18"/>
                <w:szCs w:val="22"/>
                <w:lang w:eastAsia="ja-JP"/>
              </w:rPr>
              <w:t>U/mL OD with main meal +</w:t>
            </w:r>
            <w:r>
              <w:rPr>
                <w:sz w:val="18"/>
                <w:szCs w:val="22"/>
                <w:lang w:eastAsia="ja-JP"/>
              </w:rPr>
              <w:t> </w:t>
            </w:r>
            <w:r w:rsidR="00607F38" w:rsidRPr="00A21900">
              <w:rPr>
                <w:sz w:val="18"/>
                <w:szCs w:val="22"/>
                <w:lang w:eastAsia="ja-JP"/>
              </w:rPr>
              <w:t>IAsp with remaining meals</w:t>
            </w:r>
            <w:r>
              <w:rPr>
                <w:sz w:val="18"/>
                <w:szCs w:val="22"/>
                <w:lang w:eastAsia="ja-JP"/>
              </w:rPr>
              <w:t xml:space="preserve">; </w:t>
            </w:r>
            <w:r w:rsidR="00607F38" w:rsidRPr="00A21900">
              <w:rPr>
                <w:sz w:val="18"/>
                <w:szCs w:val="22"/>
                <w:lang w:eastAsia="ja-JP"/>
              </w:rPr>
              <w:t>or</w:t>
            </w:r>
            <w:r>
              <w:rPr>
                <w:sz w:val="18"/>
                <w:szCs w:val="22"/>
                <w:lang w:eastAsia="ja-JP"/>
              </w:rPr>
              <w:t xml:space="preserve"> </w:t>
            </w:r>
            <w:r w:rsidR="00607F38" w:rsidRPr="00A21900">
              <w:rPr>
                <w:sz w:val="18"/>
                <w:szCs w:val="22"/>
                <w:lang w:eastAsia="ja-JP"/>
              </w:rPr>
              <w:t>IDet OD according to local label + IAsp as meal time insulin. A second dose of IDet could be added after 8 weeks if inadequate glycaemic control.</w:t>
            </w:r>
          </w:p>
        </w:tc>
        <w:tc>
          <w:tcPr>
            <w:tcW w:w="1536" w:type="dxa"/>
            <w:gridSpan w:val="2"/>
          </w:tcPr>
          <w:p w14:paraId="02D0A201" w14:textId="25106B6D" w:rsidR="00607F38" w:rsidRPr="00A21900" w:rsidRDefault="00A21900"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Pr>
                <w:sz w:val="18"/>
                <w:szCs w:val="22"/>
                <w:lang w:eastAsia="ja-JP"/>
              </w:rPr>
              <w:t>IDegAsp 100 </w:t>
            </w:r>
            <w:r w:rsidR="00607F38" w:rsidRPr="00A21900">
              <w:rPr>
                <w:sz w:val="18"/>
                <w:szCs w:val="22"/>
                <w:lang w:eastAsia="ja-JP"/>
              </w:rPr>
              <w:t>U/mL OD with morning meal</w:t>
            </w:r>
            <w:r>
              <w:rPr>
                <w:sz w:val="18"/>
                <w:szCs w:val="22"/>
                <w:lang w:eastAsia="ja-JP"/>
              </w:rPr>
              <w:t xml:space="preserve">; </w:t>
            </w:r>
            <w:r w:rsidR="00607F38" w:rsidRPr="00A21900">
              <w:rPr>
                <w:sz w:val="18"/>
                <w:szCs w:val="22"/>
                <w:lang w:eastAsia="ja-JP"/>
              </w:rPr>
              <w:t>or</w:t>
            </w:r>
            <w:r>
              <w:rPr>
                <w:sz w:val="18"/>
                <w:szCs w:val="22"/>
                <w:lang w:eastAsia="ja-JP"/>
              </w:rPr>
              <w:t xml:space="preserve"> </w:t>
            </w:r>
            <w:r w:rsidR="00607F38" w:rsidRPr="00A21900">
              <w:rPr>
                <w:sz w:val="18"/>
                <w:szCs w:val="22"/>
                <w:lang w:eastAsia="ja-JP"/>
              </w:rPr>
              <w:t>IGlar OD according to local label</w:t>
            </w:r>
            <w:r>
              <w:rPr>
                <w:sz w:val="18"/>
                <w:szCs w:val="22"/>
                <w:lang w:eastAsia="ja-JP"/>
              </w:rPr>
              <w:t xml:space="preserve"> </w:t>
            </w:r>
            <w:r w:rsidRPr="00A21900">
              <w:rPr>
                <w:sz w:val="18"/>
                <w:szCs w:val="22"/>
                <w:lang w:eastAsia="ja-JP"/>
              </w:rPr>
              <w:t>±</w:t>
            </w:r>
            <w:r>
              <w:rPr>
                <w:sz w:val="18"/>
                <w:szCs w:val="22"/>
                <w:lang w:eastAsia="ja-JP"/>
              </w:rPr>
              <w:t xml:space="preserve"> metformin.</w:t>
            </w:r>
          </w:p>
        </w:tc>
        <w:tc>
          <w:tcPr>
            <w:tcW w:w="1710" w:type="dxa"/>
            <w:gridSpan w:val="2"/>
          </w:tcPr>
          <w:p w14:paraId="25AE432F" w14:textId="2C1BF04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IDegAsp 100 U/mL OD with any meal (evening meal or largest meal; same meal throughout study) or </w:t>
            </w:r>
            <w:r w:rsidRPr="00A21900">
              <w:rPr>
                <w:sz w:val="18"/>
                <w:szCs w:val="22"/>
                <w:lang w:eastAsia="ja-JP"/>
              </w:rPr>
              <w:br/>
              <w:t xml:space="preserve">⦁ IGlar OD according to local label </w:t>
            </w:r>
            <w:r w:rsidR="00A21900" w:rsidRPr="00A21900">
              <w:rPr>
                <w:sz w:val="18"/>
                <w:szCs w:val="22"/>
                <w:lang w:eastAsia="ja-JP"/>
              </w:rPr>
              <w:t>±</w:t>
            </w:r>
            <w:r w:rsidR="00A21900">
              <w:rPr>
                <w:sz w:val="18"/>
                <w:szCs w:val="22"/>
                <w:lang w:eastAsia="ja-JP"/>
              </w:rPr>
              <w:t xml:space="preserve"> metformin; </w:t>
            </w:r>
            <w:r w:rsidR="00A21900" w:rsidRPr="00A21900">
              <w:rPr>
                <w:sz w:val="18"/>
                <w:szCs w:val="22"/>
                <w:lang w:eastAsia="ja-JP"/>
              </w:rPr>
              <w:t>±</w:t>
            </w:r>
            <w:r w:rsidR="00A21900">
              <w:rPr>
                <w:sz w:val="18"/>
                <w:szCs w:val="22"/>
                <w:lang w:eastAsia="ja-JP"/>
              </w:rPr>
              <w:t xml:space="preserve"> </w:t>
            </w:r>
            <w:r w:rsidRPr="00A21900">
              <w:rPr>
                <w:sz w:val="18"/>
                <w:szCs w:val="22"/>
                <w:lang w:eastAsia="ja-JP"/>
              </w:rPr>
              <w:t>pioglitazone</w:t>
            </w:r>
            <w:r w:rsidR="00A21900">
              <w:rPr>
                <w:sz w:val="18"/>
                <w:szCs w:val="22"/>
                <w:lang w:eastAsia="ja-JP"/>
              </w:rPr>
              <w:t xml:space="preserve">; </w:t>
            </w:r>
            <w:r w:rsidR="00A21900" w:rsidRPr="00A21900">
              <w:rPr>
                <w:sz w:val="18"/>
                <w:szCs w:val="22"/>
                <w:lang w:eastAsia="ja-JP"/>
              </w:rPr>
              <w:t>±</w:t>
            </w:r>
            <w:r w:rsidR="00A21900">
              <w:rPr>
                <w:sz w:val="18"/>
                <w:szCs w:val="22"/>
                <w:lang w:eastAsia="ja-JP"/>
              </w:rPr>
              <w:t xml:space="preserve"> </w:t>
            </w:r>
            <w:r w:rsidRPr="00A21900">
              <w:rPr>
                <w:sz w:val="18"/>
                <w:szCs w:val="22"/>
                <w:lang w:eastAsia="ja-JP"/>
              </w:rPr>
              <w:t>DDP-4I</w:t>
            </w:r>
            <w:r w:rsidR="00A21900">
              <w:rPr>
                <w:sz w:val="18"/>
                <w:szCs w:val="22"/>
                <w:lang w:eastAsia="ja-JP"/>
              </w:rPr>
              <w:t>.</w:t>
            </w:r>
          </w:p>
        </w:tc>
        <w:tc>
          <w:tcPr>
            <w:tcW w:w="1857" w:type="dxa"/>
            <w:gridSpan w:val="3"/>
          </w:tcPr>
          <w:p w14:paraId="46A49C41" w14:textId="5643C6F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 100 U/mL BD with breakfast and main evening meal</w:t>
            </w:r>
            <w:r w:rsidR="00A21900">
              <w:rPr>
                <w:sz w:val="18"/>
                <w:szCs w:val="22"/>
                <w:lang w:eastAsia="ja-JP"/>
              </w:rPr>
              <w:t xml:space="preserve">; </w:t>
            </w:r>
            <w:r w:rsidRPr="00A21900">
              <w:rPr>
                <w:sz w:val="18"/>
                <w:szCs w:val="22"/>
                <w:lang w:eastAsia="ja-JP"/>
              </w:rPr>
              <w:t>or</w:t>
            </w:r>
            <w:r w:rsidR="00A21900">
              <w:rPr>
                <w:sz w:val="18"/>
                <w:szCs w:val="22"/>
                <w:lang w:eastAsia="ja-JP"/>
              </w:rPr>
              <w:t xml:space="preserve"> BIAsp 30 </w:t>
            </w:r>
            <w:r w:rsidRPr="00A21900">
              <w:rPr>
                <w:sz w:val="18"/>
                <w:szCs w:val="22"/>
                <w:lang w:eastAsia="ja-JP"/>
              </w:rPr>
              <w:t>BD with breakfast and main evening meal</w:t>
            </w:r>
            <w:r w:rsidR="00A21900">
              <w:rPr>
                <w:sz w:val="18"/>
                <w:szCs w:val="22"/>
                <w:lang w:eastAsia="ja-JP"/>
              </w:rPr>
              <w:t xml:space="preserve"> </w:t>
            </w:r>
            <w:r w:rsidRPr="00A21900">
              <w:rPr>
                <w:sz w:val="18"/>
                <w:szCs w:val="22"/>
                <w:lang w:eastAsia="ja-JP"/>
              </w:rPr>
              <w:t>±</w:t>
            </w:r>
            <w:r w:rsidR="00A21900">
              <w:rPr>
                <w:sz w:val="18"/>
                <w:szCs w:val="22"/>
                <w:lang w:eastAsia="ja-JP"/>
              </w:rPr>
              <w:t xml:space="preserve"> metformin; ± DDP-4I; </w:t>
            </w:r>
            <w:r w:rsidRPr="00A21900">
              <w:rPr>
                <w:sz w:val="18"/>
                <w:szCs w:val="22"/>
                <w:lang w:eastAsia="ja-JP"/>
              </w:rPr>
              <w:t>± pioglitazone</w:t>
            </w:r>
            <w:r w:rsidR="00A21900">
              <w:rPr>
                <w:sz w:val="18"/>
                <w:szCs w:val="22"/>
                <w:lang w:eastAsia="ja-JP"/>
              </w:rPr>
              <w:t>.</w:t>
            </w:r>
          </w:p>
        </w:tc>
        <w:tc>
          <w:tcPr>
            <w:tcW w:w="1923" w:type="dxa"/>
            <w:gridSpan w:val="2"/>
          </w:tcPr>
          <w:p w14:paraId="412BEF19" w14:textId="6C9E8DD4"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 100 U/mL with breakfast and main evening meal</w:t>
            </w:r>
            <w:r w:rsidR="00A21900">
              <w:rPr>
                <w:sz w:val="18"/>
                <w:szCs w:val="22"/>
                <w:lang w:eastAsia="ja-JP"/>
              </w:rPr>
              <w:t xml:space="preserve">; </w:t>
            </w:r>
            <w:r w:rsidRPr="00A21900">
              <w:rPr>
                <w:sz w:val="18"/>
                <w:szCs w:val="22"/>
                <w:lang w:eastAsia="ja-JP"/>
              </w:rPr>
              <w:t>or BIAsp 30 BD with breakfast and main evening meal</w:t>
            </w:r>
            <w:r w:rsidR="00A21900">
              <w:rPr>
                <w:sz w:val="18"/>
                <w:szCs w:val="22"/>
                <w:lang w:eastAsia="ja-JP"/>
              </w:rPr>
              <w:t>; ± metformin.</w:t>
            </w:r>
          </w:p>
        </w:tc>
      </w:tr>
      <w:tr w:rsidR="00607F38" w:rsidRPr="00A21900" w14:paraId="2D7F3AF2" w14:textId="77777777" w:rsidTr="00254EAE">
        <w:trPr>
          <w:trHeight w:val="677"/>
        </w:trPr>
        <w:tc>
          <w:tcPr>
            <w:cnfStyle w:val="001000000000" w:firstRow="0" w:lastRow="0" w:firstColumn="1" w:lastColumn="0" w:oddVBand="0" w:evenVBand="0" w:oddHBand="0" w:evenHBand="0" w:firstRowFirstColumn="0" w:firstRowLastColumn="0" w:lastRowFirstColumn="0" w:lastRowLastColumn="0"/>
            <w:tcW w:w="1404" w:type="dxa"/>
            <w:vMerge w:val="restart"/>
          </w:tcPr>
          <w:p w14:paraId="54F234CC" w14:textId="77777777" w:rsidR="00607F38" w:rsidRPr="00A21900" w:rsidRDefault="00607F38" w:rsidP="005C3B74">
            <w:pPr>
              <w:ind w:left="0" w:right="0"/>
              <w:rPr>
                <w:sz w:val="18"/>
                <w:szCs w:val="22"/>
                <w:lang w:eastAsia="ja-JP"/>
              </w:rPr>
            </w:pPr>
            <w:r w:rsidRPr="00A21900">
              <w:rPr>
                <w:sz w:val="18"/>
                <w:szCs w:val="22"/>
                <w:lang w:eastAsia="ja-JP"/>
              </w:rPr>
              <w:t>Primary efficacy endpoint</w:t>
            </w:r>
          </w:p>
        </w:tc>
        <w:tc>
          <w:tcPr>
            <w:tcW w:w="1560" w:type="dxa"/>
            <w:gridSpan w:val="2"/>
          </w:tcPr>
          <w:p w14:paraId="6AE06B85" w14:textId="54A0B25F" w:rsidR="00607F38" w:rsidRPr="00A21900" w:rsidRDefault="00607F38" w:rsidP="00A21900">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 xml:space="preserve">Mean change from </w:t>
            </w:r>
            <w:r w:rsidR="00A21900">
              <w:rPr>
                <w:b/>
                <w:sz w:val="18"/>
                <w:szCs w:val="22"/>
                <w:lang w:eastAsia="ja-JP"/>
              </w:rPr>
              <w:t>B</w:t>
            </w:r>
            <w:r w:rsidRPr="00A21900">
              <w:rPr>
                <w:b/>
                <w:sz w:val="18"/>
                <w:szCs w:val="22"/>
                <w:lang w:eastAsia="ja-JP"/>
              </w:rPr>
              <w:t>aseline in HbA1c after 26 weeks of treatment (%)</w:t>
            </w:r>
          </w:p>
        </w:tc>
        <w:tc>
          <w:tcPr>
            <w:tcW w:w="1536" w:type="dxa"/>
            <w:gridSpan w:val="2"/>
          </w:tcPr>
          <w:p w14:paraId="3E89BF5C" w14:textId="5E2CB576" w:rsidR="00607F38" w:rsidRPr="00A21900" w:rsidRDefault="00607F38" w:rsidP="00A21900">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b/>
                <w:sz w:val="18"/>
                <w:szCs w:val="22"/>
                <w:lang w:eastAsia="ja-JP"/>
              </w:rPr>
              <w:t xml:space="preserve">Mean change from </w:t>
            </w:r>
            <w:r w:rsidR="00A21900">
              <w:rPr>
                <w:b/>
                <w:sz w:val="18"/>
                <w:szCs w:val="22"/>
                <w:lang w:eastAsia="ja-JP"/>
              </w:rPr>
              <w:t>B</w:t>
            </w:r>
            <w:r w:rsidRPr="00A21900">
              <w:rPr>
                <w:b/>
                <w:sz w:val="18"/>
                <w:szCs w:val="22"/>
                <w:lang w:eastAsia="ja-JP"/>
              </w:rPr>
              <w:t>aseline in HbA1c after 26 weeks of treatment (%)</w:t>
            </w:r>
          </w:p>
        </w:tc>
        <w:tc>
          <w:tcPr>
            <w:tcW w:w="1710" w:type="dxa"/>
            <w:gridSpan w:val="2"/>
          </w:tcPr>
          <w:p w14:paraId="457EF195" w14:textId="7E43D2BA" w:rsidR="00607F38" w:rsidRPr="00A21900" w:rsidRDefault="00607F38" w:rsidP="00A21900">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 xml:space="preserve">Mean change from </w:t>
            </w:r>
            <w:r w:rsidR="00A21900">
              <w:rPr>
                <w:b/>
                <w:sz w:val="18"/>
                <w:szCs w:val="22"/>
                <w:lang w:eastAsia="ja-JP"/>
              </w:rPr>
              <w:t>B</w:t>
            </w:r>
            <w:r w:rsidRPr="00A21900">
              <w:rPr>
                <w:b/>
                <w:sz w:val="18"/>
                <w:szCs w:val="22"/>
                <w:lang w:eastAsia="ja-JP"/>
              </w:rPr>
              <w:t>aseline in HbA1c after 26 weeks of treatment (%)</w:t>
            </w:r>
          </w:p>
        </w:tc>
        <w:tc>
          <w:tcPr>
            <w:tcW w:w="1857" w:type="dxa"/>
            <w:gridSpan w:val="3"/>
          </w:tcPr>
          <w:p w14:paraId="3206ADB5" w14:textId="6F614BEA" w:rsidR="00607F38" w:rsidRPr="00A21900" w:rsidRDefault="00607F38" w:rsidP="00A21900">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 xml:space="preserve">Mean change from </w:t>
            </w:r>
            <w:r w:rsidR="00A21900">
              <w:rPr>
                <w:b/>
                <w:sz w:val="18"/>
                <w:szCs w:val="22"/>
                <w:lang w:eastAsia="ja-JP"/>
              </w:rPr>
              <w:t>B</w:t>
            </w:r>
            <w:r w:rsidRPr="00A21900">
              <w:rPr>
                <w:b/>
                <w:sz w:val="18"/>
                <w:szCs w:val="22"/>
                <w:lang w:eastAsia="ja-JP"/>
              </w:rPr>
              <w:t>aseline in HbA1c after 26 weeks of treatment (%)</w:t>
            </w:r>
          </w:p>
        </w:tc>
        <w:tc>
          <w:tcPr>
            <w:tcW w:w="1923" w:type="dxa"/>
            <w:gridSpan w:val="2"/>
          </w:tcPr>
          <w:p w14:paraId="4542C4A8" w14:textId="56984A32" w:rsidR="00607F38" w:rsidRPr="00A21900" w:rsidRDefault="00607F38" w:rsidP="00A21900">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 xml:space="preserve">Mean change from </w:t>
            </w:r>
            <w:r w:rsidR="00A21900">
              <w:rPr>
                <w:b/>
                <w:sz w:val="18"/>
                <w:szCs w:val="22"/>
                <w:lang w:eastAsia="ja-JP"/>
              </w:rPr>
              <w:t>B</w:t>
            </w:r>
            <w:r w:rsidRPr="00A21900">
              <w:rPr>
                <w:b/>
                <w:sz w:val="18"/>
                <w:szCs w:val="22"/>
                <w:lang w:eastAsia="ja-JP"/>
              </w:rPr>
              <w:t>aseline in HbA1c after 26 weeks of treatment (%)</w:t>
            </w:r>
          </w:p>
        </w:tc>
      </w:tr>
      <w:tr w:rsidR="00254EAE" w:rsidRPr="00A21900" w14:paraId="7A7DECF3" w14:textId="77777777" w:rsidTr="00254EAE">
        <w:trPr>
          <w:trHeight w:val="328"/>
        </w:trPr>
        <w:tc>
          <w:tcPr>
            <w:cnfStyle w:val="001000000000" w:firstRow="0" w:lastRow="0" w:firstColumn="1" w:lastColumn="0" w:oddVBand="0" w:evenVBand="0" w:oddHBand="0" w:evenHBand="0" w:firstRowFirstColumn="0" w:firstRowLastColumn="0" w:lastRowFirstColumn="0" w:lastRowLastColumn="0"/>
            <w:tcW w:w="1404" w:type="dxa"/>
            <w:vMerge/>
          </w:tcPr>
          <w:p w14:paraId="05052E8F" w14:textId="77777777" w:rsidR="00607F38" w:rsidRPr="00A21900" w:rsidRDefault="00607F38" w:rsidP="005C3B74">
            <w:pPr>
              <w:ind w:left="0" w:right="0"/>
              <w:rPr>
                <w:sz w:val="18"/>
                <w:szCs w:val="22"/>
                <w:lang w:eastAsia="ja-JP"/>
              </w:rPr>
            </w:pPr>
          </w:p>
        </w:tc>
        <w:tc>
          <w:tcPr>
            <w:tcW w:w="936" w:type="dxa"/>
          </w:tcPr>
          <w:p w14:paraId="32D7D2D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624" w:type="dxa"/>
          </w:tcPr>
          <w:p w14:paraId="1CC0EA29"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IDet</w:t>
            </w:r>
          </w:p>
        </w:tc>
        <w:tc>
          <w:tcPr>
            <w:tcW w:w="906" w:type="dxa"/>
          </w:tcPr>
          <w:p w14:paraId="2FE3EF20"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630" w:type="dxa"/>
          </w:tcPr>
          <w:p w14:paraId="56597C5C"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IGlar</w:t>
            </w:r>
          </w:p>
        </w:tc>
        <w:tc>
          <w:tcPr>
            <w:tcW w:w="873" w:type="dxa"/>
          </w:tcPr>
          <w:p w14:paraId="4204B82D"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837" w:type="dxa"/>
          </w:tcPr>
          <w:p w14:paraId="759ED877" w14:textId="22F827AB"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IGlar</w:t>
            </w:r>
          </w:p>
        </w:tc>
        <w:tc>
          <w:tcPr>
            <w:tcW w:w="900" w:type="dxa"/>
          </w:tcPr>
          <w:p w14:paraId="69E34809"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IDegAsp </w:t>
            </w:r>
          </w:p>
        </w:tc>
        <w:tc>
          <w:tcPr>
            <w:tcW w:w="957" w:type="dxa"/>
            <w:gridSpan w:val="2"/>
          </w:tcPr>
          <w:p w14:paraId="4F4F766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BIAsp 30</w:t>
            </w:r>
          </w:p>
        </w:tc>
        <w:tc>
          <w:tcPr>
            <w:tcW w:w="933" w:type="dxa"/>
          </w:tcPr>
          <w:p w14:paraId="367D63C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IDegAsp </w:t>
            </w:r>
          </w:p>
        </w:tc>
        <w:tc>
          <w:tcPr>
            <w:tcW w:w="990" w:type="dxa"/>
          </w:tcPr>
          <w:p w14:paraId="03695210"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BIAsp 30</w:t>
            </w:r>
          </w:p>
        </w:tc>
      </w:tr>
      <w:tr w:rsidR="00254EAE" w:rsidRPr="00A21900" w14:paraId="25216D78" w14:textId="77777777" w:rsidTr="00254EAE">
        <w:trPr>
          <w:trHeight w:val="238"/>
        </w:trPr>
        <w:tc>
          <w:tcPr>
            <w:cnfStyle w:val="001000000000" w:firstRow="0" w:lastRow="0" w:firstColumn="1" w:lastColumn="0" w:oddVBand="0" w:evenVBand="0" w:oddHBand="0" w:evenHBand="0" w:firstRowFirstColumn="0" w:firstRowLastColumn="0" w:lastRowFirstColumn="0" w:lastRowLastColumn="0"/>
            <w:tcW w:w="1404" w:type="dxa"/>
            <w:vMerge/>
          </w:tcPr>
          <w:p w14:paraId="4BF82EDF" w14:textId="77777777" w:rsidR="00607F38" w:rsidRPr="00A21900" w:rsidRDefault="00607F38" w:rsidP="005C3B74">
            <w:pPr>
              <w:ind w:left="0" w:right="0"/>
              <w:rPr>
                <w:sz w:val="18"/>
                <w:szCs w:val="22"/>
                <w:lang w:eastAsia="ja-JP"/>
              </w:rPr>
            </w:pPr>
          </w:p>
        </w:tc>
        <w:tc>
          <w:tcPr>
            <w:tcW w:w="936" w:type="dxa"/>
          </w:tcPr>
          <w:p w14:paraId="0B2AFFF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-0.75</w:t>
            </w:r>
          </w:p>
        </w:tc>
        <w:tc>
          <w:tcPr>
            <w:tcW w:w="624" w:type="dxa"/>
          </w:tcPr>
          <w:p w14:paraId="0BA9C614"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-0.70</w:t>
            </w:r>
          </w:p>
        </w:tc>
        <w:tc>
          <w:tcPr>
            <w:tcW w:w="906" w:type="dxa"/>
          </w:tcPr>
          <w:p w14:paraId="0B20949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-1.72</w:t>
            </w:r>
          </w:p>
        </w:tc>
        <w:tc>
          <w:tcPr>
            <w:tcW w:w="630" w:type="dxa"/>
          </w:tcPr>
          <w:p w14:paraId="7BF1BFA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-1.75</w:t>
            </w:r>
          </w:p>
        </w:tc>
        <w:tc>
          <w:tcPr>
            <w:tcW w:w="873" w:type="dxa"/>
          </w:tcPr>
          <w:p w14:paraId="045205C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-0.98</w:t>
            </w:r>
          </w:p>
        </w:tc>
        <w:tc>
          <w:tcPr>
            <w:tcW w:w="837" w:type="dxa"/>
          </w:tcPr>
          <w:p w14:paraId="59B40E89"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-1.00</w:t>
            </w:r>
          </w:p>
        </w:tc>
        <w:tc>
          <w:tcPr>
            <w:tcW w:w="900" w:type="dxa"/>
          </w:tcPr>
          <w:p w14:paraId="6B9E91E8"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- 1.31</w:t>
            </w:r>
          </w:p>
        </w:tc>
        <w:tc>
          <w:tcPr>
            <w:tcW w:w="957" w:type="dxa"/>
            <w:gridSpan w:val="2"/>
          </w:tcPr>
          <w:p w14:paraId="3D505FF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- 1.29</w:t>
            </w:r>
          </w:p>
        </w:tc>
        <w:tc>
          <w:tcPr>
            <w:tcW w:w="933" w:type="dxa"/>
          </w:tcPr>
          <w:p w14:paraId="4F7DD20E"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-1.39</w:t>
            </w:r>
          </w:p>
        </w:tc>
        <w:tc>
          <w:tcPr>
            <w:tcW w:w="990" w:type="dxa"/>
          </w:tcPr>
          <w:p w14:paraId="28F048B1"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-1.44</w:t>
            </w:r>
          </w:p>
        </w:tc>
      </w:tr>
      <w:tr w:rsidR="00D548E5" w:rsidRPr="00A21900" w14:paraId="51F18907" w14:textId="77777777" w:rsidTr="00D548E5">
        <w:trPr>
          <w:trHeight w:val="3940"/>
        </w:trPr>
        <w:tc>
          <w:tcPr>
            <w:cnfStyle w:val="001000000000" w:firstRow="0" w:lastRow="0" w:firstColumn="1" w:lastColumn="0" w:oddVBand="0" w:evenVBand="0" w:oddHBand="0" w:evenHBand="0" w:firstRowFirstColumn="0" w:firstRowLastColumn="0" w:lastRowFirstColumn="0" w:lastRowLastColumn="0"/>
            <w:tcW w:w="1404" w:type="dxa"/>
            <w:vMerge/>
          </w:tcPr>
          <w:p w14:paraId="0E714CCB" w14:textId="77777777" w:rsidR="00607F38" w:rsidRPr="00A21900" w:rsidRDefault="00607F38" w:rsidP="005C3B74">
            <w:pPr>
              <w:ind w:left="0" w:right="0"/>
              <w:rPr>
                <w:sz w:val="18"/>
                <w:szCs w:val="22"/>
                <w:lang w:eastAsia="ja-JP"/>
              </w:rPr>
            </w:pPr>
          </w:p>
        </w:tc>
        <w:tc>
          <w:tcPr>
            <w:tcW w:w="1560" w:type="dxa"/>
            <w:gridSpan w:val="2"/>
          </w:tcPr>
          <w:p w14:paraId="2B9BC411" w14:textId="0F79BB20"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Mean treatment difference (</w:t>
            </w:r>
            <w:r w:rsidR="00254EAE">
              <w:rPr>
                <w:sz w:val="18"/>
                <w:szCs w:val="22"/>
                <w:lang w:eastAsia="ja-JP"/>
              </w:rPr>
              <w:t>IDegAsp – IDet) = -0.05 (95% CI: </w:t>
            </w:r>
            <w:r w:rsidRPr="00A21900">
              <w:rPr>
                <w:sz w:val="18"/>
                <w:szCs w:val="22"/>
                <w:lang w:eastAsia="ja-JP"/>
              </w:rPr>
              <w:t>-0.18, 0.08)</w:t>
            </w:r>
          </w:p>
          <w:p w14:paraId="2D4F70BA" w14:textId="22CBD285"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Non-inferiority confirmed.</w:t>
            </w:r>
            <w:r w:rsidR="00D548E5">
              <w:rPr>
                <w:sz w:val="18"/>
                <w:szCs w:val="22"/>
                <w:lang w:eastAsia="ja-JP"/>
              </w:rPr>
              <w:t xml:space="preserve"> </w:t>
            </w:r>
            <w:r w:rsidRPr="00A21900">
              <w:rPr>
                <w:sz w:val="18"/>
                <w:szCs w:val="22"/>
                <w:lang w:eastAsia="ja-JP"/>
              </w:rPr>
              <w:t xml:space="preserve">Reduction in HbA1c maintained after 52 weeks </w:t>
            </w:r>
          </w:p>
        </w:tc>
        <w:tc>
          <w:tcPr>
            <w:tcW w:w="1536" w:type="dxa"/>
            <w:gridSpan w:val="2"/>
          </w:tcPr>
          <w:p w14:paraId="5BA463A3" w14:textId="07357ABC"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Mean treatment difference (</w:t>
            </w:r>
            <w:r w:rsidR="00254EAE">
              <w:rPr>
                <w:sz w:val="18"/>
                <w:szCs w:val="22"/>
                <w:lang w:eastAsia="ja-JP"/>
              </w:rPr>
              <w:t xml:space="preserve">IDegAsp – IGlar) = 0.03 (95% CI: </w:t>
            </w:r>
            <w:r w:rsidRPr="00A21900">
              <w:rPr>
                <w:sz w:val="18"/>
                <w:szCs w:val="22"/>
                <w:lang w:eastAsia="ja-JP"/>
              </w:rPr>
              <w:t>-0.14, 0.20)</w:t>
            </w:r>
          </w:p>
          <w:p w14:paraId="4C8F5CC6"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Non-inferiority confirmed</w:t>
            </w:r>
          </w:p>
        </w:tc>
        <w:tc>
          <w:tcPr>
            <w:tcW w:w="1710" w:type="dxa"/>
            <w:gridSpan w:val="2"/>
          </w:tcPr>
          <w:p w14:paraId="32E6FBBC" w14:textId="7E667584"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Mean treatme</w:t>
            </w:r>
            <w:r w:rsidR="00254EAE">
              <w:rPr>
                <w:sz w:val="18"/>
                <w:szCs w:val="22"/>
                <w:lang w:eastAsia="ja-JP"/>
              </w:rPr>
              <w:t>nt difference (IDegAsp – IGlar) = </w:t>
            </w:r>
            <w:r w:rsidRPr="00A21900">
              <w:rPr>
                <w:sz w:val="18"/>
                <w:szCs w:val="22"/>
                <w:lang w:eastAsia="ja-JP"/>
              </w:rPr>
              <w:t>-0.03% (95% CI: -0.20, 0.14)</w:t>
            </w:r>
            <w:r w:rsidR="00254EAE">
              <w:rPr>
                <w:sz w:val="18"/>
                <w:szCs w:val="22"/>
                <w:lang w:eastAsia="ja-JP"/>
              </w:rPr>
              <w:t>.</w:t>
            </w:r>
          </w:p>
          <w:p w14:paraId="62543309"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Non-inferiority confirmed</w:t>
            </w:r>
          </w:p>
        </w:tc>
        <w:tc>
          <w:tcPr>
            <w:tcW w:w="1857" w:type="dxa"/>
            <w:gridSpan w:val="3"/>
          </w:tcPr>
          <w:p w14:paraId="1486C602" w14:textId="77777777" w:rsidR="00254EAE"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Mean treatment difference (IDegAsp – BIAsp) = -0.03 % (95% CI: -0.18, 0.13)</w:t>
            </w:r>
            <w:r w:rsidR="00254EAE">
              <w:rPr>
                <w:sz w:val="18"/>
                <w:szCs w:val="22"/>
                <w:lang w:eastAsia="ja-JP"/>
              </w:rPr>
              <w:t>.</w:t>
            </w:r>
          </w:p>
          <w:p w14:paraId="7996876A" w14:textId="4C0C7239"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Non-inferiority confirmed</w:t>
            </w:r>
          </w:p>
        </w:tc>
        <w:tc>
          <w:tcPr>
            <w:tcW w:w="1923" w:type="dxa"/>
            <w:gridSpan w:val="2"/>
          </w:tcPr>
          <w:p w14:paraId="1ED5D79C"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Mean treatment difference (IDegAsp– BIAsp) = 0.05% (95% CI: -0.10, 0.20)</w:t>
            </w:r>
          </w:p>
          <w:p w14:paraId="0CBD36F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Non-inferiority confirmed</w:t>
            </w:r>
          </w:p>
        </w:tc>
      </w:tr>
      <w:tr w:rsidR="00607F38" w:rsidRPr="00A21900" w14:paraId="3F6BBC02" w14:textId="77777777" w:rsidTr="00254EAE">
        <w:trPr>
          <w:trHeight w:val="942"/>
        </w:trPr>
        <w:tc>
          <w:tcPr>
            <w:cnfStyle w:val="001000000000" w:firstRow="0" w:lastRow="0" w:firstColumn="1" w:lastColumn="0" w:oddVBand="0" w:evenVBand="0" w:oddHBand="0" w:evenHBand="0" w:firstRowFirstColumn="0" w:firstRowLastColumn="0" w:lastRowFirstColumn="0" w:lastRowLastColumn="0"/>
            <w:tcW w:w="1404" w:type="dxa"/>
            <w:vMerge w:val="restart"/>
          </w:tcPr>
          <w:p w14:paraId="5E076C6E" w14:textId="3BB740D7" w:rsidR="00607F38" w:rsidRPr="00A21900" w:rsidRDefault="00607F38" w:rsidP="005C3B74">
            <w:pPr>
              <w:ind w:left="0" w:right="0"/>
              <w:rPr>
                <w:sz w:val="18"/>
                <w:szCs w:val="22"/>
                <w:lang w:eastAsia="ja-JP"/>
              </w:rPr>
            </w:pPr>
            <w:r w:rsidRPr="00A21900">
              <w:rPr>
                <w:sz w:val="18"/>
                <w:szCs w:val="22"/>
                <w:lang w:eastAsia="ja-JP"/>
              </w:rPr>
              <w:t>Secondary efficacy endpoint</w:t>
            </w:r>
          </w:p>
        </w:tc>
        <w:tc>
          <w:tcPr>
            <w:tcW w:w="1560" w:type="dxa"/>
            <w:gridSpan w:val="2"/>
          </w:tcPr>
          <w:p w14:paraId="5DD79518"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Mean change from baseline in FPG after 26 weeks of treatment (mmol/L)</w:t>
            </w:r>
          </w:p>
        </w:tc>
        <w:tc>
          <w:tcPr>
            <w:tcW w:w="1536" w:type="dxa"/>
            <w:gridSpan w:val="2"/>
          </w:tcPr>
          <w:p w14:paraId="327FB17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Mean change from baseline in FPG after 26 weeks of treatment (mmol/L)</w:t>
            </w:r>
          </w:p>
        </w:tc>
        <w:tc>
          <w:tcPr>
            <w:tcW w:w="1710" w:type="dxa"/>
            <w:gridSpan w:val="2"/>
          </w:tcPr>
          <w:p w14:paraId="67C7930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Mean change from baseline in FPG after 26 weeks of treatment (mmol/L)</w:t>
            </w:r>
          </w:p>
        </w:tc>
        <w:tc>
          <w:tcPr>
            <w:tcW w:w="1857" w:type="dxa"/>
            <w:gridSpan w:val="3"/>
          </w:tcPr>
          <w:p w14:paraId="6E600586"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Mean change from baseline in FPG after 26 weeks of treatment (mmol/L)</w:t>
            </w:r>
          </w:p>
          <w:p w14:paraId="74C0D64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p>
        </w:tc>
        <w:tc>
          <w:tcPr>
            <w:tcW w:w="1923" w:type="dxa"/>
            <w:gridSpan w:val="2"/>
          </w:tcPr>
          <w:p w14:paraId="24E9FBC0"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Mean change from baseline in FPG after 26 weeks of treatment (mmol/L)</w:t>
            </w:r>
          </w:p>
        </w:tc>
      </w:tr>
      <w:tr w:rsidR="00254EAE" w:rsidRPr="00A21900" w14:paraId="2EB87FEB" w14:textId="77777777" w:rsidTr="00254EAE">
        <w:trPr>
          <w:trHeight w:val="571"/>
        </w:trPr>
        <w:tc>
          <w:tcPr>
            <w:cnfStyle w:val="001000000000" w:firstRow="0" w:lastRow="0" w:firstColumn="1" w:lastColumn="0" w:oddVBand="0" w:evenVBand="0" w:oddHBand="0" w:evenHBand="0" w:firstRowFirstColumn="0" w:firstRowLastColumn="0" w:lastRowFirstColumn="0" w:lastRowLastColumn="0"/>
            <w:tcW w:w="1404" w:type="dxa"/>
            <w:vMerge/>
          </w:tcPr>
          <w:p w14:paraId="2318689A" w14:textId="77777777" w:rsidR="00607F38" w:rsidRPr="00A21900" w:rsidRDefault="00607F38" w:rsidP="005C3B74">
            <w:pPr>
              <w:ind w:left="0" w:right="0"/>
              <w:rPr>
                <w:sz w:val="18"/>
                <w:szCs w:val="22"/>
                <w:lang w:eastAsia="ja-JP"/>
              </w:rPr>
            </w:pPr>
          </w:p>
        </w:tc>
        <w:tc>
          <w:tcPr>
            <w:tcW w:w="936" w:type="dxa"/>
          </w:tcPr>
          <w:p w14:paraId="7A71A78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624" w:type="dxa"/>
          </w:tcPr>
          <w:p w14:paraId="75358A4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IDet</w:t>
            </w:r>
          </w:p>
        </w:tc>
        <w:tc>
          <w:tcPr>
            <w:tcW w:w="906" w:type="dxa"/>
          </w:tcPr>
          <w:p w14:paraId="2206157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630" w:type="dxa"/>
          </w:tcPr>
          <w:p w14:paraId="5E724A1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IGlar</w:t>
            </w:r>
          </w:p>
        </w:tc>
        <w:tc>
          <w:tcPr>
            <w:tcW w:w="873" w:type="dxa"/>
          </w:tcPr>
          <w:p w14:paraId="61909E8E"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IDegAsp </w:t>
            </w:r>
          </w:p>
          <w:p w14:paraId="041F9DC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p>
        </w:tc>
        <w:tc>
          <w:tcPr>
            <w:tcW w:w="837" w:type="dxa"/>
          </w:tcPr>
          <w:p w14:paraId="4BF3CBB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IGlar</w:t>
            </w:r>
          </w:p>
        </w:tc>
        <w:tc>
          <w:tcPr>
            <w:tcW w:w="900" w:type="dxa"/>
          </w:tcPr>
          <w:p w14:paraId="62DB9DDF"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IDegAsp </w:t>
            </w:r>
          </w:p>
        </w:tc>
        <w:tc>
          <w:tcPr>
            <w:tcW w:w="957" w:type="dxa"/>
            <w:gridSpan w:val="2"/>
          </w:tcPr>
          <w:p w14:paraId="1E446528"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BIAsp 30</w:t>
            </w:r>
          </w:p>
        </w:tc>
        <w:tc>
          <w:tcPr>
            <w:tcW w:w="933" w:type="dxa"/>
          </w:tcPr>
          <w:p w14:paraId="40E96DA6"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IDegAsp </w:t>
            </w:r>
          </w:p>
        </w:tc>
        <w:tc>
          <w:tcPr>
            <w:tcW w:w="990" w:type="dxa"/>
          </w:tcPr>
          <w:p w14:paraId="56204308"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BIAsp 30</w:t>
            </w:r>
          </w:p>
        </w:tc>
      </w:tr>
      <w:tr w:rsidR="00254EAE" w:rsidRPr="00A21900" w14:paraId="6F22F66D" w14:textId="77777777" w:rsidTr="00254EAE">
        <w:trPr>
          <w:trHeight w:val="293"/>
        </w:trPr>
        <w:tc>
          <w:tcPr>
            <w:cnfStyle w:val="001000000000" w:firstRow="0" w:lastRow="0" w:firstColumn="1" w:lastColumn="0" w:oddVBand="0" w:evenVBand="0" w:oddHBand="0" w:evenHBand="0" w:firstRowFirstColumn="0" w:firstRowLastColumn="0" w:lastRowFirstColumn="0" w:lastRowLastColumn="0"/>
            <w:tcW w:w="1404" w:type="dxa"/>
            <w:vMerge/>
          </w:tcPr>
          <w:p w14:paraId="7710376E" w14:textId="77777777" w:rsidR="00607F38" w:rsidRPr="00A21900" w:rsidRDefault="00607F38" w:rsidP="005C3B74">
            <w:pPr>
              <w:ind w:left="0" w:right="0"/>
              <w:rPr>
                <w:sz w:val="18"/>
                <w:szCs w:val="22"/>
                <w:lang w:eastAsia="ja-JP"/>
              </w:rPr>
            </w:pPr>
          </w:p>
        </w:tc>
        <w:tc>
          <w:tcPr>
            <w:tcW w:w="936" w:type="dxa"/>
          </w:tcPr>
          <w:p w14:paraId="442B67BA"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-1.65</w:t>
            </w:r>
          </w:p>
        </w:tc>
        <w:tc>
          <w:tcPr>
            <w:tcW w:w="624" w:type="dxa"/>
          </w:tcPr>
          <w:p w14:paraId="503732A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-1.88</w:t>
            </w:r>
          </w:p>
        </w:tc>
        <w:tc>
          <w:tcPr>
            <w:tcW w:w="906" w:type="dxa"/>
          </w:tcPr>
          <w:p w14:paraId="709EC93E"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-3.5</w:t>
            </w:r>
          </w:p>
        </w:tc>
        <w:tc>
          <w:tcPr>
            <w:tcW w:w="630" w:type="dxa"/>
          </w:tcPr>
          <w:p w14:paraId="169B3F8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-4.02</w:t>
            </w:r>
          </w:p>
        </w:tc>
        <w:tc>
          <w:tcPr>
            <w:tcW w:w="873" w:type="dxa"/>
          </w:tcPr>
          <w:p w14:paraId="5CE18040"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-1.60</w:t>
            </w:r>
          </w:p>
        </w:tc>
        <w:tc>
          <w:tcPr>
            <w:tcW w:w="837" w:type="dxa"/>
          </w:tcPr>
          <w:p w14:paraId="5201FF66"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-1.93</w:t>
            </w:r>
          </w:p>
        </w:tc>
        <w:tc>
          <w:tcPr>
            <w:tcW w:w="900" w:type="dxa"/>
          </w:tcPr>
          <w:p w14:paraId="31AFD854"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-2.80</w:t>
            </w:r>
          </w:p>
        </w:tc>
        <w:tc>
          <w:tcPr>
            <w:tcW w:w="957" w:type="dxa"/>
            <w:gridSpan w:val="2"/>
          </w:tcPr>
          <w:p w14:paraId="420AD40D"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-1.65</w:t>
            </w:r>
          </w:p>
        </w:tc>
        <w:tc>
          <w:tcPr>
            <w:tcW w:w="933" w:type="dxa"/>
          </w:tcPr>
          <w:p w14:paraId="3475BFC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-2.51</w:t>
            </w:r>
          </w:p>
        </w:tc>
        <w:tc>
          <w:tcPr>
            <w:tcW w:w="990" w:type="dxa"/>
          </w:tcPr>
          <w:p w14:paraId="244B12F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-1.45</w:t>
            </w:r>
          </w:p>
        </w:tc>
      </w:tr>
      <w:tr w:rsidR="00607F38" w:rsidRPr="00A21900" w14:paraId="20135E9E" w14:textId="77777777" w:rsidTr="00254EAE">
        <w:trPr>
          <w:trHeight w:val="615"/>
        </w:trPr>
        <w:tc>
          <w:tcPr>
            <w:cnfStyle w:val="001000000000" w:firstRow="0" w:lastRow="0" w:firstColumn="1" w:lastColumn="0" w:oddVBand="0" w:evenVBand="0" w:oddHBand="0" w:evenHBand="0" w:firstRowFirstColumn="0" w:firstRowLastColumn="0" w:lastRowFirstColumn="0" w:lastRowLastColumn="0"/>
            <w:tcW w:w="1404" w:type="dxa"/>
            <w:vMerge/>
          </w:tcPr>
          <w:p w14:paraId="2B54A0FF" w14:textId="77777777" w:rsidR="00607F38" w:rsidRPr="00A21900" w:rsidRDefault="00607F38" w:rsidP="005C3B74">
            <w:pPr>
              <w:ind w:left="0" w:right="0"/>
              <w:rPr>
                <w:sz w:val="18"/>
                <w:szCs w:val="22"/>
                <w:lang w:eastAsia="ja-JP"/>
              </w:rPr>
            </w:pPr>
          </w:p>
        </w:tc>
        <w:tc>
          <w:tcPr>
            <w:tcW w:w="1560" w:type="dxa"/>
            <w:gridSpan w:val="2"/>
          </w:tcPr>
          <w:p w14:paraId="68B1119A"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mean treatment difference (IDegAsp– IDet) = 0.23 mmol/L (95% CI: -0.46, 0.91)</w:t>
            </w:r>
          </w:p>
        </w:tc>
        <w:tc>
          <w:tcPr>
            <w:tcW w:w="1536" w:type="dxa"/>
            <w:gridSpan w:val="2"/>
          </w:tcPr>
          <w:p w14:paraId="6BFD3F46"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Mean treatment difference (IDegAsp– IGlar) = 0.51 mmol/L (95% CI: 0.09, 0.93)</w:t>
            </w:r>
          </w:p>
        </w:tc>
        <w:tc>
          <w:tcPr>
            <w:tcW w:w="1710" w:type="dxa"/>
            <w:gridSpan w:val="2"/>
          </w:tcPr>
          <w:p w14:paraId="6D7143B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Mean treatment difference (IDegAsp– IGlar) = 0.33 mmol/L (95% CI: -0.11, 0.77)</w:t>
            </w:r>
          </w:p>
        </w:tc>
        <w:tc>
          <w:tcPr>
            <w:tcW w:w="1857" w:type="dxa"/>
            <w:gridSpan w:val="3"/>
          </w:tcPr>
          <w:p w14:paraId="2D3F6A8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Estimated treatment difference (IDegAsp - BIAsp) = -1.14 (95% CI: -1.53, -0.76) </w:t>
            </w:r>
          </w:p>
          <w:p w14:paraId="74E63C3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p>
        </w:tc>
        <w:tc>
          <w:tcPr>
            <w:tcW w:w="1923" w:type="dxa"/>
            <w:gridSpan w:val="2"/>
          </w:tcPr>
          <w:p w14:paraId="3FA10A4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treatment difference (IDegAsp - BIAsp) = -1.06 (95% CI: -1.43, -0.70)</w:t>
            </w:r>
          </w:p>
        </w:tc>
      </w:tr>
      <w:tr w:rsidR="00607F38" w:rsidRPr="00A21900" w14:paraId="055E5EDD" w14:textId="77777777" w:rsidTr="00254EAE">
        <w:trPr>
          <w:trHeight w:val="704"/>
        </w:trPr>
        <w:tc>
          <w:tcPr>
            <w:cnfStyle w:val="001000000000" w:firstRow="0" w:lastRow="0" w:firstColumn="1" w:lastColumn="0" w:oddVBand="0" w:evenVBand="0" w:oddHBand="0" w:evenHBand="0" w:firstRowFirstColumn="0" w:firstRowLastColumn="0" w:lastRowFirstColumn="0" w:lastRowLastColumn="0"/>
            <w:tcW w:w="1404" w:type="dxa"/>
            <w:vMerge w:val="restart"/>
          </w:tcPr>
          <w:p w14:paraId="2221A8AB" w14:textId="77777777" w:rsidR="00607F38" w:rsidRPr="00A21900" w:rsidRDefault="00607F38" w:rsidP="005C3B74">
            <w:pPr>
              <w:ind w:left="0" w:right="0"/>
              <w:rPr>
                <w:sz w:val="18"/>
                <w:szCs w:val="22"/>
                <w:lang w:eastAsia="ja-JP"/>
              </w:rPr>
            </w:pPr>
            <w:r w:rsidRPr="00A21900">
              <w:rPr>
                <w:sz w:val="18"/>
                <w:szCs w:val="22"/>
                <w:lang w:eastAsia="ja-JP"/>
              </w:rPr>
              <w:t>Secondary efficacy endpoint</w:t>
            </w:r>
          </w:p>
          <w:p w14:paraId="005076BA" w14:textId="77777777" w:rsidR="00607F38" w:rsidRPr="00A21900" w:rsidRDefault="00607F38" w:rsidP="005C3B74">
            <w:pPr>
              <w:ind w:left="0" w:right="0"/>
              <w:rPr>
                <w:sz w:val="18"/>
                <w:szCs w:val="22"/>
                <w:lang w:eastAsia="ja-JP"/>
              </w:rPr>
            </w:pPr>
          </w:p>
        </w:tc>
        <w:tc>
          <w:tcPr>
            <w:tcW w:w="1560" w:type="dxa"/>
            <w:gridSpan w:val="2"/>
          </w:tcPr>
          <w:p w14:paraId="29E75F71"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Proportion of subjects with HbA1c &lt; 7.0% without confirmed hypoglycaemic episodes (%)</w:t>
            </w:r>
          </w:p>
        </w:tc>
        <w:tc>
          <w:tcPr>
            <w:tcW w:w="1536" w:type="dxa"/>
            <w:gridSpan w:val="2"/>
          </w:tcPr>
          <w:p w14:paraId="2C45296D"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Proportion of subjects with HbA1c &lt; 7.0% without confirmed hypoglycaemic episodes (%)</w:t>
            </w:r>
          </w:p>
        </w:tc>
        <w:tc>
          <w:tcPr>
            <w:tcW w:w="1710" w:type="dxa"/>
            <w:gridSpan w:val="2"/>
          </w:tcPr>
          <w:p w14:paraId="74530560"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Proportion of subjects with HbA1c &lt; 7.0% without confirmed hypoglycaemic episodes (%)</w:t>
            </w:r>
          </w:p>
        </w:tc>
        <w:tc>
          <w:tcPr>
            <w:tcW w:w="1857" w:type="dxa"/>
            <w:gridSpan w:val="3"/>
          </w:tcPr>
          <w:p w14:paraId="3002185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Proportion of subjects with HbA1c &lt; 7.0% without confirmed hypoglycaemic episodes (%)</w:t>
            </w:r>
          </w:p>
        </w:tc>
        <w:tc>
          <w:tcPr>
            <w:tcW w:w="1923" w:type="dxa"/>
            <w:gridSpan w:val="2"/>
          </w:tcPr>
          <w:p w14:paraId="5B6D24DD"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Proportion of subjects with HbA1c &lt; 7.0% without confirmed hypoglycaemic episodes (%)</w:t>
            </w:r>
          </w:p>
          <w:p w14:paraId="052C08E8"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p>
        </w:tc>
      </w:tr>
      <w:tr w:rsidR="00254EAE" w:rsidRPr="00A21900" w14:paraId="492C0E6C" w14:textId="77777777" w:rsidTr="00254EAE">
        <w:trPr>
          <w:trHeight w:val="701"/>
        </w:trPr>
        <w:tc>
          <w:tcPr>
            <w:cnfStyle w:val="001000000000" w:firstRow="0" w:lastRow="0" w:firstColumn="1" w:lastColumn="0" w:oddVBand="0" w:evenVBand="0" w:oddHBand="0" w:evenHBand="0" w:firstRowFirstColumn="0" w:firstRowLastColumn="0" w:lastRowFirstColumn="0" w:lastRowLastColumn="0"/>
            <w:tcW w:w="1404" w:type="dxa"/>
            <w:vMerge/>
          </w:tcPr>
          <w:p w14:paraId="1069E8B4" w14:textId="77777777" w:rsidR="00607F38" w:rsidRPr="00A21900" w:rsidRDefault="00607F38" w:rsidP="005C3B74">
            <w:pPr>
              <w:ind w:left="0" w:right="0"/>
              <w:rPr>
                <w:sz w:val="18"/>
                <w:szCs w:val="22"/>
                <w:lang w:eastAsia="ja-JP"/>
              </w:rPr>
            </w:pPr>
          </w:p>
        </w:tc>
        <w:tc>
          <w:tcPr>
            <w:tcW w:w="936" w:type="dxa"/>
          </w:tcPr>
          <w:p w14:paraId="4A10FF8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624" w:type="dxa"/>
          </w:tcPr>
          <w:p w14:paraId="0926E7F6"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IDet</w:t>
            </w:r>
          </w:p>
        </w:tc>
        <w:tc>
          <w:tcPr>
            <w:tcW w:w="906" w:type="dxa"/>
          </w:tcPr>
          <w:p w14:paraId="349D71A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p w14:paraId="171DF0B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p>
        </w:tc>
        <w:tc>
          <w:tcPr>
            <w:tcW w:w="630" w:type="dxa"/>
          </w:tcPr>
          <w:p w14:paraId="72A90056"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sz w:val="18"/>
                <w:szCs w:val="22"/>
                <w:lang w:eastAsia="ja-JP"/>
              </w:rPr>
              <w:t>IGlar</w:t>
            </w:r>
          </w:p>
        </w:tc>
        <w:tc>
          <w:tcPr>
            <w:tcW w:w="873" w:type="dxa"/>
          </w:tcPr>
          <w:p w14:paraId="587ECB3E"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p w14:paraId="1347E7DC"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p>
        </w:tc>
        <w:tc>
          <w:tcPr>
            <w:tcW w:w="837" w:type="dxa"/>
          </w:tcPr>
          <w:p w14:paraId="4896B0B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IGlar</w:t>
            </w:r>
          </w:p>
        </w:tc>
        <w:tc>
          <w:tcPr>
            <w:tcW w:w="1006" w:type="dxa"/>
            <w:gridSpan w:val="2"/>
          </w:tcPr>
          <w:p w14:paraId="58058B5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p w14:paraId="67BF209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p>
        </w:tc>
        <w:tc>
          <w:tcPr>
            <w:tcW w:w="851" w:type="dxa"/>
          </w:tcPr>
          <w:p w14:paraId="2A51D2C4"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BIAsp 30</w:t>
            </w:r>
          </w:p>
        </w:tc>
        <w:tc>
          <w:tcPr>
            <w:tcW w:w="933" w:type="dxa"/>
          </w:tcPr>
          <w:p w14:paraId="200F6C7E"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990" w:type="dxa"/>
          </w:tcPr>
          <w:p w14:paraId="0AC1D599"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BIAsp 30</w:t>
            </w:r>
          </w:p>
        </w:tc>
      </w:tr>
      <w:tr w:rsidR="00254EAE" w:rsidRPr="00A21900" w14:paraId="379AFE20" w14:textId="77777777" w:rsidTr="00254EAE">
        <w:trPr>
          <w:trHeight w:val="316"/>
        </w:trPr>
        <w:tc>
          <w:tcPr>
            <w:cnfStyle w:val="001000000000" w:firstRow="0" w:lastRow="0" w:firstColumn="1" w:lastColumn="0" w:oddVBand="0" w:evenVBand="0" w:oddHBand="0" w:evenHBand="0" w:firstRowFirstColumn="0" w:firstRowLastColumn="0" w:lastRowFirstColumn="0" w:lastRowLastColumn="0"/>
            <w:tcW w:w="1404" w:type="dxa"/>
            <w:vMerge/>
          </w:tcPr>
          <w:p w14:paraId="3A3215C8" w14:textId="77777777" w:rsidR="00607F38" w:rsidRPr="00A21900" w:rsidRDefault="00607F38" w:rsidP="005C3B74">
            <w:pPr>
              <w:ind w:left="0" w:right="0"/>
              <w:rPr>
                <w:sz w:val="18"/>
                <w:szCs w:val="22"/>
                <w:lang w:eastAsia="ja-JP"/>
              </w:rPr>
            </w:pPr>
          </w:p>
        </w:tc>
        <w:tc>
          <w:tcPr>
            <w:tcW w:w="936" w:type="dxa"/>
          </w:tcPr>
          <w:p w14:paraId="2E7A7D9D"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4.5</w:t>
            </w:r>
          </w:p>
        </w:tc>
        <w:tc>
          <w:tcPr>
            <w:tcW w:w="624" w:type="dxa"/>
          </w:tcPr>
          <w:p w14:paraId="2C31AF5A"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3.0</w:t>
            </w:r>
          </w:p>
        </w:tc>
        <w:tc>
          <w:tcPr>
            <w:tcW w:w="906" w:type="dxa"/>
          </w:tcPr>
          <w:p w14:paraId="0920D5D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sz w:val="18"/>
                <w:szCs w:val="22"/>
                <w:lang w:eastAsia="ja-JP"/>
              </w:rPr>
              <w:t>23.6</w:t>
            </w:r>
          </w:p>
        </w:tc>
        <w:tc>
          <w:tcPr>
            <w:tcW w:w="630" w:type="dxa"/>
          </w:tcPr>
          <w:p w14:paraId="4BB80074"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sz w:val="18"/>
                <w:szCs w:val="22"/>
                <w:lang w:eastAsia="ja-JP"/>
              </w:rPr>
              <w:t>30.7</w:t>
            </w:r>
          </w:p>
        </w:tc>
        <w:tc>
          <w:tcPr>
            <w:tcW w:w="873" w:type="dxa"/>
          </w:tcPr>
          <w:p w14:paraId="6CF6453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20.9</w:t>
            </w:r>
          </w:p>
        </w:tc>
        <w:tc>
          <w:tcPr>
            <w:tcW w:w="837" w:type="dxa"/>
          </w:tcPr>
          <w:p w14:paraId="3EC96DF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23.5</w:t>
            </w:r>
          </w:p>
        </w:tc>
        <w:tc>
          <w:tcPr>
            <w:tcW w:w="1006" w:type="dxa"/>
            <w:gridSpan w:val="2"/>
          </w:tcPr>
          <w:p w14:paraId="508BD49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21.8</w:t>
            </w:r>
          </w:p>
        </w:tc>
        <w:tc>
          <w:tcPr>
            <w:tcW w:w="851" w:type="dxa"/>
          </w:tcPr>
          <w:p w14:paraId="1F66E851"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14.9</w:t>
            </w:r>
          </w:p>
        </w:tc>
        <w:tc>
          <w:tcPr>
            <w:tcW w:w="933" w:type="dxa"/>
          </w:tcPr>
          <w:p w14:paraId="49EB27E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21.9</w:t>
            </w:r>
          </w:p>
        </w:tc>
        <w:tc>
          <w:tcPr>
            <w:tcW w:w="990" w:type="dxa"/>
          </w:tcPr>
          <w:p w14:paraId="5D66461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13.2</w:t>
            </w:r>
          </w:p>
        </w:tc>
      </w:tr>
      <w:tr w:rsidR="00607F38" w:rsidRPr="00A21900" w14:paraId="1F7A6C85" w14:textId="77777777" w:rsidTr="00254EAE">
        <w:trPr>
          <w:trHeight w:val="316"/>
        </w:trPr>
        <w:tc>
          <w:tcPr>
            <w:cnfStyle w:val="001000000000" w:firstRow="0" w:lastRow="0" w:firstColumn="1" w:lastColumn="0" w:oddVBand="0" w:evenVBand="0" w:oddHBand="0" w:evenHBand="0" w:firstRowFirstColumn="0" w:firstRowLastColumn="0" w:lastRowFirstColumn="0" w:lastRowLastColumn="0"/>
            <w:tcW w:w="1404" w:type="dxa"/>
            <w:vMerge/>
          </w:tcPr>
          <w:p w14:paraId="5013E671" w14:textId="77777777" w:rsidR="00607F38" w:rsidRPr="00A21900" w:rsidRDefault="00607F38" w:rsidP="005C3B74">
            <w:pPr>
              <w:ind w:left="0" w:right="0"/>
              <w:rPr>
                <w:sz w:val="18"/>
                <w:szCs w:val="22"/>
                <w:lang w:eastAsia="ja-JP"/>
              </w:rPr>
            </w:pPr>
          </w:p>
        </w:tc>
        <w:tc>
          <w:tcPr>
            <w:tcW w:w="1560" w:type="dxa"/>
            <w:gridSpan w:val="2"/>
          </w:tcPr>
          <w:p w14:paraId="267C6E9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odds ratio (IDegAsp/IDet) = 1.53 (95% CI: 0.54, 4.38)</w:t>
            </w:r>
          </w:p>
        </w:tc>
        <w:tc>
          <w:tcPr>
            <w:tcW w:w="1536" w:type="dxa"/>
            <w:gridSpan w:val="2"/>
          </w:tcPr>
          <w:p w14:paraId="0EAA91A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odds ratio (IDegAsp/IGlar) = 0.61 (95% CI: 0.40,0.94)</w:t>
            </w:r>
          </w:p>
        </w:tc>
        <w:tc>
          <w:tcPr>
            <w:tcW w:w="1710" w:type="dxa"/>
            <w:gridSpan w:val="2"/>
          </w:tcPr>
          <w:p w14:paraId="40A1CF5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odds ratio (IDegAsp/IGlar) = 0.80 (95% CI: 0.50, 1.30)</w:t>
            </w:r>
          </w:p>
        </w:tc>
        <w:tc>
          <w:tcPr>
            <w:tcW w:w="1857" w:type="dxa"/>
            <w:gridSpan w:val="3"/>
          </w:tcPr>
          <w:p w14:paraId="1A9C0E21"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odds ratio (IDegAsp/BIAsp 30) = 1.60 (95% CI: 0.94, 2.72)</w:t>
            </w:r>
          </w:p>
        </w:tc>
        <w:tc>
          <w:tcPr>
            <w:tcW w:w="1923" w:type="dxa"/>
            <w:gridSpan w:val="2"/>
          </w:tcPr>
          <w:p w14:paraId="6FD6D370"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odds ratio (IDegAsp/BIAsp 30) = 1.77 (95% CI: 0.97, 3.25)</w:t>
            </w:r>
          </w:p>
        </w:tc>
      </w:tr>
      <w:tr w:rsidR="00607F38" w:rsidRPr="00A21900" w14:paraId="5F234F20" w14:textId="77777777" w:rsidTr="00254EAE">
        <w:trPr>
          <w:trHeight w:val="1763"/>
        </w:trPr>
        <w:tc>
          <w:tcPr>
            <w:cnfStyle w:val="001000000000" w:firstRow="0" w:lastRow="0" w:firstColumn="1" w:lastColumn="0" w:oddVBand="0" w:evenVBand="0" w:oddHBand="0" w:evenHBand="0" w:firstRowFirstColumn="0" w:firstRowLastColumn="0" w:lastRowFirstColumn="0" w:lastRowLastColumn="0"/>
            <w:tcW w:w="1404" w:type="dxa"/>
            <w:vMerge w:val="restart"/>
          </w:tcPr>
          <w:p w14:paraId="36A1F578" w14:textId="77777777" w:rsidR="00607F38" w:rsidRPr="00A21900" w:rsidRDefault="00607F38" w:rsidP="005C3B74">
            <w:pPr>
              <w:ind w:left="0" w:right="0"/>
              <w:rPr>
                <w:sz w:val="18"/>
                <w:szCs w:val="22"/>
                <w:lang w:eastAsia="ja-JP"/>
              </w:rPr>
            </w:pPr>
            <w:r w:rsidRPr="00A21900">
              <w:rPr>
                <w:sz w:val="18"/>
                <w:szCs w:val="22"/>
                <w:lang w:eastAsia="ja-JP"/>
              </w:rPr>
              <w:t>Safety endpoint</w:t>
            </w:r>
          </w:p>
          <w:p w14:paraId="7E52DD8C" w14:textId="77777777" w:rsidR="00607F38" w:rsidRPr="00A21900" w:rsidRDefault="00607F38" w:rsidP="005C3B74">
            <w:pPr>
              <w:ind w:left="0" w:right="0"/>
              <w:rPr>
                <w:sz w:val="18"/>
                <w:szCs w:val="22"/>
                <w:lang w:eastAsia="ja-JP"/>
              </w:rPr>
            </w:pPr>
          </w:p>
        </w:tc>
        <w:tc>
          <w:tcPr>
            <w:tcW w:w="1560" w:type="dxa"/>
            <w:gridSpan w:val="2"/>
          </w:tcPr>
          <w:p w14:paraId="4C0A45B6"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Rate of nocturnal confirmed hypoglycaemic episodes per 100 PYE</w:t>
            </w:r>
          </w:p>
        </w:tc>
        <w:tc>
          <w:tcPr>
            <w:tcW w:w="1536" w:type="dxa"/>
            <w:gridSpan w:val="2"/>
          </w:tcPr>
          <w:p w14:paraId="412128B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b/>
                <w:sz w:val="18"/>
                <w:szCs w:val="22"/>
                <w:lang w:eastAsia="ja-JP"/>
              </w:rPr>
              <w:t>Rate of nocturnal confirmed hypoglycaemic episodes per 100 PYE</w:t>
            </w:r>
          </w:p>
        </w:tc>
        <w:tc>
          <w:tcPr>
            <w:tcW w:w="1710" w:type="dxa"/>
            <w:gridSpan w:val="2"/>
          </w:tcPr>
          <w:p w14:paraId="3023C6E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b/>
                <w:sz w:val="18"/>
                <w:szCs w:val="22"/>
                <w:lang w:eastAsia="ja-JP"/>
              </w:rPr>
              <w:t>Rate of nocturnal confirmed hypoglycaemic episodes per 100 PYE</w:t>
            </w:r>
          </w:p>
        </w:tc>
        <w:tc>
          <w:tcPr>
            <w:tcW w:w="1857" w:type="dxa"/>
            <w:gridSpan w:val="3"/>
          </w:tcPr>
          <w:p w14:paraId="67925E4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b/>
                <w:sz w:val="18"/>
                <w:szCs w:val="22"/>
                <w:lang w:eastAsia="ja-JP"/>
              </w:rPr>
              <w:t>Rate of nocturnal confirmed hypoglycaemic episodes per 100 PYE</w:t>
            </w:r>
          </w:p>
        </w:tc>
        <w:tc>
          <w:tcPr>
            <w:tcW w:w="1923" w:type="dxa"/>
            <w:gridSpan w:val="2"/>
          </w:tcPr>
          <w:p w14:paraId="75372214"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Rate of nocturnal confirmed hypoglycaemic episodes per 100 PYE</w:t>
            </w:r>
          </w:p>
        </w:tc>
      </w:tr>
      <w:tr w:rsidR="00254EAE" w:rsidRPr="00A21900" w14:paraId="218608F1" w14:textId="77777777" w:rsidTr="00254EAE">
        <w:trPr>
          <w:trHeight w:val="726"/>
        </w:trPr>
        <w:tc>
          <w:tcPr>
            <w:cnfStyle w:val="001000000000" w:firstRow="0" w:lastRow="0" w:firstColumn="1" w:lastColumn="0" w:oddVBand="0" w:evenVBand="0" w:oddHBand="0" w:evenHBand="0" w:firstRowFirstColumn="0" w:firstRowLastColumn="0" w:lastRowFirstColumn="0" w:lastRowLastColumn="0"/>
            <w:tcW w:w="1404" w:type="dxa"/>
            <w:vMerge/>
          </w:tcPr>
          <w:p w14:paraId="689F742F" w14:textId="77777777" w:rsidR="00607F38" w:rsidRPr="00A21900" w:rsidRDefault="00607F38" w:rsidP="005C3B74">
            <w:pPr>
              <w:ind w:left="0" w:right="0"/>
              <w:rPr>
                <w:sz w:val="18"/>
                <w:szCs w:val="22"/>
                <w:lang w:eastAsia="ja-JP"/>
              </w:rPr>
            </w:pPr>
          </w:p>
        </w:tc>
        <w:tc>
          <w:tcPr>
            <w:tcW w:w="936" w:type="dxa"/>
          </w:tcPr>
          <w:p w14:paraId="48392F0D"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624" w:type="dxa"/>
          </w:tcPr>
          <w:p w14:paraId="54CEE8DA"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IDet</w:t>
            </w:r>
          </w:p>
        </w:tc>
        <w:tc>
          <w:tcPr>
            <w:tcW w:w="906" w:type="dxa"/>
          </w:tcPr>
          <w:p w14:paraId="20C7D8F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630" w:type="dxa"/>
          </w:tcPr>
          <w:p w14:paraId="2DDAAF61"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IGlar</w:t>
            </w:r>
          </w:p>
        </w:tc>
        <w:tc>
          <w:tcPr>
            <w:tcW w:w="873" w:type="dxa"/>
          </w:tcPr>
          <w:p w14:paraId="3986F28E"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837" w:type="dxa"/>
          </w:tcPr>
          <w:p w14:paraId="0914150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IGlar</w:t>
            </w:r>
          </w:p>
        </w:tc>
        <w:tc>
          <w:tcPr>
            <w:tcW w:w="900" w:type="dxa"/>
          </w:tcPr>
          <w:p w14:paraId="627715B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957" w:type="dxa"/>
            <w:gridSpan w:val="2"/>
          </w:tcPr>
          <w:p w14:paraId="0D88F07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BIAsp 30</w:t>
            </w:r>
          </w:p>
        </w:tc>
        <w:tc>
          <w:tcPr>
            <w:tcW w:w="933" w:type="dxa"/>
          </w:tcPr>
          <w:p w14:paraId="597DB6AF"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990" w:type="dxa"/>
          </w:tcPr>
          <w:p w14:paraId="46D62CE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BIAsp 30</w:t>
            </w:r>
          </w:p>
        </w:tc>
      </w:tr>
      <w:tr w:rsidR="00254EAE" w:rsidRPr="00A21900" w14:paraId="6E977076" w14:textId="77777777" w:rsidTr="00254EAE">
        <w:trPr>
          <w:trHeight w:val="418"/>
        </w:trPr>
        <w:tc>
          <w:tcPr>
            <w:cnfStyle w:val="001000000000" w:firstRow="0" w:lastRow="0" w:firstColumn="1" w:lastColumn="0" w:oddVBand="0" w:evenVBand="0" w:oddHBand="0" w:evenHBand="0" w:firstRowFirstColumn="0" w:firstRowLastColumn="0" w:lastRowFirstColumn="0" w:lastRowLastColumn="0"/>
            <w:tcW w:w="1404" w:type="dxa"/>
            <w:vMerge/>
          </w:tcPr>
          <w:p w14:paraId="2E11C9A9" w14:textId="77777777" w:rsidR="00607F38" w:rsidRPr="00A21900" w:rsidRDefault="00607F38" w:rsidP="005C3B74">
            <w:pPr>
              <w:ind w:left="0" w:right="0"/>
              <w:rPr>
                <w:sz w:val="18"/>
                <w:szCs w:val="22"/>
                <w:lang w:eastAsia="ja-JP"/>
              </w:rPr>
            </w:pPr>
          </w:p>
        </w:tc>
        <w:tc>
          <w:tcPr>
            <w:tcW w:w="936" w:type="dxa"/>
          </w:tcPr>
          <w:p w14:paraId="7B723680"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371</w:t>
            </w:r>
          </w:p>
        </w:tc>
        <w:tc>
          <w:tcPr>
            <w:tcW w:w="624" w:type="dxa"/>
          </w:tcPr>
          <w:p w14:paraId="67A1D218"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572</w:t>
            </w:r>
          </w:p>
        </w:tc>
        <w:tc>
          <w:tcPr>
            <w:tcW w:w="906" w:type="dxa"/>
          </w:tcPr>
          <w:p w14:paraId="4605DDD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19</w:t>
            </w:r>
          </w:p>
        </w:tc>
        <w:tc>
          <w:tcPr>
            <w:tcW w:w="630" w:type="dxa"/>
          </w:tcPr>
          <w:p w14:paraId="6A1BD23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46</w:t>
            </w:r>
          </w:p>
        </w:tc>
        <w:tc>
          <w:tcPr>
            <w:tcW w:w="873" w:type="dxa"/>
          </w:tcPr>
          <w:p w14:paraId="485BD39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82</w:t>
            </w:r>
          </w:p>
        </w:tc>
        <w:tc>
          <w:tcPr>
            <w:tcW w:w="837" w:type="dxa"/>
          </w:tcPr>
          <w:p w14:paraId="05D1BC6D"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101</w:t>
            </w:r>
          </w:p>
        </w:tc>
        <w:tc>
          <w:tcPr>
            <w:tcW w:w="900" w:type="dxa"/>
          </w:tcPr>
          <w:p w14:paraId="5A36504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74</w:t>
            </w:r>
          </w:p>
        </w:tc>
        <w:tc>
          <w:tcPr>
            <w:tcW w:w="957" w:type="dxa"/>
            <w:gridSpan w:val="2"/>
          </w:tcPr>
          <w:p w14:paraId="70B293D9"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253</w:t>
            </w:r>
          </w:p>
        </w:tc>
        <w:tc>
          <w:tcPr>
            <w:tcW w:w="933" w:type="dxa"/>
          </w:tcPr>
          <w:p w14:paraId="0DDEE6C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111</w:t>
            </w:r>
          </w:p>
        </w:tc>
        <w:tc>
          <w:tcPr>
            <w:tcW w:w="990" w:type="dxa"/>
          </w:tcPr>
          <w:p w14:paraId="3B48B01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155</w:t>
            </w:r>
          </w:p>
        </w:tc>
      </w:tr>
      <w:tr w:rsidR="00607F38" w:rsidRPr="00A21900" w14:paraId="0EE94381" w14:textId="77777777" w:rsidTr="00254EAE">
        <w:trPr>
          <w:trHeight w:val="839"/>
        </w:trPr>
        <w:tc>
          <w:tcPr>
            <w:cnfStyle w:val="001000000000" w:firstRow="0" w:lastRow="0" w:firstColumn="1" w:lastColumn="0" w:oddVBand="0" w:evenVBand="0" w:oddHBand="0" w:evenHBand="0" w:firstRowFirstColumn="0" w:firstRowLastColumn="0" w:lastRowFirstColumn="0" w:lastRowLastColumn="0"/>
            <w:tcW w:w="1404" w:type="dxa"/>
            <w:vMerge/>
          </w:tcPr>
          <w:p w14:paraId="42C25B79" w14:textId="77777777" w:rsidR="00607F38" w:rsidRPr="00A21900" w:rsidRDefault="00607F38" w:rsidP="005C3B74">
            <w:pPr>
              <w:ind w:left="0" w:right="0"/>
              <w:rPr>
                <w:sz w:val="18"/>
                <w:szCs w:val="22"/>
                <w:lang w:eastAsia="ja-JP"/>
              </w:rPr>
            </w:pPr>
          </w:p>
        </w:tc>
        <w:tc>
          <w:tcPr>
            <w:tcW w:w="1560" w:type="dxa"/>
            <w:gridSpan w:val="2"/>
          </w:tcPr>
          <w:p w14:paraId="353C0D7F"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rate ratio (IDegAsp/IDet) = 0.63 (95% CI: 0.49, 0.81)</w:t>
            </w:r>
          </w:p>
        </w:tc>
        <w:tc>
          <w:tcPr>
            <w:tcW w:w="1536" w:type="dxa"/>
            <w:gridSpan w:val="2"/>
          </w:tcPr>
          <w:p w14:paraId="5BDE8120"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rate ratio (IDegAsp/IGlar) = 0.29 (95% CI: 0.13, 0.65)</w:t>
            </w:r>
          </w:p>
        </w:tc>
        <w:tc>
          <w:tcPr>
            <w:tcW w:w="1710" w:type="dxa"/>
            <w:gridSpan w:val="2"/>
          </w:tcPr>
          <w:p w14:paraId="020C871D"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rate ratio (IDegAsp/IGlar) = 0.80 (95% CI: 0.49, 1.30)</w:t>
            </w:r>
          </w:p>
        </w:tc>
        <w:tc>
          <w:tcPr>
            <w:tcW w:w="1857" w:type="dxa"/>
            <w:gridSpan w:val="3"/>
          </w:tcPr>
          <w:p w14:paraId="35A818E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rate ratio (IDegAsp/BIAsp 30) = 0.27 (95% CI: 0.18, 0.41)</w:t>
            </w:r>
          </w:p>
        </w:tc>
        <w:tc>
          <w:tcPr>
            <w:tcW w:w="1923" w:type="dxa"/>
            <w:gridSpan w:val="2"/>
          </w:tcPr>
          <w:p w14:paraId="0CCF7C89"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rate ratio (IDegAsp/BIAsp 30) = 0.67 (95% CI: 0.43, 1.06)</w:t>
            </w:r>
            <w:r w:rsidRPr="00A21900" w:rsidDel="001133A1">
              <w:rPr>
                <w:sz w:val="18"/>
                <w:szCs w:val="22"/>
                <w:lang w:eastAsia="ja-JP"/>
              </w:rPr>
              <w:t xml:space="preserve"> </w:t>
            </w:r>
          </w:p>
        </w:tc>
      </w:tr>
      <w:tr w:rsidR="00607F38" w:rsidRPr="00A21900" w14:paraId="1752EE5F" w14:textId="77777777" w:rsidTr="00254EAE">
        <w:trPr>
          <w:trHeight w:val="641"/>
        </w:trPr>
        <w:tc>
          <w:tcPr>
            <w:cnfStyle w:val="001000000000" w:firstRow="0" w:lastRow="0" w:firstColumn="1" w:lastColumn="0" w:oddVBand="0" w:evenVBand="0" w:oddHBand="0" w:evenHBand="0" w:firstRowFirstColumn="0" w:firstRowLastColumn="0" w:lastRowFirstColumn="0" w:lastRowLastColumn="0"/>
            <w:tcW w:w="1404" w:type="dxa"/>
            <w:vMerge w:val="restart"/>
          </w:tcPr>
          <w:p w14:paraId="25CF5407" w14:textId="77777777" w:rsidR="00607F38" w:rsidRPr="00A21900" w:rsidRDefault="00607F38" w:rsidP="005C3B74">
            <w:pPr>
              <w:ind w:left="0" w:right="0"/>
              <w:rPr>
                <w:sz w:val="18"/>
                <w:szCs w:val="22"/>
                <w:lang w:eastAsia="ja-JP"/>
              </w:rPr>
            </w:pPr>
            <w:r w:rsidRPr="00A21900">
              <w:rPr>
                <w:sz w:val="18"/>
                <w:szCs w:val="22"/>
                <w:lang w:eastAsia="ja-JP"/>
              </w:rPr>
              <w:t>Safety endpoint</w:t>
            </w:r>
          </w:p>
          <w:p w14:paraId="1DD751CF" w14:textId="77777777" w:rsidR="00607F38" w:rsidRPr="00A21900" w:rsidRDefault="00607F38" w:rsidP="005C3B74">
            <w:pPr>
              <w:ind w:left="0" w:right="0"/>
              <w:rPr>
                <w:sz w:val="18"/>
                <w:szCs w:val="22"/>
                <w:lang w:eastAsia="ja-JP"/>
              </w:rPr>
            </w:pPr>
          </w:p>
        </w:tc>
        <w:tc>
          <w:tcPr>
            <w:tcW w:w="1560" w:type="dxa"/>
            <w:gridSpan w:val="2"/>
          </w:tcPr>
          <w:p w14:paraId="686A2DB1"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Rate of confirmed hypoglycaemic episodes per 100 PYE</w:t>
            </w:r>
          </w:p>
        </w:tc>
        <w:tc>
          <w:tcPr>
            <w:tcW w:w="1536" w:type="dxa"/>
            <w:gridSpan w:val="2"/>
          </w:tcPr>
          <w:p w14:paraId="4C67C1AE"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b/>
                <w:sz w:val="18"/>
                <w:szCs w:val="22"/>
                <w:lang w:eastAsia="ja-JP"/>
              </w:rPr>
              <w:t>Rate of confirmed hypoglycaemic episodes per 100 PYE</w:t>
            </w:r>
          </w:p>
        </w:tc>
        <w:tc>
          <w:tcPr>
            <w:tcW w:w="1710" w:type="dxa"/>
            <w:gridSpan w:val="2"/>
          </w:tcPr>
          <w:p w14:paraId="437E1D0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Rate of confirmed hypoglycaemic episodes per 100 PYE</w:t>
            </w:r>
          </w:p>
        </w:tc>
        <w:tc>
          <w:tcPr>
            <w:tcW w:w="1857" w:type="dxa"/>
            <w:gridSpan w:val="3"/>
          </w:tcPr>
          <w:p w14:paraId="582BA5AD"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 xml:space="preserve">Rate of confirmed hypoglycaemic episodes per 100 PYE </w:t>
            </w:r>
          </w:p>
          <w:p w14:paraId="1D7FB06C"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p>
        </w:tc>
        <w:tc>
          <w:tcPr>
            <w:tcW w:w="1923" w:type="dxa"/>
            <w:gridSpan w:val="2"/>
          </w:tcPr>
          <w:p w14:paraId="469FD92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r w:rsidRPr="00A21900">
              <w:rPr>
                <w:b/>
                <w:sz w:val="18"/>
                <w:szCs w:val="22"/>
                <w:lang w:eastAsia="ja-JP"/>
              </w:rPr>
              <w:t xml:space="preserve">Rate of confirmed hypoglycaemic episodes per 100 PYE </w:t>
            </w:r>
          </w:p>
          <w:p w14:paraId="7D5A96AA"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b/>
                <w:sz w:val="18"/>
                <w:szCs w:val="22"/>
                <w:lang w:eastAsia="ja-JP"/>
              </w:rPr>
            </w:pPr>
          </w:p>
        </w:tc>
      </w:tr>
      <w:tr w:rsidR="00254EAE" w:rsidRPr="00A21900" w14:paraId="6ED20ADA" w14:textId="77777777" w:rsidTr="00254EAE">
        <w:trPr>
          <w:trHeight w:val="327"/>
        </w:trPr>
        <w:tc>
          <w:tcPr>
            <w:cnfStyle w:val="001000000000" w:firstRow="0" w:lastRow="0" w:firstColumn="1" w:lastColumn="0" w:oddVBand="0" w:evenVBand="0" w:oddHBand="0" w:evenHBand="0" w:firstRowFirstColumn="0" w:firstRowLastColumn="0" w:lastRowFirstColumn="0" w:lastRowLastColumn="0"/>
            <w:tcW w:w="1404" w:type="dxa"/>
            <w:vMerge/>
          </w:tcPr>
          <w:p w14:paraId="638F7AAA" w14:textId="77777777" w:rsidR="00607F38" w:rsidRPr="00A21900" w:rsidRDefault="00607F38" w:rsidP="005C3B74">
            <w:pPr>
              <w:ind w:left="0" w:right="0"/>
              <w:rPr>
                <w:sz w:val="18"/>
                <w:szCs w:val="22"/>
                <w:lang w:eastAsia="ja-JP"/>
              </w:rPr>
            </w:pPr>
          </w:p>
        </w:tc>
        <w:tc>
          <w:tcPr>
            <w:tcW w:w="936" w:type="dxa"/>
          </w:tcPr>
          <w:p w14:paraId="1261C8E4"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624" w:type="dxa"/>
          </w:tcPr>
          <w:p w14:paraId="4C64935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IDet</w:t>
            </w:r>
          </w:p>
        </w:tc>
        <w:tc>
          <w:tcPr>
            <w:tcW w:w="906" w:type="dxa"/>
          </w:tcPr>
          <w:p w14:paraId="49755981"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630" w:type="dxa"/>
          </w:tcPr>
          <w:p w14:paraId="35F78F18"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IGlar</w:t>
            </w:r>
          </w:p>
        </w:tc>
        <w:tc>
          <w:tcPr>
            <w:tcW w:w="873" w:type="dxa"/>
          </w:tcPr>
          <w:p w14:paraId="75394E67"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837" w:type="dxa"/>
          </w:tcPr>
          <w:p w14:paraId="3281B89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IGlar</w:t>
            </w:r>
          </w:p>
        </w:tc>
        <w:tc>
          <w:tcPr>
            <w:tcW w:w="900" w:type="dxa"/>
          </w:tcPr>
          <w:p w14:paraId="35930D03"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957" w:type="dxa"/>
            <w:gridSpan w:val="2"/>
          </w:tcPr>
          <w:p w14:paraId="6567009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BIAsp 30</w:t>
            </w:r>
          </w:p>
        </w:tc>
        <w:tc>
          <w:tcPr>
            <w:tcW w:w="933" w:type="dxa"/>
          </w:tcPr>
          <w:p w14:paraId="3B8F3651"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IDegAsp</w:t>
            </w:r>
          </w:p>
        </w:tc>
        <w:tc>
          <w:tcPr>
            <w:tcW w:w="990" w:type="dxa"/>
          </w:tcPr>
          <w:p w14:paraId="00238C82"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BIAsp 30</w:t>
            </w:r>
          </w:p>
        </w:tc>
      </w:tr>
      <w:tr w:rsidR="00254EAE" w:rsidRPr="00A21900" w14:paraId="70FA1B77" w14:textId="77777777" w:rsidTr="00254EAE">
        <w:trPr>
          <w:trHeight w:val="434"/>
        </w:trPr>
        <w:tc>
          <w:tcPr>
            <w:cnfStyle w:val="001000000000" w:firstRow="0" w:lastRow="0" w:firstColumn="1" w:lastColumn="0" w:oddVBand="0" w:evenVBand="0" w:oddHBand="0" w:evenHBand="0" w:firstRowFirstColumn="0" w:firstRowLastColumn="0" w:lastRowFirstColumn="0" w:lastRowLastColumn="0"/>
            <w:tcW w:w="1404" w:type="dxa"/>
            <w:vMerge/>
          </w:tcPr>
          <w:p w14:paraId="0AF72CCF" w14:textId="77777777" w:rsidR="00607F38" w:rsidRPr="00A21900" w:rsidRDefault="00607F38" w:rsidP="005C3B74">
            <w:pPr>
              <w:ind w:left="0" w:right="0"/>
              <w:rPr>
                <w:sz w:val="18"/>
                <w:szCs w:val="22"/>
                <w:lang w:eastAsia="ja-JP"/>
              </w:rPr>
            </w:pPr>
          </w:p>
        </w:tc>
        <w:tc>
          <w:tcPr>
            <w:tcW w:w="936" w:type="dxa"/>
          </w:tcPr>
          <w:p w14:paraId="477EBA5F"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3917</w:t>
            </w:r>
          </w:p>
          <w:p w14:paraId="63C098B0"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p>
        </w:tc>
        <w:tc>
          <w:tcPr>
            <w:tcW w:w="624" w:type="dxa"/>
          </w:tcPr>
          <w:p w14:paraId="6EAE9165"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4434</w:t>
            </w:r>
          </w:p>
        </w:tc>
        <w:tc>
          <w:tcPr>
            <w:tcW w:w="906" w:type="dxa"/>
          </w:tcPr>
          <w:p w14:paraId="3A0CBA64"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423</w:t>
            </w:r>
          </w:p>
        </w:tc>
        <w:tc>
          <w:tcPr>
            <w:tcW w:w="630" w:type="dxa"/>
          </w:tcPr>
          <w:p w14:paraId="15575AFC"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185</w:t>
            </w:r>
          </w:p>
        </w:tc>
        <w:tc>
          <w:tcPr>
            <w:tcW w:w="873" w:type="dxa"/>
          </w:tcPr>
          <w:p w14:paraId="534A220E"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431</w:t>
            </w:r>
          </w:p>
        </w:tc>
        <w:tc>
          <w:tcPr>
            <w:tcW w:w="837" w:type="dxa"/>
          </w:tcPr>
          <w:p w14:paraId="5E0948E1"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320</w:t>
            </w:r>
          </w:p>
        </w:tc>
        <w:tc>
          <w:tcPr>
            <w:tcW w:w="900" w:type="dxa"/>
          </w:tcPr>
          <w:p w14:paraId="253DB8C1"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972</w:t>
            </w:r>
          </w:p>
        </w:tc>
        <w:tc>
          <w:tcPr>
            <w:tcW w:w="957" w:type="dxa"/>
            <w:gridSpan w:val="2"/>
          </w:tcPr>
          <w:p w14:paraId="4BE595DC"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1396</w:t>
            </w:r>
          </w:p>
        </w:tc>
        <w:tc>
          <w:tcPr>
            <w:tcW w:w="933" w:type="dxa"/>
          </w:tcPr>
          <w:p w14:paraId="41B2F948"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956</w:t>
            </w:r>
          </w:p>
        </w:tc>
        <w:tc>
          <w:tcPr>
            <w:tcW w:w="990" w:type="dxa"/>
          </w:tcPr>
          <w:p w14:paraId="0A120944"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952</w:t>
            </w:r>
          </w:p>
        </w:tc>
      </w:tr>
      <w:tr w:rsidR="00607F38" w:rsidRPr="00A21900" w14:paraId="665C6628" w14:textId="77777777" w:rsidTr="00254EAE">
        <w:trPr>
          <w:trHeight w:val="641"/>
        </w:trPr>
        <w:tc>
          <w:tcPr>
            <w:cnfStyle w:val="001000000000" w:firstRow="0" w:lastRow="0" w:firstColumn="1" w:lastColumn="0" w:oddVBand="0" w:evenVBand="0" w:oddHBand="0" w:evenHBand="0" w:firstRowFirstColumn="0" w:firstRowLastColumn="0" w:lastRowFirstColumn="0" w:lastRowLastColumn="0"/>
            <w:tcW w:w="1404" w:type="dxa"/>
            <w:vMerge/>
          </w:tcPr>
          <w:p w14:paraId="45FC930D" w14:textId="77777777" w:rsidR="00607F38" w:rsidRPr="00A21900" w:rsidRDefault="00607F38" w:rsidP="005C3B74">
            <w:pPr>
              <w:ind w:left="0" w:right="0"/>
              <w:rPr>
                <w:sz w:val="18"/>
                <w:szCs w:val="22"/>
                <w:lang w:eastAsia="ja-JP"/>
              </w:rPr>
            </w:pPr>
          </w:p>
        </w:tc>
        <w:tc>
          <w:tcPr>
            <w:tcW w:w="1560" w:type="dxa"/>
            <w:gridSpan w:val="2"/>
          </w:tcPr>
          <w:p w14:paraId="05A22614"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rate ratio (IDegAsp/IDet) = 0.91 (95% CI:0.76,1.09)</w:t>
            </w:r>
          </w:p>
        </w:tc>
        <w:tc>
          <w:tcPr>
            <w:tcW w:w="1536" w:type="dxa"/>
            <w:gridSpan w:val="2"/>
          </w:tcPr>
          <w:p w14:paraId="389B8444"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rate ratio (IDegAsp/IGlar) = 2.17 (95% CI: 1.59, 2.94)</w:t>
            </w:r>
          </w:p>
        </w:tc>
        <w:tc>
          <w:tcPr>
            <w:tcW w:w="1710" w:type="dxa"/>
            <w:gridSpan w:val="2"/>
          </w:tcPr>
          <w:p w14:paraId="412DE49E"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 xml:space="preserve">Estimated rate ratio (IDegAsp/IGlar) = 1.43 (95% CI: 1.07, 1.92) </w:t>
            </w:r>
          </w:p>
        </w:tc>
        <w:tc>
          <w:tcPr>
            <w:tcW w:w="1857" w:type="dxa"/>
            <w:gridSpan w:val="3"/>
          </w:tcPr>
          <w:p w14:paraId="18A858EB"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rate ratio (IDegAsp/BIAsp 30) = 0.68 (95% CI: 0.52, 0.89)</w:t>
            </w:r>
          </w:p>
        </w:tc>
        <w:tc>
          <w:tcPr>
            <w:tcW w:w="1923" w:type="dxa"/>
            <w:gridSpan w:val="2"/>
          </w:tcPr>
          <w:p w14:paraId="0D67E8D8" w14:textId="77777777" w:rsidR="00607F38" w:rsidRPr="00A21900" w:rsidRDefault="00607F38" w:rsidP="005C3B74">
            <w:pPr>
              <w:ind w:left="0" w:right="0"/>
              <w:cnfStyle w:val="000000000000" w:firstRow="0" w:lastRow="0" w:firstColumn="0" w:lastColumn="0" w:oddVBand="0" w:evenVBand="0" w:oddHBand="0" w:evenHBand="0" w:firstRowFirstColumn="0" w:firstRowLastColumn="0" w:lastRowFirstColumn="0" w:lastRowLastColumn="0"/>
              <w:rPr>
                <w:sz w:val="18"/>
                <w:szCs w:val="22"/>
                <w:lang w:eastAsia="ja-JP"/>
              </w:rPr>
            </w:pPr>
            <w:r w:rsidRPr="00A21900">
              <w:rPr>
                <w:sz w:val="18"/>
                <w:szCs w:val="22"/>
                <w:lang w:eastAsia="ja-JP"/>
              </w:rPr>
              <w:t>Estimated rate ratio (IDegAsp/BIAsp 30) = 1.00 (95% CI: 0.76, 1.32)</w:t>
            </w:r>
          </w:p>
        </w:tc>
      </w:tr>
    </w:tbl>
    <w:p w14:paraId="5244ECA1" w14:textId="2C5E6ED3" w:rsidR="00CD325F" w:rsidRDefault="00CD325F" w:rsidP="00BB64EA">
      <w:pPr>
        <w:pStyle w:val="TableDescription"/>
        <w:rPr>
          <w:lang w:eastAsia="ja-JP"/>
        </w:rPr>
      </w:pPr>
      <w:r>
        <w:rPr>
          <w:lang w:eastAsia="ja-JP"/>
        </w:rPr>
        <w:t>OD</w:t>
      </w:r>
      <w:r w:rsidR="00D548E5">
        <w:rPr>
          <w:lang w:eastAsia="ja-JP"/>
        </w:rPr>
        <w:t xml:space="preserve"> </w:t>
      </w:r>
      <w:r>
        <w:rPr>
          <w:lang w:eastAsia="ja-JP"/>
        </w:rPr>
        <w:t>=</w:t>
      </w:r>
      <w:r w:rsidR="00D548E5">
        <w:rPr>
          <w:lang w:eastAsia="ja-JP"/>
        </w:rPr>
        <w:t xml:space="preserve"> </w:t>
      </w:r>
      <w:r>
        <w:rPr>
          <w:lang w:eastAsia="ja-JP"/>
        </w:rPr>
        <w:t>once a day; BD</w:t>
      </w:r>
      <w:r w:rsidR="00D548E5">
        <w:rPr>
          <w:lang w:eastAsia="ja-JP"/>
        </w:rPr>
        <w:t xml:space="preserve"> </w:t>
      </w:r>
      <w:r>
        <w:rPr>
          <w:lang w:eastAsia="ja-JP"/>
        </w:rPr>
        <w:t>=</w:t>
      </w:r>
      <w:r w:rsidR="00D548E5">
        <w:rPr>
          <w:lang w:eastAsia="ja-JP"/>
        </w:rPr>
        <w:t xml:space="preserve"> </w:t>
      </w:r>
      <w:r>
        <w:rPr>
          <w:lang w:eastAsia="ja-JP"/>
        </w:rPr>
        <w:t>twice a day</w:t>
      </w:r>
    </w:p>
    <w:p w14:paraId="104D1E62" w14:textId="6F4F98F3" w:rsidR="00607F38" w:rsidRPr="00254EAE" w:rsidRDefault="00607F38" w:rsidP="00607F38">
      <w:pPr>
        <w:rPr>
          <w:lang w:eastAsia="ja-JP"/>
        </w:rPr>
      </w:pPr>
      <w:r w:rsidRPr="00607F38">
        <w:rPr>
          <w:lang w:eastAsia="ja-JP"/>
        </w:rPr>
        <w:t>The main issues regarding efficacy identifi</w:t>
      </w:r>
      <w:r w:rsidR="00254EAE">
        <w:rPr>
          <w:lang w:eastAsia="ja-JP"/>
        </w:rPr>
        <w:t>ed by the c</w:t>
      </w:r>
      <w:r w:rsidRPr="00607F38">
        <w:rPr>
          <w:lang w:eastAsia="ja-JP"/>
        </w:rPr>
        <w:t xml:space="preserve">linical </w:t>
      </w:r>
      <w:r w:rsidR="00254EAE">
        <w:rPr>
          <w:lang w:eastAsia="ja-JP"/>
        </w:rPr>
        <w:t xml:space="preserve">evaluator of the </w:t>
      </w:r>
      <w:r w:rsidR="00FB1B7B">
        <w:rPr>
          <w:lang w:eastAsia="ja-JP"/>
        </w:rPr>
        <w:t>original withdrawn</w:t>
      </w:r>
      <w:r w:rsidR="00254EAE">
        <w:rPr>
          <w:lang w:eastAsia="ja-JP"/>
        </w:rPr>
        <w:t xml:space="preserve"> submission are as follows:</w:t>
      </w:r>
    </w:p>
    <w:p w14:paraId="7993536A" w14:textId="255B955D" w:rsidR="00607F38" w:rsidRPr="00607F38" w:rsidRDefault="00607F38" w:rsidP="00254EAE">
      <w:pPr>
        <w:pStyle w:val="Numberbullet0"/>
        <w:rPr>
          <w:lang w:eastAsia="ja-JP"/>
        </w:rPr>
      </w:pPr>
      <w:r w:rsidRPr="00607F38">
        <w:rPr>
          <w:lang w:eastAsia="ja-JP"/>
        </w:rPr>
        <w:t>Choice of comparat</w:t>
      </w:r>
      <w:r w:rsidR="00254EAE">
        <w:rPr>
          <w:lang w:eastAsia="ja-JP"/>
        </w:rPr>
        <w:t>ors in the pivotal T2DM studies</w:t>
      </w:r>
    </w:p>
    <w:p w14:paraId="53526C49" w14:textId="77777777" w:rsidR="00254EAE" w:rsidRDefault="00607F38" w:rsidP="00607F38">
      <w:pPr>
        <w:rPr>
          <w:lang w:eastAsia="ja-JP"/>
        </w:rPr>
      </w:pPr>
      <w:r w:rsidRPr="00607F38">
        <w:rPr>
          <w:lang w:eastAsia="ja-JP"/>
        </w:rPr>
        <w:t xml:space="preserve">The </w:t>
      </w:r>
      <w:r w:rsidR="00254EAE">
        <w:rPr>
          <w:lang w:eastAsia="ja-JP"/>
        </w:rPr>
        <w:t>c</w:t>
      </w:r>
      <w:r w:rsidRPr="00607F38">
        <w:rPr>
          <w:lang w:eastAsia="ja-JP"/>
        </w:rPr>
        <w:t xml:space="preserve">linical </w:t>
      </w:r>
      <w:r w:rsidR="00254EAE">
        <w:rPr>
          <w:lang w:eastAsia="ja-JP"/>
        </w:rPr>
        <w:t>e</w:t>
      </w:r>
      <w:r w:rsidRPr="00607F38">
        <w:rPr>
          <w:lang w:eastAsia="ja-JP"/>
        </w:rPr>
        <w:t>valuator stated the following regarding choice of comparators for the 4 pivotal T2DM studies:</w:t>
      </w:r>
    </w:p>
    <w:p w14:paraId="4EF75BB8" w14:textId="77777777" w:rsidR="00254EAE" w:rsidRDefault="00607F38" w:rsidP="00607F38">
      <w:pPr>
        <w:pStyle w:val="Numberbullet2"/>
        <w:rPr>
          <w:lang w:eastAsia="ja-JP"/>
        </w:rPr>
      </w:pPr>
      <w:r w:rsidRPr="00607F38">
        <w:rPr>
          <w:lang w:eastAsia="ja-JP"/>
        </w:rPr>
        <w:t>In Study 359</w:t>
      </w:r>
      <w:r w:rsidR="00254EAE">
        <w:rPr>
          <w:lang w:eastAsia="ja-JP"/>
        </w:rPr>
        <w:t xml:space="preserve">0 involving insulin </w:t>
      </w:r>
      <w:r w:rsidRPr="00607F38">
        <w:rPr>
          <w:lang w:eastAsia="ja-JP"/>
        </w:rPr>
        <w:t>naïve subjects w</w:t>
      </w:r>
      <w:r w:rsidR="00254EAE">
        <w:rPr>
          <w:lang w:eastAsia="ja-JP"/>
        </w:rPr>
        <w:t xml:space="preserve">ith T2DM, comparison of a basal </w:t>
      </w:r>
      <w:r w:rsidRPr="00607F38">
        <w:rPr>
          <w:lang w:eastAsia="ja-JP"/>
        </w:rPr>
        <w:t>bolus combination (IDegAsp) with basal insulin only (IGlar OD) does not seem a</w:t>
      </w:r>
      <w:r w:rsidR="00254EAE">
        <w:rPr>
          <w:lang w:eastAsia="ja-JP"/>
        </w:rPr>
        <w:t xml:space="preserve">ppropriate </w:t>
      </w:r>
      <w:r w:rsidR="00254EAE">
        <w:rPr>
          <w:lang w:eastAsia="ja-JP"/>
        </w:rPr>
        <w:lastRenderedPageBreak/>
        <w:t xml:space="preserve">as generally insulin </w:t>
      </w:r>
      <w:r w:rsidRPr="00607F38">
        <w:rPr>
          <w:lang w:eastAsia="ja-JP"/>
        </w:rPr>
        <w:t>naïve T2DM patients are usually first started off on basal insulin only.</w:t>
      </w:r>
    </w:p>
    <w:p w14:paraId="39C484F9" w14:textId="72B0087A" w:rsidR="00607F38" w:rsidRPr="00607F38" w:rsidRDefault="00607F38" w:rsidP="00607F38">
      <w:pPr>
        <w:pStyle w:val="Numberbullet2"/>
        <w:rPr>
          <w:lang w:eastAsia="ja-JP"/>
        </w:rPr>
      </w:pPr>
      <w:r w:rsidRPr="00607F38">
        <w:rPr>
          <w:lang w:eastAsia="ja-JP"/>
        </w:rPr>
        <w:t>With regard to twice daily dos</w:t>
      </w:r>
      <w:r w:rsidR="00254EAE">
        <w:rPr>
          <w:lang w:eastAsia="ja-JP"/>
        </w:rPr>
        <w:t>ing in subjects with T2DM, the e</w:t>
      </w:r>
      <w:r w:rsidRPr="00607F38">
        <w:rPr>
          <w:lang w:eastAsia="ja-JP"/>
        </w:rPr>
        <w:t xml:space="preserve">valuator provided the following comment </w:t>
      </w:r>
      <w:r w:rsidR="00254EAE">
        <w:rPr>
          <w:lang w:eastAsia="ja-JP"/>
        </w:rPr>
        <w:t>in the</w:t>
      </w:r>
      <w:r w:rsidRPr="00607F38">
        <w:rPr>
          <w:lang w:eastAsia="ja-JP"/>
        </w:rPr>
        <w:t xml:space="preserve"> CER: ‘</w:t>
      </w:r>
      <w:r w:rsidR="00254EAE">
        <w:rPr>
          <w:i/>
          <w:lang w:eastAsia="ja-JP"/>
        </w:rPr>
        <w:t>The major limitation of both S</w:t>
      </w:r>
      <w:r w:rsidRPr="00254EAE">
        <w:rPr>
          <w:i/>
          <w:lang w:eastAsia="ja-JP"/>
        </w:rPr>
        <w:t>tudies 3592 and 3597 was that the comparator chosen may not</w:t>
      </w:r>
      <w:r w:rsidR="00254EAE">
        <w:rPr>
          <w:i/>
          <w:lang w:eastAsia="ja-JP"/>
        </w:rPr>
        <w:t xml:space="preserve"> be appropriate as majority (70 to </w:t>
      </w:r>
      <w:r w:rsidRPr="00254EAE">
        <w:rPr>
          <w:i/>
          <w:lang w:eastAsia="ja-JP"/>
        </w:rPr>
        <w:t>90%) of the T2DM patients enrolled in the</w:t>
      </w:r>
      <w:r w:rsidR="00254EAE">
        <w:rPr>
          <w:i/>
          <w:lang w:eastAsia="ja-JP"/>
        </w:rPr>
        <w:t xml:space="preserve">se studies had used premix/self </w:t>
      </w:r>
      <w:r w:rsidRPr="00254EAE">
        <w:rPr>
          <w:i/>
          <w:lang w:eastAsia="ja-JP"/>
        </w:rPr>
        <w:t>mix insulin</w:t>
      </w:r>
      <w:r w:rsidR="00C468E6">
        <w:rPr>
          <w:i/>
          <w:lang w:eastAsia="ja-JP"/>
        </w:rPr>
        <w:t xml:space="preserve"> BD</w:t>
      </w:r>
      <w:r w:rsidRPr="00254EAE">
        <w:rPr>
          <w:i/>
          <w:lang w:eastAsia="ja-JP"/>
        </w:rPr>
        <w:t xml:space="preserve"> with or without OADs (majority were treated with premix insulin</w:t>
      </w:r>
      <w:r w:rsidR="00C468E6">
        <w:rPr>
          <w:i/>
          <w:lang w:eastAsia="ja-JP"/>
        </w:rPr>
        <w:t xml:space="preserve"> BD</w:t>
      </w:r>
      <w:r w:rsidRPr="00254EAE">
        <w:rPr>
          <w:i/>
          <w:lang w:eastAsia="ja-JP"/>
        </w:rPr>
        <w:t xml:space="preserve"> in combination with at least</w:t>
      </w:r>
      <w:r w:rsidR="00D44164">
        <w:rPr>
          <w:i/>
          <w:lang w:eastAsia="ja-JP"/>
        </w:rPr>
        <w:t xml:space="preserve"> 1</w:t>
      </w:r>
      <w:r w:rsidRPr="00254EAE">
        <w:rPr>
          <w:i/>
          <w:lang w:eastAsia="ja-JP"/>
        </w:rPr>
        <w:t xml:space="preserve"> OAD). BIAsp 30 is a premixed insulin (containing a rapid acting and an intermediate acting insulin</w:t>
      </w:r>
      <w:r w:rsidR="00254EAE">
        <w:rPr>
          <w:i/>
          <w:lang w:eastAsia="ja-JP"/>
        </w:rPr>
        <w:t xml:space="preserve">) while IDegAsp contains a long </w:t>
      </w:r>
      <w:r w:rsidRPr="00254EAE">
        <w:rPr>
          <w:i/>
          <w:lang w:eastAsia="ja-JP"/>
        </w:rPr>
        <w:t>acting basal insulin IDeg in combination with rapid acting insulin aspart. While it is acknowledged that there is no available FDC of long-acting insulin+ rapid acting insulin, it does make interpretation of results difficult as the comparison is between 2 products in which the basal insulin component had different duration of action</w:t>
      </w:r>
      <w:r w:rsidR="00446BE7">
        <w:rPr>
          <w:lang w:eastAsia="ja-JP"/>
        </w:rPr>
        <w:t>’.</w:t>
      </w:r>
    </w:p>
    <w:p w14:paraId="432E1CF3" w14:textId="14A8524A" w:rsidR="00607F38" w:rsidRPr="00607F38" w:rsidRDefault="00607F38" w:rsidP="00607F38">
      <w:pPr>
        <w:rPr>
          <w:lang w:eastAsia="ja-JP"/>
        </w:rPr>
      </w:pPr>
      <w:r w:rsidRPr="00607F38">
        <w:rPr>
          <w:lang w:eastAsia="ja-JP"/>
        </w:rPr>
        <w:t>In response to the latter concern reg</w:t>
      </w:r>
      <w:r w:rsidR="00446BE7">
        <w:rPr>
          <w:lang w:eastAsia="ja-JP"/>
        </w:rPr>
        <w:t>arding IDegAsp</w:t>
      </w:r>
      <w:r w:rsidR="00C468E6">
        <w:rPr>
          <w:lang w:eastAsia="ja-JP"/>
        </w:rPr>
        <w:t xml:space="preserve"> BD</w:t>
      </w:r>
      <w:r w:rsidR="00446BE7">
        <w:rPr>
          <w:lang w:eastAsia="ja-JP"/>
        </w:rPr>
        <w:t xml:space="preserve"> dosing, the s</w:t>
      </w:r>
      <w:r w:rsidRPr="00607F38">
        <w:rPr>
          <w:lang w:eastAsia="ja-JP"/>
        </w:rPr>
        <w:t>ponsor provided comments in the response to second round</w:t>
      </w:r>
      <w:r w:rsidR="00446BE7">
        <w:rPr>
          <w:lang w:eastAsia="ja-JP"/>
        </w:rPr>
        <w:t xml:space="preserve"> CER document</w:t>
      </w:r>
      <w:r w:rsidR="00CD325F">
        <w:rPr>
          <w:lang w:eastAsia="ja-JP"/>
        </w:rPr>
        <w:t>.</w:t>
      </w:r>
      <w:r w:rsidR="00446BE7">
        <w:rPr>
          <w:lang w:eastAsia="ja-JP"/>
        </w:rPr>
        <w:t xml:space="preserve"> The s</w:t>
      </w:r>
      <w:r w:rsidRPr="00607F38">
        <w:rPr>
          <w:lang w:eastAsia="ja-JP"/>
        </w:rPr>
        <w:t>ponsor’s response included the following points:</w:t>
      </w:r>
    </w:p>
    <w:p w14:paraId="2AFE78C6" w14:textId="77777777" w:rsidR="00446BE7" w:rsidRDefault="00607F38" w:rsidP="00607F38">
      <w:pPr>
        <w:pStyle w:val="ListBullet"/>
        <w:rPr>
          <w:lang w:eastAsia="ja-JP"/>
        </w:rPr>
      </w:pPr>
      <w:r w:rsidRPr="00607F38">
        <w:rPr>
          <w:lang w:eastAsia="ja-JP"/>
        </w:rPr>
        <w:t>Pre-mixed insulins are recognised as a recommended therapeutic option in the Australian Diabetes Society guideline National Evidence Based Guideline for Blood Glucose Control in Type 2 Diabetes.</w:t>
      </w:r>
    </w:p>
    <w:p w14:paraId="63018509" w14:textId="77777777" w:rsidR="00446BE7" w:rsidRDefault="00607F38" w:rsidP="00607F38">
      <w:pPr>
        <w:pStyle w:val="ListBullet"/>
        <w:rPr>
          <w:lang w:eastAsia="ja-JP"/>
        </w:rPr>
      </w:pPr>
      <w:r w:rsidRPr="00607F38">
        <w:rPr>
          <w:lang w:eastAsia="ja-JP"/>
        </w:rPr>
        <w:t xml:space="preserve">IDegAsp was designed as the first in class soluble co-formulation of a basal and a bolus insulin analogue to improve the treatment options for premix users. A premixed insulin product, such as BIAsp 30, was therefore the most relevant comparator for demonstrating the improved </w:t>
      </w:r>
      <w:r w:rsidR="00446BE7">
        <w:rPr>
          <w:lang w:eastAsia="ja-JP"/>
        </w:rPr>
        <w:t>efficacy and safety of IDegAsp.</w:t>
      </w:r>
    </w:p>
    <w:p w14:paraId="1F5C7A41" w14:textId="25C83A90" w:rsidR="00607F38" w:rsidRPr="00446BE7" w:rsidRDefault="00607F38" w:rsidP="00607F38">
      <w:pPr>
        <w:pStyle w:val="ListBullet"/>
        <w:rPr>
          <w:lang w:eastAsia="ja-JP"/>
        </w:rPr>
      </w:pPr>
      <w:r w:rsidRPr="00607F38">
        <w:rPr>
          <w:lang w:eastAsia="ja-JP"/>
        </w:rPr>
        <w:t xml:space="preserve">The choice of comparator was discussed with the TGA </w:t>
      </w:r>
      <w:r w:rsidR="00446BE7">
        <w:rPr>
          <w:lang w:eastAsia="ja-JP"/>
        </w:rPr>
        <w:t>at the end of Phase II meeting.</w:t>
      </w:r>
    </w:p>
    <w:p w14:paraId="39CADCDD" w14:textId="1869B076" w:rsidR="00607F38" w:rsidRPr="00607F38" w:rsidRDefault="00446BE7" w:rsidP="00446BE7">
      <w:pPr>
        <w:pStyle w:val="Comment"/>
        <w:rPr>
          <w:lang w:eastAsia="ja-JP"/>
        </w:rPr>
      </w:pPr>
      <w:r w:rsidRPr="00446BE7">
        <w:rPr>
          <w:b/>
          <w:lang w:eastAsia="ja-JP"/>
        </w:rPr>
        <w:t>C</w:t>
      </w:r>
      <w:r w:rsidR="00607F38" w:rsidRPr="00446BE7">
        <w:rPr>
          <w:b/>
          <w:lang w:eastAsia="ja-JP"/>
        </w:rPr>
        <w:t>omment:</w:t>
      </w:r>
      <w:r w:rsidRPr="00446BE7">
        <w:rPr>
          <w:b/>
          <w:lang w:eastAsia="ja-JP"/>
        </w:rPr>
        <w:t xml:space="preserve"> </w:t>
      </w:r>
      <w:r w:rsidR="00607F38" w:rsidRPr="00446BE7">
        <w:rPr>
          <w:lang w:eastAsia="ja-JP"/>
        </w:rPr>
        <w:t xml:space="preserve"> </w:t>
      </w:r>
      <w:r>
        <w:rPr>
          <w:lang w:eastAsia="ja-JP"/>
        </w:rPr>
        <w:t>It is noted the s</w:t>
      </w:r>
      <w:r w:rsidR="00607F38" w:rsidRPr="00607F38">
        <w:rPr>
          <w:lang w:eastAsia="ja-JP"/>
        </w:rPr>
        <w:t>ponsor sought the advice of the CHMP regarding choice of com</w:t>
      </w:r>
      <w:r>
        <w:rPr>
          <w:lang w:eastAsia="ja-JP"/>
        </w:rPr>
        <w:t>parators in the proposed Phase III</w:t>
      </w:r>
      <w:r w:rsidR="00607F38" w:rsidRPr="00607F38">
        <w:rPr>
          <w:lang w:eastAsia="ja-JP"/>
        </w:rPr>
        <w:t xml:space="preserve"> development program, namely IDet in subjects with T1DM, IGlar for once daily dosing in subjects T2DM and NovoMix 30 for</w:t>
      </w:r>
      <w:r w:rsidR="00C468E6">
        <w:rPr>
          <w:lang w:eastAsia="ja-JP"/>
        </w:rPr>
        <w:t xml:space="preserve"> BD</w:t>
      </w:r>
      <w:r w:rsidR="00607F38" w:rsidRPr="00607F38">
        <w:rPr>
          <w:lang w:eastAsia="ja-JP"/>
        </w:rPr>
        <w:t xml:space="preserve"> dosing in subjects with T2DM. The CHMP stated the ‘</w:t>
      </w:r>
      <w:r w:rsidR="00607F38" w:rsidRPr="00607F38">
        <w:rPr>
          <w:i/>
          <w:lang w:eastAsia="ja-JP"/>
        </w:rPr>
        <w:t xml:space="preserve">proposed clinical programme evaluating the potential use of SIAC </w:t>
      </w:r>
      <w:r>
        <w:rPr>
          <w:lang w:eastAsia="ja-JP"/>
        </w:rPr>
        <w:t>[IDegAsp]</w:t>
      </w:r>
      <w:r w:rsidR="00607F38" w:rsidRPr="00607F38">
        <w:rPr>
          <w:i/>
          <w:lang w:eastAsia="ja-JP"/>
        </w:rPr>
        <w:t xml:space="preserve"> in various conditions with different comparators is in general acceptable and in line with the CHMP NfG (CPMP/EWP/1080/00).</w:t>
      </w:r>
    </w:p>
    <w:p w14:paraId="3687EE8A" w14:textId="4A015F0E" w:rsidR="00607F38" w:rsidRPr="00607F38" w:rsidRDefault="00607F38" w:rsidP="00607F38">
      <w:pPr>
        <w:rPr>
          <w:lang w:eastAsia="ja-JP"/>
        </w:rPr>
      </w:pPr>
      <w:r w:rsidRPr="00607F38">
        <w:rPr>
          <w:lang w:eastAsia="ja-JP"/>
        </w:rPr>
        <w:t xml:space="preserve">The </w:t>
      </w:r>
      <w:r w:rsidR="00446BE7">
        <w:rPr>
          <w:lang w:eastAsia="ja-JP"/>
        </w:rPr>
        <w:t>s</w:t>
      </w:r>
      <w:r w:rsidRPr="00607F38">
        <w:rPr>
          <w:lang w:eastAsia="ja-JP"/>
        </w:rPr>
        <w:t>ponsor provi</w:t>
      </w:r>
      <w:r w:rsidR="007704E6">
        <w:rPr>
          <w:lang w:eastAsia="ja-JP"/>
        </w:rPr>
        <w:t>ded minutes of end of clinical P</w:t>
      </w:r>
      <w:r w:rsidRPr="00607F38">
        <w:rPr>
          <w:lang w:eastAsia="ja-JP"/>
        </w:rPr>
        <w:t xml:space="preserve">hase II meeting between TGA and </w:t>
      </w:r>
      <w:r w:rsidR="007704E6">
        <w:rPr>
          <w:lang w:eastAsia="ja-JP"/>
        </w:rPr>
        <w:t>the sponsor</w:t>
      </w:r>
      <w:r w:rsidRPr="00607F38">
        <w:rPr>
          <w:lang w:eastAsia="ja-JP"/>
        </w:rPr>
        <w:t xml:space="preserve"> (5</w:t>
      </w:r>
      <w:r w:rsidR="007704E6">
        <w:rPr>
          <w:vertAlign w:val="superscript"/>
          <w:lang w:eastAsia="ja-JP"/>
        </w:rPr>
        <w:t xml:space="preserve"> </w:t>
      </w:r>
      <w:r w:rsidRPr="00607F38">
        <w:rPr>
          <w:lang w:eastAsia="ja-JP"/>
        </w:rPr>
        <w:t>March 2009) as referred to in the above response. The following points were discussed regarding comparators (note: SIBA and SIAC are synonymous with IDeg and IDegAsp respectively):</w:t>
      </w:r>
    </w:p>
    <w:p w14:paraId="17D6FF53" w14:textId="0C4B0237" w:rsidR="00607F38" w:rsidRPr="00607F38" w:rsidRDefault="00607F38" w:rsidP="007704E6">
      <w:pPr>
        <w:pStyle w:val="ListBullet"/>
        <w:rPr>
          <w:lang w:eastAsia="ja-JP"/>
        </w:rPr>
      </w:pPr>
      <w:r w:rsidRPr="00607F38">
        <w:rPr>
          <w:lang w:eastAsia="ja-JP"/>
        </w:rPr>
        <w:t xml:space="preserve">Choice of comparators: TGA considered the comparators to be appropriate and realistic for the proposed studies. However, TGA was concerned regarding the dose equality (clinical potency) of SIBA </w:t>
      </w:r>
      <w:r w:rsidR="007704E6">
        <w:rPr>
          <w:lang w:eastAsia="ja-JP"/>
        </w:rPr>
        <w:t>(IDeg)</w:t>
      </w:r>
      <w:r w:rsidRPr="00607F38">
        <w:rPr>
          <w:lang w:eastAsia="ja-JP"/>
        </w:rPr>
        <w:t xml:space="preserve"> and whether subjects would require a higher dose of bolus insulin compared to that used with other basal insulin analogues.</w:t>
      </w:r>
      <w:r w:rsidR="007704E6">
        <w:rPr>
          <w:lang w:eastAsia="ja-JP"/>
        </w:rPr>
        <w:t xml:space="preserve"> NN c</w:t>
      </w:r>
      <w:r w:rsidR="00292776">
        <w:rPr>
          <w:lang w:eastAsia="ja-JP"/>
        </w:rPr>
        <w:t>larified that overall the Phase </w:t>
      </w:r>
      <w:r w:rsidR="007704E6">
        <w:rPr>
          <w:lang w:eastAsia="ja-JP"/>
        </w:rPr>
        <w:t>II</w:t>
      </w:r>
      <w:r w:rsidRPr="00607F38">
        <w:rPr>
          <w:lang w:eastAsia="ja-JP"/>
        </w:rPr>
        <w:t xml:space="preserve"> data suggested that both SIBA </w:t>
      </w:r>
      <w:r w:rsidR="007704E6">
        <w:rPr>
          <w:lang w:eastAsia="ja-JP"/>
        </w:rPr>
        <w:t>(IDeg)</w:t>
      </w:r>
      <w:r w:rsidRPr="00607F38">
        <w:rPr>
          <w:lang w:eastAsia="ja-JP"/>
        </w:rPr>
        <w:t xml:space="preserve"> and SIAC </w:t>
      </w:r>
      <w:r w:rsidR="007704E6">
        <w:rPr>
          <w:lang w:eastAsia="ja-JP"/>
        </w:rPr>
        <w:t>(IDegAsp)</w:t>
      </w:r>
      <w:r w:rsidRPr="00607F38">
        <w:rPr>
          <w:lang w:eastAsia="ja-JP"/>
        </w:rPr>
        <w:t xml:space="preserve"> were dose equiv</w:t>
      </w:r>
      <w:r w:rsidR="007704E6">
        <w:rPr>
          <w:lang w:eastAsia="ja-JP"/>
        </w:rPr>
        <w:t>alent to insulin glargine. The Phase III</w:t>
      </w:r>
      <w:r w:rsidRPr="00607F38">
        <w:rPr>
          <w:lang w:eastAsia="ja-JP"/>
        </w:rPr>
        <w:t xml:space="preserve"> data will confirm.</w:t>
      </w:r>
    </w:p>
    <w:p w14:paraId="0FA73F7E" w14:textId="790B121B" w:rsidR="007704E6" w:rsidRDefault="00607F38" w:rsidP="00607F38">
      <w:pPr>
        <w:pStyle w:val="ListBullet"/>
        <w:rPr>
          <w:lang w:eastAsia="ja-JP"/>
        </w:rPr>
      </w:pPr>
      <w:r w:rsidRPr="00607F38">
        <w:rPr>
          <w:lang w:eastAsia="ja-JP"/>
        </w:rPr>
        <w:t xml:space="preserve">NN clarified that SIAC </w:t>
      </w:r>
      <w:r w:rsidR="007704E6">
        <w:rPr>
          <w:lang w:eastAsia="ja-JP"/>
        </w:rPr>
        <w:t>(IDegAsp)</w:t>
      </w:r>
      <w:r w:rsidRPr="00607F38">
        <w:rPr>
          <w:lang w:eastAsia="ja-JP"/>
        </w:rPr>
        <w:t xml:space="preserve"> </w:t>
      </w:r>
      <w:r w:rsidR="007704E6">
        <w:rPr>
          <w:lang w:eastAsia="ja-JP"/>
        </w:rPr>
        <w:t xml:space="preserve">once </w:t>
      </w:r>
      <w:r w:rsidRPr="00607F38">
        <w:rPr>
          <w:lang w:eastAsia="ja-JP"/>
        </w:rPr>
        <w:t xml:space="preserve">daily (OD) would be used both for initiation and intensification from basal insulin. Whereas SIAC </w:t>
      </w:r>
      <w:r w:rsidR="007704E6">
        <w:rPr>
          <w:lang w:eastAsia="ja-JP"/>
        </w:rPr>
        <w:t xml:space="preserve">(IDegAsp) twice </w:t>
      </w:r>
      <w:r w:rsidRPr="00607F38">
        <w:rPr>
          <w:lang w:eastAsia="ja-JP"/>
        </w:rPr>
        <w:t>daily</w:t>
      </w:r>
      <w:r w:rsidR="00C468E6">
        <w:rPr>
          <w:lang w:eastAsia="ja-JP"/>
        </w:rPr>
        <w:t xml:space="preserve"> (BD)</w:t>
      </w:r>
      <w:r w:rsidRPr="00607F38">
        <w:rPr>
          <w:lang w:eastAsia="ja-JP"/>
        </w:rPr>
        <w:t xml:space="preserve"> would be reserved for switch from premixed insulin. Upon clarification of the OD dosing regimen for initiation and intensification as well as the</w:t>
      </w:r>
      <w:r w:rsidR="00C468E6">
        <w:rPr>
          <w:lang w:eastAsia="ja-JP"/>
        </w:rPr>
        <w:t xml:space="preserve"> BD</w:t>
      </w:r>
      <w:r w:rsidRPr="00607F38">
        <w:rPr>
          <w:lang w:eastAsia="ja-JP"/>
        </w:rPr>
        <w:t xml:space="preserve"> dosi</w:t>
      </w:r>
      <w:r w:rsidR="007704E6">
        <w:rPr>
          <w:lang w:eastAsia="ja-JP"/>
        </w:rPr>
        <w:t>ng for switching from pre</w:t>
      </w:r>
      <w:r w:rsidRPr="00607F38">
        <w:rPr>
          <w:lang w:eastAsia="ja-JP"/>
        </w:rPr>
        <w:t>mixed insulin, TGA had no further concerns regarding the proposed dosing regimens.</w:t>
      </w:r>
    </w:p>
    <w:p w14:paraId="24098E01" w14:textId="77777777" w:rsidR="007704E6" w:rsidRDefault="00607F38" w:rsidP="00607F38">
      <w:pPr>
        <w:pStyle w:val="ListBullet"/>
        <w:rPr>
          <w:lang w:eastAsia="ja-JP"/>
        </w:rPr>
      </w:pPr>
      <w:r w:rsidRPr="007704E6">
        <w:rPr>
          <w:lang w:eastAsia="ja-JP"/>
        </w:rPr>
        <w:t>NN clarified that subjects would not initiate thiazolidinedione (TZD) treatment, but only continue on pioglitazone if already treated with a combination of insulin and TZDs.</w:t>
      </w:r>
    </w:p>
    <w:p w14:paraId="7F635D1C" w14:textId="1D998DF6" w:rsidR="00607F38" w:rsidRPr="007704E6" w:rsidRDefault="00607F38" w:rsidP="00607F38">
      <w:pPr>
        <w:pStyle w:val="ListBullet"/>
        <w:rPr>
          <w:lang w:eastAsia="ja-JP"/>
        </w:rPr>
      </w:pPr>
      <w:r w:rsidRPr="007704E6">
        <w:rPr>
          <w:lang w:eastAsia="ja-JP"/>
        </w:rPr>
        <w:lastRenderedPageBreak/>
        <w:t>Following clarification, TGA were satisfied with the OAD combination programme.</w:t>
      </w:r>
    </w:p>
    <w:p w14:paraId="4156A4EA" w14:textId="4064BFF6" w:rsidR="00607F38" w:rsidRPr="00607F38" w:rsidRDefault="00607F38" w:rsidP="00607F38">
      <w:pPr>
        <w:rPr>
          <w:lang w:eastAsia="ja-JP"/>
        </w:rPr>
      </w:pPr>
      <w:r w:rsidRPr="00607F38">
        <w:rPr>
          <w:lang w:eastAsia="ja-JP"/>
        </w:rPr>
        <w:t>I</w:t>
      </w:r>
      <w:r w:rsidR="007704E6">
        <w:rPr>
          <w:lang w:eastAsia="ja-JP"/>
        </w:rPr>
        <w:t>n summary, the s</w:t>
      </w:r>
      <w:r w:rsidRPr="00607F38">
        <w:rPr>
          <w:lang w:eastAsia="ja-JP"/>
        </w:rPr>
        <w:t>ponsor’s response regarding choice of BIAsp 30</w:t>
      </w:r>
      <w:r w:rsidR="00C468E6">
        <w:rPr>
          <w:lang w:eastAsia="ja-JP"/>
        </w:rPr>
        <w:t xml:space="preserve"> BD</w:t>
      </w:r>
      <w:r w:rsidRPr="00607F38">
        <w:rPr>
          <w:lang w:eastAsia="ja-JP"/>
        </w:rPr>
        <w:t xml:space="preserve"> as comparator for</w:t>
      </w:r>
      <w:r w:rsidR="00C468E6">
        <w:rPr>
          <w:lang w:eastAsia="ja-JP"/>
        </w:rPr>
        <w:t xml:space="preserve"> BD</w:t>
      </w:r>
      <w:r w:rsidR="007704E6">
        <w:rPr>
          <w:lang w:eastAsia="ja-JP"/>
        </w:rPr>
        <w:t xml:space="preserve"> dosing regimen is acceptable.</w:t>
      </w:r>
    </w:p>
    <w:p w14:paraId="34018837" w14:textId="2E875D84" w:rsidR="00607F38" w:rsidRPr="00607F38" w:rsidRDefault="00607F38" w:rsidP="007704E6">
      <w:pPr>
        <w:pStyle w:val="Numberbullet0"/>
        <w:rPr>
          <w:lang w:eastAsia="ja-JP"/>
        </w:rPr>
      </w:pPr>
      <w:r w:rsidRPr="00607F38">
        <w:rPr>
          <w:lang w:eastAsia="ja-JP"/>
        </w:rPr>
        <w:t>Concomitant OADs in T2DM Studies</w:t>
      </w:r>
    </w:p>
    <w:p w14:paraId="7EF00E95" w14:textId="0A8AE2EF" w:rsidR="00607F38" w:rsidRPr="00607F38" w:rsidRDefault="007704E6" w:rsidP="00607F38">
      <w:pPr>
        <w:rPr>
          <w:lang w:eastAsia="ja-JP"/>
        </w:rPr>
      </w:pPr>
      <w:r>
        <w:rPr>
          <w:lang w:eastAsia="ja-JP"/>
        </w:rPr>
        <w:t>The clinical e</w:t>
      </w:r>
      <w:r w:rsidR="00607F38" w:rsidRPr="00607F38">
        <w:rPr>
          <w:lang w:eastAsia="ja-JP"/>
        </w:rPr>
        <w:t xml:space="preserve">valuator for </w:t>
      </w:r>
      <w:r>
        <w:rPr>
          <w:lang w:eastAsia="ja-JP"/>
        </w:rPr>
        <w:t xml:space="preserve">the previous </w:t>
      </w:r>
      <w:r w:rsidR="00292776">
        <w:rPr>
          <w:lang w:eastAsia="ja-JP"/>
        </w:rPr>
        <w:t xml:space="preserve">withdrawn submission </w:t>
      </w:r>
      <w:r w:rsidR="00607F38" w:rsidRPr="00607F38">
        <w:rPr>
          <w:lang w:eastAsia="ja-JP"/>
        </w:rPr>
        <w:t>commented the efficacy and safety of IDegAsp in combination with insulin secretagogues, α-glucosidase inhibitors and GLP-1 agonists has not been evaluated.</w:t>
      </w:r>
    </w:p>
    <w:p w14:paraId="5A6C672F" w14:textId="2D7390D1" w:rsidR="00607F38" w:rsidRPr="00607F38" w:rsidRDefault="00607F38" w:rsidP="007704E6">
      <w:pPr>
        <w:pStyle w:val="Comment"/>
        <w:rPr>
          <w:lang w:eastAsia="ja-JP"/>
        </w:rPr>
      </w:pPr>
      <w:r w:rsidRPr="00213545">
        <w:rPr>
          <w:b/>
        </w:rPr>
        <w:t>Comment:</w:t>
      </w:r>
      <w:r w:rsidRPr="00607F38">
        <w:rPr>
          <w:lang w:eastAsia="ja-JP"/>
        </w:rPr>
        <w:t xml:space="preserve"> </w:t>
      </w:r>
      <w:r w:rsidR="007704E6">
        <w:rPr>
          <w:lang w:eastAsia="ja-JP"/>
        </w:rPr>
        <w:t xml:space="preserve"> </w:t>
      </w:r>
      <w:r w:rsidRPr="00607F38">
        <w:rPr>
          <w:lang w:eastAsia="ja-JP"/>
        </w:rPr>
        <w:t>The absence of data in combination with sulphonylureas was raised by the CHMP in the document EMA Scientific Advice N</w:t>
      </w:r>
      <w:r w:rsidR="00AA746D">
        <w:rPr>
          <w:lang w:eastAsia="ja-JP"/>
        </w:rPr>
        <w:t xml:space="preserve">N5401 SIAC dated February 2009. </w:t>
      </w:r>
      <w:r w:rsidRPr="00607F38">
        <w:rPr>
          <w:lang w:eastAsia="ja-JP"/>
        </w:rPr>
        <w:t xml:space="preserve">The following question regarding proposed combination </w:t>
      </w:r>
      <w:r w:rsidR="00AA746D">
        <w:rPr>
          <w:lang w:eastAsia="ja-JP"/>
        </w:rPr>
        <w:t>of OADs was put forward by the s</w:t>
      </w:r>
      <w:r w:rsidRPr="00607F38">
        <w:rPr>
          <w:lang w:eastAsia="ja-JP"/>
        </w:rPr>
        <w:t>ponsor to the CHMP for comment:</w:t>
      </w:r>
    </w:p>
    <w:p w14:paraId="0BBF5610" w14:textId="1F69284D" w:rsidR="00607F38" w:rsidRPr="00607F38" w:rsidRDefault="00607F38" w:rsidP="00AA746D">
      <w:pPr>
        <w:ind w:left="1134"/>
        <w:rPr>
          <w:i/>
          <w:lang w:eastAsia="ja-JP"/>
        </w:rPr>
      </w:pPr>
      <w:r w:rsidRPr="00607F38">
        <w:rPr>
          <w:i/>
          <w:lang w:eastAsia="ja-JP"/>
        </w:rPr>
        <w:t>‘Does the agency agree that the proposed trials investigating SIAC in combination with metfor</w:t>
      </w:r>
      <w:r w:rsidR="00292776">
        <w:rPr>
          <w:i/>
          <w:lang w:eastAsia="ja-JP"/>
        </w:rPr>
        <w:t>min, TZDs and DPP-4I</w:t>
      </w:r>
      <w:r w:rsidRPr="00607F38">
        <w:rPr>
          <w:i/>
          <w:lang w:eastAsia="ja-JP"/>
        </w:rPr>
        <w:t>’s are sufficient for obtaining a general indication for the use of SIAC in combination with OAD agents?’</w:t>
      </w:r>
    </w:p>
    <w:p w14:paraId="512DF8A2" w14:textId="289A93A4" w:rsidR="00607F38" w:rsidRDefault="00607F38" w:rsidP="00AA746D">
      <w:pPr>
        <w:ind w:left="414" w:firstLine="720"/>
        <w:rPr>
          <w:lang w:eastAsia="ja-JP"/>
        </w:rPr>
      </w:pPr>
      <w:r w:rsidRPr="00607F38">
        <w:rPr>
          <w:lang w:eastAsia="ja-JP"/>
        </w:rPr>
        <w:t>The CHMP response included the following st</w:t>
      </w:r>
      <w:r w:rsidR="00213545">
        <w:rPr>
          <w:lang w:eastAsia="ja-JP"/>
        </w:rPr>
        <w:t>atements:</w:t>
      </w:r>
    </w:p>
    <w:p w14:paraId="4FF1CF8C" w14:textId="674A9CC1" w:rsidR="00AA746D" w:rsidRPr="00213545" w:rsidRDefault="00AA746D" w:rsidP="00AA746D">
      <w:pPr>
        <w:ind w:left="1134"/>
        <w:rPr>
          <w:i/>
          <w:lang w:eastAsia="ja-JP"/>
        </w:rPr>
      </w:pPr>
      <w:r w:rsidRPr="00213545">
        <w:rPr>
          <w:i/>
          <w:lang w:eastAsia="ja-JP"/>
        </w:rPr>
        <w:t>‘Although it is generally agreed that representative data on</w:t>
      </w:r>
      <w:r w:rsidR="00D44164">
        <w:rPr>
          <w:i/>
          <w:lang w:eastAsia="ja-JP"/>
        </w:rPr>
        <w:t xml:space="preserve"> 1</w:t>
      </w:r>
      <w:r w:rsidRPr="00213545">
        <w:rPr>
          <w:i/>
          <w:lang w:eastAsia="ja-JP"/>
        </w:rPr>
        <w:t xml:space="preserve"> substance and/or combination may be extrapolated to the further substances of the whole class of the compound, in serval instances the extrapolation may need justification, or can as such not be accepted (for example, different safety profiles).</w:t>
      </w:r>
    </w:p>
    <w:p w14:paraId="6BA84BCC" w14:textId="556578D8" w:rsidR="00607F38" w:rsidRPr="00213545" w:rsidRDefault="00AA746D" w:rsidP="00213545">
      <w:pPr>
        <w:ind w:left="1134"/>
        <w:rPr>
          <w:i/>
          <w:lang w:eastAsia="ja-JP"/>
        </w:rPr>
      </w:pPr>
      <w:r w:rsidRPr="00213545">
        <w:rPr>
          <w:i/>
          <w:lang w:eastAsia="ja-JP"/>
        </w:rPr>
        <w:t xml:space="preserve">There is no study including metformin and SU in combination with SIAC. The applicant should consider that metformin in combination with SU is widely used and thus and add on of SIAC to this combination with SU </w:t>
      </w:r>
      <w:r w:rsidR="007F105E">
        <w:rPr>
          <w:i/>
          <w:lang w:eastAsia="ja-JP"/>
        </w:rPr>
        <w:t xml:space="preserve">is widely used and thus, </w:t>
      </w:r>
      <w:proofErr w:type="gramStart"/>
      <w:r w:rsidR="007F105E">
        <w:rPr>
          <w:i/>
          <w:lang w:eastAsia="ja-JP"/>
        </w:rPr>
        <w:t>an add</w:t>
      </w:r>
      <w:proofErr w:type="gramEnd"/>
      <w:r w:rsidR="007F105E">
        <w:rPr>
          <w:i/>
          <w:lang w:eastAsia="ja-JP"/>
        </w:rPr>
        <w:t xml:space="preserve"> </w:t>
      </w:r>
      <w:r w:rsidRPr="00213545">
        <w:rPr>
          <w:i/>
          <w:lang w:eastAsia="ja-JP"/>
        </w:rPr>
        <w:t>on of SIAC to this combination is clinically relevant. An additional treatment arm in Study</w:t>
      </w:r>
      <w:r w:rsidR="007F105E">
        <w:rPr>
          <w:i/>
          <w:lang w:eastAsia="ja-JP"/>
        </w:rPr>
        <w:t> </w:t>
      </w:r>
      <w:r w:rsidR="007F105E" w:rsidRPr="007F105E">
        <w:rPr>
          <w:i/>
          <w:lang w:eastAsia="ja-JP"/>
        </w:rPr>
        <w:t>NN5401</w:t>
      </w:r>
      <w:r w:rsidR="007F105E">
        <w:rPr>
          <w:i/>
          <w:lang w:eastAsia="ja-JP"/>
        </w:rPr>
        <w:t>-</w:t>
      </w:r>
      <w:r w:rsidRPr="00213545">
        <w:rPr>
          <w:i/>
          <w:lang w:eastAsia="ja-JP"/>
        </w:rPr>
        <w:t>3592</w:t>
      </w:r>
      <w:r w:rsidR="00213545" w:rsidRPr="00213545">
        <w:rPr>
          <w:i/>
          <w:lang w:eastAsia="ja-JP"/>
        </w:rPr>
        <w:t xml:space="preserve"> investigating this combination should be considered. The number of patients included in the study should be large enough to allow meaningful subgroup analyses of the different concomitant OAD’s’.</w:t>
      </w:r>
    </w:p>
    <w:p w14:paraId="3270AEFF" w14:textId="44B1E7B2" w:rsidR="00607F38" w:rsidRPr="00607F38" w:rsidRDefault="00607F38" w:rsidP="00213545">
      <w:pPr>
        <w:ind w:left="1134"/>
        <w:rPr>
          <w:lang w:eastAsia="ja-JP"/>
        </w:rPr>
      </w:pPr>
      <w:r w:rsidRPr="00607F38">
        <w:rPr>
          <w:lang w:eastAsia="ja-JP"/>
        </w:rPr>
        <w:t>The lack of data for metformin in combination with insulin secretagogues was co</w:t>
      </w:r>
      <w:r w:rsidR="00213545">
        <w:rPr>
          <w:lang w:eastAsia="ja-JP"/>
        </w:rPr>
        <w:t>nsidered acceptable by the EMA e</w:t>
      </w:r>
      <w:r w:rsidRPr="00607F38">
        <w:rPr>
          <w:lang w:eastAsia="ja-JP"/>
        </w:rPr>
        <w:t xml:space="preserve">valuator, as commented </w:t>
      </w:r>
      <w:r w:rsidR="00213545">
        <w:rPr>
          <w:lang w:eastAsia="ja-JP"/>
        </w:rPr>
        <w:t xml:space="preserve">in the </w:t>
      </w:r>
      <w:r w:rsidRPr="00607F38">
        <w:rPr>
          <w:lang w:eastAsia="ja-JP"/>
        </w:rPr>
        <w:t>CHMP assessment report</w:t>
      </w:r>
      <w:r w:rsidR="00213545">
        <w:rPr>
          <w:lang w:eastAsia="ja-JP"/>
        </w:rPr>
        <w:t>:</w:t>
      </w:r>
    </w:p>
    <w:p w14:paraId="27F6370B" w14:textId="7297AFBF" w:rsidR="00607F38" w:rsidRPr="00607F38" w:rsidRDefault="00213545" w:rsidP="00213545">
      <w:pPr>
        <w:ind w:left="1134"/>
        <w:rPr>
          <w:i/>
          <w:lang w:eastAsia="ja-JP"/>
        </w:rPr>
      </w:pPr>
      <w:r>
        <w:rPr>
          <w:lang w:eastAsia="ja-JP"/>
        </w:rPr>
        <w:t>‘</w:t>
      </w:r>
      <w:r w:rsidR="00607F38" w:rsidRPr="00607F38">
        <w:rPr>
          <w:i/>
          <w:lang w:eastAsia="ja-JP"/>
        </w:rPr>
        <w:t>As insulin secretagogues were to be discontinued, there is no data on the combination of metformin and insulin secretagogues. However, since the combination of prandial insulin and insulin secretagogues is not recommended by the recognized clinical treatment gui</w:t>
      </w:r>
      <w:r w:rsidR="00B94145">
        <w:rPr>
          <w:i/>
          <w:lang w:eastAsia="ja-JP"/>
        </w:rPr>
        <w:t>delines, this is acceptable’.</w:t>
      </w:r>
    </w:p>
    <w:p w14:paraId="4296BF30" w14:textId="351A1000" w:rsidR="00607F38" w:rsidRPr="00607F38" w:rsidRDefault="00607F38" w:rsidP="00607F38">
      <w:pPr>
        <w:rPr>
          <w:lang w:eastAsia="ja-JP"/>
        </w:rPr>
      </w:pPr>
      <w:r w:rsidRPr="00607F38">
        <w:rPr>
          <w:lang w:eastAsia="ja-JP"/>
        </w:rPr>
        <w:t>In the Australian clinical practice guideline General Practice Man</w:t>
      </w:r>
      <w:r w:rsidR="00B94145">
        <w:rPr>
          <w:lang w:eastAsia="ja-JP"/>
        </w:rPr>
        <w:t xml:space="preserve">agement of Type 2 Diabetes 2016 to </w:t>
      </w:r>
      <w:r w:rsidRPr="00607F38">
        <w:rPr>
          <w:lang w:eastAsia="ja-JP"/>
        </w:rPr>
        <w:t>2018</w:t>
      </w:r>
      <w:proofErr w:type="gramStart"/>
      <w:r w:rsidR="00B94145">
        <w:rPr>
          <w:lang w:eastAsia="ja-JP"/>
        </w:rPr>
        <w:t>;</w:t>
      </w:r>
      <w:r w:rsidRPr="00607F38">
        <w:rPr>
          <w:vertAlign w:val="superscript"/>
          <w:lang w:eastAsia="ja-JP"/>
        </w:rPr>
        <w:t>2</w:t>
      </w:r>
      <w:proofErr w:type="gramEnd"/>
      <w:r w:rsidR="00B94145">
        <w:rPr>
          <w:vertAlign w:val="superscript"/>
          <w:lang w:eastAsia="ja-JP"/>
        </w:rPr>
        <w:t>,</w:t>
      </w:r>
      <w:r w:rsidRPr="00607F38">
        <w:rPr>
          <w:vertAlign w:val="superscript"/>
          <w:lang w:eastAsia="ja-JP"/>
        </w:rPr>
        <w:footnoteReference w:id="6"/>
      </w:r>
      <w:r w:rsidRPr="00607F38">
        <w:rPr>
          <w:lang w:eastAsia="ja-JP"/>
        </w:rPr>
        <w:t xml:space="preserve"> sulphonylureas remain a second line agent (and first line if metformin is contraindicated), with the comment ‘</w:t>
      </w:r>
      <w:r w:rsidRPr="00607F38">
        <w:rPr>
          <w:i/>
          <w:lang w:eastAsia="ja-JP"/>
        </w:rPr>
        <w:t>SU are the usual initial agent to add to metformin. If SU are contraindicated or not tolerated another agent may be used</w:t>
      </w:r>
      <w:r w:rsidRPr="00607F38">
        <w:rPr>
          <w:lang w:eastAsia="ja-JP"/>
        </w:rPr>
        <w:t xml:space="preserve">.’ These agents include DPP-4I, sodium glucose co-transporter 2 inhibitors, GLP-1 receptor agonists, acarbose, thiazolidinedione and insulin. Whilst the availability of newer agents which are not associated with hypoglycaemia, such as DPP-4I and sodium glucose co-transporter 2 inhibitors, affords practitioners a greater choice of OADs to use in combination with insulin when treatment intensification is required, it is nevertheless not unreasonable to expect patients with T2DM to be on a combination of metformin and sulphonylureas in current clinical practice. Thus, the lack of data for IDegAsp in combination with sulphonylureas, as well of the risk of hypoglycaemia if </w:t>
      </w:r>
      <w:r w:rsidRPr="00607F38">
        <w:rPr>
          <w:lang w:eastAsia="ja-JP"/>
        </w:rPr>
        <w:lastRenderedPageBreak/>
        <w:t>sulphonylureas are combined with a prandial insulin</w:t>
      </w:r>
      <w:r w:rsidR="00C468E6">
        <w:rPr>
          <w:lang w:eastAsia="ja-JP"/>
        </w:rPr>
        <w:t xml:space="preserve"> treatment</w:t>
      </w:r>
      <w:r w:rsidRPr="00607F38">
        <w:rPr>
          <w:lang w:eastAsia="ja-JP"/>
        </w:rPr>
        <w:t xml:space="preserve">, </w:t>
      </w:r>
      <w:r w:rsidR="00B94145">
        <w:rPr>
          <w:lang w:eastAsia="ja-JP"/>
        </w:rPr>
        <w:t>should be documented in the PI.</w:t>
      </w:r>
    </w:p>
    <w:p w14:paraId="2C316237" w14:textId="2D12B391" w:rsidR="00607F38" w:rsidRPr="00607F38" w:rsidRDefault="00607F38" w:rsidP="00B94145">
      <w:pPr>
        <w:pStyle w:val="Numberbullet0"/>
        <w:rPr>
          <w:lang w:eastAsia="ja-JP"/>
        </w:rPr>
      </w:pPr>
      <w:r w:rsidRPr="00607F38">
        <w:rPr>
          <w:lang w:eastAsia="ja-JP"/>
        </w:rPr>
        <w:t>Efficacy o</w:t>
      </w:r>
      <w:r w:rsidR="00B94145">
        <w:rPr>
          <w:lang w:eastAsia="ja-JP"/>
        </w:rPr>
        <w:t>f twice-daily dosing of IDegAsp</w:t>
      </w:r>
    </w:p>
    <w:p w14:paraId="76D26A57" w14:textId="54B12AD0" w:rsidR="00607F38" w:rsidRPr="00607F38" w:rsidRDefault="00607F38" w:rsidP="00B94145">
      <w:pPr>
        <w:rPr>
          <w:lang w:eastAsia="ja-JP"/>
        </w:rPr>
      </w:pPr>
      <w:r w:rsidRPr="00607F38">
        <w:rPr>
          <w:lang w:eastAsia="ja-JP"/>
        </w:rPr>
        <w:t xml:space="preserve">The </w:t>
      </w:r>
      <w:r w:rsidR="00B94145">
        <w:rPr>
          <w:lang w:eastAsia="ja-JP"/>
        </w:rPr>
        <w:t>clinical evaluator</w:t>
      </w:r>
      <w:r w:rsidRPr="00607F38">
        <w:rPr>
          <w:lang w:eastAsia="ja-JP"/>
        </w:rPr>
        <w:t xml:space="preserve"> for</w:t>
      </w:r>
      <w:r w:rsidR="00B94145">
        <w:rPr>
          <w:lang w:eastAsia="ja-JP"/>
        </w:rPr>
        <w:t xml:space="preserve"> the </w:t>
      </w:r>
      <w:r w:rsidR="003A190C">
        <w:rPr>
          <w:lang w:eastAsia="ja-JP"/>
        </w:rPr>
        <w:t>original withdrawn submission</w:t>
      </w:r>
      <w:r w:rsidRPr="00607F38">
        <w:rPr>
          <w:lang w:eastAsia="ja-JP"/>
        </w:rPr>
        <w:t xml:space="preserve"> stated the following on </w:t>
      </w:r>
      <w:r w:rsidR="00B94145">
        <w:rPr>
          <w:lang w:eastAsia="ja-JP"/>
        </w:rPr>
        <w:t>in the s</w:t>
      </w:r>
      <w:r w:rsidRPr="00607F38">
        <w:rPr>
          <w:lang w:eastAsia="ja-JP"/>
        </w:rPr>
        <w:t>upplementary</w:t>
      </w:r>
      <w:r w:rsidR="00B94145">
        <w:rPr>
          <w:lang w:eastAsia="ja-JP"/>
        </w:rPr>
        <w:t xml:space="preserve"> CER: </w:t>
      </w:r>
      <w:r w:rsidRPr="00607F38">
        <w:rPr>
          <w:lang w:eastAsia="ja-JP"/>
        </w:rPr>
        <w:t>‘</w:t>
      </w:r>
      <w:r w:rsidRPr="00607F38">
        <w:rPr>
          <w:i/>
          <w:lang w:eastAsia="ja-JP"/>
        </w:rPr>
        <w:t>The evidence for efficacy of the new combination of IDegAsp was not conclusive especially with respect to the proposed twice daily dosing in patients with T2DM</w:t>
      </w:r>
      <w:r w:rsidR="00B94145">
        <w:rPr>
          <w:lang w:eastAsia="ja-JP"/>
        </w:rPr>
        <w:t>’.</w:t>
      </w:r>
    </w:p>
    <w:p w14:paraId="070D1CF4" w14:textId="7425290A" w:rsidR="00607F38" w:rsidRPr="00607F38" w:rsidRDefault="00607F38" w:rsidP="00B94145">
      <w:pPr>
        <w:pStyle w:val="Comment"/>
        <w:rPr>
          <w:lang w:eastAsia="ja-JP"/>
        </w:rPr>
      </w:pPr>
      <w:r w:rsidRPr="00B94145">
        <w:rPr>
          <w:b/>
          <w:lang w:eastAsia="ja-JP"/>
        </w:rPr>
        <w:t>Comment:</w:t>
      </w:r>
      <w:r w:rsidR="00B94145" w:rsidRPr="00B94145">
        <w:rPr>
          <w:b/>
          <w:lang w:eastAsia="ja-JP"/>
        </w:rPr>
        <w:t xml:space="preserve"> </w:t>
      </w:r>
      <w:r w:rsidRPr="00B94145">
        <w:rPr>
          <w:b/>
          <w:lang w:eastAsia="ja-JP"/>
        </w:rPr>
        <w:t xml:space="preserve"> </w:t>
      </w:r>
      <w:r w:rsidR="00B94145">
        <w:rPr>
          <w:lang w:eastAsia="ja-JP"/>
        </w:rPr>
        <w:t>The s</w:t>
      </w:r>
      <w:r w:rsidRPr="00607F38">
        <w:rPr>
          <w:lang w:eastAsia="ja-JP"/>
        </w:rPr>
        <w:t>ponsor has stated that in all of the confirmatory trials, non-inferi</w:t>
      </w:r>
      <w:r w:rsidR="00B94145">
        <w:rPr>
          <w:lang w:eastAsia="ja-JP"/>
        </w:rPr>
        <w:t>ority of IDegAsp (OD or</w:t>
      </w:r>
      <w:r w:rsidR="00C468E6">
        <w:rPr>
          <w:lang w:eastAsia="ja-JP"/>
        </w:rPr>
        <w:t xml:space="preserve"> BD</w:t>
      </w:r>
      <w:r w:rsidR="00B94145">
        <w:rPr>
          <w:lang w:eastAsia="ja-JP"/>
        </w:rPr>
        <w:t>) versus</w:t>
      </w:r>
      <w:r w:rsidRPr="00607F38">
        <w:rPr>
          <w:lang w:eastAsia="ja-JP"/>
        </w:rPr>
        <w:t xml:space="preserve"> the comparator product was demonstrated in terms of the primary efficacy endpoint (change in HbA1c). Non-inferiority of IDegAsp to respective comparators (IDet, IGlar and BIAsp30) in terms of reduction in HbA1c from </w:t>
      </w:r>
      <w:r w:rsidR="00B94145">
        <w:rPr>
          <w:lang w:eastAsia="ja-JP"/>
        </w:rPr>
        <w:t>B</w:t>
      </w:r>
      <w:r w:rsidRPr="00607F38">
        <w:rPr>
          <w:lang w:eastAsia="ja-JP"/>
        </w:rPr>
        <w:t xml:space="preserve">aseline was demonstrated in the pivotal studies previously evaluated in </w:t>
      </w:r>
      <w:r w:rsidR="003A190C">
        <w:rPr>
          <w:lang w:eastAsia="ja-JP"/>
        </w:rPr>
        <w:t>the original withdrawn submission.</w:t>
      </w:r>
      <w:r w:rsidRPr="00607F38">
        <w:rPr>
          <w:lang w:eastAsia="ja-JP"/>
        </w:rPr>
        <w:t xml:space="preserve"> (</w:t>
      </w:r>
      <w:proofErr w:type="gramStart"/>
      <w:r w:rsidRPr="00607F38">
        <w:rPr>
          <w:lang w:eastAsia="ja-JP"/>
        </w:rPr>
        <w:t>see</w:t>
      </w:r>
      <w:proofErr w:type="gramEnd"/>
      <w:r w:rsidRPr="00607F38">
        <w:rPr>
          <w:lang w:eastAsia="ja-JP"/>
        </w:rPr>
        <w:t xml:space="preserve"> </w:t>
      </w:r>
      <w:r w:rsidR="00B94145">
        <w:rPr>
          <w:lang w:eastAsia="ja-JP"/>
        </w:rPr>
        <w:t>Table 4, above).</w:t>
      </w:r>
    </w:p>
    <w:p w14:paraId="1D1C640E" w14:textId="44C03271" w:rsidR="00607F38" w:rsidRPr="00607F38" w:rsidRDefault="00607F38" w:rsidP="00B94145">
      <w:pPr>
        <w:pStyle w:val="Numberbullet0"/>
        <w:rPr>
          <w:lang w:eastAsia="ja-JP"/>
        </w:rPr>
      </w:pPr>
      <w:r w:rsidRPr="00607F38">
        <w:rPr>
          <w:lang w:eastAsia="ja-JP"/>
        </w:rPr>
        <w:t>Efficacy and safety of IDegAsp in T2DM</w:t>
      </w:r>
      <w:r w:rsidR="00B94145">
        <w:rPr>
          <w:lang w:eastAsia="ja-JP"/>
        </w:rPr>
        <w:t xml:space="preserve"> not evaluated beyond 26 weeks</w:t>
      </w:r>
    </w:p>
    <w:p w14:paraId="13C15E2F" w14:textId="20129EA9" w:rsidR="00607F38" w:rsidRPr="00607F38" w:rsidRDefault="00607F38" w:rsidP="00607F38">
      <w:pPr>
        <w:rPr>
          <w:lang w:eastAsia="ja-JP"/>
        </w:rPr>
      </w:pPr>
      <w:r w:rsidRPr="00607F38">
        <w:rPr>
          <w:lang w:eastAsia="ja-JP"/>
        </w:rPr>
        <w:t xml:space="preserve">The </w:t>
      </w:r>
      <w:r w:rsidR="00B94145">
        <w:rPr>
          <w:lang w:eastAsia="ja-JP"/>
        </w:rPr>
        <w:t>clinical evaluator</w:t>
      </w:r>
      <w:r w:rsidRPr="00607F38">
        <w:rPr>
          <w:lang w:eastAsia="ja-JP"/>
        </w:rPr>
        <w:t xml:space="preserve"> for </w:t>
      </w:r>
      <w:r w:rsidR="003A190C">
        <w:rPr>
          <w:lang w:eastAsia="ja-JP"/>
        </w:rPr>
        <w:t xml:space="preserve">the original withdrawn submission </w:t>
      </w:r>
      <w:r w:rsidRPr="00607F38">
        <w:rPr>
          <w:lang w:eastAsia="ja-JP"/>
        </w:rPr>
        <w:t>noted the lack of studies in subjects with T2DM beyond 26 weeks.</w:t>
      </w:r>
    </w:p>
    <w:p w14:paraId="7C46E9B7" w14:textId="4C52DF0E" w:rsidR="00607F38" w:rsidRPr="00607F38" w:rsidRDefault="008E4E7C" w:rsidP="008E4E7C">
      <w:pPr>
        <w:pStyle w:val="Comment"/>
        <w:rPr>
          <w:lang w:eastAsia="ja-JP"/>
        </w:rPr>
      </w:pPr>
      <w:r w:rsidRPr="008E4E7C">
        <w:rPr>
          <w:b/>
          <w:lang w:eastAsia="ja-JP"/>
        </w:rPr>
        <w:t>C</w:t>
      </w:r>
      <w:r w:rsidR="00607F38" w:rsidRPr="008E4E7C">
        <w:rPr>
          <w:b/>
          <w:lang w:eastAsia="ja-JP"/>
        </w:rPr>
        <w:t>omment</w:t>
      </w:r>
      <w:r w:rsidR="00607F38" w:rsidRPr="00607F38">
        <w:rPr>
          <w:lang w:eastAsia="ja-JP"/>
        </w:rPr>
        <w:t xml:space="preserve">: </w:t>
      </w:r>
      <w:r>
        <w:rPr>
          <w:lang w:eastAsia="ja-JP"/>
        </w:rPr>
        <w:t xml:space="preserve"> </w:t>
      </w:r>
      <w:r w:rsidR="00607F38" w:rsidRPr="00607F38">
        <w:rPr>
          <w:lang w:eastAsia="ja-JP"/>
        </w:rPr>
        <w:t xml:space="preserve">It is noted the TGA adopted EU </w:t>
      </w:r>
      <w:r>
        <w:rPr>
          <w:lang w:eastAsia="ja-JP"/>
        </w:rPr>
        <w:t>‘</w:t>
      </w:r>
      <w:r w:rsidR="00607F38" w:rsidRPr="00607F38">
        <w:rPr>
          <w:i/>
          <w:lang w:eastAsia="ja-JP"/>
        </w:rPr>
        <w:t>Guideline on clinical investigation of medicinal products in the treatment of diabetes mellitus</w:t>
      </w:r>
      <w:r w:rsidR="001366C8">
        <w:rPr>
          <w:i/>
          <w:lang w:eastAsia="ja-JP"/>
        </w:rPr>
        <w:t>’</w:t>
      </w:r>
      <w:r w:rsidR="00607F38" w:rsidRPr="00607F38">
        <w:rPr>
          <w:lang w:eastAsia="ja-JP"/>
        </w:rPr>
        <w:t xml:space="preserve"> states the comparative phase of confirmatory trials should usually be of 6 months duration and follow up data covering 12 months should be available for novel insulin analogues.</w:t>
      </w:r>
      <w:r w:rsidR="001366C8" w:rsidRPr="00607F38">
        <w:rPr>
          <w:vertAlign w:val="superscript"/>
          <w:lang w:eastAsia="ja-JP"/>
        </w:rPr>
        <w:footnoteReference w:id="7"/>
      </w:r>
      <w:r w:rsidR="00607F38" w:rsidRPr="00607F38">
        <w:rPr>
          <w:lang w:eastAsia="ja-JP"/>
        </w:rPr>
        <w:t xml:space="preserve"> For IDegAsp, efficacy over 12 months has been demonstrated for subjects with T1DM in </w:t>
      </w:r>
      <w:r w:rsidR="007F105E">
        <w:rPr>
          <w:lang w:eastAsia="ja-JP"/>
        </w:rPr>
        <w:t>Study </w:t>
      </w:r>
      <w:r w:rsidR="007F105E" w:rsidRPr="007F105E">
        <w:rPr>
          <w:lang w:eastAsia="ja-JP"/>
        </w:rPr>
        <w:t>NN5401</w:t>
      </w:r>
      <w:r w:rsidR="007F105E">
        <w:rPr>
          <w:lang w:eastAsia="ja-JP"/>
        </w:rPr>
        <w:t>-</w:t>
      </w:r>
      <w:r w:rsidR="00607F38" w:rsidRPr="00607F38">
        <w:rPr>
          <w:lang w:eastAsia="ja-JP"/>
        </w:rPr>
        <w:t xml:space="preserve">3594. </w:t>
      </w:r>
    </w:p>
    <w:p w14:paraId="47811DF9" w14:textId="02BF3655" w:rsidR="00607F38" w:rsidRPr="00607F38" w:rsidRDefault="001366C8" w:rsidP="008E4E7C">
      <w:pPr>
        <w:pStyle w:val="Comment"/>
        <w:ind w:firstLine="0"/>
        <w:rPr>
          <w:lang w:eastAsia="ja-JP"/>
        </w:rPr>
      </w:pPr>
      <w:r>
        <w:rPr>
          <w:lang w:eastAsia="ja-JP"/>
        </w:rPr>
        <w:t>The s</w:t>
      </w:r>
      <w:r w:rsidR="00607F38" w:rsidRPr="00607F38">
        <w:rPr>
          <w:lang w:eastAsia="ja-JP"/>
        </w:rPr>
        <w:t>ponsor replied to this comment in the response document stating the clinical trial programme was discussed with the TGA at en</w:t>
      </w:r>
      <w:r>
        <w:rPr>
          <w:lang w:eastAsia="ja-JP"/>
        </w:rPr>
        <w:t>d of Phase II meeting and the 6 </w:t>
      </w:r>
      <w:r w:rsidR="00607F38" w:rsidRPr="00607F38">
        <w:rPr>
          <w:lang w:eastAsia="ja-JP"/>
        </w:rPr>
        <w:t>month exp</w:t>
      </w:r>
      <w:r>
        <w:rPr>
          <w:lang w:eastAsia="ja-JP"/>
        </w:rPr>
        <w:t>osure for IDegAsp was accepted.</w:t>
      </w:r>
    </w:p>
    <w:p w14:paraId="3F67A31D" w14:textId="4B991CD1" w:rsidR="00607F38" w:rsidRPr="00607F38" w:rsidRDefault="00607F38" w:rsidP="008E4E7C">
      <w:pPr>
        <w:pStyle w:val="Comment"/>
        <w:ind w:firstLine="0"/>
        <w:rPr>
          <w:lang w:eastAsia="ja-JP"/>
        </w:rPr>
      </w:pPr>
      <w:r w:rsidRPr="00607F38">
        <w:rPr>
          <w:lang w:eastAsia="ja-JP"/>
        </w:rPr>
        <w:t xml:space="preserve">The current dossier contains the synopsis for the 26 week extension of </w:t>
      </w:r>
      <w:r w:rsidR="007F105E">
        <w:rPr>
          <w:lang w:eastAsia="ja-JP"/>
        </w:rPr>
        <w:t>Study </w:t>
      </w:r>
      <w:r w:rsidR="007F105E" w:rsidRPr="007F105E">
        <w:rPr>
          <w:lang w:eastAsia="ja-JP"/>
        </w:rPr>
        <w:t>NN5401</w:t>
      </w:r>
      <w:r w:rsidR="007F105E">
        <w:rPr>
          <w:lang w:eastAsia="ja-JP"/>
        </w:rPr>
        <w:t>-</w:t>
      </w:r>
      <w:r w:rsidRPr="00607F38">
        <w:rPr>
          <w:lang w:eastAsia="ja-JP"/>
        </w:rPr>
        <w:t>3590 evaluating the efficacy and safety of IDegAsp in subjects with T2DM; this study is discussed below in Section 7.2</w:t>
      </w:r>
      <w:r w:rsidR="001366C8">
        <w:rPr>
          <w:lang w:eastAsia="ja-JP"/>
        </w:rPr>
        <w:t xml:space="preserve"> of this report. The s</w:t>
      </w:r>
      <w:r w:rsidRPr="00607F38">
        <w:rPr>
          <w:lang w:eastAsia="ja-JP"/>
        </w:rPr>
        <w:t xml:space="preserve">ponsor adds further that long term data for IDeg are available in the concurrent submission for the mono-product, and IAsp is </w:t>
      </w:r>
      <w:r w:rsidR="001366C8">
        <w:rPr>
          <w:lang w:eastAsia="ja-JP"/>
        </w:rPr>
        <w:t>well established on the market.</w:t>
      </w:r>
    </w:p>
    <w:p w14:paraId="63EA1729" w14:textId="25769F11" w:rsidR="00607F38" w:rsidRPr="00607F38" w:rsidRDefault="00607F38" w:rsidP="008E4E7C">
      <w:pPr>
        <w:pStyle w:val="Comment"/>
        <w:ind w:firstLine="0"/>
        <w:rPr>
          <w:lang w:eastAsia="ja-JP"/>
        </w:rPr>
      </w:pPr>
      <w:r w:rsidRPr="00607F38">
        <w:rPr>
          <w:lang w:eastAsia="ja-JP"/>
        </w:rPr>
        <w:t>The above reasoning is</w:t>
      </w:r>
      <w:r w:rsidR="001366C8">
        <w:rPr>
          <w:lang w:eastAsia="ja-JP"/>
        </w:rPr>
        <w:t xml:space="preserve"> considered acceptable to this evaluator.</w:t>
      </w:r>
    </w:p>
    <w:p w14:paraId="2687704A" w14:textId="77777777" w:rsidR="00607F38" w:rsidRPr="00607F38" w:rsidRDefault="00607F38" w:rsidP="001366C8">
      <w:pPr>
        <w:pStyle w:val="Heading3"/>
      </w:pPr>
      <w:bookmarkStart w:id="104" w:name="_Toc487202391"/>
      <w:bookmarkStart w:id="105" w:name="_Toc517768421"/>
      <w:bookmarkEnd w:id="94"/>
      <w:bookmarkEnd w:id="95"/>
      <w:bookmarkEnd w:id="96"/>
      <w:bookmarkEnd w:id="97"/>
      <w:bookmarkEnd w:id="98"/>
      <w:bookmarkEnd w:id="99"/>
      <w:bookmarkEnd w:id="100"/>
      <w:bookmarkEnd w:id="101"/>
      <w:r w:rsidRPr="00607F38">
        <w:t>Studies providing new efficacy data</w:t>
      </w:r>
      <w:bookmarkStart w:id="106" w:name="_Toc241374312"/>
      <w:bookmarkStart w:id="107" w:name="_Toc272414656"/>
      <w:bookmarkStart w:id="108" w:name="_Toc290888507"/>
      <w:bookmarkStart w:id="109" w:name="_Toc416353723"/>
      <w:bookmarkStart w:id="110" w:name="_Toc421005271"/>
      <w:bookmarkStart w:id="111" w:name="_Toc432079153"/>
      <w:bookmarkStart w:id="112" w:name="_Toc432080726"/>
      <w:bookmarkEnd w:id="102"/>
      <w:bookmarkEnd w:id="103"/>
      <w:bookmarkEnd w:id="104"/>
      <w:bookmarkEnd w:id="105"/>
    </w:p>
    <w:p w14:paraId="4B684E93" w14:textId="6372372A" w:rsidR="00607F38" w:rsidRPr="00607F38" w:rsidRDefault="00607F38" w:rsidP="00607F38">
      <w:pPr>
        <w:rPr>
          <w:lang w:eastAsia="ja-JP"/>
        </w:rPr>
      </w:pPr>
      <w:r w:rsidRPr="00607F38">
        <w:rPr>
          <w:lang w:eastAsia="ja-JP"/>
        </w:rPr>
        <w:t>Synopses for 7 new studies providing efficacy data for subjects with T2DM were provided in the current dossier. This included the synopsis for the extension o</w:t>
      </w:r>
      <w:r w:rsidR="001366C8">
        <w:rPr>
          <w:lang w:eastAsia="ja-JP"/>
        </w:rPr>
        <w:t xml:space="preserve">f the pivotal </w:t>
      </w:r>
      <w:r w:rsidR="007F105E" w:rsidRPr="007F105E">
        <w:rPr>
          <w:lang w:eastAsia="ja-JP"/>
        </w:rPr>
        <w:t>Study NN5401</w:t>
      </w:r>
      <w:r w:rsidR="007F105E">
        <w:rPr>
          <w:lang w:eastAsia="ja-JP"/>
        </w:rPr>
        <w:t>-</w:t>
      </w:r>
      <w:r w:rsidR="001366C8">
        <w:rPr>
          <w:lang w:eastAsia="ja-JP"/>
        </w:rPr>
        <w:t>3590, and 4 </w:t>
      </w:r>
      <w:r w:rsidRPr="00607F38">
        <w:rPr>
          <w:lang w:eastAsia="ja-JP"/>
        </w:rPr>
        <w:t>additional studies investigating twice daily dosing of IDegAsp. Although defined as safety endpoints, some of the hypoglycaemic parameters are included in the study summaries below to facilitate comparison with those results in ear</w:t>
      </w:r>
      <w:r w:rsidR="001366C8">
        <w:rPr>
          <w:lang w:eastAsia="ja-JP"/>
        </w:rPr>
        <w:t>lier studies provided in Table 4</w:t>
      </w:r>
      <w:r w:rsidRPr="00607F38">
        <w:rPr>
          <w:lang w:eastAsia="ja-JP"/>
        </w:rPr>
        <w:t>.</w:t>
      </w:r>
    </w:p>
    <w:p w14:paraId="7B9B294D" w14:textId="4625D2AF" w:rsidR="00607F38" w:rsidRPr="00607F38" w:rsidRDefault="00607F38" w:rsidP="001366C8">
      <w:pPr>
        <w:pStyle w:val="Heading4"/>
      </w:pPr>
      <w:r w:rsidRPr="00607F38">
        <w:t>Study NN5401-3726</w:t>
      </w:r>
    </w:p>
    <w:p w14:paraId="0A8C6F41" w14:textId="3947674A" w:rsidR="00607F38" w:rsidRPr="00607F38" w:rsidRDefault="001366C8" w:rsidP="00607F38">
      <w:pPr>
        <w:rPr>
          <w:lang w:eastAsia="ja-JP"/>
        </w:rPr>
      </w:pPr>
      <w:r>
        <w:rPr>
          <w:lang w:eastAsia="ja-JP"/>
        </w:rPr>
        <w:t xml:space="preserve">Study NN5401-3726 is a 26 </w:t>
      </w:r>
      <w:r w:rsidR="00607F38" w:rsidRPr="00607F38">
        <w:rPr>
          <w:lang w:eastAsia="ja-JP"/>
        </w:rPr>
        <w:t xml:space="preserve">week extension of </w:t>
      </w:r>
      <w:r w:rsidR="007F105E" w:rsidRPr="007F105E">
        <w:rPr>
          <w:lang w:eastAsia="ja-JP"/>
        </w:rPr>
        <w:t>Study NN5401</w:t>
      </w:r>
      <w:r w:rsidR="007F105E">
        <w:rPr>
          <w:lang w:eastAsia="ja-JP"/>
        </w:rPr>
        <w:t>-</w:t>
      </w:r>
      <w:r w:rsidR="00607F38" w:rsidRPr="00607F38">
        <w:rPr>
          <w:lang w:eastAsia="ja-JP"/>
        </w:rPr>
        <w:t>3590 comparing the efficacy and safety of IDegAsp wit</w:t>
      </w:r>
      <w:r>
        <w:rPr>
          <w:lang w:eastAsia="ja-JP"/>
        </w:rPr>
        <w:t xml:space="preserve">h IGlar in insulin </w:t>
      </w:r>
      <w:r w:rsidR="00607F38" w:rsidRPr="00607F38">
        <w:rPr>
          <w:lang w:eastAsia="ja-JP"/>
        </w:rPr>
        <w:t>naïve subjects with T2DM. The primary objective was to determine long-term safety and tolerability of IDegAsp, with efficacy endpoint secondary objectives. The extension study included 413 subject</w:t>
      </w:r>
      <w:r>
        <w:rPr>
          <w:lang w:eastAsia="ja-JP"/>
        </w:rPr>
        <w:t>s (IDegAsp = 192, IGlar = 221).</w:t>
      </w:r>
    </w:p>
    <w:p w14:paraId="4894C2E4" w14:textId="515A89F6" w:rsidR="00607F38" w:rsidRPr="00607F38" w:rsidRDefault="00607F38" w:rsidP="00607F38">
      <w:pPr>
        <w:rPr>
          <w:lang w:eastAsia="ja-JP"/>
        </w:rPr>
      </w:pPr>
      <w:r w:rsidRPr="00607F38">
        <w:rPr>
          <w:lang w:eastAsia="ja-JP"/>
        </w:rPr>
        <w:lastRenderedPageBreak/>
        <w:t>The estimated mean reduction in HbA1c after 52 weeks of treatment was 1.48% and 1.40% for the IDegAsp and IGlar treatment arms respectively, with an estimated mean treatment difference (IDegAsp - IGlar) of -0.08% (95% CI: -0.26, 0.09). The mean (SD) HbA1c was 7.5</w:t>
      </w:r>
      <w:r w:rsidR="00656251">
        <w:rPr>
          <w:lang w:eastAsia="ja-JP"/>
        </w:rPr>
        <w:t>% (1.0)</w:t>
      </w:r>
      <w:r w:rsidRPr="00607F38">
        <w:rPr>
          <w:lang w:eastAsia="ja-JP"/>
        </w:rPr>
        <w:t xml:space="preserve"> and 7.6</w:t>
      </w:r>
      <w:r w:rsidR="00656251">
        <w:rPr>
          <w:lang w:eastAsia="ja-JP"/>
        </w:rPr>
        <w:t>%</w:t>
      </w:r>
      <w:r w:rsidRPr="00607F38">
        <w:rPr>
          <w:lang w:eastAsia="ja-JP"/>
        </w:rPr>
        <w:t xml:space="preserve"> </w:t>
      </w:r>
      <w:r w:rsidR="00656251">
        <w:rPr>
          <w:lang w:eastAsia="ja-JP"/>
        </w:rPr>
        <w:t>(1.1)</w:t>
      </w:r>
      <w:r w:rsidRPr="00607F38">
        <w:rPr>
          <w:lang w:eastAsia="ja-JP"/>
        </w:rPr>
        <w:t xml:space="preserve"> with </w:t>
      </w:r>
      <w:r w:rsidR="001366C8">
        <w:rPr>
          <w:lang w:eastAsia="ja-JP"/>
        </w:rPr>
        <w:t>IDegAsp and IGlar respectively.</w:t>
      </w:r>
    </w:p>
    <w:p w14:paraId="0E057A1A" w14:textId="4E406FA1" w:rsidR="00607F38" w:rsidRPr="00607F38" w:rsidRDefault="00607F38" w:rsidP="00607F38">
      <w:pPr>
        <w:rPr>
          <w:lang w:eastAsia="ja-JP"/>
        </w:rPr>
      </w:pPr>
      <w:r w:rsidRPr="00607F38">
        <w:rPr>
          <w:lang w:eastAsia="ja-JP"/>
        </w:rPr>
        <w:t>The</w:t>
      </w:r>
      <w:r w:rsidR="001366C8">
        <w:rPr>
          <w:lang w:eastAsia="ja-JP"/>
        </w:rPr>
        <w:t xml:space="preserve"> estimated mean reduction from B</w:t>
      </w:r>
      <w:r w:rsidRPr="00607F38">
        <w:rPr>
          <w:lang w:eastAsia="ja-JP"/>
        </w:rPr>
        <w:t>aseline for FPG was simil</w:t>
      </w:r>
      <w:r w:rsidR="001366C8">
        <w:rPr>
          <w:lang w:eastAsia="ja-JP"/>
        </w:rPr>
        <w:t xml:space="preserve">ar between the </w:t>
      </w:r>
      <w:r w:rsidR="00656251">
        <w:rPr>
          <w:lang w:eastAsia="ja-JP"/>
        </w:rPr>
        <w:t>2</w:t>
      </w:r>
      <w:r w:rsidR="001366C8">
        <w:rPr>
          <w:lang w:eastAsia="ja-JP"/>
        </w:rPr>
        <w:t xml:space="preserve"> groups (</w:t>
      </w:r>
      <w:proofErr w:type="gramStart"/>
      <w:r w:rsidR="001366C8">
        <w:rPr>
          <w:lang w:eastAsia="ja-JP"/>
        </w:rPr>
        <w:t>3.50 </w:t>
      </w:r>
      <w:r w:rsidRPr="00607F38">
        <w:rPr>
          <w:lang w:eastAsia="ja-JP"/>
        </w:rPr>
        <w:t>mmol/L for IDegAsp</w:t>
      </w:r>
      <w:proofErr w:type="gramEnd"/>
      <w:r w:rsidRPr="00607F38">
        <w:rPr>
          <w:lang w:eastAsia="ja-JP"/>
        </w:rPr>
        <w:t xml:space="preserve"> and 3.77 mmol/L for IGlar), with an estimated mean treatment difference (IDegAsp - IGlar) of 0.28 mmol/L (95% CI: -0.14, 0.69). The observed proportion of subjects achieving HbA1c &lt; 7% without confirmed hypoglycaemia was 23.6% and 20.9% with IDegAsp and IGlar respectively; the estimated odds ratio (I</w:t>
      </w:r>
      <w:r w:rsidR="001366C8">
        <w:rPr>
          <w:lang w:eastAsia="ja-JP"/>
        </w:rPr>
        <w:t>DegAsp/IGlar) was 1.15 (95% CI: </w:t>
      </w:r>
      <w:r w:rsidRPr="00607F38">
        <w:rPr>
          <w:lang w:eastAsia="ja-JP"/>
        </w:rPr>
        <w:t>0.73, 1.81).</w:t>
      </w:r>
    </w:p>
    <w:p w14:paraId="787704CD" w14:textId="76581181" w:rsidR="00607F38" w:rsidRPr="00607F38" w:rsidRDefault="00607F38" w:rsidP="00607F38">
      <w:pPr>
        <w:rPr>
          <w:lang w:eastAsia="ja-JP"/>
        </w:rPr>
      </w:pPr>
      <w:r w:rsidRPr="00607F38">
        <w:rPr>
          <w:lang w:eastAsia="ja-JP"/>
        </w:rPr>
        <w:t xml:space="preserve">The observed rate of nocturnal confirmed hypoglycaemic episodes was lower in the IDegAsp group; 19 </w:t>
      </w:r>
      <w:r w:rsidR="001366C8">
        <w:rPr>
          <w:lang w:eastAsia="ja-JP"/>
        </w:rPr>
        <w:t>and 53 per 100 PYE for IDegAsp a</w:t>
      </w:r>
      <w:r w:rsidRPr="00607F38">
        <w:rPr>
          <w:lang w:eastAsia="ja-JP"/>
        </w:rPr>
        <w:t>nd IGlar respectively (estimated rat</w:t>
      </w:r>
      <w:r w:rsidR="001366C8">
        <w:rPr>
          <w:lang w:eastAsia="ja-JP"/>
        </w:rPr>
        <w:t>e ratio (IDegAsp/IGlar) = 0.25 (95% CI: 0.14, 0.47)</w:t>
      </w:r>
      <w:r w:rsidRPr="00607F38">
        <w:rPr>
          <w:lang w:eastAsia="ja-JP"/>
        </w:rPr>
        <w:t xml:space="preserve">). The observed rate of confirmed hypoglycaemic episodes was higher for </w:t>
      </w:r>
      <w:r w:rsidR="001366C8">
        <w:rPr>
          <w:lang w:eastAsia="ja-JP"/>
        </w:rPr>
        <w:t>IDegAsp with 419 per 100 PYE versus</w:t>
      </w:r>
      <w:r w:rsidRPr="00607F38">
        <w:rPr>
          <w:lang w:eastAsia="ja-JP"/>
        </w:rPr>
        <w:t xml:space="preserve"> 211 per 100 PYE f</w:t>
      </w:r>
      <w:r w:rsidR="001366C8">
        <w:rPr>
          <w:lang w:eastAsia="ja-JP"/>
        </w:rPr>
        <w:t>or IGlar (estimated rate ratio (IDegAsp/IGlar) = 1.86 (95% CI: 1.42, 2.44)</w:t>
      </w:r>
      <w:r w:rsidRPr="00607F38">
        <w:rPr>
          <w:lang w:eastAsia="ja-JP"/>
        </w:rPr>
        <w:t>).</w:t>
      </w:r>
    </w:p>
    <w:p w14:paraId="67544ACC" w14:textId="3D2137B9" w:rsidR="00607F38" w:rsidRPr="00607F38" w:rsidRDefault="001366C8" w:rsidP="001366C8">
      <w:pPr>
        <w:pStyle w:val="Comment"/>
        <w:rPr>
          <w:lang w:eastAsia="ja-JP"/>
        </w:rPr>
      </w:pPr>
      <w:r w:rsidRPr="001366C8">
        <w:rPr>
          <w:b/>
          <w:lang w:eastAsia="ja-JP"/>
        </w:rPr>
        <w:t>C</w:t>
      </w:r>
      <w:r w:rsidR="00607F38" w:rsidRPr="001366C8">
        <w:rPr>
          <w:b/>
          <w:lang w:eastAsia="ja-JP"/>
        </w:rPr>
        <w:t>omment</w:t>
      </w:r>
      <w:r w:rsidR="00607F38" w:rsidRPr="001366C8">
        <w:rPr>
          <w:lang w:eastAsia="ja-JP"/>
        </w:rPr>
        <w:t xml:space="preserve">: </w:t>
      </w:r>
      <w:r>
        <w:rPr>
          <w:lang w:eastAsia="ja-JP"/>
        </w:rPr>
        <w:t xml:space="preserve"> </w:t>
      </w:r>
      <w:r w:rsidR="00607F38" w:rsidRPr="00607F38">
        <w:rPr>
          <w:lang w:eastAsia="ja-JP"/>
        </w:rPr>
        <w:t>A persistent reduction in HbA1c was observed after 52 weeks of IDegAs</w:t>
      </w:r>
      <w:r>
        <w:rPr>
          <w:lang w:eastAsia="ja-JP"/>
        </w:rPr>
        <w:t xml:space="preserve">p OD in insulin </w:t>
      </w:r>
      <w:r w:rsidR="00607F38" w:rsidRPr="00607F38">
        <w:rPr>
          <w:lang w:eastAsia="ja-JP"/>
        </w:rPr>
        <w:t>naïve patients with T2DM.</w:t>
      </w:r>
    </w:p>
    <w:p w14:paraId="27C65452" w14:textId="19074D08" w:rsidR="00607F38" w:rsidRPr="00607F38" w:rsidRDefault="00607F38" w:rsidP="001366C8">
      <w:pPr>
        <w:pStyle w:val="Heading4"/>
      </w:pPr>
      <w:r w:rsidRPr="00607F38">
        <w:t>Study NN5401-3844</w:t>
      </w:r>
    </w:p>
    <w:p w14:paraId="7E9D89F4" w14:textId="34E655A4" w:rsidR="00607F38" w:rsidRPr="00607F38" w:rsidRDefault="001366C8" w:rsidP="00607F38">
      <w:pPr>
        <w:rPr>
          <w:lang w:eastAsia="ja-JP"/>
        </w:rPr>
      </w:pPr>
      <w:r>
        <w:rPr>
          <w:lang w:eastAsia="ja-JP"/>
        </w:rPr>
        <w:t xml:space="preserve">Study NN5401-3844 is a 26 week randomised, open label, </w:t>
      </w:r>
      <w:r w:rsidR="009F4052">
        <w:rPr>
          <w:lang w:eastAsia="ja-JP"/>
        </w:rPr>
        <w:t>multi-centre</w:t>
      </w:r>
      <w:r>
        <w:rPr>
          <w:lang w:eastAsia="ja-JP"/>
        </w:rPr>
        <w:t xml:space="preserve">, </w:t>
      </w:r>
      <w:r w:rsidR="00D44164">
        <w:rPr>
          <w:lang w:eastAsia="ja-JP"/>
        </w:rPr>
        <w:t>2</w:t>
      </w:r>
      <w:r>
        <w:rPr>
          <w:lang w:eastAsia="ja-JP"/>
        </w:rPr>
        <w:t xml:space="preserve"> </w:t>
      </w:r>
      <w:proofErr w:type="gramStart"/>
      <w:r>
        <w:rPr>
          <w:lang w:eastAsia="ja-JP"/>
        </w:rPr>
        <w:t>arm</w:t>
      </w:r>
      <w:proofErr w:type="gramEnd"/>
      <w:r>
        <w:rPr>
          <w:lang w:eastAsia="ja-JP"/>
        </w:rPr>
        <w:t xml:space="preserve">, </w:t>
      </w:r>
      <w:r w:rsidR="00945178">
        <w:rPr>
          <w:lang w:eastAsia="ja-JP"/>
        </w:rPr>
        <w:t>and parallel</w:t>
      </w:r>
      <w:r>
        <w:rPr>
          <w:lang w:eastAsia="ja-JP"/>
        </w:rPr>
        <w:t xml:space="preserve"> </w:t>
      </w:r>
      <w:r w:rsidR="00607F38" w:rsidRPr="00607F38">
        <w:rPr>
          <w:lang w:eastAsia="ja-JP"/>
        </w:rPr>
        <w:t xml:space="preserve">group study to compare the efficacy and safety of </w:t>
      </w:r>
      <w:r>
        <w:rPr>
          <w:lang w:eastAsia="ja-JP"/>
        </w:rPr>
        <w:t>2</w:t>
      </w:r>
      <w:r w:rsidR="00607F38" w:rsidRPr="00607F38">
        <w:rPr>
          <w:lang w:eastAsia="ja-JP"/>
        </w:rPr>
        <w:t xml:space="preserve"> titration algorithms for IDegAsp OD in combinatio</w:t>
      </w:r>
      <w:r>
        <w:rPr>
          <w:lang w:eastAsia="ja-JP"/>
        </w:rPr>
        <w:t xml:space="preserve">n with metformin in insulin </w:t>
      </w:r>
      <w:r w:rsidR="00607F38" w:rsidRPr="00607F38">
        <w:rPr>
          <w:lang w:eastAsia="ja-JP"/>
        </w:rPr>
        <w:t>naïve subjects with T2DM. The primary objective was to confirm the efficacy of IDegAsp OD simple titration algorithm in controlling glycaemia by comparing the difference in change from baseline in HbA1c after 26 weeks of treatment between IDegAsp OD simple titration algorithm and IDegAsp OD the step wise algorithm (both in combination with metformin) to a non-inferiority limit of 0.4%.</w:t>
      </w:r>
    </w:p>
    <w:p w14:paraId="7CC2505F" w14:textId="7020E278" w:rsidR="00607F38" w:rsidRPr="00607F38" w:rsidRDefault="00607F38" w:rsidP="00607F38">
      <w:pPr>
        <w:rPr>
          <w:lang w:eastAsia="ja-JP"/>
        </w:rPr>
      </w:pPr>
      <w:r w:rsidRPr="00607F38">
        <w:rPr>
          <w:lang w:eastAsia="ja-JP"/>
        </w:rPr>
        <w:t xml:space="preserve">The study population included insulin-naïve adults with T2DM for ≥ 24 weeks currently treated with metformin ± 1 or </w:t>
      </w:r>
      <w:r w:rsidR="001366C8">
        <w:rPr>
          <w:lang w:eastAsia="ja-JP"/>
        </w:rPr>
        <w:t>2 other OADs, with HBA1c of 7.0 to 10.0% inclusive. There were 276 </w:t>
      </w:r>
      <w:r w:rsidRPr="00607F38">
        <w:rPr>
          <w:lang w:eastAsia="ja-JP"/>
        </w:rPr>
        <w:t>subjects randomised 1:1 to IDegAsp simple (n = 136) or IDegAsp step wise (n = 140). The simple titration algor</w:t>
      </w:r>
      <w:r w:rsidR="006D0C09">
        <w:rPr>
          <w:lang w:eastAsia="ja-JP"/>
        </w:rPr>
        <w:t xml:space="preserve">ithm involved twice weekly </w:t>
      </w:r>
      <w:r w:rsidR="009F4052">
        <w:rPr>
          <w:lang w:eastAsia="ja-JP"/>
        </w:rPr>
        <w:t>self-</w:t>
      </w:r>
      <w:r w:rsidR="009F4052" w:rsidRPr="00607F38">
        <w:rPr>
          <w:lang w:eastAsia="ja-JP"/>
        </w:rPr>
        <w:t>titration</w:t>
      </w:r>
      <w:r w:rsidRPr="00607F38">
        <w:rPr>
          <w:lang w:eastAsia="ja-JP"/>
        </w:rPr>
        <w:t xml:space="preserve"> based upon pre-breakfast SMPG </w:t>
      </w:r>
      <w:r w:rsidR="006D0C09">
        <w:rPr>
          <w:lang w:eastAsia="ja-JP"/>
        </w:rPr>
        <w:t xml:space="preserve">on the day of titration, with 3 to </w:t>
      </w:r>
      <w:r w:rsidRPr="00607F38">
        <w:rPr>
          <w:lang w:eastAsia="ja-JP"/>
        </w:rPr>
        <w:t>4 days between titrations. In the step wise titration alg</w:t>
      </w:r>
      <w:r w:rsidR="006D0C09">
        <w:rPr>
          <w:lang w:eastAsia="ja-JP"/>
        </w:rPr>
        <w:t xml:space="preserve">orithm, subjects performed </w:t>
      </w:r>
      <w:r w:rsidR="009F4052">
        <w:rPr>
          <w:lang w:eastAsia="ja-JP"/>
        </w:rPr>
        <w:t>self-</w:t>
      </w:r>
      <w:r w:rsidR="009F4052" w:rsidRPr="00607F38">
        <w:rPr>
          <w:lang w:eastAsia="ja-JP"/>
        </w:rPr>
        <w:t>titration</w:t>
      </w:r>
      <w:r w:rsidRPr="00607F38">
        <w:rPr>
          <w:lang w:eastAsia="ja-JP"/>
        </w:rPr>
        <w:t xml:space="preserve"> once weekly based on the lowest of 3 consecutive pre-breakfast SMPG values (</w:t>
      </w:r>
      <w:r w:rsidR="00D44164">
        <w:rPr>
          <w:lang w:eastAsia="ja-JP"/>
        </w:rPr>
        <w:t>2</w:t>
      </w:r>
      <w:r w:rsidRPr="00607F38">
        <w:rPr>
          <w:lang w:eastAsia="ja-JP"/>
        </w:rPr>
        <w:t xml:space="preserve"> days prior to titration and on the day of titration).</w:t>
      </w:r>
    </w:p>
    <w:p w14:paraId="45923ABB" w14:textId="1BDFBDA7" w:rsidR="00607F38" w:rsidRPr="00607F38" w:rsidRDefault="00607F38" w:rsidP="00607F38">
      <w:pPr>
        <w:rPr>
          <w:lang w:eastAsia="ja-JP"/>
        </w:rPr>
      </w:pPr>
      <w:r w:rsidRPr="00607F38">
        <w:rPr>
          <w:lang w:eastAsia="ja-JP"/>
        </w:rPr>
        <w:t>The treatment groups were well balanced with regard to baseline demographics, with the exception of distribution of sexes (greater proportion of males</w:t>
      </w:r>
      <w:r w:rsidR="006D0C09">
        <w:rPr>
          <w:lang w:eastAsia="ja-JP"/>
        </w:rPr>
        <w:t xml:space="preserve"> in the IDegAsp treatment arm).</w:t>
      </w:r>
    </w:p>
    <w:p w14:paraId="15E3F945" w14:textId="166D8958" w:rsidR="00607F38" w:rsidRPr="00607F38" w:rsidRDefault="00607F38" w:rsidP="00607F38">
      <w:pPr>
        <w:rPr>
          <w:lang w:eastAsia="ja-JP"/>
        </w:rPr>
      </w:pPr>
      <w:r w:rsidRPr="00607F38">
        <w:rPr>
          <w:lang w:eastAsia="ja-JP"/>
        </w:rPr>
        <w:t>Non-inferiority of IDegAsp simple to IDegAsp step-wise in terms of HbA1c reduction was demonstrated after 26 weeks of treatment (estim</w:t>
      </w:r>
      <w:r w:rsidR="006D0C09">
        <w:rPr>
          <w:lang w:eastAsia="ja-JP"/>
        </w:rPr>
        <w:t>ated mean treatment difference (</w:t>
      </w:r>
      <w:r w:rsidRPr="00607F38">
        <w:rPr>
          <w:lang w:eastAsia="ja-JP"/>
        </w:rPr>
        <w:t>IDe</w:t>
      </w:r>
      <w:r w:rsidR="006D0C09">
        <w:rPr>
          <w:lang w:eastAsia="ja-JP"/>
        </w:rPr>
        <w:t>gAsp simple - IDegAsp step wise)</w:t>
      </w:r>
      <w:r w:rsidRPr="00607F38">
        <w:rPr>
          <w:lang w:eastAsia="ja-JP"/>
        </w:rPr>
        <w:t xml:space="preserve"> = -0.18% (95% CI: -0.38, 0.02). Mean FPG reduced in both groups with no statistically significant difference observed (estim</w:t>
      </w:r>
      <w:r w:rsidR="006D0C09">
        <w:rPr>
          <w:lang w:eastAsia="ja-JP"/>
        </w:rPr>
        <w:t>ated mean treatment difference (</w:t>
      </w:r>
      <w:r w:rsidRPr="00607F38">
        <w:rPr>
          <w:lang w:eastAsia="ja-JP"/>
        </w:rPr>
        <w:t>IDe</w:t>
      </w:r>
      <w:r w:rsidR="006D0C09">
        <w:rPr>
          <w:lang w:eastAsia="ja-JP"/>
        </w:rPr>
        <w:t>gAsp simple - IDegAsp step wise) = -0.42 mmol/L (95% CI: -0.93, 0.09)</w:t>
      </w:r>
      <w:r w:rsidRPr="00607F38">
        <w:rPr>
          <w:lang w:eastAsia="ja-JP"/>
        </w:rPr>
        <w:t>).</w:t>
      </w:r>
    </w:p>
    <w:p w14:paraId="2387EC67" w14:textId="4C152C0A" w:rsidR="00607F38" w:rsidRPr="00607F38" w:rsidRDefault="00607F38" w:rsidP="00607F38">
      <w:pPr>
        <w:rPr>
          <w:lang w:eastAsia="ja-JP"/>
        </w:rPr>
      </w:pPr>
      <w:r w:rsidRPr="00607F38">
        <w:rPr>
          <w:lang w:eastAsia="ja-JP"/>
        </w:rPr>
        <w:t>The rate of nocturnal confirmed hypoglycaemic episodes was similar in both groups (52 v</w:t>
      </w:r>
      <w:r w:rsidR="006D0C09">
        <w:rPr>
          <w:lang w:eastAsia="ja-JP"/>
        </w:rPr>
        <w:t>ersus</w:t>
      </w:r>
      <w:r w:rsidRPr="00607F38">
        <w:rPr>
          <w:lang w:eastAsia="ja-JP"/>
        </w:rPr>
        <w:t xml:space="preserve"> 41 events per 100 PYE, estimated rate ratio (IDegAsp si</w:t>
      </w:r>
      <w:r w:rsidR="006D0C09">
        <w:rPr>
          <w:lang w:eastAsia="ja-JP"/>
        </w:rPr>
        <w:t>mple/IDegAsp step wise) = 1.05 (</w:t>
      </w:r>
      <w:r w:rsidR="00292776">
        <w:rPr>
          <w:lang w:eastAsia="ja-JP"/>
        </w:rPr>
        <w:t>95% CI: 0.45, 2.44)</w:t>
      </w:r>
      <w:r w:rsidRPr="00607F38">
        <w:rPr>
          <w:lang w:eastAsia="ja-JP"/>
        </w:rPr>
        <w:t>. The rate of confirmed hypoglycaemic episodes was higher in the IDegAsp simple group than the IDegAsp step wise group (326 v</w:t>
      </w:r>
      <w:r w:rsidR="006D0C09">
        <w:rPr>
          <w:lang w:eastAsia="ja-JP"/>
        </w:rPr>
        <w:t>ersus</w:t>
      </w:r>
      <w:r w:rsidRPr="00607F38">
        <w:rPr>
          <w:lang w:eastAsia="ja-JP"/>
        </w:rPr>
        <w:t xml:space="preserve"> 207 events per 100 PYE, estimated rate ratio (IDegAsp si</w:t>
      </w:r>
      <w:r w:rsidR="006D0C09">
        <w:rPr>
          <w:lang w:eastAsia="ja-JP"/>
        </w:rPr>
        <w:t>mple/IDegAsp step wise) = 1.80 (95% CI: 1.14, 2.85)</w:t>
      </w:r>
      <w:r w:rsidRPr="00607F38">
        <w:rPr>
          <w:lang w:eastAsia="ja-JP"/>
        </w:rPr>
        <w:t>).</w:t>
      </w:r>
    </w:p>
    <w:p w14:paraId="3084F8BF" w14:textId="2ACD593B" w:rsidR="00607F38" w:rsidRPr="00607F38" w:rsidRDefault="00607F38" w:rsidP="006D0C09">
      <w:pPr>
        <w:pStyle w:val="Heading4"/>
      </w:pPr>
      <w:r w:rsidRPr="00607F38">
        <w:t>Study NN5401-3896</w:t>
      </w:r>
    </w:p>
    <w:p w14:paraId="78477C3E" w14:textId="6D32DAA4" w:rsidR="00607F38" w:rsidRPr="00607F38" w:rsidRDefault="006D0C09" w:rsidP="00607F38">
      <w:pPr>
        <w:rPr>
          <w:b/>
          <w:i/>
          <w:u w:val="single"/>
          <w:lang w:eastAsia="ja-JP"/>
        </w:rPr>
      </w:pPr>
      <w:r>
        <w:rPr>
          <w:lang w:eastAsia="ja-JP"/>
        </w:rPr>
        <w:t xml:space="preserve">Study NN5401-3896 is a 26 week randomised, open label, multicentre, </w:t>
      </w:r>
      <w:r w:rsidR="00D44164">
        <w:rPr>
          <w:lang w:eastAsia="ja-JP"/>
        </w:rPr>
        <w:t>2</w:t>
      </w:r>
      <w:r>
        <w:rPr>
          <w:lang w:eastAsia="ja-JP"/>
        </w:rPr>
        <w:t xml:space="preserve"> arm, parallel </w:t>
      </w:r>
      <w:r w:rsidR="00607F38" w:rsidRPr="00607F38">
        <w:rPr>
          <w:lang w:eastAsia="ja-JP"/>
        </w:rPr>
        <w:t xml:space="preserve">group study to compare the efficacy and safety of IDegAsp OD and IGlar OD as monotherapy or in combination with OADs (excluding DPP-4I, sulphonylureas and glinides) in Japanese subjects </w:t>
      </w:r>
      <w:r w:rsidR="00607F38" w:rsidRPr="00607F38">
        <w:rPr>
          <w:lang w:eastAsia="ja-JP"/>
        </w:rPr>
        <w:lastRenderedPageBreak/>
        <w:t>with T2DM. The study included 296 subjects randomised (1:1) to IDegAsp OD (</w:t>
      </w:r>
      <w:r>
        <w:rPr>
          <w:lang w:eastAsia="ja-JP"/>
        </w:rPr>
        <w:t>n = 147) or IGlar OD (n = 149).</w:t>
      </w:r>
    </w:p>
    <w:p w14:paraId="697653F4" w14:textId="5C36B569" w:rsidR="00607F38" w:rsidRPr="00607F38" w:rsidRDefault="00607F38" w:rsidP="00607F38">
      <w:pPr>
        <w:rPr>
          <w:lang w:eastAsia="ja-JP"/>
        </w:rPr>
      </w:pPr>
      <w:r w:rsidRPr="00607F38">
        <w:rPr>
          <w:lang w:eastAsia="ja-JP"/>
        </w:rPr>
        <w:t>Superiority of IDegAsp to IGlar was demonstrated with regard to lowering HbA1c after 26 weeks, with the estimated mean change -1.61% in the IDegAsp group and -1.33% in the IGlar group (</w:t>
      </w:r>
      <w:r w:rsidR="00656251">
        <w:rPr>
          <w:lang w:eastAsia="ja-JP"/>
        </w:rPr>
        <w:t>estimated treatment difference (IDegAsp-IGlar)</w:t>
      </w:r>
      <w:r w:rsidR="00292776">
        <w:rPr>
          <w:lang w:eastAsia="ja-JP"/>
        </w:rPr>
        <w:t xml:space="preserve"> = -0.28% (95% CI: -0.46, -0.10)</w:t>
      </w:r>
      <w:r w:rsidRPr="00607F38">
        <w:rPr>
          <w:lang w:eastAsia="ja-JP"/>
        </w:rPr>
        <w:t>). A similar reduction in mean FPG was observed in both groups after 26 weeks (estimated treatment difference</w:t>
      </w:r>
      <w:r w:rsidR="00292776">
        <w:rPr>
          <w:lang w:eastAsia="ja-JP"/>
        </w:rPr>
        <w:t xml:space="preserve"> (IDegAsp-IGlar) = </w:t>
      </w:r>
      <w:proofErr w:type="gramStart"/>
      <w:r w:rsidR="00292776">
        <w:rPr>
          <w:lang w:eastAsia="ja-JP"/>
        </w:rPr>
        <w:t>0.15 mmol/L</w:t>
      </w:r>
      <w:proofErr w:type="gramEnd"/>
      <w:r w:rsidR="00292776">
        <w:rPr>
          <w:lang w:eastAsia="ja-JP"/>
        </w:rPr>
        <w:t xml:space="preserve"> (95% CI: -0.29, 0.60)</w:t>
      </w:r>
      <w:r w:rsidRPr="00607F38">
        <w:rPr>
          <w:lang w:eastAsia="ja-JP"/>
        </w:rPr>
        <w:t>). The observed proportion of subjects achieving HbA1c &lt; 7.0% without confirmed hypoglycaemia was 43.3% wit</w:t>
      </w:r>
      <w:r w:rsidR="00656251">
        <w:rPr>
          <w:lang w:eastAsia="ja-JP"/>
        </w:rPr>
        <w:t>h IDegAsp and 25.0% with IGlar.</w:t>
      </w:r>
    </w:p>
    <w:p w14:paraId="686468B3" w14:textId="3C995309" w:rsidR="00607F38" w:rsidRPr="00607F38" w:rsidRDefault="00607F38" w:rsidP="00607F38">
      <w:pPr>
        <w:rPr>
          <w:lang w:eastAsia="ja-JP"/>
        </w:rPr>
      </w:pPr>
      <w:r w:rsidRPr="00607F38">
        <w:rPr>
          <w:lang w:eastAsia="ja-JP"/>
        </w:rPr>
        <w:t>The observed rate of nocturnal confirmed hypoglycaemic episodes was 39 and 53 per 100 PYE for IDegAsp and IGlar resp</w:t>
      </w:r>
      <w:r w:rsidR="00292776">
        <w:rPr>
          <w:lang w:eastAsia="ja-JP"/>
        </w:rPr>
        <w:t>ectively (estimated rate ratio (IDegAsp/IGlar) = 0.75 (95% CI: 0.34, 1.64)</w:t>
      </w:r>
      <w:r w:rsidRPr="00607F38">
        <w:rPr>
          <w:lang w:eastAsia="ja-JP"/>
        </w:rPr>
        <w:t>). The observed rate of confirmed hypoglycaemic episodes was lower with IDegAsp compared to IGlar (191 vs. 271 episodes per</w:t>
      </w:r>
      <w:r w:rsidR="00292776">
        <w:rPr>
          <w:lang w:eastAsia="ja-JP"/>
        </w:rPr>
        <w:t xml:space="preserve"> 100 PYE; estimated rate ratio (IDegAsp/IGlar) = 0.73 (95% CI: 0.50, 1.08)</w:t>
      </w:r>
      <w:r w:rsidRPr="00607F38">
        <w:rPr>
          <w:lang w:eastAsia="ja-JP"/>
        </w:rPr>
        <w:t>).</w:t>
      </w:r>
    </w:p>
    <w:p w14:paraId="6F1179A9" w14:textId="77777777" w:rsidR="00607F38" w:rsidRPr="00607F38" w:rsidRDefault="00607F38" w:rsidP="00656251">
      <w:pPr>
        <w:pStyle w:val="Heading3"/>
      </w:pPr>
      <w:bookmarkStart w:id="113" w:name="_Toc517768422"/>
      <w:r w:rsidRPr="00607F38">
        <w:t>Studies with twice daily dosing of IDegAsp</w:t>
      </w:r>
      <w:bookmarkEnd w:id="113"/>
    </w:p>
    <w:p w14:paraId="0C75320C" w14:textId="01A1AF11" w:rsidR="00607F38" w:rsidRPr="00607F38" w:rsidRDefault="00607F38" w:rsidP="00656251">
      <w:pPr>
        <w:pStyle w:val="Heading4"/>
      </w:pPr>
      <w:r w:rsidRPr="00607F38">
        <w:t>Study NN5401-3940</w:t>
      </w:r>
    </w:p>
    <w:p w14:paraId="070DAE56" w14:textId="3A152EC9" w:rsidR="00607F38" w:rsidRPr="00607F38" w:rsidRDefault="00607F38" w:rsidP="00607F38">
      <w:pPr>
        <w:rPr>
          <w:lang w:eastAsia="ja-JP"/>
        </w:rPr>
      </w:pPr>
      <w:r w:rsidRPr="00607F38">
        <w:rPr>
          <w:lang w:eastAsia="ja-JP"/>
        </w:rPr>
        <w:t>Study NN5401-394</w:t>
      </w:r>
      <w:r w:rsidR="007F105E">
        <w:rPr>
          <w:lang w:eastAsia="ja-JP"/>
        </w:rPr>
        <w:t xml:space="preserve">0 is a 26-week randomised, open </w:t>
      </w:r>
      <w:r w:rsidRPr="00607F38">
        <w:rPr>
          <w:lang w:eastAsia="ja-JP"/>
        </w:rPr>
        <w:t xml:space="preserve">label, multinational, </w:t>
      </w:r>
      <w:r w:rsidR="00D44164">
        <w:rPr>
          <w:lang w:eastAsia="ja-JP"/>
        </w:rPr>
        <w:t>2</w:t>
      </w:r>
      <w:r w:rsidR="007F105E">
        <w:rPr>
          <w:lang w:eastAsia="ja-JP"/>
        </w:rPr>
        <w:t xml:space="preserve"> </w:t>
      </w:r>
      <w:proofErr w:type="gramStart"/>
      <w:r w:rsidRPr="00607F38">
        <w:rPr>
          <w:lang w:eastAsia="ja-JP"/>
        </w:rPr>
        <w:t>arm</w:t>
      </w:r>
      <w:proofErr w:type="gramEnd"/>
      <w:r w:rsidRPr="00607F38">
        <w:rPr>
          <w:lang w:eastAsia="ja-JP"/>
        </w:rPr>
        <w:t>, parallel</w:t>
      </w:r>
      <w:r w:rsidR="007F105E">
        <w:rPr>
          <w:lang w:eastAsia="ja-JP"/>
        </w:rPr>
        <w:t xml:space="preserve"> </w:t>
      </w:r>
      <w:r w:rsidRPr="00607F38">
        <w:rPr>
          <w:lang w:eastAsia="ja-JP"/>
        </w:rPr>
        <w:t>group, treat-to-target study to compare the efficacy and safety of IDe</w:t>
      </w:r>
      <w:r w:rsidR="007F105E">
        <w:rPr>
          <w:lang w:eastAsia="ja-JP"/>
        </w:rPr>
        <w:t>gAsp</w:t>
      </w:r>
      <w:r w:rsidR="00C468E6">
        <w:rPr>
          <w:lang w:eastAsia="ja-JP"/>
        </w:rPr>
        <w:t xml:space="preserve"> BD</w:t>
      </w:r>
      <w:r w:rsidR="007F105E">
        <w:rPr>
          <w:lang w:eastAsia="ja-JP"/>
        </w:rPr>
        <w:t xml:space="preserve"> and BIAsp 30</w:t>
      </w:r>
      <w:r w:rsidR="00C468E6">
        <w:rPr>
          <w:lang w:eastAsia="ja-JP"/>
        </w:rPr>
        <w:t xml:space="preserve"> BD</w:t>
      </w:r>
      <w:r w:rsidR="007F105E">
        <w:rPr>
          <w:lang w:eastAsia="ja-JP"/>
        </w:rPr>
        <w:t xml:space="preserve"> added </w:t>
      </w:r>
      <w:r w:rsidRPr="00607F38">
        <w:rPr>
          <w:lang w:eastAsia="ja-JP"/>
        </w:rPr>
        <w:t>to metformin in insulin</w:t>
      </w:r>
      <w:r w:rsidR="007F105E">
        <w:rPr>
          <w:lang w:eastAsia="ja-JP"/>
        </w:rPr>
        <w:t xml:space="preserve"> </w:t>
      </w:r>
      <w:r w:rsidRPr="00607F38">
        <w:rPr>
          <w:lang w:eastAsia="ja-JP"/>
        </w:rPr>
        <w:t>naïve subjects with T2DM. The primary objective was to confirm the efficacy of IDegAsp added to metformin in controlling glycaemia by comparing change from baseline in HbA1c after 26 weeks of treatment to a non-inferiority limit of 0.4%. There were 394 subjects randomised 1:1 to IDegAsp (n = 197) or BIAsp 30 (n = 197). The trial population was considered well balanced with regard to baseline demographics.</w:t>
      </w:r>
    </w:p>
    <w:p w14:paraId="32E5C0A8" w14:textId="07E5F6C1" w:rsidR="00607F38" w:rsidRPr="00607F38" w:rsidRDefault="00607F38" w:rsidP="00607F38">
      <w:pPr>
        <w:rPr>
          <w:lang w:eastAsia="ja-JP"/>
        </w:rPr>
      </w:pPr>
      <w:r w:rsidRPr="00607F38">
        <w:rPr>
          <w:lang w:eastAsia="ja-JP"/>
        </w:rPr>
        <w:t xml:space="preserve">Non-inferiority of IDegAsp to BIAsp 30 in terms of HbA1c reduction after 26 weeks of treatment was confirmed, with an estimated mean change in HbA1c from baseline of -1.71% with IDegAsp and -1.73% with BIAsp 30 (estimated mean treatment difference </w:t>
      </w:r>
      <w:r w:rsidR="007F105E">
        <w:rPr>
          <w:lang w:eastAsia="ja-JP"/>
        </w:rPr>
        <w:t>(</w:t>
      </w:r>
      <w:r w:rsidRPr="00607F38">
        <w:rPr>
          <w:lang w:eastAsia="ja-JP"/>
        </w:rPr>
        <w:t>IDegAsp- BIAsp 30</w:t>
      </w:r>
      <w:r w:rsidR="007F105E">
        <w:rPr>
          <w:lang w:eastAsia="ja-JP"/>
        </w:rPr>
        <w:t>)</w:t>
      </w:r>
      <w:r w:rsidRPr="00607F38">
        <w:rPr>
          <w:lang w:eastAsia="ja-JP"/>
        </w:rPr>
        <w:t xml:space="preserve"> = 0.02% </w:t>
      </w:r>
      <w:r w:rsidR="007F105E">
        <w:rPr>
          <w:lang w:eastAsia="ja-JP"/>
        </w:rPr>
        <w:t>(</w:t>
      </w:r>
      <w:r w:rsidRPr="00607F38">
        <w:rPr>
          <w:lang w:eastAsia="ja-JP"/>
        </w:rPr>
        <w:t>95% CI: -0.12, 0.17</w:t>
      </w:r>
      <w:r w:rsidR="007F105E">
        <w:rPr>
          <w:lang w:eastAsia="ja-JP"/>
        </w:rPr>
        <w:t>)</w:t>
      </w:r>
      <w:r w:rsidRPr="00607F38">
        <w:rPr>
          <w:lang w:eastAsia="ja-JP"/>
        </w:rPr>
        <w:t xml:space="preserve">). The estimated mean change from baseline in FPG was </w:t>
      </w:r>
      <w:proofErr w:type="gramStart"/>
      <w:r w:rsidRPr="00607F38">
        <w:rPr>
          <w:lang w:eastAsia="ja-JP"/>
        </w:rPr>
        <w:t>-4.35 mmol/L</w:t>
      </w:r>
      <w:proofErr w:type="gramEnd"/>
      <w:r w:rsidRPr="00607F38">
        <w:rPr>
          <w:lang w:eastAsia="ja-JP"/>
        </w:rPr>
        <w:t xml:space="preserve"> and -3.34 mmol/L for IDegAsp and BIAsp 30 respectively (estimated treatment difference </w:t>
      </w:r>
      <w:r w:rsidR="007F105E">
        <w:rPr>
          <w:lang w:eastAsia="ja-JP"/>
        </w:rPr>
        <w:t>(IDegAsp- BIAsp 30)</w:t>
      </w:r>
      <w:r w:rsidR="00FD4512">
        <w:rPr>
          <w:lang w:eastAsia="ja-JP"/>
        </w:rPr>
        <w:t xml:space="preserve"> = -1.00 mmol/L (95% CI: -1.42, -0.59)</w:t>
      </w:r>
      <w:r w:rsidRPr="00607F38">
        <w:rPr>
          <w:lang w:eastAsia="ja-JP"/>
        </w:rPr>
        <w:t xml:space="preserve">). The observed proportion of subjects achieving HbA1c &lt; 7.0% without confirmed hypoglycaemic episodes was 40.1% and 31.6% for the IDegAsp and BIAsp 30 groups respectively. </w:t>
      </w:r>
    </w:p>
    <w:p w14:paraId="6F6588F1" w14:textId="32C5C4CA" w:rsidR="00607F38" w:rsidRPr="00607F38" w:rsidRDefault="00607F38" w:rsidP="00607F38">
      <w:pPr>
        <w:rPr>
          <w:lang w:eastAsia="ja-JP"/>
        </w:rPr>
      </w:pPr>
      <w:r w:rsidRPr="00607F38">
        <w:rPr>
          <w:lang w:eastAsia="ja-JP"/>
        </w:rPr>
        <w:t>A lower rate of nocturnal confirmed hypoglycaemic episodes and confirmed hypoglycaemic episodes was observed for IDegAsp (63 and 580 episodes per 100 PYE) compared to BIAsp 30 (277 and 1301 episodes per 100 PYE). The estimated rate ratios (IDegAsp/BIAsp 30) were 0.25 (95% CI: 0.16, 0.38) and 0.46 (95% CI: 0.35, 0.61) for nocturnal confirmed and confirmed hypoglycaemic episodes respectively.</w:t>
      </w:r>
    </w:p>
    <w:p w14:paraId="2B270696" w14:textId="6711E38B" w:rsidR="00607F38" w:rsidRPr="00607F38" w:rsidRDefault="00656251" w:rsidP="00656251">
      <w:pPr>
        <w:pStyle w:val="Comment"/>
        <w:rPr>
          <w:lang w:eastAsia="ja-JP"/>
        </w:rPr>
      </w:pPr>
      <w:r w:rsidRPr="00656251">
        <w:rPr>
          <w:b/>
          <w:lang w:eastAsia="ja-JP"/>
        </w:rPr>
        <w:t>Comment:</w:t>
      </w:r>
      <w:r>
        <w:rPr>
          <w:b/>
          <w:u w:val="single"/>
          <w:lang w:eastAsia="ja-JP"/>
        </w:rPr>
        <w:t xml:space="preserve"> </w:t>
      </w:r>
      <w:r w:rsidR="00607F38" w:rsidRPr="00607F38">
        <w:rPr>
          <w:lang w:eastAsia="ja-JP"/>
        </w:rPr>
        <w:t xml:space="preserve"> The efficacy of IDegAsp compared with BIAsp 30</w:t>
      </w:r>
      <w:r w:rsidR="00C468E6">
        <w:rPr>
          <w:lang w:eastAsia="ja-JP"/>
        </w:rPr>
        <w:t xml:space="preserve"> BD</w:t>
      </w:r>
      <w:r w:rsidR="00607F38" w:rsidRPr="00607F38">
        <w:rPr>
          <w:lang w:eastAsia="ja-JP"/>
        </w:rPr>
        <w:t xml:space="preserve"> in insulin-treated subjects with T2DM has been determined in the pivotal </w:t>
      </w:r>
      <w:r w:rsidR="007F105E" w:rsidRPr="007F105E">
        <w:rPr>
          <w:lang w:eastAsia="ja-JP"/>
        </w:rPr>
        <w:t>Study NN5401</w:t>
      </w:r>
      <w:r w:rsidR="007F105E">
        <w:rPr>
          <w:lang w:eastAsia="ja-JP"/>
        </w:rPr>
        <w:t>-</w:t>
      </w:r>
      <w:r w:rsidR="00607F38" w:rsidRPr="00607F38">
        <w:rPr>
          <w:lang w:eastAsia="ja-JP"/>
        </w:rPr>
        <w:t xml:space="preserve">3592 evaluated in </w:t>
      </w:r>
      <w:r w:rsidR="007F105E">
        <w:rPr>
          <w:lang w:eastAsia="ja-JP"/>
        </w:rPr>
        <w:t>the original withdrawn submission</w:t>
      </w:r>
      <w:r w:rsidR="00607F38" w:rsidRPr="00607F38">
        <w:rPr>
          <w:lang w:eastAsia="ja-JP"/>
        </w:rPr>
        <w:t>. The limited data provided in the current synopsis for</w:t>
      </w:r>
      <w:r w:rsidR="00C468E6">
        <w:rPr>
          <w:lang w:eastAsia="ja-JP"/>
        </w:rPr>
        <w:t xml:space="preserve"> BD</w:t>
      </w:r>
      <w:r w:rsidR="00607F38" w:rsidRPr="00607F38">
        <w:rPr>
          <w:lang w:eastAsia="ja-JP"/>
        </w:rPr>
        <w:t xml:space="preserve"> dosing in insulin</w:t>
      </w:r>
      <w:r w:rsidR="007F105E">
        <w:rPr>
          <w:lang w:eastAsia="ja-JP"/>
        </w:rPr>
        <w:t xml:space="preserve"> </w:t>
      </w:r>
      <w:r w:rsidR="00607F38" w:rsidRPr="00607F38">
        <w:rPr>
          <w:lang w:eastAsia="ja-JP"/>
        </w:rPr>
        <w:t>naïve subjects with T2DM demonstrate a similar trend to the results in Study</w:t>
      </w:r>
      <w:r w:rsidR="007F105E" w:rsidRPr="007F105E">
        <w:rPr>
          <w:lang w:eastAsia="ja-JP"/>
        </w:rPr>
        <w:t xml:space="preserve"> NN5401</w:t>
      </w:r>
      <w:r w:rsidR="007F105E">
        <w:rPr>
          <w:lang w:eastAsia="ja-JP"/>
        </w:rPr>
        <w:t>-</w:t>
      </w:r>
      <w:r w:rsidR="00607F38" w:rsidRPr="00607F38">
        <w:rPr>
          <w:lang w:eastAsia="ja-JP"/>
        </w:rPr>
        <w:t xml:space="preserve">3592, </w:t>
      </w:r>
      <w:proofErr w:type="gramStart"/>
      <w:r w:rsidR="00607F38" w:rsidRPr="00607F38">
        <w:rPr>
          <w:i/>
          <w:lang w:eastAsia="ja-JP"/>
        </w:rPr>
        <w:t>vis</w:t>
      </w:r>
      <w:proofErr w:type="gramEnd"/>
      <w:r w:rsidR="00607F38" w:rsidRPr="00607F38">
        <w:rPr>
          <w:i/>
          <w:lang w:eastAsia="ja-JP"/>
        </w:rPr>
        <w:t xml:space="preserve"> a vis</w:t>
      </w:r>
      <w:r w:rsidR="00607F38" w:rsidRPr="00607F38">
        <w:rPr>
          <w:lang w:eastAsia="ja-JP"/>
        </w:rPr>
        <w:t xml:space="preserve"> reductions in HBA1c, FPG and in the incidence of confirmed and nocturnal confirmed hypoglycaemic episodes.</w:t>
      </w:r>
    </w:p>
    <w:p w14:paraId="13346749" w14:textId="50F1E534" w:rsidR="00607F38" w:rsidRPr="00607F38" w:rsidRDefault="00607F38" w:rsidP="00656251">
      <w:pPr>
        <w:pStyle w:val="Heading4"/>
      </w:pPr>
      <w:r w:rsidRPr="00607F38">
        <w:t>Study NN5401-3996</w:t>
      </w:r>
    </w:p>
    <w:p w14:paraId="5C6B173C" w14:textId="26C3B3BA" w:rsidR="00607F38" w:rsidRPr="00607F38" w:rsidRDefault="00607F38" w:rsidP="00607F38">
      <w:pPr>
        <w:rPr>
          <w:lang w:eastAsia="ja-JP"/>
        </w:rPr>
      </w:pPr>
      <w:r w:rsidRPr="00607F38">
        <w:rPr>
          <w:lang w:eastAsia="ja-JP"/>
        </w:rPr>
        <w:t>Study NN5401-3996 is a 26-week randomised, controlled, open-label, multinational, parallel group, treat-to-target study to compare the efficacy and safety of IDegAsp</w:t>
      </w:r>
      <w:r w:rsidR="00C468E6">
        <w:rPr>
          <w:lang w:eastAsia="ja-JP"/>
        </w:rPr>
        <w:t xml:space="preserve"> BD</w:t>
      </w:r>
      <w:r w:rsidRPr="00607F38">
        <w:rPr>
          <w:lang w:eastAsia="ja-JP"/>
        </w:rPr>
        <w:t xml:space="preserve"> with IDeg OD + IAsp in subjects with T2DM treated with OADs (except sulphonylureas and glinides) and basal insulin requiring treatment intensification with mealtime insulin. The primary objective was to </w:t>
      </w:r>
      <w:r w:rsidRPr="00607F38">
        <w:rPr>
          <w:lang w:eastAsia="ja-JP"/>
        </w:rPr>
        <w:lastRenderedPageBreak/>
        <w:t>confirm the efficacy of IDegAsp</w:t>
      </w:r>
      <w:r w:rsidR="00C468E6">
        <w:rPr>
          <w:lang w:eastAsia="ja-JP"/>
        </w:rPr>
        <w:t xml:space="preserve"> BD</w:t>
      </w:r>
      <w:r w:rsidRPr="00607F38">
        <w:rPr>
          <w:lang w:eastAsia="ja-JP"/>
        </w:rPr>
        <w:t xml:space="preserve"> in terms of glycaemic control by comparing the difference in the change in HbA1c from baseline between IDegAsp</w:t>
      </w:r>
      <w:r w:rsidR="00C468E6">
        <w:rPr>
          <w:lang w:eastAsia="ja-JP"/>
        </w:rPr>
        <w:t xml:space="preserve"> BD</w:t>
      </w:r>
      <w:r w:rsidRPr="00607F38">
        <w:rPr>
          <w:lang w:eastAsia="ja-JP"/>
        </w:rPr>
        <w:t xml:space="preserve"> and IDeg OD + IAsp 2-4 times daily to a</w:t>
      </w:r>
      <w:r w:rsidR="00656251">
        <w:rPr>
          <w:lang w:eastAsia="ja-JP"/>
        </w:rPr>
        <w:t xml:space="preserve"> non-inferiority limit of 0.4%.</w:t>
      </w:r>
    </w:p>
    <w:p w14:paraId="13675016" w14:textId="3CD2BEC3" w:rsidR="00607F38" w:rsidRPr="00607F38" w:rsidRDefault="00607F38" w:rsidP="00607F38">
      <w:pPr>
        <w:rPr>
          <w:lang w:eastAsia="ja-JP"/>
        </w:rPr>
      </w:pPr>
      <w:r w:rsidRPr="00607F38">
        <w:rPr>
          <w:lang w:eastAsia="ja-JP"/>
        </w:rPr>
        <w:t>The study population included 274 subjects randomised 1:1 to IDegAsp</w:t>
      </w:r>
      <w:r w:rsidR="00C468E6">
        <w:rPr>
          <w:lang w:eastAsia="ja-JP"/>
        </w:rPr>
        <w:t xml:space="preserve"> BD</w:t>
      </w:r>
      <w:r w:rsidRPr="00607F38">
        <w:rPr>
          <w:lang w:eastAsia="ja-JP"/>
        </w:rPr>
        <w:t xml:space="preserve"> (n = 138) or IDeg OD + IAsp (n =</w:t>
      </w:r>
      <w:r w:rsidR="00656251">
        <w:rPr>
          <w:lang w:eastAsia="ja-JP"/>
        </w:rPr>
        <w:t xml:space="preserve"> 136).</w:t>
      </w:r>
    </w:p>
    <w:p w14:paraId="7D78160F" w14:textId="7BED10A9" w:rsidR="00607F38" w:rsidRPr="00607F38" w:rsidRDefault="00607F38" w:rsidP="00607F38">
      <w:pPr>
        <w:rPr>
          <w:lang w:eastAsia="ja-JP"/>
        </w:rPr>
      </w:pPr>
      <w:r w:rsidRPr="00607F38">
        <w:rPr>
          <w:lang w:eastAsia="ja-JP"/>
        </w:rPr>
        <w:t>At randomisation, subjects in the IDegAsp</w:t>
      </w:r>
      <w:r w:rsidR="00C468E6">
        <w:rPr>
          <w:lang w:eastAsia="ja-JP"/>
        </w:rPr>
        <w:t xml:space="preserve"> BD</w:t>
      </w:r>
      <w:r w:rsidRPr="00607F38">
        <w:rPr>
          <w:lang w:eastAsia="ja-JP"/>
        </w:rPr>
        <w:t xml:space="preserve"> treatment arm were switched unit-to-unit from previous daily total daily basal insulin dose to IDegAsp, with the total dose split into </w:t>
      </w:r>
      <w:r w:rsidR="00D44164">
        <w:rPr>
          <w:lang w:eastAsia="ja-JP"/>
        </w:rPr>
        <w:t>2</w:t>
      </w:r>
      <w:r w:rsidRPr="00607F38">
        <w:rPr>
          <w:lang w:eastAsia="ja-JP"/>
        </w:rPr>
        <w:t xml:space="preserve"> daily doses of IDegAsp at the investigators’ discretion also ensuring that the short-acting component was appropriate to the intended meal sizes. In the IDeg OD + IAsp arm, subjects previously on once daily basal insulin were switched unit-to-unit from their previous total daily basal insulin dose to IDeg OD and subjects on a twice daily insulin regimen previously were switched to IDeg OD. The dose of IDeg OD was reduced by 20% compared to previous total insulin dose. IAsp was administered w</w:t>
      </w:r>
      <w:r w:rsidR="00656251">
        <w:rPr>
          <w:lang w:eastAsia="ja-JP"/>
        </w:rPr>
        <w:t>ith main meals 2-4 times daily.</w:t>
      </w:r>
    </w:p>
    <w:p w14:paraId="02F334E4" w14:textId="66992143" w:rsidR="00607F38" w:rsidRPr="00607F38" w:rsidRDefault="00607F38" w:rsidP="00607F38">
      <w:pPr>
        <w:rPr>
          <w:lang w:eastAsia="ja-JP"/>
        </w:rPr>
      </w:pPr>
      <w:r w:rsidRPr="00607F38">
        <w:rPr>
          <w:lang w:eastAsia="ja-JP"/>
        </w:rPr>
        <w:t xml:space="preserve">It is noted at the end of the study the mean derived total daily basal insulin dose was similar between the </w:t>
      </w:r>
      <w:r w:rsidR="00D44164">
        <w:rPr>
          <w:lang w:eastAsia="ja-JP"/>
        </w:rPr>
        <w:t>2</w:t>
      </w:r>
      <w:r w:rsidR="00FD4512">
        <w:rPr>
          <w:lang w:eastAsia="ja-JP"/>
        </w:rPr>
        <w:t xml:space="preserve"> groups (IDegAsp</w:t>
      </w:r>
      <w:r w:rsidR="00C468E6">
        <w:rPr>
          <w:lang w:eastAsia="ja-JP"/>
        </w:rPr>
        <w:t xml:space="preserve"> BD</w:t>
      </w:r>
      <w:r w:rsidR="00FD4512">
        <w:rPr>
          <w:lang w:eastAsia="ja-JP"/>
        </w:rPr>
        <w:t xml:space="preserve"> = 75 U (0.78 U/kg)</w:t>
      </w:r>
      <w:r w:rsidRPr="00607F38">
        <w:rPr>
          <w:lang w:eastAsia="ja-JP"/>
        </w:rPr>
        <w:t xml:space="preserve"> and IDeg OD+ IAsp = 73 U </w:t>
      </w:r>
      <w:r w:rsidR="00FD4512">
        <w:rPr>
          <w:lang w:eastAsia="ja-JP"/>
        </w:rPr>
        <w:t>(</w:t>
      </w:r>
      <w:r w:rsidRPr="00607F38">
        <w:rPr>
          <w:lang w:eastAsia="ja-JP"/>
        </w:rPr>
        <w:t>0.74 U/kg</w:t>
      </w:r>
      <w:r w:rsidR="00FD4512">
        <w:rPr>
          <w:lang w:eastAsia="ja-JP"/>
        </w:rPr>
        <w:t>)</w:t>
      </w:r>
      <w:r w:rsidRPr="00607F38">
        <w:rPr>
          <w:lang w:eastAsia="ja-JP"/>
        </w:rPr>
        <w:t>), whilst the mean derived total daily bolus insulin dose was numerically lower in the IDegAsp</w:t>
      </w:r>
      <w:r w:rsidR="00C468E6">
        <w:rPr>
          <w:lang w:eastAsia="ja-JP"/>
        </w:rPr>
        <w:t xml:space="preserve"> BD</w:t>
      </w:r>
      <w:r w:rsidRPr="00607F38">
        <w:rPr>
          <w:lang w:eastAsia="ja-JP"/>
        </w:rPr>
        <w:t xml:space="preserve"> group (32 U </w:t>
      </w:r>
      <w:r w:rsidR="00FD4512">
        <w:rPr>
          <w:lang w:eastAsia="ja-JP"/>
        </w:rPr>
        <w:t>(</w:t>
      </w:r>
      <w:r w:rsidRPr="00607F38">
        <w:rPr>
          <w:lang w:eastAsia="ja-JP"/>
        </w:rPr>
        <w:t xml:space="preserve">0.33 U/kg]) compared with the IDeg OD + IAsp group (58 U </w:t>
      </w:r>
      <w:r w:rsidR="005874E2">
        <w:rPr>
          <w:lang w:eastAsia="ja-JP"/>
        </w:rPr>
        <w:t>(</w:t>
      </w:r>
      <w:r w:rsidRPr="00607F38">
        <w:rPr>
          <w:lang w:eastAsia="ja-JP"/>
        </w:rPr>
        <w:t>0.61 U/kg]).</w:t>
      </w:r>
    </w:p>
    <w:p w14:paraId="4740B09F" w14:textId="6ACDEF4D" w:rsidR="00607F38" w:rsidRPr="00607F38" w:rsidRDefault="00607F38" w:rsidP="00607F38">
      <w:pPr>
        <w:rPr>
          <w:lang w:eastAsia="ja-JP"/>
        </w:rPr>
      </w:pPr>
      <w:r w:rsidRPr="00607F38">
        <w:rPr>
          <w:lang w:eastAsia="ja-JP"/>
        </w:rPr>
        <w:t>The estimated mean change from baseline in HbA1c after 26 weeks was -1.23% for IDegAsp</w:t>
      </w:r>
      <w:r w:rsidR="00C468E6">
        <w:rPr>
          <w:lang w:eastAsia="ja-JP"/>
        </w:rPr>
        <w:t xml:space="preserve"> BD</w:t>
      </w:r>
      <w:r w:rsidRPr="00607F38">
        <w:rPr>
          <w:lang w:eastAsia="ja-JP"/>
        </w:rPr>
        <w:t xml:space="preserve"> and -1.42% with IDeg OD + IAsp. Non-inferiority of IDegAsp</w:t>
      </w:r>
      <w:r w:rsidR="00C468E6">
        <w:rPr>
          <w:lang w:eastAsia="ja-JP"/>
        </w:rPr>
        <w:t xml:space="preserve"> BD</w:t>
      </w:r>
      <w:r w:rsidRPr="00607F38">
        <w:rPr>
          <w:lang w:eastAsia="ja-JP"/>
        </w:rPr>
        <w:t xml:space="preserve"> to IDeg + IAsp in terms of HbA1c reduction from baseline was not confirmed; the estimated treatment difference (IDegAsp</w:t>
      </w:r>
      <w:r w:rsidR="00C468E6">
        <w:rPr>
          <w:lang w:eastAsia="ja-JP"/>
        </w:rPr>
        <w:t xml:space="preserve"> BD</w:t>
      </w:r>
      <w:r w:rsidRPr="00607F38">
        <w:rPr>
          <w:lang w:eastAsia="ja-JP"/>
        </w:rPr>
        <w:t xml:space="preserve"> – IDeg + IAsp) was 0.18% (95% CI: -0.04, 0.41). Non-inferiority was stated to have been demons</w:t>
      </w:r>
      <w:r w:rsidR="00656251">
        <w:rPr>
          <w:lang w:eastAsia="ja-JP"/>
        </w:rPr>
        <w:t>trated in sensitivity analyses.</w:t>
      </w:r>
    </w:p>
    <w:p w14:paraId="17C49A89" w14:textId="5DBBAD96" w:rsidR="00607F38" w:rsidRPr="00607F38" w:rsidRDefault="00607F38" w:rsidP="00607F38">
      <w:pPr>
        <w:rPr>
          <w:lang w:eastAsia="ja-JP"/>
        </w:rPr>
      </w:pPr>
      <w:r w:rsidRPr="00607F38">
        <w:rPr>
          <w:lang w:eastAsia="ja-JP"/>
        </w:rPr>
        <w:t>There was a reduction in mean FPG from baseline in both groups, with an estimated treatment difference (IDegAsp</w:t>
      </w:r>
      <w:r w:rsidR="00C468E6">
        <w:rPr>
          <w:lang w:eastAsia="ja-JP"/>
        </w:rPr>
        <w:t xml:space="preserve"> BD</w:t>
      </w:r>
      <w:r w:rsidRPr="00607F38">
        <w:rPr>
          <w:lang w:eastAsia="ja-JP"/>
        </w:rPr>
        <w:t xml:space="preserve"> – IDeg OD + IAsp) </w:t>
      </w:r>
      <w:proofErr w:type="gramStart"/>
      <w:r w:rsidRPr="00607F38">
        <w:rPr>
          <w:lang w:eastAsia="ja-JP"/>
        </w:rPr>
        <w:t>of -0.31 mmol/L</w:t>
      </w:r>
      <w:proofErr w:type="gramEnd"/>
      <w:r w:rsidRPr="00607F38">
        <w:rPr>
          <w:lang w:eastAsia="ja-JP"/>
        </w:rPr>
        <w:t xml:space="preserve"> (95% CI: -0.97, 0.34). After 26 weeks, the observed proportion of subjects with HbA1c &lt; 7.0% was 56.5% subjects in the IDegAsp</w:t>
      </w:r>
      <w:r w:rsidR="00C468E6">
        <w:rPr>
          <w:lang w:eastAsia="ja-JP"/>
        </w:rPr>
        <w:t xml:space="preserve"> BD</w:t>
      </w:r>
      <w:r w:rsidRPr="00607F38">
        <w:rPr>
          <w:lang w:eastAsia="ja-JP"/>
        </w:rPr>
        <w:t xml:space="preserve"> group and 59.6% subjects in the IDegAsp OD + IAsp group (treatment odds ratio </w:t>
      </w:r>
      <w:r w:rsidR="005874E2">
        <w:rPr>
          <w:lang w:eastAsia="ja-JP"/>
        </w:rPr>
        <w:t>(</w:t>
      </w:r>
      <w:r w:rsidRPr="00607F38">
        <w:rPr>
          <w:lang w:eastAsia="ja-JP"/>
        </w:rPr>
        <w:t>IDegAsp</w:t>
      </w:r>
      <w:r w:rsidR="00C468E6">
        <w:rPr>
          <w:lang w:eastAsia="ja-JP"/>
        </w:rPr>
        <w:t xml:space="preserve"> BD</w:t>
      </w:r>
      <w:r w:rsidRPr="00607F38">
        <w:rPr>
          <w:lang w:eastAsia="ja-JP"/>
        </w:rPr>
        <w:t>/IDeg OD + IAsp</w:t>
      </w:r>
      <w:r w:rsidR="005874E2">
        <w:rPr>
          <w:lang w:eastAsia="ja-JP"/>
        </w:rPr>
        <w:t>)</w:t>
      </w:r>
      <w:r w:rsidRPr="00607F38">
        <w:rPr>
          <w:lang w:eastAsia="ja-JP"/>
        </w:rPr>
        <w:t xml:space="preserve"> of 0.83 </w:t>
      </w:r>
      <w:r w:rsidR="005874E2">
        <w:rPr>
          <w:lang w:eastAsia="ja-JP"/>
        </w:rPr>
        <w:t>(</w:t>
      </w:r>
      <w:r w:rsidRPr="00607F38">
        <w:rPr>
          <w:lang w:eastAsia="ja-JP"/>
        </w:rPr>
        <w:t>95% CI: 0.50, 1.38</w:t>
      </w:r>
      <w:r w:rsidR="005874E2">
        <w:rPr>
          <w:lang w:eastAsia="ja-JP"/>
        </w:rPr>
        <w:t>)</w:t>
      </w:r>
      <w:r w:rsidRPr="00607F38">
        <w:rPr>
          <w:lang w:eastAsia="ja-JP"/>
        </w:rPr>
        <w:t>).</w:t>
      </w:r>
    </w:p>
    <w:p w14:paraId="19A07F92" w14:textId="03FF3175" w:rsidR="00607F38" w:rsidRPr="00607F38" w:rsidRDefault="00607F38" w:rsidP="00607F38">
      <w:pPr>
        <w:rPr>
          <w:lang w:eastAsia="ja-JP"/>
        </w:rPr>
      </w:pPr>
      <w:r w:rsidRPr="00607F38">
        <w:rPr>
          <w:lang w:eastAsia="ja-JP"/>
        </w:rPr>
        <w:t xml:space="preserve">There was no statistically significant difference in the rate of confirmed hypoglycaemic episode or nocturnal confirmed hypoglycaemic episodes between the </w:t>
      </w:r>
      <w:r w:rsidR="00D44164">
        <w:rPr>
          <w:lang w:eastAsia="ja-JP"/>
        </w:rPr>
        <w:t>2</w:t>
      </w:r>
      <w:r w:rsidRPr="00607F38">
        <w:rPr>
          <w:lang w:eastAsia="ja-JP"/>
        </w:rPr>
        <w:t xml:space="preserve"> groups; estimated rate ratios (IDegAsp</w:t>
      </w:r>
      <w:r w:rsidR="00C468E6">
        <w:rPr>
          <w:lang w:eastAsia="ja-JP"/>
        </w:rPr>
        <w:t xml:space="preserve"> BD</w:t>
      </w:r>
      <w:r w:rsidRPr="00607F38">
        <w:rPr>
          <w:lang w:eastAsia="ja-JP"/>
        </w:rPr>
        <w:t>/IDeg OD + IAsp) were 0.81 (95% CI: 0.61, 1.07) and 0.80 (95% CI: 0.50, 1.29) respectively.</w:t>
      </w:r>
    </w:p>
    <w:p w14:paraId="78467F6A" w14:textId="7019006F" w:rsidR="00607F38" w:rsidRPr="00607F38" w:rsidRDefault="00656251" w:rsidP="00656251">
      <w:pPr>
        <w:pStyle w:val="Comment"/>
        <w:rPr>
          <w:lang w:eastAsia="ja-JP"/>
        </w:rPr>
      </w:pPr>
      <w:r w:rsidRPr="00656251">
        <w:rPr>
          <w:b/>
          <w:lang w:eastAsia="ja-JP"/>
        </w:rPr>
        <w:t>C</w:t>
      </w:r>
      <w:r w:rsidR="00607F38" w:rsidRPr="00656251">
        <w:rPr>
          <w:b/>
          <w:lang w:eastAsia="ja-JP"/>
        </w:rPr>
        <w:t>omment:</w:t>
      </w:r>
      <w:r>
        <w:rPr>
          <w:lang w:eastAsia="ja-JP"/>
        </w:rPr>
        <w:t xml:space="preserve"> </w:t>
      </w:r>
      <w:r w:rsidR="00607F38" w:rsidRPr="00607F38">
        <w:rPr>
          <w:lang w:eastAsia="ja-JP"/>
        </w:rPr>
        <w:t xml:space="preserve"> It is not clear why the dose of IDeg OD was reduced by 20% compared to previous insulin dose as stated in the synopsis. Non-inferiority of IDegAsp</w:t>
      </w:r>
      <w:r w:rsidR="00C468E6">
        <w:rPr>
          <w:lang w:eastAsia="ja-JP"/>
        </w:rPr>
        <w:t xml:space="preserve"> BD</w:t>
      </w:r>
      <w:r w:rsidR="00607F38" w:rsidRPr="00607F38">
        <w:rPr>
          <w:lang w:eastAsia="ja-JP"/>
        </w:rPr>
        <w:t xml:space="preserve"> to IDeg OD + IAsp with regard to the primary endpoint was not confirmed. Sensitivity analyses were stated to be within the non-inferiority margin. Overall a reduction in HbA1c was observed in both groups as would generally be expected with intensification of insulin therapy, but it is difficult to draw any further conclusions based on a study synopsis.</w:t>
      </w:r>
    </w:p>
    <w:p w14:paraId="4392ED95" w14:textId="1A4F2B13" w:rsidR="00607F38" w:rsidRPr="00607F38" w:rsidRDefault="00607F38" w:rsidP="00656251">
      <w:pPr>
        <w:pStyle w:val="Heading4"/>
      </w:pPr>
      <w:r w:rsidRPr="00607F38">
        <w:t>Study NN5401-3941</w:t>
      </w:r>
    </w:p>
    <w:p w14:paraId="76B15281" w14:textId="5407C169" w:rsidR="00607F38" w:rsidRPr="00607F38" w:rsidRDefault="0082696D" w:rsidP="00607F38">
      <w:pPr>
        <w:rPr>
          <w:lang w:eastAsia="ja-JP"/>
        </w:rPr>
      </w:pPr>
      <w:r>
        <w:rPr>
          <w:lang w:eastAsia="ja-JP"/>
        </w:rPr>
        <w:t xml:space="preserve">Study NN5401-3941 is a 26 </w:t>
      </w:r>
      <w:r w:rsidR="00607F38" w:rsidRPr="00607F38">
        <w:rPr>
          <w:lang w:eastAsia="ja-JP"/>
        </w:rPr>
        <w:t>week randomised, open</w:t>
      </w:r>
      <w:r>
        <w:rPr>
          <w:lang w:eastAsia="ja-JP"/>
        </w:rPr>
        <w:t xml:space="preserve"> label, multinational, multi</w:t>
      </w:r>
      <w:r w:rsidR="00607F38" w:rsidRPr="00607F38">
        <w:rPr>
          <w:lang w:eastAsia="ja-JP"/>
        </w:rPr>
        <w:t xml:space="preserve">centre, </w:t>
      </w:r>
      <w:r>
        <w:rPr>
          <w:lang w:eastAsia="ja-JP"/>
        </w:rPr>
        <w:t xml:space="preserve">2 arm, parallel </w:t>
      </w:r>
      <w:r w:rsidR="00607F38" w:rsidRPr="00607F38">
        <w:rPr>
          <w:lang w:eastAsia="ja-JP"/>
        </w:rPr>
        <w:t xml:space="preserve">group, treat-to-target study to compare the efficacy and safety of </w:t>
      </w:r>
      <w:r w:rsidR="00D44164">
        <w:rPr>
          <w:lang w:eastAsia="ja-JP"/>
        </w:rPr>
        <w:t>2</w:t>
      </w:r>
      <w:r w:rsidR="00607F38" w:rsidRPr="00607F38">
        <w:rPr>
          <w:lang w:eastAsia="ja-JP"/>
        </w:rPr>
        <w:t xml:space="preserve"> titration algorithms for IDegAsp</w:t>
      </w:r>
      <w:r w:rsidR="00C468E6">
        <w:rPr>
          <w:lang w:eastAsia="ja-JP"/>
        </w:rPr>
        <w:t xml:space="preserve"> BD</w:t>
      </w:r>
      <w:r w:rsidR="00607F38" w:rsidRPr="00607F38">
        <w:rPr>
          <w:lang w:eastAsia="ja-JP"/>
        </w:rPr>
        <w:t xml:space="preserve"> subjects with T2DM previously treated with IGlar and up to 3 OADs (excluding SU’s or glinides). Subjects in the IDegAsp</w:t>
      </w:r>
      <w:r w:rsidR="00C468E6">
        <w:rPr>
          <w:lang w:eastAsia="ja-JP"/>
        </w:rPr>
        <w:t xml:space="preserve"> BD</w:t>
      </w:r>
      <w:r w:rsidR="00607F38" w:rsidRPr="00607F38">
        <w:rPr>
          <w:lang w:eastAsia="ja-JP"/>
        </w:rPr>
        <w:t xml:space="preserve"> simple titration algorithm arm performed self-titration twice weekly (at intervals of 3−4 days) based upon a single pre-breakfast and pre-dinner SMPG value, whilst for subjects in the IDegAsp stepwise titration algorithm arm, self-titration was performed once a week based on the lowest of 3 pre-breakfast SMPG values (measurements on 2 consecutive days prior to titration and on the day of titration) and 3 pre-dinner SMPG values (measurements on 3 consecutive days prior to titration).</w:t>
      </w:r>
    </w:p>
    <w:p w14:paraId="0BB715DA" w14:textId="5490FC81" w:rsidR="00607F38" w:rsidRPr="00607F38" w:rsidRDefault="00607F38" w:rsidP="00607F38">
      <w:pPr>
        <w:rPr>
          <w:lang w:eastAsia="ja-JP"/>
        </w:rPr>
      </w:pPr>
      <w:r w:rsidRPr="00607F38">
        <w:rPr>
          <w:lang w:eastAsia="ja-JP"/>
        </w:rPr>
        <w:lastRenderedPageBreak/>
        <w:t>There were 272 subjects randomised 1:1 to IDegAsp simple (n = 136) or IDegAsp step wise (n</w:t>
      </w:r>
      <w:r w:rsidR="00D44164">
        <w:rPr>
          <w:lang w:eastAsia="ja-JP"/>
        </w:rPr>
        <w:t> = </w:t>
      </w:r>
      <w:r w:rsidRPr="00607F38">
        <w:rPr>
          <w:lang w:eastAsia="ja-JP"/>
        </w:rPr>
        <w:t xml:space="preserve">136). Non-inferiority of IDegAsp simple to IDegAsp step wise with respect to reduction in HbA1c after 26 weeks of treatment was confirmed, with the estimated treatment difference (IDegAsp simple – IDegAsp step wise) -0.11% (95% CI: -0.34, 0.11). FPG reduced from </w:t>
      </w:r>
      <w:r w:rsidR="005874E2">
        <w:rPr>
          <w:lang w:eastAsia="ja-JP"/>
        </w:rPr>
        <w:t>B</w:t>
      </w:r>
      <w:r w:rsidRPr="00607F38">
        <w:rPr>
          <w:lang w:eastAsia="ja-JP"/>
        </w:rPr>
        <w:t xml:space="preserve">aseline in both groups (estimated treatment difference </w:t>
      </w:r>
      <w:r w:rsidR="005874E2">
        <w:rPr>
          <w:lang w:eastAsia="ja-JP"/>
        </w:rPr>
        <w:t>(IDegAsp simple –</w:t>
      </w:r>
      <w:r w:rsidRPr="00607F38">
        <w:rPr>
          <w:lang w:eastAsia="ja-JP"/>
        </w:rPr>
        <w:t xml:space="preserve"> IDegAsp</w:t>
      </w:r>
      <w:r w:rsidR="005874E2">
        <w:rPr>
          <w:lang w:eastAsia="ja-JP"/>
        </w:rPr>
        <w:t>,</w:t>
      </w:r>
      <w:r w:rsidRPr="00607F38">
        <w:rPr>
          <w:lang w:eastAsia="ja-JP"/>
        </w:rPr>
        <w:t xml:space="preserve"> step wise</w:t>
      </w:r>
      <w:r w:rsidR="005874E2">
        <w:rPr>
          <w:lang w:eastAsia="ja-JP"/>
        </w:rPr>
        <w:t xml:space="preserve">) = </w:t>
      </w:r>
      <w:proofErr w:type="gramStart"/>
      <w:r w:rsidR="005874E2">
        <w:rPr>
          <w:lang w:eastAsia="ja-JP"/>
        </w:rPr>
        <w:t>0.30 </w:t>
      </w:r>
      <w:r w:rsidRPr="00607F38">
        <w:rPr>
          <w:lang w:eastAsia="ja-JP"/>
        </w:rPr>
        <w:t>mmol/L</w:t>
      </w:r>
      <w:proofErr w:type="gramEnd"/>
      <w:r w:rsidRPr="00607F38">
        <w:rPr>
          <w:lang w:eastAsia="ja-JP"/>
        </w:rPr>
        <w:t xml:space="preserve"> </w:t>
      </w:r>
      <w:r w:rsidR="005874E2">
        <w:rPr>
          <w:lang w:eastAsia="ja-JP"/>
        </w:rPr>
        <w:t>(</w:t>
      </w:r>
      <w:r w:rsidRPr="00607F38">
        <w:rPr>
          <w:lang w:eastAsia="ja-JP"/>
        </w:rPr>
        <w:t>95% CI: -0.28, 0.88</w:t>
      </w:r>
      <w:r w:rsidR="005874E2">
        <w:rPr>
          <w:lang w:eastAsia="ja-JP"/>
        </w:rPr>
        <w:t>)</w:t>
      </w:r>
      <w:r w:rsidRPr="00607F38">
        <w:rPr>
          <w:lang w:eastAsia="ja-JP"/>
        </w:rPr>
        <w:t>).</w:t>
      </w:r>
    </w:p>
    <w:p w14:paraId="09CE10C2" w14:textId="0F2FEBA0" w:rsidR="00607F38" w:rsidRPr="00607F38" w:rsidRDefault="00607F38" w:rsidP="00607F38">
      <w:pPr>
        <w:rPr>
          <w:lang w:eastAsia="ja-JP"/>
        </w:rPr>
      </w:pPr>
      <w:r w:rsidRPr="00607F38">
        <w:rPr>
          <w:lang w:eastAsia="ja-JP"/>
        </w:rPr>
        <w:t xml:space="preserve">Statistically significantly higher rates of both confirmed and nocturnal confirmed hypoglycaemic episodes were observed with IDegAsp simple titration than with IDegAsp stepwise titration (estimated rate ratios </w:t>
      </w:r>
      <w:r w:rsidR="005874E2">
        <w:rPr>
          <w:lang w:eastAsia="ja-JP"/>
        </w:rPr>
        <w:t>(</w:t>
      </w:r>
      <w:r w:rsidRPr="00607F38">
        <w:rPr>
          <w:lang w:eastAsia="ja-JP"/>
        </w:rPr>
        <w:t>IDegAsp simple/IDegAsp step wise</w:t>
      </w:r>
      <w:r w:rsidR="005874E2">
        <w:rPr>
          <w:lang w:eastAsia="ja-JP"/>
        </w:rPr>
        <w:t>)</w:t>
      </w:r>
      <w:r w:rsidRPr="00607F38">
        <w:rPr>
          <w:lang w:eastAsia="ja-JP"/>
        </w:rPr>
        <w:t xml:space="preserve"> were 1.71 </w:t>
      </w:r>
      <w:r w:rsidR="005874E2">
        <w:rPr>
          <w:lang w:eastAsia="ja-JP"/>
        </w:rPr>
        <w:t>(</w:t>
      </w:r>
      <w:r w:rsidRPr="00607F38">
        <w:rPr>
          <w:lang w:eastAsia="ja-JP"/>
        </w:rPr>
        <w:t>95% CI: 1.21, 2.41</w:t>
      </w:r>
      <w:r w:rsidR="005874E2">
        <w:rPr>
          <w:lang w:eastAsia="ja-JP"/>
        </w:rPr>
        <w:t>)</w:t>
      </w:r>
      <w:r w:rsidRPr="00607F38">
        <w:rPr>
          <w:lang w:eastAsia="ja-JP"/>
        </w:rPr>
        <w:t xml:space="preserve"> and 1.93 </w:t>
      </w:r>
      <w:r w:rsidR="005874E2">
        <w:rPr>
          <w:lang w:eastAsia="ja-JP"/>
        </w:rPr>
        <w:t>(</w:t>
      </w:r>
      <w:r w:rsidRPr="00607F38">
        <w:rPr>
          <w:lang w:eastAsia="ja-JP"/>
        </w:rPr>
        <w:t>95% CI: 1.04, 3.60</w:t>
      </w:r>
      <w:r w:rsidR="005874E2">
        <w:rPr>
          <w:lang w:eastAsia="ja-JP"/>
        </w:rPr>
        <w:t>)</w:t>
      </w:r>
      <w:r w:rsidRPr="00607F38">
        <w:rPr>
          <w:lang w:eastAsia="ja-JP"/>
        </w:rPr>
        <w:t xml:space="preserve"> respectively).</w:t>
      </w:r>
    </w:p>
    <w:p w14:paraId="725E95FD" w14:textId="6A342A67" w:rsidR="00607F38" w:rsidRPr="00607F38" w:rsidRDefault="00607F38" w:rsidP="00656251">
      <w:pPr>
        <w:pStyle w:val="Heading4"/>
      </w:pPr>
      <w:r w:rsidRPr="00607F38">
        <w:t>Study NN5401-4003</w:t>
      </w:r>
    </w:p>
    <w:p w14:paraId="31AD0831" w14:textId="68A1B88C" w:rsidR="00607F38" w:rsidRPr="00607F38" w:rsidRDefault="00607F38" w:rsidP="00607F38">
      <w:pPr>
        <w:rPr>
          <w:lang w:eastAsia="ja-JP"/>
        </w:rPr>
      </w:pPr>
      <w:r w:rsidRPr="00607F38">
        <w:rPr>
          <w:lang w:eastAsia="ja-JP"/>
        </w:rPr>
        <w:t>Study NN5401-4003 is a 26 week, randomised, open</w:t>
      </w:r>
      <w:r w:rsidR="00D44164">
        <w:rPr>
          <w:lang w:eastAsia="ja-JP"/>
        </w:rPr>
        <w:t xml:space="preserve"> </w:t>
      </w:r>
      <w:r w:rsidRPr="00607F38">
        <w:rPr>
          <w:lang w:eastAsia="ja-JP"/>
        </w:rPr>
        <w:t xml:space="preserve">label, </w:t>
      </w:r>
      <w:r w:rsidR="00D44164">
        <w:rPr>
          <w:lang w:eastAsia="ja-JP"/>
        </w:rPr>
        <w:t xml:space="preserve">2 </w:t>
      </w:r>
      <w:r w:rsidRPr="00607F38">
        <w:rPr>
          <w:lang w:eastAsia="ja-JP"/>
        </w:rPr>
        <w:t>arm, parallel, multinational, multicentre, treat-to-target study to assess the safety and efficacy of IDegAsp</w:t>
      </w:r>
      <w:r w:rsidR="00C468E6">
        <w:rPr>
          <w:lang w:eastAsia="ja-JP"/>
        </w:rPr>
        <w:t xml:space="preserve"> BD</w:t>
      </w:r>
      <w:r w:rsidRPr="00607F38">
        <w:rPr>
          <w:lang w:eastAsia="ja-JP"/>
        </w:rPr>
        <w:t xml:space="preserve"> + IAsp OD v</w:t>
      </w:r>
      <w:r w:rsidR="00D44164">
        <w:rPr>
          <w:lang w:eastAsia="ja-JP"/>
        </w:rPr>
        <w:t>ersus</w:t>
      </w:r>
      <w:r w:rsidRPr="00607F38">
        <w:rPr>
          <w:lang w:eastAsia="ja-JP"/>
        </w:rPr>
        <w:t xml:space="preserve"> basal bolus treatment with IDeg OD + IAsp TID both in combination with up to 2 OADs in subjects with T2DM qualifying for treatment intensification at the end of </w:t>
      </w:r>
      <w:r w:rsidR="007F105E" w:rsidRPr="007F105E">
        <w:rPr>
          <w:lang w:eastAsia="ja-JP"/>
        </w:rPr>
        <w:t>Study NN5401</w:t>
      </w:r>
      <w:r w:rsidR="007F105E">
        <w:rPr>
          <w:lang w:eastAsia="ja-JP"/>
        </w:rPr>
        <w:t>-</w:t>
      </w:r>
      <w:r w:rsidRPr="00607F38">
        <w:rPr>
          <w:lang w:eastAsia="ja-JP"/>
        </w:rPr>
        <w:t>3941. The primary objective was to compare the effic</w:t>
      </w:r>
      <w:r w:rsidR="00D44164">
        <w:rPr>
          <w:lang w:eastAsia="ja-JP"/>
        </w:rPr>
        <w:t>acy of IDegAsp</w:t>
      </w:r>
      <w:r w:rsidR="00C468E6">
        <w:rPr>
          <w:lang w:eastAsia="ja-JP"/>
        </w:rPr>
        <w:t xml:space="preserve"> BD</w:t>
      </w:r>
      <w:r w:rsidR="00D44164">
        <w:rPr>
          <w:lang w:eastAsia="ja-JP"/>
        </w:rPr>
        <w:t xml:space="preserve"> + IAsp OD versus</w:t>
      </w:r>
      <w:r w:rsidRPr="00607F38">
        <w:rPr>
          <w:lang w:eastAsia="ja-JP"/>
        </w:rPr>
        <w:t xml:space="preserve"> basal bolus treatment with IDeg OD + IAsp TID in controlling</w:t>
      </w:r>
      <w:r w:rsidR="00D44164">
        <w:rPr>
          <w:lang w:eastAsia="ja-JP"/>
        </w:rPr>
        <w:t xml:space="preserve"> glycaemia by evaluating HbA1c.</w:t>
      </w:r>
    </w:p>
    <w:p w14:paraId="56200E40" w14:textId="1F31CE0B" w:rsidR="00607F38" w:rsidRPr="00607F38" w:rsidRDefault="00607F38" w:rsidP="00607F38">
      <w:pPr>
        <w:rPr>
          <w:lang w:eastAsia="ja-JP"/>
        </w:rPr>
      </w:pPr>
      <w:r w:rsidRPr="00607F38">
        <w:rPr>
          <w:lang w:eastAsia="ja-JP"/>
        </w:rPr>
        <w:t xml:space="preserve">The trial population included subjects from Study 3941 not achieving the glycaemic target of HbA1c &lt; 7.0%. There were 40 subjects randomised (n = </w:t>
      </w:r>
      <w:r w:rsidR="00D44164">
        <w:rPr>
          <w:lang w:eastAsia="ja-JP"/>
        </w:rPr>
        <w:t>20 to each treatment arm). The s</w:t>
      </w:r>
      <w:r w:rsidRPr="00607F38">
        <w:rPr>
          <w:lang w:eastAsia="ja-JP"/>
        </w:rPr>
        <w:t xml:space="preserve">ponsor states 97 subjects were planned to be randomised, however fewer subjects than expected were screened due to more than 60% of subjects reaching glycaemic target in the preceding </w:t>
      </w:r>
      <w:r w:rsidR="00B27CF9" w:rsidRPr="00B27CF9">
        <w:rPr>
          <w:lang w:eastAsia="ja-JP"/>
        </w:rPr>
        <w:t>Study NN5401</w:t>
      </w:r>
      <w:r w:rsidR="00B27CF9">
        <w:rPr>
          <w:lang w:eastAsia="ja-JP"/>
        </w:rPr>
        <w:t>-</w:t>
      </w:r>
      <w:r w:rsidRPr="00607F38">
        <w:rPr>
          <w:lang w:eastAsia="ja-JP"/>
        </w:rPr>
        <w:t xml:space="preserve">3941. After 26 weeks, the estimated mean change in HbA1c from </w:t>
      </w:r>
      <w:r w:rsidR="00B27CF9">
        <w:rPr>
          <w:lang w:eastAsia="ja-JP"/>
        </w:rPr>
        <w:t>B</w:t>
      </w:r>
      <w:r w:rsidRPr="00607F38">
        <w:rPr>
          <w:lang w:eastAsia="ja-JP"/>
        </w:rPr>
        <w:t>aseline was 0.05% in the IDegAsp</w:t>
      </w:r>
      <w:r w:rsidR="00C468E6">
        <w:rPr>
          <w:lang w:eastAsia="ja-JP"/>
        </w:rPr>
        <w:t xml:space="preserve"> BD</w:t>
      </w:r>
      <w:r w:rsidRPr="00607F38">
        <w:rPr>
          <w:lang w:eastAsia="ja-JP"/>
        </w:rPr>
        <w:t xml:space="preserve"> + IAsp OD group and -0.49% in the IDeg OD +IAsp TID group, with an estimated treatment difference of 0.54% (95% CI: 0.09, 0.99).</w:t>
      </w:r>
    </w:p>
    <w:p w14:paraId="0383E343" w14:textId="659CD874" w:rsidR="00607F38" w:rsidRPr="00607F38" w:rsidRDefault="00607F38" w:rsidP="00656251">
      <w:pPr>
        <w:pStyle w:val="Comment"/>
        <w:rPr>
          <w:lang w:eastAsia="ja-JP"/>
        </w:rPr>
      </w:pPr>
      <w:r w:rsidRPr="00656251">
        <w:rPr>
          <w:b/>
          <w:lang w:eastAsia="ja-JP"/>
        </w:rPr>
        <w:t>Comment</w:t>
      </w:r>
      <w:r w:rsidRPr="00656251">
        <w:rPr>
          <w:lang w:eastAsia="ja-JP"/>
        </w:rPr>
        <w:t xml:space="preserve">: </w:t>
      </w:r>
      <w:r w:rsidR="00656251" w:rsidRPr="00656251">
        <w:rPr>
          <w:lang w:eastAsia="ja-JP"/>
        </w:rPr>
        <w:t xml:space="preserve"> </w:t>
      </w:r>
      <w:r w:rsidRPr="00607F38">
        <w:rPr>
          <w:lang w:eastAsia="ja-JP"/>
        </w:rPr>
        <w:t xml:space="preserve">The sample size of this study was too small to draw any meaningful conclusions. Better glycaemic control with regimes allowing more flexible titration of components would be expected. </w:t>
      </w:r>
      <w:bookmarkStart w:id="114" w:name="_Ref271126605"/>
      <w:bookmarkStart w:id="115" w:name="_Toc272414657"/>
      <w:bookmarkStart w:id="116" w:name="_Toc290888508"/>
      <w:bookmarkStart w:id="117" w:name="_Toc416353724"/>
      <w:bookmarkStart w:id="118" w:name="_Toc421005272"/>
      <w:bookmarkStart w:id="119" w:name="_Toc432079154"/>
      <w:bookmarkStart w:id="120" w:name="_Toc432080727"/>
      <w:bookmarkEnd w:id="106"/>
      <w:bookmarkEnd w:id="107"/>
      <w:bookmarkEnd w:id="108"/>
      <w:bookmarkEnd w:id="109"/>
      <w:bookmarkEnd w:id="110"/>
      <w:bookmarkEnd w:id="111"/>
      <w:bookmarkEnd w:id="112"/>
    </w:p>
    <w:p w14:paraId="75B23CFB" w14:textId="77777777" w:rsidR="00607F38" w:rsidRPr="00607F38" w:rsidRDefault="00607F38" w:rsidP="00656251">
      <w:pPr>
        <w:pStyle w:val="Heading3"/>
      </w:pPr>
      <w:bookmarkStart w:id="121" w:name="_Toc487202392"/>
      <w:bookmarkStart w:id="122" w:name="_Toc517768423"/>
      <w:r w:rsidRPr="00607F38">
        <w:t>Evaluator’s conclusions on clinical efficacy</w:t>
      </w:r>
      <w:bookmarkEnd w:id="114"/>
      <w:bookmarkEnd w:id="115"/>
      <w:bookmarkEnd w:id="116"/>
      <w:bookmarkEnd w:id="117"/>
      <w:bookmarkEnd w:id="118"/>
      <w:bookmarkEnd w:id="119"/>
      <w:bookmarkEnd w:id="120"/>
      <w:bookmarkEnd w:id="121"/>
      <w:bookmarkEnd w:id="122"/>
    </w:p>
    <w:p w14:paraId="51DA5980" w14:textId="05F87778" w:rsidR="00607F38" w:rsidRPr="00607F38" w:rsidRDefault="00607F38" w:rsidP="00607F38">
      <w:pPr>
        <w:rPr>
          <w:lang w:eastAsia="ja-JP"/>
        </w:rPr>
      </w:pPr>
      <w:r w:rsidRPr="00607F38">
        <w:rPr>
          <w:lang w:eastAsia="ja-JP"/>
        </w:rPr>
        <w:t xml:space="preserve">The efficacy of IDegAsp in terms of HbA1c reduction was demonstrated in the pivotal studies evaluated in the original </w:t>
      </w:r>
      <w:r w:rsidR="00D44164">
        <w:rPr>
          <w:lang w:eastAsia="ja-JP"/>
        </w:rPr>
        <w:t xml:space="preserve">withdrawn </w:t>
      </w:r>
      <w:r w:rsidRPr="00607F38">
        <w:rPr>
          <w:lang w:eastAsia="ja-JP"/>
        </w:rPr>
        <w:t xml:space="preserve">submission (with non-inferiority of IDegAsp to comparators in subjects with both T1DM and T2DM demonstrated. Additional 52 week data for subjects with T2DM provided in the synopsis for </w:t>
      </w:r>
      <w:r w:rsidR="00B27CF9" w:rsidRPr="00B27CF9">
        <w:rPr>
          <w:lang w:eastAsia="ja-JP"/>
        </w:rPr>
        <w:t>Study NN5401</w:t>
      </w:r>
      <w:r w:rsidR="00B27CF9">
        <w:rPr>
          <w:lang w:eastAsia="ja-JP"/>
        </w:rPr>
        <w:t>-</w:t>
      </w:r>
      <w:r w:rsidRPr="00607F38">
        <w:rPr>
          <w:lang w:eastAsia="ja-JP"/>
        </w:rPr>
        <w:t>3726 demonstrate maintenance of effe</w:t>
      </w:r>
      <w:r w:rsidR="00D44164">
        <w:rPr>
          <w:lang w:eastAsia="ja-JP"/>
        </w:rPr>
        <w:t>ct in terms of HbA1c reduction.</w:t>
      </w:r>
    </w:p>
    <w:p w14:paraId="40A86821" w14:textId="51D4B109" w:rsidR="00607F38" w:rsidRPr="00607F38" w:rsidRDefault="00607F38" w:rsidP="00607F38">
      <w:pPr>
        <w:rPr>
          <w:lang w:eastAsia="ja-JP"/>
        </w:rPr>
      </w:pPr>
      <w:r w:rsidRPr="00607F38">
        <w:rPr>
          <w:lang w:eastAsia="ja-JP"/>
        </w:rPr>
        <w:t>Outstanding issues regarding efficacy identified in the original submission are considered to have been adequately addressed, with particular regard to the efficacy of twice daily dosing of IDegAsp in subjects with T2DM. The synopses provided in the current dossier for an additional 4 studies comparing IDegAsp</w:t>
      </w:r>
      <w:r w:rsidR="00C468E6">
        <w:rPr>
          <w:lang w:eastAsia="ja-JP"/>
        </w:rPr>
        <w:t xml:space="preserve"> BD</w:t>
      </w:r>
      <w:r w:rsidRPr="00607F38">
        <w:rPr>
          <w:lang w:eastAsia="ja-JP"/>
        </w:rPr>
        <w:t xml:space="preserve"> and BIAsp 30</w:t>
      </w:r>
      <w:r w:rsidR="00C468E6">
        <w:rPr>
          <w:lang w:eastAsia="ja-JP"/>
        </w:rPr>
        <w:t xml:space="preserve"> BD</w:t>
      </w:r>
      <w:r w:rsidRPr="00607F38">
        <w:rPr>
          <w:lang w:eastAsia="ja-JP"/>
        </w:rPr>
        <w:t xml:space="preserve"> confirmed non-inferiority of IDegAsp to BIAsp 30 with respect to reduction in HbA1c in 2 studies. A reduction in HbA1c was observed, although non-inferiority of IDegAsp</w:t>
      </w:r>
      <w:r w:rsidR="00C468E6">
        <w:rPr>
          <w:lang w:eastAsia="ja-JP"/>
        </w:rPr>
        <w:t xml:space="preserve"> BD</w:t>
      </w:r>
      <w:r w:rsidRPr="00607F38">
        <w:rPr>
          <w:lang w:eastAsia="ja-JP"/>
        </w:rPr>
        <w:t xml:space="preserve"> to BIAsp 30</w:t>
      </w:r>
      <w:r w:rsidR="00C468E6">
        <w:rPr>
          <w:lang w:eastAsia="ja-JP"/>
        </w:rPr>
        <w:t xml:space="preserve"> BD</w:t>
      </w:r>
      <w:r w:rsidRPr="00607F38">
        <w:rPr>
          <w:lang w:eastAsia="ja-JP"/>
        </w:rPr>
        <w:t xml:space="preserve"> not confirmed, in</w:t>
      </w:r>
      <w:r w:rsidR="00D44164">
        <w:rPr>
          <w:lang w:eastAsia="ja-JP"/>
        </w:rPr>
        <w:t xml:space="preserve"> 1</w:t>
      </w:r>
      <w:r w:rsidRPr="00607F38">
        <w:rPr>
          <w:lang w:eastAsia="ja-JP"/>
        </w:rPr>
        <w:t xml:space="preserve"> study and the remaining study comprised a sample size too small to draw any meaningful conclusions. These findings need to be considered </w:t>
      </w:r>
      <w:r w:rsidR="00D44164">
        <w:rPr>
          <w:lang w:eastAsia="ja-JP"/>
        </w:rPr>
        <w:t>in accordance with safety data.</w:t>
      </w:r>
    </w:p>
    <w:p w14:paraId="7FCDE4F5" w14:textId="6A2A00B8" w:rsidR="00C22678" w:rsidRPr="003442FE" w:rsidRDefault="00607F38" w:rsidP="00C22678">
      <w:pPr>
        <w:rPr>
          <w:lang w:eastAsia="ja-JP"/>
        </w:rPr>
      </w:pPr>
      <w:r w:rsidRPr="00607F38">
        <w:rPr>
          <w:lang w:eastAsia="ja-JP"/>
        </w:rPr>
        <w:t xml:space="preserve">The external validity of the clinical trials is a major concern. The results of the clinical trials describe an average response for the population in terms of glycaemic control and hypoglycaemia. However, in clinical practice insulin doses are individualised based on type of diabetes, residual insulin secretion, insulin sensitivity, carbohydrate composition of meals, age and co-morbidities. Thus, the extrapolation of dosing </w:t>
      </w:r>
      <w:r w:rsidR="009F4052" w:rsidRPr="00607F38">
        <w:rPr>
          <w:lang w:eastAsia="ja-JP"/>
        </w:rPr>
        <w:t>regimens</w:t>
      </w:r>
      <w:r w:rsidRPr="00607F38">
        <w:rPr>
          <w:lang w:eastAsia="ja-JP"/>
        </w:rPr>
        <w:t xml:space="preserve"> and outcomes need t</w:t>
      </w:r>
      <w:r w:rsidR="00D44164">
        <w:rPr>
          <w:lang w:eastAsia="ja-JP"/>
        </w:rPr>
        <w:t>o be interpreted with caution.</w:t>
      </w:r>
    </w:p>
    <w:p w14:paraId="18D58E6E" w14:textId="119EA619" w:rsidR="00C22678" w:rsidRPr="003442FE" w:rsidRDefault="00C22678" w:rsidP="00C22678">
      <w:pPr>
        <w:pStyle w:val="Heading2"/>
      </w:pPr>
      <w:bookmarkStart w:id="123" w:name="_Toc517768424"/>
      <w:r w:rsidRPr="003442FE">
        <w:lastRenderedPageBreak/>
        <w:t>Clinical safety</w:t>
      </w:r>
      <w:bookmarkEnd w:id="123"/>
    </w:p>
    <w:p w14:paraId="70B4BCCA" w14:textId="215ED654" w:rsidR="00450F9A" w:rsidRPr="00450F9A" w:rsidRDefault="00450F9A" w:rsidP="00450F9A">
      <w:pPr>
        <w:rPr>
          <w:lang w:eastAsia="ja-JP"/>
        </w:rPr>
      </w:pPr>
      <w:r w:rsidRPr="00450F9A">
        <w:rPr>
          <w:lang w:eastAsia="ja-JP"/>
        </w:rPr>
        <w:t xml:space="preserve">In </w:t>
      </w:r>
      <w:r w:rsidR="00D44164">
        <w:rPr>
          <w:lang w:eastAsia="ja-JP"/>
        </w:rPr>
        <w:t>the original withdrawn submission</w:t>
      </w:r>
      <w:r w:rsidRPr="00450F9A">
        <w:rPr>
          <w:lang w:eastAsia="ja-JP"/>
        </w:rPr>
        <w:t>, the follow</w:t>
      </w:r>
      <w:r w:rsidR="00BD46CF">
        <w:rPr>
          <w:lang w:eastAsia="ja-JP"/>
        </w:rPr>
        <w:t xml:space="preserve">ing completed trials with a </w:t>
      </w:r>
      <w:r w:rsidR="009F4052">
        <w:rPr>
          <w:lang w:eastAsia="ja-JP"/>
        </w:rPr>
        <w:t>cut-</w:t>
      </w:r>
      <w:r w:rsidR="009F4052" w:rsidRPr="00450F9A">
        <w:rPr>
          <w:lang w:eastAsia="ja-JP"/>
        </w:rPr>
        <w:t>off</w:t>
      </w:r>
      <w:r w:rsidRPr="00450F9A">
        <w:rPr>
          <w:lang w:eastAsia="ja-JP"/>
        </w:rPr>
        <w:t xml:space="preserve"> date of </w:t>
      </w:r>
      <w:r w:rsidR="00D44164">
        <w:rPr>
          <w:lang w:eastAsia="ja-JP"/>
        </w:rPr>
        <w:t>31 </w:t>
      </w:r>
      <w:r w:rsidR="00BD46CF">
        <w:rPr>
          <w:lang w:eastAsia="ja-JP"/>
        </w:rPr>
        <w:t>January 2011 were submitted, as shown in Figure 3.</w:t>
      </w:r>
    </w:p>
    <w:p w14:paraId="60BB8B4A" w14:textId="0057FBFB" w:rsidR="00450F9A" w:rsidRPr="00BB64EA" w:rsidRDefault="00450F9A" w:rsidP="00BB64EA">
      <w:pPr>
        <w:pStyle w:val="FigureTitle"/>
        <w:keepNext/>
      </w:pPr>
      <w:bookmarkStart w:id="124" w:name="_Toc487195107"/>
      <w:r w:rsidRPr="00450F9A">
        <w:rPr>
          <w:lang w:eastAsia="ja-JP"/>
        </w:rPr>
        <w:t xml:space="preserve">Figure </w:t>
      </w:r>
      <w:r w:rsidR="00BD46CF">
        <w:rPr>
          <w:lang w:eastAsia="ja-JP"/>
        </w:rPr>
        <w:t>3</w:t>
      </w:r>
      <w:r w:rsidR="00D548E5">
        <w:rPr>
          <w:lang w:eastAsia="ja-JP"/>
        </w:rPr>
        <w:t>:</w:t>
      </w:r>
      <w:r w:rsidR="00BD46CF">
        <w:rPr>
          <w:lang w:eastAsia="ja-JP"/>
        </w:rPr>
        <w:t xml:space="preserve"> Completed trials with </w:t>
      </w:r>
      <w:r w:rsidR="009F4052">
        <w:rPr>
          <w:lang w:eastAsia="ja-JP"/>
        </w:rPr>
        <w:t>cut-</w:t>
      </w:r>
      <w:r w:rsidR="009F4052" w:rsidRPr="00450F9A">
        <w:rPr>
          <w:lang w:eastAsia="ja-JP"/>
        </w:rPr>
        <w:t>off</w:t>
      </w:r>
      <w:r w:rsidRPr="00450F9A">
        <w:rPr>
          <w:lang w:eastAsia="ja-JP"/>
        </w:rPr>
        <w:t xml:space="preserve"> date 31 January 2011</w:t>
      </w:r>
      <w:bookmarkEnd w:id="124"/>
    </w:p>
    <w:p w14:paraId="15DB841B" w14:textId="77777777" w:rsidR="00450F9A" w:rsidRPr="00450F9A" w:rsidRDefault="00450F9A" w:rsidP="00450F9A">
      <w:pPr>
        <w:rPr>
          <w:lang w:eastAsia="ja-JP"/>
        </w:rPr>
      </w:pPr>
      <w:r w:rsidRPr="00450F9A">
        <w:rPr>
          <w:noProof/>
          <w:lang w:eastAsia="en-AU"/>
        </w:rPr>
        <w:drawing>
          <wp:inline distT="0" distB="0" distL="0" distR="0" wp14:anchorId="21398AA3" wp14:editId="121DFE45">
            <wp:extent cx="5731510" cy="3794533"/>
            <wp:effectExtent l="0" t="0" r="2540" b="0"/>
            <wp:docPr id="11" name="Picture 11" descr="Completed trials with cut off date 31 January 2011" title="Completed trials with cut off date 31 Januar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731510" cy="3794533"/>
                    </a:xfrm>
                    <a:prstGeom prst="rect">
                      <a:avLst/>
                    </a:prstGeom>
                    <a:noFill/>
                    <a:ln>
                      <a:noFill/>
                    </a:ln>
                  </pic:spPr>
                </pic:pic>
              </a:graphicData>
            </a:graphic>
          </wp:inline>
        </w:drawing>
      </w:r>
    </w:p>
    <w:p w14:paraId="23725C64" w14:textId="0549A95B" w:rsidR="00450F9A" w:rsidRPr="00450F9A" w:rsidRDefault="00450F9A" w:rsidP="00450F9A">
      <w:pPr>
        <w:rPr>
          <w:lang w:eastAsia="ja-JP"/>
        </w:rPr>
      </w:pPr>
      <w:r w:rsidRPr="00450F9A">
        <w:rPr>
          <w:lang w:eastAsia="ja-JP"/>
        </w:rPr>
        <w:t xml:space="preserve">Since the original </w:t>
      </w:r>
      <w:r w:rsidR="00EF2F75">
        <w:rPr>
          <w:lang w:eastAsia="ja-JP"/>
        </w:rPr>
        <w:t xml:space="preserve">withdrawn </w:t>
      </w:r>
      <w:r w:rsidRPr="00450F9A">
        <w:rPr>
          <w:lang w:eastAsia="ja-JP"/>
        </w:rPr>
        <w:t xml:space="preserve">submission, a number of trials have been completed and this updated data has been submitted in the current submission. In the current submission, updated integrated data was submitted in </w:t>
      </w:r>
      <w:r w:rsidR="00BD46CF">
        <w:rPr>
          <w:lang w:eastAsia="ja-JP"/>
        </w:rPr>
        <w:t>2</w:t>
      </w:r>
      <w:r w:rsidRPr="00450F9A">
        <w:rPr>
          <w:lang w:eastAsia="ja-JP"/>
        </w:rPr>
        <w:t xml:space="preserve"> documents: Summa</w:t>
      </w:r>
      <w:r w:rsidR="00BD46CF">
        <w:rPr>
          <w:lang w:eastAsia="ja-JP"/>
        </w:rPr>
        <w:t xml:space="preserve">ry of Clinical Safety Addendum </w:t>
      </w:r>
      <w:r w:rsidRPr="00450F9A">
        <w:rPr>
          <w:lang w:eastAsia="ja-JP"/>
        </w:rPr>
        <w:t xml:space="preserve">and the </w:t>
      </w:r>
      <w:r w:rsidR="00BD46CF">
        <w:rPr>
          <w:lang w:eastAsia="ja-JP"/>
        </w:rPr>
        <w:t xml:space="preserve">Safety update IDegAsp, </w:t>
      </w:r>
      <w:r w:rsidRPr="00450F9A">
        <w:rPr>
          <w:lang w:eastAsia="ja-JP"/>
        </w:rPr>
        <w:t xml:space="preserve">which contain data up until 30 September, 2014. These </w:t>
      </w:r>
      <w:r w:rsidR="00BD46CF">
        <w:rPr>
          <w:lang w:eastAsia="ja-JP"/>
        </w:rPr>
        <w:t>2</w:t>
      </w:r>
      <w:r w:rsidRPr="00450F9A">
        <w:rPr>
          <w:lang w:eastAsia="ja-JP"/>
        </w:rPr>
        <w:t xml:space="preserve"> documents provide integrated safety data from the updated data set (cut off 30 September 2011); although the Safety Update IDegAsp appears to contain additional details compared to the Summary of Clinical Safety Addendum. The safety section of this CER references data presented in these </w:t>
      </w:r>
      <w:r w:rsidR="00BD46CF">
        <w:rPr>
          <w:lang w:eastAsia="ja-JP"/>
        </w:rPr>
        <w:t>2 </w:t>
      </w:r>
      <w:r w:rsidRPr="00450F9A">
        <w:rPr>
          <w:lang w:eastAsia="ja-JP"/>
        </w:rPr>
        <w:t xml:space="preserve">documents. These </w:t>
      </w:r>
      <w:r w:rsidR="00BD46CF">
        <w:rPr>
          <w:lang w:eastAsia="ja-JP"/>
        </w:rPr>
        <w:t>2</w:t>
      </w:r>
      <w:r w:rsidRPr="00450F9A">
        <w:rPr>
          <w:lang w:eastAsia="ja-JP"/>
        </w:rPr>
        <w:t xml:space="preserve"> documents compare the updated data to data contained within the Integrated Safety Summary (ISS) </w:t>
      </w:r>
      <w:r w:rsidRPr="00BD46CF">
        <w:rPr>
          <w:lang w:eastAsia="ja-JP"/>
        </w:rPr>
        <w:t xml:space="preserve">which was not submitted in the original </w:t>
      </w:r>
      <w:r w:rsidR="00FD4512">
        <w:rPr>
          <w:lang w:eastAsia="ja-JP"/>
        </w:rPr>
        <w:t xml:space="preserve">withdrawn </w:t>
      </w:r>
      <w:r w:rsidRPr="00BD46CF">
        <w:rPr>
          <w:lang w:eastAsia="ja-JP"/>
        </w:rPr>
        <w:t>Australian submission of IDegAsp but assumed to be similar to the data evaluated in that submission.</w:t>
      </w:r>
    </w:p>
    <w:p w14:paraId="754F295D" w14:textId="75F2CDF7" w:rsidR="00450F9A" w:rsidRPr="00450F9A" w:rsidRDefault="00450F9A" w:rsidP="00450F9A">
      <w:pPr>
        <w:rPr>
          <w:lang w:eastAsia="ja-JP"/>
        </w:rPr>
      </w:pPr>
      <w:r w:rsidRPr="00450F9A">
        <w:rPr>
          <w:lang w:eastAsia="ja-JP"/>
        </w:rPr>
        <w:t xml:space="preserve">The following is noted with respect to the data submitted in the original </w:t>
      </w:r>
      <w:r w:rsidR="00FD4512">
        <w:rPr>
          <w:lang w:eastAsia="ja-JP"/>
        </w:rPr>
        <w:t xml:space="preserve">withdrawn </w:t>
      </w:r>
      <w:r w:rsidRPr="00450F9A">
        <w:rPr>
          <w:lang w:eastAsia="ja-JP"/>
        </w:rPr>
        <w:t>Australian subm</w:t>
      </w:r>
      <w:r w:rsidR="00BD46CF">
        <w:rPr>
          <w:lang w:eastAsia="ja-JP"/>
        </w:rPr>
        <w:t>ission and that within the ISS:</w:t>
      </w:r>
    </w:p>
    <w:p w14:paraId="78F2C819" w14:textId="379E1446" w:rsidR="00450F9A" w:rsidRPr="00450F9A" w:rsidRDefault="00BD46CF" w:rsidP="00BD46CF">
      <w:pPr>
        <w:pStyle w:val="ListBullet"/>
        <w:rPr>
          <w:lang w:eastAsia="ja-JP"/>
        </w:rPr>
      </w:pPr>
      <w:r>
        <w:rPr>
          <w:lang w:eastAsia="ja-JP"/>
        </w:rPr>
        <w:t xml:space="preserve">The </w:t>
      </w:r>
      <w:r w:rsidR="009F4052">
        <w:rPr>
          <w:lang w:eastAsia="ja-JP"/>
        </w:rPr>
        <w:t>cut-</w:t>
      </w:r>
      <w:r w:rsidR="009F4052" w:rsidRPr="00450F9A">
        <w:rPr>
          <w:lang w:eastAsia="ja-JP"/>
        </w:rPr>
        <w:t>off</w:t>
      </w:r>
      <w:r w:rsidR="00450F9A" w:rsidRPr="00450F9A">
        <w:rPr>
          <w:lang w:eastAsia="ja-JP"/>
        </w:rPr>
        <w:t xml:space="preserve"> date for the data submitted in the original </w:t>
      </w:r>
      <w:r w:rsidR="00FD4512">
        <w:rPr>
          <w:lang w:eastAsia="ja-JP"/>
        </w:rPr>
        <w:t xml:space="preserve">withdrawn </w:t>
      </w:r>
      <w:r w:rsidR="00450F9A" w:rsidRPr="00450F9A">
        <w:rPr>
          <w:lang w:eastAsia="ja-JP"/>
        </w:rPr>
        <w:t>Australia IDegAsp submission and the US submitted ISS are both 31 January 2011.</w:t>
      </w:r>
    </w:p>
    <w:p w14:paraId="14F355E7" w14:textId="78379355" w:rsidR="00450F9A" w:rsidRPr="00450F9A" w:rsidRDefault="00450F9A" w:rsidP="00BD46CF">
      <w:pPr>
        <w:pStyle w:val="ListBullet"/>
        <w:rPr>
          <w:lang w:eastAsia="ja-JP"/>
        </w:rPr>
      </w:pPr>
      <w:r w:rsidRPr="00450F9A">
        <w:rPr>
          <w:lang w:eastAsia="ja-JP"/>
        </w:rPr>
        <w:t xml:space="preserve">The submissions appear to include the same </w:t>
      </w:r>
      <w:r w:rsidRPr="00BD46CF">
        <w:rPr>
          <w:lang w:eastAsia="ja-JP"/>
        </w:rPr>
        <w:t xml:space="preserve">completed </w:t>
      </w:r>
      <w:r w:rsidRPr="00450F9A">
        <w:rPr>
          <w:lang w:eastAsia="ja-JP"/>
        </w:rPr>
        <w:t>clinical pharmacology, explo</w:t>
      </w:r>
      <w:r w:rsidR="00BD46CF">
        <w:rPr>
          <w:lang w:eastAsia="ja-JP"/>
        </w:rPr>
        <w:t>ratory and confirmatory trials.</w:t>
      </w:r>
    </w:p>
    <w:p w14:paraId="56334B45" w14:textId="049BA36B" w:rsidR="00450F9A" w:rsidRPr="00EF2F75" w:rsidRDefault="00450F9A" w:rsidP="00BD46CF">
      <w:pPr>
        <w:pStyle w:val="ListBullet"/>
        <w:rPr>
          <w:lang w:eastAsia="ja-JP"/>
        </w:rPr>
      </w:pPr>
      <w:r w:rsidRPr="00EF2F75">
        <w:rPr>
          <w:lang w:eastAsia="ja-JP"/>
        </w:rPr>
        <w:t>‘All subject’ safety analysis dataset presented in the original Australian clinical evaluation for the IDegAsp group and the comparator group for all therapeutic confirmatory trials contains the same number of patients as that contained within the US FDA ISS dataset (</w:t>
      </w:r>
      <w:r w:rsidR="00EF2F75" w:rsidRPr="00EF2F75">
        <w:rPr>
          <w:lang w:eastAsia="ja-JP"/>
        </w:rPr>
        <w:t xml:space="preserve">taken form a </w:t>
      </w:r>
      <w:r w:rsidRPr="00EF2F75">
        <w:rPr>
          <w:lang w:eastAsia="ja-JP"/>
        </w:rPr>
        <w:t>table in Summar</w:t>
      </w:r>
      <w:r w:rsidR="00BD46CF" w:rsidRPr="00EF2F75">
        <w:rPr>
          <w:lang w:eastAsia="ja-JP"/>
        </w:rPr>
        <w:t>y of clinical safety addendum).</w:t>
      </w:r>
    </w:p>
    <w:p w14:paraId="08DB736E" w14:textId="6CA7FB30" w:rsidR="00450F9A" w:rsidRPr="00EF2F75" w:rsidRDefault="00450F9A" w:rsidP="00BD46CF">
      <w:pPr>
        <w:pStyle w:val="ListBullet"/>
        <w:rPr>
          <w:lang w:eastAsia="ja-JP"/>
        </w:rPr>
      </w:pPr>
      <w:r w:rsidRPr="00EF2F75">
        <w:rPr>
          <w:lang w:eastAsia="ja-JP"/>
        </w:rPr>
        <w:lastRenderedPageBreak/>
        <w:t>Adverse event summary table for both the original Australian evaluation and the ISS are identical (</w:t>
      </w:r>
      <w:r w:rsidR="00EF2F75">
        <w:rPr>
          <w:lang w:eastAsia="ja-JP"/>
        </w:rPr>
        <w:t xml:space="preserve">taken from a </w:t>
      </w:r>
      <w:r w:rsidRPr="00EF2F75">
        <w:rPr>
          <w:lang w:eastAsia="ja-JP"/>
        </w:rPr>
        <w:t xml:space="preserve">table in </w:t>
      </w:r>
      <w:r w:rsidR="00EF2F75">
        <w:rPr>
          <w:lang w:eastAsia="ja-JP"/>
        </w:rPr>
        <w:t xml:space="preserve">the second </w:t>
      </w:r>
      <w:r w:rsidRPr="00EF2F75">
        <w:rPr>
          <w:lang w:eastAsia="ja-JP"/>
        </w:rPr>
        <w:t xml:space="preserve">round CER and </w:t>
      </w:r>
      <w:r w:rsidR="00EF2F75">
        <w:rPr>
          <w:lang w:eastAsia="ja-JP"/>
        </w:rPr>
        <w:t xml:space="preserve">a </w:t>
      </w:r>
      <w:r w:rsidRPr="00EF2F75">
        <w:rPr>
          <w:lang w:eastAsia="ja-JP"/>
        </w:rPr>
        <w:t>table in Summary of Clinical Safety Addendum respectively)</w:t>
      </w:r>
      <w:r w:rsidR="00EF2F75">
        <w:rPr>
          <w:lang w:eastAsia="ja-JP"/>
        </w:rPr>
        <w:t>.</w:t>
      </w:r>
    </w:p>
    <w:p w14:paraId="65E802DF" w14:textId="408D16F2" w:rsidR="00450F9A" w:rsidRPr="00EF2F75" w:rsidRDefault="00450F9A" w:rsidP="00BD46CF">
      <w:pPr>
        <w:pStyle w:val="ListBullet"/>
        <w:rPr>
          <w:lang w:eastAsia="ja-JP"/>
        </w:rPr>
      </w:pPr>
      <w:r w:rsidRPr="00EF2F75">
        <w:rPr>
          <w:lang w:eastAsia="ja-JP"/>
        </w:rPr>
        <w:t>Serious adverse event summary table for both the original Australian evaluation and the ISS are identical (</w:t>
      </w:r>
      <w:r w:rsidR="00EF2F75">
        <w:rPr>
          <w:lang w:eastAsia="ja-JP"/>
        </w:rPr>
        <w:t>taken from a table</w:t>
      </w:r>
      <w:r w:rsidRPr="00EF2F75">
        <w:rPr>
          <w:lang w:eastAsia="ja-JP"/>
        </w:rPr>
        <w:t xml:space="preserve"> in </w:t>
      </w:r>
      <w:r w:rsidR="00EF2F75">
        <w:rPr>
          <w:lang w:eastAsia="ja-JP"/>
        </w:rPr>
        <w:t xml:space="preserve">second round CER </w:t>
      </w:r>
      <w:r w:rsidRPr="00EF2F75">
        <w:rPr>
          <w:lang w:eastAsia="ja-JP"/>
        </w:rPr>
        <w:t>and</w:t>
      </w:r>
      <w:r w:rsidR="00EF2F75">
        <w:rPr>
          <w:lang w:eastAsia="ja-JP"/>
        </w:rPr>
        <w:t xml:space="preserve"> a</w:t>
      </w:r>
      <w:r w:rsidRPr="00EF2F75">
        <w:rPr>
          <w:lang w:eastAsia="ja-JP"/>
        </w:rPr>
        <w:t xml:space="preserve"> table in </w:t>
      </w:r>
      <w:r w:rsidR="00EF2F75">
        <w:rPr>
          <w:lang w:eastAsia="ja-JP"/>
        </w:rPr>
        <w:t xml:space="preserve">the </w:t>
      </w:r>
      <w:r w:rsidRPr="00EF2F75">
        <w:rPr>
          <w:lang w:eastAsia="ja-JP"/>
        </w:rPr>
        <w:t>Summary of Clinical Safety Addendum respectively)</w:t>
      </w:r>
      <w:r w:rsidR="00EF2F75">
        <w:rPr>
          <w:lang w:eastAsia="ja-JP"/>
        </w:rPr>
        <w:t>.</w:t>
      </w:r>
    </w:p>
    <w:p w14:paraId="10C322E5" w14:textId="30EEFEF5" w:rsidR="00450F9A" w:rsidRPr="00450F9A" w:rsidRDefault="00450F9A" w:rsidP="00450F9A">
      <w:pPr>
        <w:rPr>
          <w:lang w:eastAsia="ja-JP"/>
        </w:rPr>
      </w:pPr>
      <w:r w:rsidRPr="00450F9A">
        <w:rPr>
          <w:lang w:eastAsia="ja-JP"/>
        </w:rPr>
        <w:t xml:space="preserve">One discrepancy was found: with regards to the </w:t>
      </w:r>
      <w:r w:rsidRPr="00BD46CF">
        <w:rPr>
          <w:lang w:eastAsia="ja-JP"/>
        </w:rPr>
        <w:t>ongoing</w:t>
      </w:r>
      <w:r w:rsidRPr="00450F9A">
        <w:rPr>
          <w:lang w:eastAsia="ja-JP"/>
        </w:rPr>
        <w:t xml:space="preserve"> confirmatory trials at the time of the evaluation, there is a discrepancy in the categorisation of</w:t>
      </w:r>
      <w:r w:rsidR="00D44164">
        <w:rPr>
          <w:lang w:eastAsia="ja-JP"/>
        </w:rPr>
        <w:t xml:space="preserve"> 1</w:t>
      </w:r>
      <w:r w:rsidRPr="00450F9A">
        <w:rPr>
          <w:lang w:eastAsia="ja-JP"/>
        </w:rPr>
        <w:t xml:space="preserve"> of the studies listed in the original Australian clinical evaluation report (dated 13 August, </w:t>
      </w:r>
      <w:r w:rsidR="00BD46CF">
        <w:rPr>
          <w:lang w:eastAsia="ja-JP"/>
        </w:rPr>
        <w:t xml:space="preserve">second </w:t>
      </w:r>
      <w:r w:rsidRPr="00450F9A">
        <w:rPr>
          <w:lang w:eastAsia="ja-JP"/>
        </w:rPr>
        <w:t xml:space="preserve">round report) and the US submitted ISS: the US ISS lists </w:t>
      </w:r>
      <w:r w:rsidR="00BD46CF">
        <w:rPr>
          <w:lang w:eastAsia="ja-JP"/>
        </w:rPr>
        <w:t>Study NN5401-</w:t>
      </w:r>
      <w:r w:rsidRPr="00450F9A">
        <w:rPr>
          <w:lang w:eastAsia="ja-JP"/>
        </w:rPr>
        <w:t xml:space="preserve">3726 (an extension of </w:t>
      </w:r>
      <w:r w:rsidR="00B27CF9" w:rsidRPr="00B27CF9">
        <w:rPr>
          <w:lang w:eastAsia="ja-JP"/>
        </w:rPr>
        <w:t>Study NN5401</w:t>
      </w:r>
      <w:r w:rsidR="00B27CF9">
        <w:rPr>
          <w:lang w:eastAsia="ja-JP"/>
        </w:rPr>
        <w:t>-</w:t>
      </w:r>
      <w:r w:rsidRPr="00450F9A">
        <w:rPr>
          <w:lang w:eastAsia="ja-JP"/>
        </w:rPr>
        <w:t>3590) but this is likely to have no impact on the data.</w:t>
      </w:r>
    </w:p>
    <w:p w14:paraId="0E088D73" w14:textId="5D65D213" w:rsidR="00450F9A" w:rsidRPr="00450F9A" w:rsidRDefault="00450F9A" w:rsidP="00450F9A">
      <w:pPr>
        <w:rPr>
          <w:lang w:eastAsia="ja-JP"/>
        </w:rPr>
      </w:pPr>
      <w:r w:rsidRPr="00450F9A">
        <w:rPr>
          <w:lang w:eastAsia="ja-JP"/>
        </w:rPr>
        <w:t>Therefore, with the exception of the discrepancy described above, the datasets evaluated in the original Australian clinical evaluation report and the ISS appea</w:t>
      </w:r>
      <w:r w:rsidR="00BD46CF">
        <w:rPr>
          <w:lang w:eastAsia="ja-JP"/>
        </w:rPr>
        <w:t>r to be very similar.</w:t>
      </w:r>
    </w:p>
    <w:p w14:paraId="79273763" w14:textId="77777777" w:rsidR="00450F9A" w:rsidRPr="00450F9A" w:rsidRDefault="00450F9A" w:rsidP="00BD46CF">
      <w:pPr>
        <w:pStyle w:val="Heading3"/>
      </w:pPr>
      <w:bookmarkStart w:id="125" w:name="_Toc272414659"/>
      <w:bookmarkStart w:id="126" w:name="_Toc290888510"/>
      <w:bookmarkStart w:id="127" w:name="_Toc416353726"/>
      <w:bookmarkStart w:id="128" w:name="_Toc421005274"/>
      <w:bookmarkStart w:id="129" w:name="_Toc432079156"/>
      <w:bookmarkStart w:id="130" w:name="_Toc432080729"/>
      <w:bookmarkStart w:id="131" w:name="_Toc487202394"/>
      <w:bookmarkStart w:id="132" w:name="_Toc517768425"/>
      <w:r w:rsidRPr="00450F9A">
        <w:t>Studies providing evaluable safety data</w:t>
      </w:r>
      <w:bookmarkEnd w:id="125"/>
      <w:bookmarkEnd w:id="126"/>
      <w:bookmarkEnd w:id="127"/>
      <w:bookmarkEnd w:id="128"/>
      <w:bookmarkEnd w:id="129"/>
      <w:bookmarkEnd w:id="130"/>
      <w:bookmarkEnd w:id="131"/>
      <w:bookmarkEnd w:id="132"/>
    </w:p>
    <w:p w14:paraId="7084BD29" w14:textId="77777777" w:rsidR="00450F9A" w:rsidRPr="00450F9A" w:rsidRDefault="00450F9A" w:rsidP="00FE7349">
      <w:pPr>
        <w:pStyle w:val="Heading4"/>
      </w:pPr>
      <w:bookmarkStart w:id="133" w:name="_Toc421005275"/>
      <w:bookmarkStart w:id="134" w:name="_Toc432079157"/>
      <w:bookmarkStart w:id="135" w:name="_Toc432080730"/>
      <w:r w:rsidRPr="00450F9A">
        <w:t>Pivotal studies that assessed safety as the sole primary outcome</w:t>
      </w:r>
      <w:bookmarkEnd w:id="133"/>
      <w:bookmarkEnd w:id="134"/>
      <w:bookmarkEnd w:id="135"/>
    </w:p>
    <w:p w14:paraId="2F59B2D3" w14:textId="7860F4DB" w:rsidR="00450F9A" w:rsidRPr="00450F9A" w:rsidRDefault="00450F9A" w:rsidP="00450F9A">
      <w:pPr>
        <w:rPr>
          <w:lang w:eastAsia="ja-JP"/>
        </w:rPr>
      </w:pPr>
      <w:r w:rsidRPr="00450F9A">
        <w:rPr>
          <w:lang w:eastAsia="ja-JP"/>
        </w:rPr>
        <w:t xml:space="preserve">Of the new studies which have been submitted, </w:t>
      </w:r>
      <w:r w:rsidR="00FE7349">
        <w:rPr>
          <w:lang w:eastAsia="ja-JP"/>
        </w:rPr>
        <w:t>2</w:t>
      </w:r>
      <w:r w:rsidRPr="00450F9A">
        <w:rPr>
          <w:lang w:eastAsia="ja-JP"/>
        </w:rPr>
        <w:t xml:space="preserve"> have safe</w:t>
      </w:r>
      <w:r w:rsidR="00FE7349">
        <w:rPr>
          <w:lang w:eastAsia="ja-JP"/>
        </w:rPr>
        <w:t>ty as the sole primary outcome:</w:t>
      </w:r>
    </w:p>
    <w:p w14:paraId="1F2E15E8" w14:textId="33AC1151" w:rsidR="00450F9A" w:rsidRPr="00EF2F75" w:rsidRDefault="00B27CF9" w:rsidP="00150DD2">
      <w:pPr>
        <w:numPr>
          <w:ilvl w:val="0"/>
          <w:numId w:val="11"/>
        </w:numPr>
        <w:rPr>
          <w:lang w:eastAsia="ja-JP"/>
        </w:rPr>
      </w:pPr>
      <w:r>
        <w:rPr>
          <w:lang w:eastAsia="ja-JP"/>
        </w:rPr>
        <w:t>Study EX</w:t>
      </w:r>
      <w:r w:rsidR="00FE7349">
        <w:rPr>
          <w:lang w:eastAsia="ja-JP"/>
        </w:rPr>
        <w:t>1250-</w:t>
      </w:r>
      <w:r w:rsidR="00450F9A" w:rsidRPr="00450F9A">
        <w:rPr>
          <w:lang w:eastAsia="ja-JP"/>
        </w:rPr>
        <w:t xml:space="preserve">4080 </w:t>
      </w:r>
      <w:r w:rsidR="00FE7349">
        <w:rPr>
          <w:lang w:eastAsia="ja-JP"/>
        </w:rPr>
        <w:t>(</w:t>
      </w:r>
      <w:r w:rsidR="00EF2F75">
        <w:rPr>
          <w:lang w:eastAsia="ja-JP"/>
        </w:rPr>
        <w:t xml:space="preserve">the </w:t>
      </w:r>
      <w:r w:rsidR="00450F9A" w:rsidRPr="00450F9A">
        <w:rPr>
          <w:lang w:eastAsia="ja-JP"/>
        </w:rPr>
        <w:t>DEVOTE</w:t>
      </w:r>
      <w:r w:rsidR="00EF2F75">
        <w:rPr>
          <w:lang w:eastAsia="ja-JP"/>
        </w:rPr>
        <w:t xml:space="preserve"> trial</w:t>
      </w:r>
      <w:r w:rsidR="00FE7349">
        <w:rPr>
          <w:lang w:eastAsia="ja-JP"/>
        </w:rPr>
        <w:t>)</w:t>
      </w:r>
      <w:r w:rsidR="00450F9A" w:rsidRPr="00450F9A">
        <w:rPr>
          <w:lang w:eastAsia="ja-JP"/>
        </w:rPr>
        <w:t>, a dedicated cardiovascular outcomes study. This study randomised subjects to either IDeg or IGlar (an IDeg</w:t>
      </w:r>
      <w:r w:rsidR="00FE7349">
        <w:rPr>
          <w:lang w:eastAsia="ja-JP"/>
        </w:rPr>
        <w:t>Asp arm was not included). See S</w:t>
      </w:r>
      <w:r w:rsidR="00450F9A" w:rsidRPr="00450F9A">
        <w:rPr>
          <w:lang w:eastAsia="ja-JP"/>
        </w:rPr>
        <w:t xml:space="preserve">ection 7.2 </w:t>
      </w:r>
      <w:r w:rsidR="00EF2F75">
        <w:rPr>
          <w:lang w:eastAsia="ja-JP"/>
        </w:rPr>
        <w:t xml:space="preserve">(below) </w:t>
      </w:r>
      <w:r w:rsidR="00450F9A" w:rsidRPr="00450F9A">
        <w:rPr>
          <w:lang w:eastAsia="ja-JP"/>
        </w:rPr>
        <w:t>for further details and</w:t>
      </w:r>
      <w:r w:rsidR="00EF2F75">
        <w:rPr>
          <w:lang w:eastAsia="ja-JP"/>
        </w:rPr>
        <w:t xml:space="preserve"> also the</w:t>
      </w:r>
      <w:r w:rsidR="00450F9A" w:rsidRPr="00450F9A">
        <w:rPr>
          <w:lang w:eastAsia="ja-JP"/>
        </w:rPr>
        <w:t xml:space="preserve"> IDeg </w:t>
      </w:r>
      <w:r w:rsidR="00450F9A" w:rsidRPr="00EF2F75">
        <w:rPr>
          <w:lang w:eastAsia="ja-JP"/>
        </w:rPr>
        <w:t xml:space="preserve">CER </w:t>
      </w:r>
      <w:r w:rsidR="00EF2F75">
        <w:rPr>
          <w:lang w:eastAsia="ja-JP"/>
        </w:rPr>
        <w:t>[available as Attachment 2 of the Tresiba submission].</w:t>
      </w:r>
      <w:r w:rsidR="00EF2F75" w:rsidRPr="00EF2F75">
        <w:rPr>
          <w:vertAlign w:val="superscript"/>
          <w:lang w:eastAsia="ja-JP"/>
        </w:rPr>
        <w:fldChar w:fldCharType="begin"/>
      </w:r>
      <w:r w:rsidR="00EF2F75" w:rsidRPr="00EF2F75">
        <w:rPr>
          <w:vertAlign w:val="superscript"/>
          <w:lang w:eastAsia="ja-JP"/>
        </w:rPr>
        <w:instrText xml:space="preserve"> NOTEREF _Ref511595014 \h </w:instrText>
      </w:r>
      <w:r w:rsidR="00EF2F75">
        <w:rPr>
          <w:vertAlign w:val="superscript"/>
          <w:lang w:eastAsia="ja-JP"/>
        </w:rPr>
        <w:instrText xml:space="preserve"> \* MERGEFORMAT </w:instrText>
      </w:r>
      <w:r w:rsidR="00EF2F75" w:rsidRPr="00EF2F75">
        <w:rPr>
          <w:vertAlign w:val="superscript"/>
          <w:lang w:eastAsia="ja-JP"/>
        </w:rPr>
      </w:r>
      <w:r w:rsidR="00EF2F75" w:rsidRPr="00EF2F75">
        <w:rPr>
          <w:vertAlign w:val="superscript"/>
          <w:lang w:eastAsia="ja-JP"/>
        </w:rPr>
        <w:fldChar w:fldCharType="separate"/>
      </w:r>
      <w:r w:rsidR="00090E68">
        <w:rPr>
          <w:vertAlign w:val="superscript"/>
          <w:lang w:eastAsia="ja-JP"/>
        </w:rPr>
        <w:t>1</w:t>
      </w:r>
      <w:r w:rsidR="00EF2F75" w:rsidRPr="00EF2F75">
        <w:rPr>
          <w:vertAlign w:val="superscript"/>
          <w:lang w:eastAsia="ja-JP"/>
        </w:rPr>
        <w:fldChar w:fldCharType="end"/>
      </w:r>
    </w:p>
    <w:p w14:paraId="34512A2C" w14:textId="738FF6AA" w:rsidR="00450F9A" w:rsidRPr="00450F9A" w:rsidRDefault="00FE7349" w:rsidP="00150DD2">
      <w:pPr>
        <w:numPr>
          <w:ilvl w:val="0"/>
          <w:numId w:val="11"/>
        </w:numPr>
        <w:rPr>
          <w:lang w:eastAsia="ja-JP"/>
        </w:rPr>
      </w:pPr>
      <w:r>
        <w:rPr>
          <w:lang w:eastAsia="ja-JP"/>
        </w:rPr>
        <w:t xml:space="preserve">Study </w:t>
      </w:r>
      <w:r w:rsidR="00B27CF9">
        <w:rPr>
          <w:lang w:eastAsia="ja-JP"/>
        </w:rPr>
        <w:t>NN</w:t>
      </w:r>
      <w:r w:rsidR="00450F9A" w:rsidRPr="00450F9A">
        <w:rPr>
          <w:lang w:eastAsia="ja-JP"/>
        </w:rPr>
        <w:t xml:space="preserve">5401-3726 </w:t>
      </w:r>
      <w:r>
        <w:rPr>
          <w:lang w:eastAsia="ja-JP"/>
        </w:rPr>
        <w:t>(‘BOOST: START1’ study),</w:t>
      </w:r>
      <w:r w:rsidR="00450F9A" w:rsidRPr="00450F9A">
        <w:rPr>
          <w:lang w:eastAsia="ja-JP"/>
        </w:rPr>
        <w:t xml:space="preserve"> an extension study (26 weeks) which continued to follow sub</w:t>
      </w:r>
      <w:r>
        <w:rPr>
          <w:lang w:eastAsia="ja-JP"/>
        </w:rPr>
        <w:t xml:space="preserve">jects with T2DM who were in Study </w:t>
      </w:r>
      <w:r w:rsidR="00450F9A" w:rsidRPr="00450F9A">
        <w:rPr>
          <w:lang w:eastAsia="ja-JP"/>
        </w:rPr>
        <w:t>NN</w:t>
      </w:r>
      <w:r>
        <w:rPr>
          <w:lang w:eastAsia="ja-JP"/>
        </w:rPr>
        <w:t xml:space="preserve"> </w:t>
      </w:r>
      <w:r w:rsidR="00450F9A" w:rsidRPr="00450F9A">
        <w:rPr>
          <w:lang w:eastAsia="ja-JP"/>
        </w:rPr>
        <w:t>5401-3509 who received IDe</w:t>
      </w:r>
      <w:r>
        <w:rPr>
          <w:lang w:eastAsia="ja-JP"/>
        </w:rPr>
        <w:t xml:space="preserve">gAsp or IGlar. See Section 7.2 </w:t>
      </w:r>
      <w:r w:rsidR="00EF2F75">
        <w:rPr>
          <w:lang w:eastAsia="ja-JP"/>
        </w:rPr>
        <w:t xml:space="preserve">(below) </w:t>
      </w:r>
      <w:r>
        <w:rPr>
          <w:lang w:eastAsia="ja-JP"/>
        </w:rPr>
        <w:t>for further details.</w:t>
      </w:r>
    </w:p>
    <w:p w14:paraId="28CBB600" w14:textId="77777777" w:rsidR="00450F9A" w:rsidRPr="00450F9A" w:rsidRDefault="00450F9A" w:rsidP="00FE7349">
      <w:pPr>
        <w:pStyle w:val="Heading4"/>
      </w:pPr>
      <w:r w:rsidRPr="00450F9A">
        <w:t>Other studies</w:t>
      </w:r>
    </w:p>
    <w:p w14:paraId="2A11D393" w14:textId="2D231B7E" w:rsidR="00450F9A" w:rsidRPr="00450F9A" w:rsidRDefault="00450F9A" w:rsidP="00450F9A">
      <w:pPr>
        <w:rPr>
          <w:lang w:eastAsia="ja-JP"/>
        </w:rPr>
      </w:pPr>
      <w:bookmarkStart w:id="136" w:name="_Toc421005277"/>
      <w:bookmarkStart w:id="137" w:name="_Toc432079159"/>
      <w:bookmarkStart w:id="138" w:name="_Toc432080732"/>
      <w:r w:rsidRPr="00450F9A">
        <w:rPr>
          <w:lang w:eastAsia="ja-JP"/>
        </w:rPr>
        <w:t>In the original CER</w:t>
      </w:r>
      <w:r w:rsidR="00EF2F75">
        <w:rPr>
          <w:lang w:eastAsia="ja-JP"/>
        </w:rPr>
        <w:t xml:space="preserve"> for the original withdrawn submission</w:t>
      </w:r>
      <w:r w:rsidRPr="00450F9A">
        <w:rPr>
          <w:lang w:eastAsia="ja-JP"/>
        </w:rPr>
        <w:t xml:space="preserve">, </w:t>
      </w:r>
      <w:r w:rsidR="00D44164">
        <w:rPr>
          <w:lang w:eastAsia="ja-JP"/>
        </w:rPr>
        <w:t>5</w:t>
      </w:r>
      <w:r w:rsidRPr="00450F9A">
        <w:rPr>
          <w:lang w:eastAsia="ja-JP"/>
        </w:rPr>
        <w:t xml:space="preserve"> therapeutic confirmatory studies and 3 exploratory studies (completed as of 31 January 2011) </w:t>
      </w:r>
      <w:r w:rsidR="00EF2F75">
        <w:rPr>
          <w:lang w:eastAsia="ja-JP"/>
        </w:rPr>
        <w:t xml:space="preserve">and ongoing studies (with a </w:t>
      </w:r>
      <w:r w:rsidR="009F4052">
        <w:rPr>
          <w:lang w:eastAsia="ja-JP"/>
        </w:rPr>
        <w:t>cut-</w:t>
      </w:r>
      <w:r w:rsidR="009F4052" w:rsidRPr="00450F9A">
        <w:rPr>
          <w:lang w:eastAsia="ja-JP"/>
        </w:rPr>
        <w:t>off</w:t>
      </w:r>
      <w:r w:rsidRPr="00450F9A">
        <w:rPr>
          <w:lang w:eastAsia="ja-JP"/>
        </w:rPr>
        <w:t xml:space="preserve"> date as of 31 March 2011) provided evaluable safety data. The </w:t>
      </w:r>
      <w:r w:rsidR="00D44164">
        <w:rPr>
          <w:lang w:eastAsia="ja-JP"/>
        </w:rPr>
        <w:t>5</w:t>
      </w:r>
      <w:r w:rsidRPr="00450F9A">
        <w:rPr>
          <w:lang w:eastAsia="ja-JP"/>
        </w:rPr>
        <w:t xml:space="preserve"> pivotal/confirmatory studies counted for most of the overall exposure in the original</w:t>
      </w:r>
      <w:r w:rsidR="00FD4512">
        <w:rPr>
          <w:lang w:eastAsia="ja-JP"/>
        </w:rPr>
        <w:t xml:space="preserve"> withdrawn</w:t>
      </w:r>
      <w:r w:rsidRPr="00450F9A">
        <w:rPr>
          <w:lang w:eastAsia="ja-JP"/>
        </w:rPr>
        <w:t xml:space="preserve"> submission. Of the additional data contained within this submission,</w:t>
      </w:r>
      <w:r w:rsidR="00D44164">
        <w:rPr>
          <w:lang w:eastAsia="ja-JP"/>
        </w:rPr>
        <w:t xml:space="preserve"> 1</w:t>
      </w:r>
      <w:r w:rsidRPr="00450F9A">
        <w:rPr>
          <w:lang w:eastAsia="ja-JP"/>
        </w:rPr>
        <w:t xml:space="preserve"> extension trial (</w:t>
      </w:r>
      <w:r w:rsidR="00FE7349">
        <w:rPr>
          <w:lang w:eastAsia="ja-JP"/>
        </w:rPr>
        <w:t xml:space="preserve">Study </w:t>
      </w:r>
      <w:r w:rsidRPr="00450F9A">
        <w:rPr>
          <w:lang w:eastAsia="ja-JP"/>
        </w:rPr>
        <w:t>NN5401-3726</w:t>
      </w:r>
      <w:r w:rsidR="00FE7349">
        <w:rPr>
          <w:lang w:eastAsia="ja-JP"/>
        </w:rPr>
        <w:t xml:space="preserve">) of the original pivotal </w:t>
      </w:r>
      <w:r w:rsidR="00EF2F75">
        <w:rPr>
          <w:lang w:eastAsia="ja-JP"/>
        </w:rPr>
        <w:t>Study</w:t>
      </w:r>
      <w:r w:rsidR="00FE7349">
        <w:rPr>
          <w:lang w:eastAsia="ja-JP"/>
        </w:rPr>
        <w:t xml:space="preserve"> </w:t>
      </w:r>
      <w:r w:rsidRPr="00450F9A">
        <w:rPr>
          <w:lang w:eastAsia="ja-JP"/>
        </w:rPr>
        <w:t>NN5401-3590 is included.</w:t>
      </w:r>
    </w:p>
    <w:bookmarkEnd w:id="136"/>
    <w:bookmarkEnd w:id="137"/>
    <w:bookmarkEnd w:id="138"/>
    <w:p w14:paraId="08EE8360" w14:textId="0C2A8B0D" w:rsidR="00450F9A" w:rsidRPr="00450F9A" w:rsidRDefault="00450F9A" w:rsidP="00450F9A">
      <w:pPr>
        <w:rPr>
          <w:lang w:eastAsia="ja-JP"/>
        </w:rPr>
      </w:pPr>
      <w:r w:rsidRPr="00450F9A">
        <w:rPr>
          <w:lang w:eastAsia="ja-JP"/>
        </w:rPr>
        <w:t>As of 30 September 2014, a total of 31 trials and extension trials have been completed with IDegAsp;</w:t>
      </w:r>
      <w:r w:rsidR="00D44164">
        <w:rPr>
          <w:lang w:eastAsia="ja-JP"/>
        </w:rPr>
        <w:t xml:space="preserve"> 1</w:t>
      </w:r>
      <w:r w:rsidRPr="00450F9A">
        <w:rPr>
          <w:lang w:eastAsia="ja-JP"/>
        </w:rPr>
        <w:t xml:space="preserve"> paediatric was tria</w:t>
      </w:r>
      <w:r w:rsidR="00FE7349">
        <w:rPr>
          <w:lang w:eastAsia="ja-JP"/>
        </w:rPr>
        <w:t>l ongoing, as shown below in Table 5.</w:t>
      </w:r>
    </w:p>
    <w:p w14:paraId="4132AC9A" w14:textId="4A6A807C" w:rsidR="00450F9A" w:rsidRPr="00450F9A" w:rsidRDefault="00450F9A" w:rsidP="00FE7349">
      <w:pPr>
        <w:pStyle w:val="Tabletitle"/>
        <w:rPr>
          <w:lang w:eastAsia="ja-JP"/>
        </w:rPr>
      </w:pPr>
      <w:bookmarkStart w:id="139" w:name="_Toc487195074"/>
      <w:r w:rsidRPr="00450F9A">
        <w:rPr>
          <w:lang w:eastAsia="ja-JP"/>
        </w:rPr>
        <w:t xml:space="preserve">Table </w:t>
      </w:r>
      <w:r w:rsidR="00FE7349">
        <w:rPr>
          <w:lang w:eastAsia="ja-JP"/>
        </w:rPr>
        <w:t>5</w:t>
      </w:r>
      <w:r w:rsidR="00D548E5">
        <w:rPr>
          <w:lang w:eastAsia="ja-JP"/>
        </w:rPr>
        <w:t>:</w:t>
      </w:r>
      <w:r w:rsidR="00FE7349">
        <w:rPr>
          <w:lang w:eastAsia="ja-JP"/>
        </w:rPr>
        <w:t xml:space="preserve"> </w:t>
      </w:r>
      <w:r w:rsidRPr="00450F9A">
        <w:rPr>
          <w:lang w:eastAsia="ja-JP"/>
        </w:rPr>
        <w:t>Summary of completed IDegAsp studies as of 30 September 2014</w:t>
      </w:r>
      <w:bookmarkEnd w:id="139"/>
    </w:p>
    <w:tbl>
      <w:tblPr>
        <w:tblStyle w:val="TableTGAblue"/>
        <w:tblW w:w="0" w:type="auto"/>
        <w:tblLook w:val="04A0" w:firstRow="1" w:lastRow="0" w:firstColumn="1" w:lastColumn="0" w:noHBand="0" w:noVBand="1"/>
        <w:tblDescription w:val="Table 5: Summary of completed IDegAsp studies as of 30 September 2014"/>
      </w:tblPr>
      <w:tblGrid>
        <w:gridCol w:w="2310"/>
        <w:gridCol w:w="2028"/>
        <w:gridCol w:w="2340"/>
        <w:gridCol w:w="2564"/>
      </w:tblGrid>
      <w:tr w:rsidR="00FE7349" w:rsidRPr="00450F9A" w14:paraId="49C1EC43" w14:textId="77777777" w:rsidTr="00842D51">
        <w:trPr>
          <w:cnfStyle w:val="100000000000" w:firstRow="1" w:lastRow="0" w:firstColumn="0" w:lastColumn="0" w:oddVBand="0" w:evenVBand="0" w:oddHBand="0" w:evenHBand="0" w:firstRowFirstColumn="0" w:firstRowLastColumn="0" w:lastRowFirstColumn="0" w:lastRowLastColumn="0"/>
          <w:trHeight w:val="934"/>
          <w:tblHeader/>
        </w:trPr>
        <w:tc>
          <w:tcPr>
            <w:cnfStyle w:val="001000000000" w:firstRow="0" w:lastRow="0" w:firstColumn="1" w:lastColumn="0" w:oddVBand="0" w:evenVBand="0" w:oddHBand="0" w:evenHBand="0" w:firstRowFirstColumn="0" w:firstRowLastColumn="0" w:lastRowFirstColumn="0" w:lastRowLastColumn="0"/>
            <w:tcW w:w="2310" w:type="dxa"/>
          </w:tcPr>
          <w:p w14:paraId="501468A9" w14:textId="77777777" w:rsidR="00450F9A" w:rsidRPr="00FE7349" w:rsidRDefault="00450F9A" w:rsidP="00450F9A">
            <w:pPr>
              <w:rPr>
                <w:szCs w:val="22"/>
                <w:lang w:eastAsia="ja-JP"/>
              </w:rPr>
            </w:pPr>
          </w:p>
        </w:tc>
        <w:tc>
          <w:tcPr>
            <w:tcW w:w="2028" w:type="dxa"/>
          </w:tcPr>
          <w:p w14:paraId="39FFF7A2" w14:textId="77777777" w:rsidR="00450F9A" w:rsidRPr="00FE7349" w:rsidRDefault="00450F9A" w:rsidP="00FE7349">
            <w:pPr>
              <w:ind w:left="0"/>
              <w:cnfStyle w:val="100000000000" w:firstRow="1" w:lastRow="0" w:firstColumn="0" w:lastColumn="0" w:oddVBand="0" w:evenVBand="0" w:oddHBand="0" w:evenHBand="0" w:firstRowFirstColumn="0" w:firstRowLastColumn="0" w:lastRowFirstColumn="0" w:lastRowLastColumn="0"/>
              <w:rPr>
                <w:szCs w:val="22"/>
                <w:lang w:eastAsia="ja-JP"/>
              </w:rPr>
            </w:pPr>
            <w:r w:rsidRPr="00FE7349">
              <w:rPr>
                <w:szCs w:val="22"/>
                <w:lang w:eastAsia="ja-JP"/>
              </w:rPr>
              <w:t>T1DM</w:t>
            </w:r>
          </w:p>
        </w:tc>
        <w:tc>
          <w:tcPr>
            <w:tcW w:w="2340" w:type="dxa"/>
          </w:tcPr>
          <w:p w14:paraId="2BCBCC55" w14:textId="115EFF58" w:rsidR="00450F9A" w:rsidRPr="00FE7349" w:rsidRDefault="00FE7349" w:rsidP="00FE7349">
            <w:pPr>
              <w:ind w:left="0"/>
              <w:cnfStyle w:val="100000000000" w:firstRow="1" w:lastRow="0" w:firstColumn="0" w:lastColumn="0" w:oddVBand="0" w:evenVBand="0" w:oddHBand="0" w:evenHBand="0" w:firstRowFirstColumn="0" w:firstRowLastColumn="0" w:lastRowFirstColumn="0" w:lastRowLastColumn="0"/>
              <w:rPr>
                <w:szCs w:val="22"/>
                <w:lang w:eastAsia="ja-JP"/>
              </w:rPr>
            </w:pPr>
            <w:r>
              <w:rPr>
                <w:szCs w:val="22"/>
                <w:lang w:eastAsia="ja-JP"/>
              </w:rPr>
              <w:t>T2DM</w:t>
            </w:r>
            <w:r w:rsidR="00EF2F75">
              <w:rPr>
                <w:szCs w:val="22"/>
                <w:lang w:eastAsia="ja-JP"/>
              </w:rPr>
              <w:t xml:space="preserve"> </w:t>
            </w:r>
            <w:r w:rsidR="00450F9A" w:rsidRPr="00FE7349">
              <w:rPr>
                <w:szCs w:val="22"/>
                <w:lang w:eastAsia="ja-JP"/>
              </w:rPr>
              <w:t>(daily dosing)</w:t>
            </w:r>
          </w:p>
        </w:tc>
        <w:tc>
          <w:tcPr>
            <w:tcW w:w="2564" w:type="dxa"/>
          </w:tcPr>
          <w:p w14:paraId="446AA17C" w14:textId="53D6C0A7" w:rsidR="00450F9A" w:rsidRPr="00FE7349" w:rsidRDefault="00FE7349" w:rsidP="00FE7349">
            <w:pPr>
              <w:ind w:left="0"/>
              <w:cnfStyle w:val="100000000000" w:firstRow="1" w:lastRow="0" w:firstColumn="0" w:lastColumn="0" w:oddVBand="0" w:evenVBand="0" w:oddHBand="0" w:evenHBand="0" w:firstRowFirstColumn="0" w:firstRowLastColumn="0" w:lastRowFirstColumn="0" w:lastRowLastColumn="0"/>
              <w:rPr>
                <w:szCs w:val="22"/>
                <w:lang w:eastAsia="ja-JP"/>
              </w:rPr>
            </w:pPr>
            <w:r>
              <w:rPr>
                <w:szCs w:val="22"/>
                <w:lang w:eastAsia="ja-JP"/>
              </w:rPr>
              <w:t>T2DM</w:t>
            </w:r>
            <w:r w:rsidR="00EF2F75">
              <w:rPr>
                <w:szCs w:val="22"/>
                <w:lang w:eastAsia="ja-JP"/>
              </w:rPr>
              <w:t xml:space="preserve"> </w:t>
            </w:r>
            <w:r w:rsidR="00450F9A" w:rsidRPr="00FE7349">
              <w:rPr>
                <w:szCs w:val="22"/>
                <w:lang w:eastAsia="ja-JP"/>
              </w:rPr>
              <w:t>(twice daily dosing)</w:t>
            </w:r>
          </w:p>
        </w:tc>
      </w:tr>
      <w:tr w:rsidR="00FE7349" w:rsidRPr="00450F9A" w14:paraId="706A388F" w14:textId="77777777" w:rsidTr="00FE7349">
        <w:tc>
          <w:tcPr>
            <w:cnfStyle w:val="001000000000" w:firstRow="0" w:lastRow="0" w:firstColumn="1" w:lastColumn="0" w:oddVBand="0" w:evenVBand="0" w:oddHBand="0" w:evenHBand="0" w:firstRowFirstColumn="0" w:firstRowLastColumn="0" w:lastRowFirstColumn="0" w:lastRowLastColumn="0"/>
            <w:tcW w:w="2310" w:type="dxa"/>
          </w:tcPr>
          <w:p w14:paraId="2F91947E" w14:textId="50308FD1" w:rsidR="00450F9A" w:rsidRPr="00450F9A" w:rsidRDefault="00FE7349" w:rsidP="00450F9A">
            <w:pPr>
              <w:rPr>
                <w:szCs w:val="22"/>
                <w:lang w:eastAsia="ja-JP"/>
              </w:rPr>
            </w:pPr>
            <w:r>
              <w:rPr>
                <w:szCs w:val="22"/>
                <w:lang w:eastAsia="ja-JP"/>
              </w:rPr>
              <w:t>Phase III</w:t>
            </w:r>
          </w:p>
        </w:tc>
        <w:tc>
          <w:tcPr>
            <w:tcW w:w="2028" w:type="dxa"/>
          </w:tcPr>
          <w:p w14:paraId="7EFA6A8E"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1</w:t>
            </w:r>
          </w:p>
        </w:tc>
        <w:tc>
          <w:tcPr>
            <w:tcW w:w="2340" w:type="dxa"/>
          </w:tcPr>
          <w:p w14:paraId="67D6C00C"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4</w:t>
            </w:r>
          </w:p>
        </w:tc>
        <w:tc>
          <w:tcPr>
            <w:tcW w:w="2564" w:type="dxa"/>
          </w:tcPr>
          <w:p w14:paraId="34926CF1"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6</w:t>
            </w:r>
          </w:p>
        </w:tc>
      </w:tr>
      <w:tr w:rsidR="00450F9A" w:rsidRPr="00450F9A" w14:paraId="6F66DA6A" w14:textId="77777777" w:rsidTr="00FE7349">
        <w:tc>
          <w:tcPr>
            <w:cnfStyle w:val="001000000000" w:firstRow="0" w:lastRow="0" w:firstColumn="1" w:lastColumn="0" w:oddVBand="0" w:evenVBand="0" w:oddHBand="0" w:evenHBand="0" w:firstRowFirstColumn="0" w:firstRowLastColumn="0" w:lastRowFirstColumn="0" w:lastRowLastColumn="0"/>
            <w:tcW w:w="2310" w:type="dxa"/>
          </w:tcPr>
          <w:p w14:paraId="3608AC14" w14:textId="77777777" w:rsidR="00450F9A" w:rsidRPr="00450F9A" w:rsidRDefault="00450F9A" w:rsidP="00450F9A">
            <w:pPr>
              <w:rPr>
                <w:szCs w:val="22"/>
                <w:lang w:eastAsia="ja-JP"/>
              </w:rPr>
            </w:pPr>
            <w:r w:rsidRPr="00450F9A">
              <w:rPr>
                <w:szCs w:val="22"/>
                <w:lang w:eastAsia="ja-JP"/>
              </w:rPr>
              <w:t>Clinical pharmacology</w:t>
            </w:r>
          </w:p>
        </w:tc>
        <w:tc>
          <w:tcPr>
            <w:tcW w:w="6932" w:type="dxa"/>
            <w:gridSpan w:val="3"/>
          </w:tcPr>
          <w:p w14:paraId="05BE44ED"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17 (includes healthy subject trials and T1DM trials)</w:t>
            </w:r>
          </w:p>
        </w:tc>
      </w:tr>
      <w:tr w:rsidR="00FE7349" w:rsidRPr="00450F9A" w14:paraId="456076B9" w14:textId="77777777" w:rsidTr="00FE7349">
        <w:tc>
          <w:tcPr>
            <w:cnfStyle w:val="001000000000" w:firstRow="0" w:lastRow="0" w:firstColumn="1" w:lastColumn="0" w:oddVBand="0" w:evenVBand="0" w:oddHBand="0" w:evenHBand="0" w:firstRowFirstColumn="0" w:firstRowLastColumn="0" w:lastRowFirstColumn="0" w:lastRowLastColumn="0"/>
            <w:tcW w:w="2310" w:type="dxa"/>
          </w:tcPr>
          <w:p w14:paraId="57D5F5B0" w14:textId="0842A2C7" w:rsidR="00450F9A" w:rsidRPr="00450F9A" w:rsidRDefault="00FE7349" w:rsidP="00450F9A">
            <w:pPr>
              <w:rPr>
                <w:szCs w:val="22"/>
                <w:lang w:eastAsia="ja-JP"/>
              </w:rPr>
            </w:pPr>
            <w:r>
              <w:rPr>
                <w:szCs w:val="22"/>
                <w:lang w:eastAsia="ja-JP"/>
              </w:rPr>
              <w:t>Phase II</w:t>
            </w:r>
            <w:r w:rsidR="00450F9A" w:rsidRPr="00450F9A">
              <w:rPr>
                <w:szCs w:val="22"/>
                <w:lang w:eastAsia="ja-JP"/>
              </w:rPr>
              <w:t xml:space="preserve"> trials</w:t>
            </w:r>
          </w:p>
        </w:tc>
        <w:tc>
          <w:tcPr>
            <w:tcW w:w="2028" w:type="dxa"/>
          </w:tcPr>
          <w:p w14:paraId="463F5168"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0</w:t>
            </w:r>
          </w:p>
        </w:tc>
        <w:tc>
          <w:tcPr>
            <w:tcW w:w="2340" w:type="dxa"/>
          </w:tcPr>
          <w:p w14:paraId="0622CEEA"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1</w:t>
            </w:r>
          </w:p>
        </w:tc>
        <w:tc>
          <w:tcPr>
            <w:tcW w:w="2564" w:type="dxa"/>
          </w:tcPr>
          <w:p w14:paraId="0068891B"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2</w:t>
            </w:r>
          </w:p>
        </w:tc>
      </w:tr>
      <w:tr w:rsidR="00FE7349" w:rsidRPr="00450F9A" w14:paraId="3468E174" w14:textId="77777777" w:rsidTr="00FE7349">
        <w:tc>
          <w:tcPr>
            <w:cnfStyle w:val="001000000000" w:firstRow="0" w:lastRow="0" w:firstColumn="1" w:lastColumn="0" w:oddVBand="0" w:evenVBand="0" w:oddHBand="0" w:evenHBand="0" w:firstRowFirstColumn="0" w:firstRowLastColumn="0" w:lastRowFirstColumn="0" w:lastRowLastColumn="0"/>
            <w:tcW w:w="2310" w:type="dxa"/>
          </w:tcPr>
          <w:p w14:paraId="20B76D9A" w14:textId="77777777" w:rsidR="00450F9A" w:rsidRPr="00450F9A" w:rsidRDefault="00450F9A" w:rsidP="00450F9A">
            <w:pPr>
              <w:rPr>
                <w:szCs w:val="22"/>
                <w:lang w:eastAsia="ja-JP"/>
              </w:rPr>
            </w:pPr>
            <w:r w:rsidRPr="00450F9A">
              <w:rPr>
                <w:szCs w:val="22"/>
                <w:lang w:eastAsia="ja-JP"/>
              </w:rPr>
              <w:t>Ongoing trial</w:t>
            </w:r>
          </w:p>
        </w:tc>
        <w:tc>
          <w:tcPr>
            <w:tcW w:w="2028" w:type="dxa"/>
          </w:tcPr>
          <w:p w14:paraId="37F47F5E"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1</w:t>
            </w:r>
          </w:p>
        </w:tc>
        <w:tc>
          <w:tcPr>
            <w:tcW w:w="2340" w:type="dxa"/>
          </w:tcPr>
          <w:p w14:paraId="39C70B7F"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0</w:t>
            </w:r>
          </w:p>
        </w:tc>
        <w:tc>
          <w:tcPr>
            <w:tcW w:w="2564" w:type="dxa"/>
          </w:tcPr>
          <w:p w14:paraId="2410D284"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0</w:t>
            </w:r>
          </w:p>
        </w:tc>
      </w:tr>
    </w:tbl>
    <w:p w14:paraId="369DEE44" w14:textId="18D00C5C" w:rsidR="00450F9A" w:rsidRPr="00450F9A" w:rsidRDefault="00450F9A" w:rsidP="00450F9A">
      <w:pPr>
        <w:rPr>
          <w:lang w:eastAsia="ja-JP"/>
        </w:rPr>
      </w:pPr>
      <w:r w:rsidRPr="00450F9A">
        <w:rPr>
          <w:lang w:eastAsia="ja-JP"/>
        </w:rPr>
        <w:lastRenderedPageBreak/>
        <w:t>Of the 31 completed trials, 10 trials have been completed since the In</w:t>
      </w:r>
      <w:r w:rsidR="00A53DEC">
        <w:rPr>
          <w:lang w:eastAsia="ja-JP"/>
        </w:rPr>
        <w:t>tegrated Safety Summary (ISS): 7 Phase III</w:t>
      </w:r>
      <w:r w:rsidRPr="00450F9A">
        <w:rPr>
          <w:lang w:eastAsia="ja-JP"/>
        </w:rPr>
        <w:t xml:space="preserve"> trials (including 1 extension part) and 3 clinic</w:t>
      </w:r>
      <w:r w:rsidR="00A53DEC">
        <w:rPr>
          <w:lang w:eastAsia="ja-JP"/>
        </w:rPr>
        <w:t xml:space="preserve">al pharmacology trials. The </w:t>
      </w:r>
      <w:r w:rsidR="009F4052">
        <w:rPr>
          <w:lang w:eastAsia="ja-JP"/>
        </w:rPr>
        <w:t>cut-</w:t>
      </w:r>
      <w:r w:rsidR="009F4052" w:rsidRPr="00450F9A">
        <w:rPr>
          <w:lang w:eastAsia="ja-JP"/>
        </w:rPr>
        <w:t>off</w:t>
      </w:r>
      <w:r w:rsidRPr="00450F9A">
        <w:rPr>
          <w:lang w:eastAsia="ja-JP"/>
        </w:rPr>
        <w:t xml:space="preserve"> date for data included in this safety update for both completed and ongoin</w:t>
      </w:r>
      <w:r w:rsidR="00A53DEC">
        <w:rPr>
          <w:lang w:eastAsia="ja-JP"/>
        </w:rPr>
        <w:t>g trials was 30 September 2014.</w:t>
      </w:r>
    </w:p>
    <w:p w14:paraId="699E3295" w14:textId="53B62B5F" w:rsidR="00450F9A" w:rsidRPr="00450F9A" w:rsidRDefault="00A53DEC" w:rsidP="00450F9A">
      <w:pPr>
        <w:rPr>
          <w:lang w:eastAsia="ja-JP"/>
        </w:rPr>
      </w:pPr>
      <w:r>
        <w:rPr>
          <w:lang w:eastAsia="ja-JP"/>
        </w:rPr>
        <w:t>F</w:t>
      </w:r>
      <w:r w:rsidR="00450F9A" w:rsidRPr="00450F9A">
        <w:rPr>
          <w:lang w:eastAsia="ja-JP"/>
        </w:rPr>
        <w:t>igure</w:t>
      </w:r>
      <w:r>
        <w:rPr>
          <w:lang w:eastAsia="ja-JP"/>
        </w:rPr>
        <w:t xml:space="preserve"> 4 (shown below)</w:t>
      </w:r>
      <w:r w:rsidR="00450F9A" w:rsidRPr="00450F9A">
        <w:rPr>
          <w:lang w:eastAsia="ja-JP"/>
        </w:rPr>
        <w:t xml:space="preserve"> is a summary of the IDegAsp clinic</w:t>
      </w:r>
      <w:r>
        <w:rPr>
          <w:lang w:eastAsia="ja-JP"/>
        </w:rPr>
        <w:t>al development program as of 30 </w:t>
      </w:r>
      <w:r w:rsidR="00450F9A" w:rsidRPr="00450F9A">
        <w:rPr>
          <w:lang w:eastAsia="ja-JP"/>
        </w:rPr>
        <w:t>September 2014 and indicates new trials as presented in the Summary of Clinical Safety Addendum.</w:t>
      </w:r>
    </w:p>
    <w:p w14:paraId="75076381" w14:textId="72CFE6A4" w:rsidR="00450F9A" w:rsidRPr="00450F9A" w:rsidRDefault="00450F9A" w:rsidP="00A53DEC">
      <w:pPr>
        <w:pStyle w:val="FigureTitle"/>
        <w:keepNext/>
        <w:rPr>
          <w:lang w:eastAsia="ja-JP"/>
        </w:rPr>
      </w:pPr>
      <w:bookmarkStart w:id="140" w:name="_Ref479278764"/>
      <w:bookmarkStart w:id="141" w:name="_Ref479278758"/>
      <w:bookmarkStart w:id="142" w:name="_Toc487195108"/>
      <w:r w:rsidRPr="00450F9A">
        <w:rPr>
          <w:lang w:eastAsia="ja-JP"/>
        </w:rPr>
        <w:t xml:space="preserve">Figure </w:t>
      </w:r>
      <w:bookmarkEnd w:id="140"/>
      <w:r w:rsidR="00F20A74">
        <w:rPr>
          <w:lang w:eastAsia="ja-JP"/>
        </w:rPr>
        <w:t>4</w:t>
      </w:r>
      <w:r w:rsidR="00D548E5">
        <w:rPr>
          <w:lang w:eastAsia="ja-JP"/>
        </w:rPr>
        <w:t>:</w:t>
      </w:r>
      <w:r w:rsidR="00A53DEC">
        <w:rPr>
          <w:lang w:eastAsia="ja-JP"/>
        </w:rPr>
        <w:t xml:space="preserve"> </w:t>
      </w:r>
      <w:r w:rsidRPr="00450F9A">
        <w:rPr>
          <w:lang w:eastAsia="ja-JP"/>
        </w:rPr>
        <w:t>IDegAsp clinical development program as of 30 September 2014; indicating new trials</w:t>
      </w:r>
      <w:bookmarkEnd w:id="141"/>
      <w:bookmarkEnd w:id="142"/>
    </w:p>
    <w:p w14:paraId="378142DA" w14:textId="77777777" w:rsidR="00450F9A" w:rsidRPr="00450F9A" w:rsidRDefault="00450F9A" w:rsidP="00450F9A">
      <w:pPr>
        <w:rPr>
          <w:lang w:eastAsia="ja-JP"/>
        </w:rPr>
      </w:pPr>
      <w:r w:rsidRPr="00450F9A">
        <w:rPr>
          <w:noProof/>
          <w:lang w:eastAsia="en-AU"/>
        </w:rPr>
        <w:drawing>
          <wp:inline distT="0" distB="0" distL="0" distR="0" wp14:anchorId="03CF0DD2" wp14:editId="41BD3DB2">
            <wp:extent cx="5425440" cy="4147403"/>
            <wp:effectExtent l="0" t="0" r="3810" b="5715"/>
            <wp:docPr id="3" name="Picture 3" descr="IDegAsp clinical development program as of 30 September 2014; indicating new trials" title="IDegAsp clinical development program as of 30 September 2014; indicating new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425284" cy="4147284"/>
                    </a:xfrm>
                    <a:prstGeom prst="rect">
                      <a:avLst/>
                    </a:prstGeom>
                    <a:noFill/>
                    <a:ln>
                      <a:noFill/>
                    </a:ln>
                  </pic:spPr>
                </pic:pic>
              </a:graphicData>
            </a:graphic>
          </wp:inline>
        </w:drawing>
      </w:r>
    </w:p>
    <w:p w14:paraId="74EE69C0" w14:textId="31B6AB1D" w:rsidR="00450F9A" w:rsidRPr="00450F9A" w:rsidRDefault="00450F9A" w:rsidP="00450F9A">
      <w:pPr>
        <w:rPr>
          <w:lang w:eastAsia="ja-JP"/>
        </w:rPr>
      </w:pPr>
      <w:r w:rsidRPr="00450F9A">
        <w:rPr>
          <w:lang w:eastAsia="ja-JP"/>
        </w:rPr>
        <w:t xml:space="preserve">It is noted that there are </w:t>
      </w:r>
      <w:r w:rsidR="00A53DEC">
        <w:rPr>
          <w:lang w:eastAsia="ja-JP"/>
        </w:rPr>
        <w:t>2</w:t>
      </w:r>
      <w:r w:rsidRPr="00450F9A">
        <w:rPr>
          <w:lang w:eastAsia="ja-JP"/>
        </w:rPr>
        <w:t xml:space="preserve"> studies listed in </w:t>
      </w:r>
      <w:r w:rsidR="00A53DEC">
        <w:rPr>
          <w:lang w:eastAsia="ja-JP"/>
        </w:rPr>
        <w:t>the submission</w:t>
      </w:r>
      <w:r w:rsidRPr="00450F9A">
        <w:rPr>
          <w:lang w:eastAsia="ja-JP"/>
        </w:rPr>
        <w:t xml:space="preserve"> (‘Comparison of data submitted with the original and current application’) of the current Australian submission which carry the study number prefix of </w:t>
      </w:r>
      <w:r w:rsidR="00A53DEC">
        <w:rPr>
          <w:lang w:eastAsia="ja-JP"/>
        </w:rPr>
        <w:t>‘</w:t>
      </w:r>
      <w:r w:rsidRPr="00450F9A">
        <w:rPr>
          <w:lang w:eastAsia="ja-JP"/>
        </w:rPr>
        <w:t>NN5401</w:t>
      </w:r>
      <w:r w:rsidR="00A53DEC">
        <w:rPr>
          <w:lang w:eastAsia="ja-JP"/>
        </w:rPr>
        <w:t>’</w:t>
      </w:r>
      <w:r w:rsidRPr="00450F9A">
        <w:rPr>
          <w:lang w:eastAsia="ja-JP"/>
        </w:rPr>
        <w:t xml:space="preserve">, denoting IDegAsp studies, which are not listed in the above figure extracted from the Summary of clinical safety addendum (IDegAsp). These studies are </w:t>
      </w:r>
      <w:r w:rsidR="00A53DEC">
        <w:rPr>
          <w:lang w:eastAsia="ja-JP"/>
        </w:rPr>
        <w:t xml:space="preserve">Study </w:t>
      </w:r>
      <w:r w:rsidRPr="00450F9A">
        <w:rPr>
          <w:lang w:eastAsia="ja-JP"/>
        </w:rPr>
        <w:t xml:space="preserve">NN5401-1718 and </w:t>
      </w:r>
      <w:r w:rsidR="00A53DEC">
        <w:rPr>
          <w:lang w:eastAsia="ja-JP"/>
        </w:rPr>
        <w:t xml:space="preserve">Study </w:t>
      </w:r>
      <w:r w:rsidRPr="00450F9A">
        <w:rPr>
          <w:lang w:eastAsia="ja-JP"/>
        </w:rPr>
        <w:t>NN5401-1719; both designated as pati</w:t>
      </w:r>
      <w:r w:rsidR="00A53DEC">
        <w:rPr>
          <w:lang w:eastAsia="ja-JP"/>
        </w:rPr>
        <w:t xml:space="preserve">ent PD and PK/PD study reports; </w:t>
      </w:r>
      <w:r w:rsidRPr="00450F9A">
        <w:rPr>
          <w:lang w:eastAsia="ja-JP"/>
        </w:rPr>
        <w:t xml:space="preserve">Study </w:t>
      </w:r>
      <w:r w:rsidR="00682C63" w:rsidRPr="00450F9A">
        <w:rPr>
          <w:lang w:eastAsia="ja-JP"/>
        </w:rPr>
        <w:t>NN5401</w:t>
      </w:r>
      <w:r w:rsidR="00682C63">
        <w:rPr>
          <w:lang w:eastAsia="ja-JP"/>
        </w:rPr>
        <w:t>-</w:t>
      </w:r>
      <w:r w:rsidRPr="00450F9A">
        <w:rPr>
          <w:lang w:eastAsia="ja-JP"/>
        </w:rPr>
        <w:t>1718 is in healthy male subjects and Study</w:t>
      </w:r>
      <w:r w:rsidR="00A53DEC">
        <w:rPr>
          <w:lang w:eastAsia="ja-JP"/>
        </w:rPr>
        <w:t xml:space="preserve"> </w:t>
      </w:r>
      <w:r w:rsidR="00682C63" w:rsidRPr="00450F9A">
        <w:rPr>
          <w:lang w:eastAsia="ja-JP"/>
        </w:rPr>
        <w:t>NN5401</w:t>
      </w:r>
      <w:r w:rsidR="00682C63">
        <w:rPr>
          <w:lang w:eastAsia="ja-JP"/>
        </w:rPr>
        <w:t>-</w:t>
      </w:r>
      <w:r w:rsidRPr="00450F9A">
        <w:rPr>
          <w:lang w:eastAsia="ja-JP"/>
        </w:rPr>
        <w:t>1719 is in T2DM and T1DM subjects and both were previously submitted to the TGA. It is not clear why there is a discrepancy.</w:t>
      </w:r>
    </w:p>
    <w:p w14:paraId="795BF2AB" w14:textId="74F6C8AC" w:rsidR="00450F9A" w:rsidRDefault="00450F9A" w:rsidP="00450F9A">
      <w:pPr>
        <w:rPr>
          <w:lang w:eastAsia="ja-JP"/>
        </w:rPr>
      </w:pPr>
      <w:r w:rsidRPr="00450F9A">
        <w:rPr>
          <w:lang w:eastAsia="ja-JP"/>
        </w:rPr>
        <w:t>This safety eva</w:t>
      </w:r>
      <w:r w:rsidR="00A53DEC">
        <w:rPr>
          <w:lang w:eastAsia="ja-JP"/>
        </w:rPr>
        <w:t xml:space="preserve">luation is mainly based on the Phase III </w:t>
      </w:r>
      <w:r w:rsidR="00A53DEC" w:rsidRPr="00833BF4">
        <w:rPr>
          <w:lang w:eastAsia="ja-JP"/>
        </w:rPr>
        <w:t xml:space="preserve">trials; </w:t>
      </w:r>
      <w:r w:rsidRPr="00833BF4">
        <w:rPr>
          <w:lang w:eastAsia="ja-JP"/>
        </w:rPr>
        <w:t xml:space="preserve">a </w:t>
      </w:r>
      <w:r w:rsidR="00A53DEC" w:rsidRPr="00833BF4">
        <w:rPr>
          <w:lang w:eastAsia="ja-JP"/>
        </w:rPr>
        <w:t>complete list of the completed Phase III</w:t>
      </w:r>
      <w:r w:rsidRPr="00833BF4">
        <w:rPr>
          <w:lang w:eastAsia="ja-JP"/>
        </w:rPr>
        <w:t xml:space="preserve"> trials as of 30 September 2014 can be found</w:t>
      </w:r>
      <w:r w:rsidR="00833BF4">
        <w:rPr>
          <w:lang w:eastAsia="ja-JP"/>
        </w:rPr>
        <w:t xml:space="preserve"> below</w:t>
      </w:r>
      <w:r w:rsidRPr="00833BF4">
        <w:rPr>
          <w:lang w:eastAsia="ja-JP"/>
        </w:rPr>
        <w:t xml:space="preserve"> in </w:t>
      </w:r>
      <w:r w:rsidR="00833BF4">
        <w:rPr>
          <w:lang w:eastAsia="ja-JP"/>
        </w:rPr>
        <w:t>Table 6. It should be noted that S</w:t>
      </w:r>
      <w:r w:rsidR="00682C63">
        <w:rPr>
          <w:lang w:eastAsia="ja-JP"/>
        </w:rPr>
        <w:t xml:space="preserve">tudy EX1250-4080 (the DEVOTE trial) </w:t>
      </w:r>
      <w:r w:rsidRPr="00833BF4">
        <w:rPr>
          <w:lang w:eastAsia="ja-JP"/>
        </w:rPr>
        <w:t>is not included in this list since it is ongoing.</w:t>
      </w:r>
    </w:p>
    <w:p w14:paraId="5BB0DC15" w14:textId="2CD028C0" w:rsidR="00833BF4" w:rsidRPr="00450F9A" w:rsidRDefault="00833BF4" w:rsidP="00833BF4">
      <w:pPr>
        <w:pStyle w:val="Tabletitle"/>
        <w:rPr>
          <w:lang w:eastAsia="ja-JP"/>
        </w:rPr>
      </w:pPr>
      <w:r>
        <w:rPr>
          <w:lang w:eastAsia="ja-JP"/>
        </w:rPr>
        <w:lastRenderedPageBreak/>
        <w:t>Table 6</w:t>
      </w:r>
      <w:r w:rsidR="00D548E5">
        <w:rPr>
          <w:lang w:eastAsia="ja-JP"/>
        </w:rPr>
        <w:t>:</w:t>
      </w:r>
      <w:r>
        <w:rPr>
          <w:lang w:eastAsia="ja-JP"/>
        </w:rPr>
        <w:t xml:space="preserve"> Completed IDegAsp Phase III trials as of 30 September 2014</w:t>
      </w:r>
    </w:p>
    <w:p w14:paraId="57797724" w14:textId="230BA7FE" w:rsidR="00450F9A" w:rsidRPr="00450F9A" w:rsidRDefault="00833BF4" w:rsidP="00450F9A">
      <w:pPr>
        <w:rPr>
          <w:b/>
          <w:lang w:eastAsia="ja-JP"/>
        </w:rPr>
      </w:pPr>
      <w:r w:rsidRPr="0045632E" w:rsidDel="00282E26">
        <w:rPr>
          <w:b/>
          <w:noProof/>
          <w:lang w:eastAsia="en-AU"/>
        </w:rPr>
        <w:drawing>
          <wp:inline distT="0" distB="0" distL="0" distR="0" wp14:anchorId="11387040" wp14:editId="7B5D6FDB">
            <wp:extent cx="5257800" cy="4823460"/>
            <wp:effectExtent l="0" t="0" r="0" b="2540"/>
            <wp:docPr id="29" name="Picture 29" descr="Completed IDegAsp Phase III trials as of 30 September 2014" title="Completed IDegAsp Phase III trials as of 30 Sept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994" t="3548" r="6271" b="2895"/>
                    <a:stretch/>
                  </pic:blipFill>
                  <pic:spPr bwMode="auto">
                    <a:xfrm>
                      <a:off x="0" y="0"/>
                      <a:ext cx="5257800" cy="4823460"/>
                    </a:xfrm>
                    <a:prstGeom prst="rect">
                      <a:avLst/>
                    </a:prstGeom>
                    <a:noFill/>
                    <a:ln>
                      <a:noFill/>
                    </a:ln>
                    <a:extLst>
                      <a:ext uri="{53640926-AAD7-44D8-BBD7-CCE9431645EC}">
                        <a14:shadowObscured xmlns:a14="http://schemas.microsoft.com/office/drawing/2010/main"/>
                      </a:ext>
                    </a:extLst>
                  </pic:spPr>
                </pic:pic>
              </a:graphicData>
            </a:graphic>
          </wp:inline>
        </w:drawing>
      </w:r>
    </w:p>
    <w:p w14:paraId="69DC8501" w14:textId="77777777" w:rsidR="00450F9A" w:rsidRPr="00450F9A" w:rsidRDefault="00450F9A" w:rsidP="00833BF4">
      <w:pPr>
        <w:pStyle w:val="Heading3"/>
      </w:pPr>
      <w:bookmarkStart w:id="143" w:name="_Ref269204367"/>
      <w:bookmarkStart w:id="144" w:name="_Ref271195835"/>
      <w:bookmarkStart w:id="145" w:name="_Ref271195841"/>
      <w:bookmarkStart w:id="146" w:name="_Toc272414660"/>
      <w:bookmarkStart w:id="147" w:name="_Toc290888511"/>
      <w:bookmarkStart w:id="148" w:name="_Toc416353727"/>
      <w:bookmarkStart w:id="149" w:name="_Toc421005283"/>
      <w:bookmarkStart w:id="150" w:name="_Toc432079160"/>
      <w:bookmarkStart w:id="151" w:name="_Toc432080733"/>
      <w:bookmarkStart w:id="152" w:name="_Toc487202395"/>
      <w:bookmarkStart w:id="153" w:name="_Toc517768426"/>
      <w:r w:rsidRPr="00450F9A">
        <w:t>Studies that assessed safety as the sole primary outcome</w:t>
      </w:r>
      <w:bookmarkEnd w:id="143"/>
      <w:bookmarkEnd w:id="144"/>
      <w:bookmarkEnd w:id="145"/>
      <w:bookmarkEnd w:id="146"/>
      <w:bookmarkEnd w:id="147"/>
      <w:bookmarkEnd w:id="148"/>
      <w:bookmarkEnd w:id="149"/>
      <w:bookmarkEnd w:id="150"/>
      <w:bookmarkEnd w:id="151"/>
      <w:bookmarkEnd w:id="152"/>
      <w:bookmarkEnd w:id="153"/>
    </w:p>
    <w:p w14:paraId="4BE76AE7" w14:textId="77853945" w:rsidR="00450F9A" w:rsidRPr="00450F9A" w:rsidRDefault="00B27CF9" w:rsidP="00833BF4">
      <w:pPr>
        <w:pStyle w:val="Heading4"/>
      </w:pPr>
      <w:r>
        <w:t>Study EX</w:t>
      </w:r>
      <w:r w:rsidR="00682C63">
        <w:t>1250-4080, the DEVOTE trial</w:t>
      </w:r>
    </w:p>
    <w:p w14:paraId="0F8A9334" w14:textId="58EC5710" w:rsidR="00450F9A" w:rsidRPr="00450F9A" w:rsidRDefault="00682C63" w:rsidP="00450F9A">
      <w:pPr>
        <w:rPr>
          <w:lang w:eastAsia="ja-JP"/>
        </w:rPr>
      </w:pPr>
      <w:r>
        <w:rPr>
          <w:lang w:eastAsia="ja-JP"/>
        </w:rPr>
        <w:t xml:space="preserve">Please see </w:t>
      </w:r>
      <w:r w:rsidR="009B0FB9" w:rsidRPr="005874E2">
        <w:rPr>
          <w:lang w:eastAsia="ja-JP"/>
        </w:rPr>
        <w:t>S</w:t>
      </w:r>
      <w:r w:rsidR="00450F9A" w:rsidRPr="005874E2">
        <w:rPr>
          <w:lang w:eastAsia="ja-JP"/>
        </w:rPr>
        <w:t>ection 7.2</w:t>
      </w:r>
      <w:r w:rsidRPr="005874E2">
        <w:rPr>
          <w:lang w:eastAsia="ja-JP"/>
        </w:rPr>
        <w:t xml:space="preserve"> </w:t>
      </w:r>
      <w:r w:rsidR="00450F9A" w:rsidRPr="005874E2">
        <w:rPr>
          <w:lang w:eastAsia="ja-JP"/>
        </w:rPr>
        <w:t xml:space="preserve">in the </w:t>
      </w:r>
      <w:r w:rsidRPr="005874E2">
        <w:rPr>
          <w:lang w:eastAsia="ja-JP"/>
        </w:rPr>
        <w:t>Tresiba/</w:t>
      </w:r>
      <w:r w:rsidR="00450F9A" w:rsidRPr="005874E2">
        <w:rPr>
          <w:lang w:eastAsia="ja-JP"/>
        </w:rPr>
        <w:t>IDeg clinical evaluation report for a discussion of this study</w:t>
      </w:r>
      <w:r w:rsidRPr="005874E2">
        <w:rPr>
          <w:lang w:eastAsia="ja-JP"/>
        </w:rPr>
        <w:t xml:space="preserve"> [</w:t>
      </w:r>
      <w:r>
        <w:rPr>
          <w:lang w:eastAsia="ja-JP"/>
        </w:rPr>
        <w:t>available as Attachment 2 for this submission]</w:t>
      </w:r>
      <w:r w:rsidR="009B0FB9">
        <w:rPr>
          <w:lang w:eastAsia="ja-JP"/>
        </w:rPr>
        <w:t>.</w:t>
      </w:r>
      <w:r w:rsidRPr="00682C63">
        <w:rPr>
          <w:vertAlign w:val="superscript"/>
          <w:lang w:eastAsia="ja-JP"/>
        </w:rPr>
        <w:fldChar w:fldCharType="begin"/>
      </w:r>
      <w:r w:rsidRPr="00682C63">
        <w:rPr>
          <w:vertAlign w:val="superscript"/>
          <w:lang w:eastAsia="ja-JP"/>
        </w:rPr>
        <w:instrText xml:space="preserve"> NOTEREF _Ref511595014 \h </w:instrText>
      </w:r>
      <w:r>
        <w:rPr>
          <w:vertAlign w:val="superscript"/>
          <w:lang w:eastAsia="ja-JP"/>
        </w:rPr>
        <w:instrText xml:space="preserve"> \* MERGEFORMAT </w:instrText>
      </w:r>
      <w:r w:rsidRPr="00682C63">
        <w:rPr>
          <w:vertAlign w:val="superscript"/>
          <w:lang w:eastAsia="ja-JP"/>
        </w:rPr>
      </w:r>
      <w:r w:rsidRPr="00682C63">
        <w:rPr>
          <w:vertAlign w:val="superscript"/>
          <w:lang w:eastAsia="ja-JP"/>
        </w:rPr>
        <w:fldChar w:fldCharType="separate"/>
      </w:r>
      <w:r w:rsidR="00090E68">
        <w:rPr>
          <w:vertAlign w:val="superscript"/>
          <w:lang w:eastAsia="ja-JP"/>
        </w:rPr>
        <w:t>1</w:t>
      </w:r>
      <w:r w:rsidRPr="00682C63">
        <w:rPr>
          <w:vertAlign w:val="superscript"/>
          <w:lang w:eastAsia="ja-JP"/>
        </w:rPr>
        <w:fldChar w:fldCharType="end"/>
      </w:r>
    </w:p>
    <w:p w14:paraId="2BDA15B8" w14:textId="43EA77E5" w:rsidR="00450F9A" w:rsidRPr="009B0FB9" w:rsidRDefault="009B0FB9" w:rsidP="009B0FB9">
      <w:pPr>
        <w:pStyle w:val="Comment"/>
        <w:rPr>
          <w:b/>
          <w:u w:val="single"/>
          <w:lang w:eastAsia="ja-JP"/>
        </w:rPr>
      </w:pPr>
      <w:r w:rsidRPr="009B0FB9">
        <w:rPr>
          <w:b/>
          <w:lang w:eastAsia="ja-JP"/>
        </w:rPr>
        <w:t xml:space="preserve">Comment:  </w:t>
      </w:r>
      <w:r w:rsidR="00450F9A" w:rsidRPr="00450F9A">
        <w:rPr>
          <w:lang w:eastAsia="ja-JP"/>
        </w:rPr>
        <w:t xml:space="preserve">It should be noted that the </w:t>
      </w:r>
      <w:r w:rsidR="00682C63">
        <w:rPr>
          <w:lang w:eastAsia="ja-JP"/>
        </w:rPr>
        <w:t>DEVOTE</w:t>
      </w:r>
      <w:r w:rsidR="00450F9A" w:rsidRPr="00450F9A">
        <w:rPr>
          <w:lang w:eastAsia="ja-JP"/>
        </w:rPr>
        <w:t xml:space="preserve"> </w:t>
      </w:r>
      <w:r w:rsidR="00682C63">
        <w:rPr>
          <w:lang w:eastAsia="ja-JP"/>
        </w:rPr>
        <w:t>trial</w:t>
      </w:r>
      <w:r w:rsidR="00450F9A" w:rsidRPr="00450F9A">
        <w:rPr>
          <w:lang w:eastAsia="ja-JP"/>
        </w:rPr>
        <w:t xml:space="preserve"> did not specifically include an IDegAsp arm. Although it is acknowledged that IDeg is the new chemical entity in this combination, and therefore of greater interest to explore its impact on cardiovascular outcomes, it is nevertheless noted that the original FDA cardiovascular analysis which showed a potential cardiovascular signal included both IDeg</w:t>
      </w:r>
      <w:r>
        <w:rPr>
          <w:lang w:eastAsia="ja-JP"/>
        </w:rPr>
        <w:t xml:space="preserve"> patients and IDegAsp patients.</w:t>
      </w:r>
    </w:p>
    <w:p w14:paraId="687FF70D" w14:textId="74D9C521" w:rsidR="00450F9A" w:rsidRPr="00450F9A" w:rsidRDefault="00450F9A" w:rsidP="009B0FB9">
      <w:pPr>
        <w:pStyle w:val="Comment"/>
        <w:ind w:firstLine="0"/>
        <w:rPr>
          <w:lang w:eastAsia="ja-JP"/>
        </w:rPr>
      </w:pPr>
      <w:r w:rsidRPr="00450F9A">
        <w:rPr>
          <w:lang w:eastAsia="ja-JP"/>
        </w:rPr>
        <w:t xml:space="preserve">Although some patients did receive IDeg plus IAsp (but not the IDegAsp combination product) in the DEVOTE </w:t>
      </w:r>
      <w:r w:rsidR="00682C63">
        <w:rPr>
          <w:lang w:eastAsia="ja-JP"/>
        </w:rPr>
        <w:t>trial</w:t>
      </w:r>
      <w:r w:rsidRPr="00450F9A">
        <w:rPr>
          <w:lang w:eastAsia="ja-JP"/>
        </w:rPr>
        <w:t>, the study report does not specify what proportion of patients on either arm received IAsp. Furthermore, the study was not designed to explore the impact of a combination of IDeg and I</w:t>
      </w:r>
      <w:r w:rsidR="009B0FB9">
        <w:rPr>
          <w:lang w:eastAsia="ja-JP"/>
        </w:rPr>
        <w:t>Asp on cardiovascular outcomes.</w:t>
      </w:r>
    </w:p>
    <w:p w14:paraId="1035AB4E" w14:textId="21E5B381" w:rsidR="00450F9A" w:rsidRPr="00450F9A" w:rsidRDefault="00450F9A" w:rsidP="009B0FB9">
      <w:pPr>
        <w:pStyle w:val="Comment"/>
        <w:ind w:firstLine="0"/>
        <w:rPr>
          <w:lang w:eastAsia="ja-JP"/>
        </w:rPr>
      </w:pPr>
      <w:r w:rsidRPr="00450F9A">
        <w:rPr>
          <w:lang w:eastAsia="ja-JP"/>
        </w:rPr>
        <w:t xml:space="preserve">Thus, although the results from the </w:t>
      </w:r>
      <w:r w:rsidR="00682C63">
        <w:rPr>
          <w:lang w:eastAsia="ja-JP"/>
        </w:rPr>
        <w:t>DEVOTE</w:t>
      </w:r>
      <w:r w:rsidRPr="00450F9A">
        <w:rPr>
          <w:lang w:eastAsia="ja-JP"/>
        </w:rPr>
        <w:t xml:space="preserve"> </w:t>
      </w:r>
      <w:r w:rsidR="00B27CF9">
        <w:rPr>
          <w:lang w:eastAsia="ja-JP"/>
        </w:rPr>
        <w:t>trial</w:t>
      </w:r>
      <w:r w:rsidRPr="00450F9A">
        <w:rPr>
          <w:lang w:eastAsia="ja-JP"/>
        </w:rPr>
        <w:t xml:space="preserve"> are somewhat reassuring from the viewpoint of IDegAsp, it is difficult to know to what degree the results can be extrapolated to the combinati</w:t>
      </w:r>
      <w:r w:rsidR="009B0FB9">
        <w:rPr>
          <w:lang w:eastAsia="ja-JP"/>
        </w:rPr>
        <w:t>on product, IDegAsp</w:t>
      </w:r>
      <w:r w:rsidRPr="00450F9A">
        <w:rPr>
          <w:lang w:eastAsia="ja-JP"/>
        </w:rPr>
        <w:t>.</w:t>
      </w:r>
    </w:p>
    <w:p w14:paraId="75F9934B" w14:textId="2801B087" w:rsidR="00450F9A" w:rsidRPr="00450F9A" w:rsidRDefault="00450F9A" w:rsidP="009B0FB9">
      <w:pPr>
        <w:pStyle w:val="Comment"/>
        <w:ind w:firstLine="0"/>
        <w:rPr>
          <w:b/>
          <w:lang w:eastAsia="ja-JP"/>
        </w:rPr>
      </w:pPr>
      <w:r w:rsidRPr="00450F9A">
        <w:rPr>
          <w:lang w:eastAsia="ja-JP"/>
        </w:rPr>
        <w:lastRenderedPageBreak/>
        <w:t xml:space="preserve">It was also noted in the </w:t>
      </w:r>
      <w:r w:rsidR="00682C63">
        <w:rPr>
          <w:lang w:eastAsia="ja-JP"/>
        </w:rPr>
        <w:t>DEVOTE</w:t>
      </w:r>
      <w:r w:rsidRPr="00450F9A">
        <w:rPr>
          <w:lang w:eastAsia="ja-JP"/>
        </w:rPr>
        <w:t xml:space="preserve"> </w:t>
      </w:r>
      <w:r w:rsidR="00682C63">
        <w:rPr>
          <w:lang w:eastAsia="ja-JP"/>
        </w:rPr>
        <w:t>trial</w:t>
      </w:r>
      <w:r w:rsidRPr="00450F9A">
        <w:rPr>
          <w:lang w:eastAsia="ja-JP"/>
        </w:rPr>
        <w:t xml:space="preserve"> that the patients who received IAsp developed a higher rate o</w:t>
      </w:r>
      <w:r w:rsidR="009B0FB9">
        <w:rPr>
          <w:lang w:eastAsia="ja-JP"/>
        </w:rPr>
        <w:t>f Event Adjudication Committee</w:t>
      </w:r>
      <w:r w:rsidRPr="00450F9A">
        <w:rPr>
          <w:lang w:eastAsia="ja-JP"/>
        </w:rPr>
        <w:t xml:space="preserve"> (EAC) confirmed hypoglycaemia compa</w:t>
      </w:r>
      <w:r w:rsidR="009B0FB9">
        <w:rPr>
          <w:lang w:eastAsia="ja-JP"/>
        </w:rPr>
        <w:t>red to those not receiving IAsp,</w:t>
      </w:r>
      <w:r w:rsidRPr="00450F9A">
        <w:rPr>
          <w:lang w:eastAsia="ja-JP"/>
        </w:rPr>
        <w:t xml:space="preserve"> more than </w:t>
      </w:r>
      <w:r w:rsidR="009B0FB9">
        <w:rPr>
          <w:lang w:eastAsia="ja-JP"/>
        </w:rPr>
        <w:t xml:space="preserve">3 </w:t>
      </w:r>
      <w:r w:rsidRPr="00450F9A">
        <w:rPr>
          <w:lang w:eastAsia="ja-JP"/>
        </w:rPr>
        <w:t>times the rate. In terms of the individual arms, the IDeg + IAsp arm had a lower rate (7.23 events per 100 patient years of observation) compared to the IGlar arm + IAsp (11.16 events per 100 patient years of observation) although it is noted that the actual proportion of subjects affected were similar (2.7% on IDeg and 3.0% on IGlar). However there are no further details available regarding this subset analysis and it is difficult to draw any conclusions.</w:t>
      </w:r>
    </w:p>
    <w:p w14:paraId="1A02D249" w14:textId="545A8735" w:rsidR="00450F9A" w:rsidRPr="009B0FB9" w:rsidRDefault="00450F9A" w:rsidP="009B0FB9">
      <w:pPr>
        <w:pStyle w:val="Comment"/>
        <w:ind w:firstLine="0"/>
        <w:rPr>
          <w:lang w:eastAsia="ja-JP"/>
        </w:rPr>
      </w:pPr>
      <w:r w:rsidRPr="00450F9A">
        <w:rPr>
          <w:lang w:eastAsia="ja-JP"/>
        </w:rPr>
        <w:t xml:space="preserve">Thus, although the results of </w:t>
      </w:r>
      <w:r w:rsidR="00682C63">
        <w:rPr>
          <w:lang w:eastAsia="ja-JP"/>
        </w:rPr>
        <w:t>DEVOTE</w:t>
      </w:r>
      <w:r w:rsidRPr="00450F9A">
        <w:rPr>
          <w:lang w:eastAsia="ja-JP"/>
        </w:rPr>
        <w:t xml:space="preserve"> </w:t>
      </w:r>
      <w:r w:rsidR="00682C63">
        <w:rPr>
          <w:lang w:eastAsia="ja-JP"/>
        </w:rPr>
        <w:t>trial</w:t>
      </w:r>
      <w:r w:rsidRPr="00450F9A">
        <w:rPr>
          <w:lang w:eastAsia="ja-JP"/>
        </w:rPr>
        <w:t xml:space="preserve"> are reassuring from a cardiovascular point of view with regards to the use of IDeg, the implicati</w:t>
      </w:r>
      <w:r w:rsidR="009B0FB9">
        <w:rPr>
          <w:lang w:eastAsia="ja-JP"/>
        </w:rPr>
        <w:t>ons for IDegAsp are less clear.</w:t>
      </w:r>
    </w:p>
    <w:p w14:paraId="7949F603" w14:textId="13A4D5DF" w:rsidR="00450F9A" w:rsidRPr="00450F9A" w:rsidRDefault="009B0FB9" w:rsidP="009B0FB9">
      <w:pPr>
        <w:pStyle w:val="Heading4"/>
      </w:pPr>
      <w:r>
        <w:t xml:space="preserve">Study </w:t>
      </w:r>
      <w:r w:rsidR="00682C63">
        <w:t>NN 5401-3726, the BOOST: START1 trial</w:t>
      </w:r>
    </w:p>
    <w:p w14:paraId="256FCA7A" w14:textId="5AE13D03" w:rsidR="00450F9A" w:rsidRPr="00450F9A" w:rsidRDefault="00450F9A" w:rsidP="00450F9A">
      <w:pPr>
        <w:rPr>
          <w:lang w:eastAsia="ja-JP"/>
        </w:rPr>
      </w:pPr>
      <w:r w:rsidRPr="00450F9A">
        <w:rPr>
          <w:lang w:eastAsia="ja-JP"/>
        </w:rPr>
        <w:t>This stu</w:t>
      </w:r>
      <w:r w:rsidR="009B0FB9">
        <w:rPr>
          <w:lang w:eastAsia="ja-JP"/>
        </w:rPr>
        <w:t xml:space="preserve">dy was an extension trial of </w:t>
      </w:r>
      <w:r w:rsidR="00682C63">
        <w:rPr>
          <w:lang w:eastAsia="ja-JP"/>
        </w:rPr>
        <w:t xml:space="preserve">Study </w:t>
      </w:r>
      <w:r w:rsidRPr="00450F9A">
        <w:rPr>
          <w:lang w:eastAsia="ja-JP"/>
        </w:rPr>
        <w:t>NN5401-3590 and fol</w:t>
      </w:r>
      <w:r w:rsidR="009B0FB9">
        <w:rPr>
          <w:lang w:eastAsia="ja-JP"/>
        </w:rPr>
        <w:t>lowed subjects for a further 26 </w:t>
      </w:r>
      <w:r w:rsidRPr="00450F9A">
        <w:rPr>
          <w:lang w:eastAsia="ja-JP"/>
        </w:rPr>
        <w:t>weeks after the main trial of 26 weeks (52 weeks total). The full study report was not included in the</w:t>
      </w:r>
      <w:r w:rsidR="009B0FB9">
        <w:rPr>
          <w:lang w:eastAsia="ja-JP"/>
        </w:rPr>
        <w:t xml:space="preserve"> submission</w:t>
      </w:r>
      <w:r w:rsidRPr="00450F9A">
        <w:rPr>
          <w:lang w:eastAsia="ja-JP"/>
        </w:rPr>
        <w:t xml:space="preserve"> and therefore not evaluated. See Section 6.2 </w:t>
      </w:r>
      <w:r w:rsidR="009B0FB9">
        <w:rPr>
          <w:lang w:eastAsia="ja-JP"/>
        </w:rPr>
        <w:t xml:space="preserve">above </w:t>
      </w:r>
      <w:r w:rsidRPr="00450F9A">
        <w:rPr>
          <w:lang w:eastAsia="ja-JP"/>
        </w:rPr>
        <w:t>for</w:t>
      </w:r>
      <w:r w:rsidR="009B0FB9">
        <w:rPr>
          <w:lang w:eastAsia="ja-JP"/>
        </w:rPr>
        <w:t xml:space="preserve"> a summary of efficacy results.</w:t>
      </w:r>
    </w:p>
    <w:p w14:paraId="33119BB6" w14:textId="6FB088DC" w:rsidR="00450F9A" w:rsidRPr="00450F9A" w:rsidRDefault="00450F9A" w:rsidP="00450F9A">
      <w:pPr>
        <w:rPr>
          <w:lang w:eastAsia="ja-JP"/>
        </w:rPr>
      </w:pPr>
      <w:r w:rsidRPr="00450F9A">
        <w:rPr>
          <w:lang w:eastAsia="ja-JP"/>
        </w:rPr>
        <w:t>In terms of adverse events, it is noted that the rate of adverse events, possibly or probably related adverse events and serious adverse events was higher in the IDegAsp gr</w:t>
      </w:r>
      <w:r w:rsidR="009B0FB9">
        <w:rPr>
          <w:lang w:eastAsia="ja-JP"/>
        </w:rPr>
        <w:t>oup compared to the IGlar group, as shown below in Table 7.</w:t>
      </w:r>
    </w:p>
    <w:p w14:paraId="458F679D" w14:textId="48B81B4D" w:rsidR="00450F9A" w:rsidRPr="00450F9A" w:rsidRDefault="00450F9A" w:rsidP="009B0FB9">
      <w:pPr>
        <w:pStyle w:val="Tabletitle"/>
        <w:rPr>
          <w:lang w:eastAsia="ja-JP"/>
        </w:rPr>
      </w:pPr>
      <w:bookmarkStart w:id="154" w:name="_Toc487195075"/>
      <w:r w:rsidRPr="00450F9A">
        <w:rPr>
          <w:lang w:eastAsia="ja-JP"/>
        </w:rPr>
        <w:t xml:space="preserve">Table </w:t>
      </w:r>
      <w:r w:rsidR="009B0FB9">
        <w:rPr>
          <w:lang w:eastAsia="ja-JP"/>
        </w:rPr>
        <w:t>7</w:t>
      </w:r>
      <w:r w:rsidR="00D548E5">
        <w:rPr>
          <w:lang w:eastAsia="ja-JP"/>
        </w:rPr>
        <w:t>:</w:t>
      </w:r>
      <w:r w:rsidR="009B0FB9">
        <w:rPr>
          <w:lang w:eastAsia="ja-JP"/>
        </w:rPr>
        <w:t xml:space="preserve"> Adverse events in Studies</w:t>
      </w:r>
      <w:r w:rsidRPr="00450F9A">
        <w:rPr>
          <w:lang w:eastAsia="ja-JP"/>
        </w:rPr>
        <w:t xml:space="preserve"> NN5401-3590 and NN5401-3726 (ext</w:t>
      </w:r>
      <w:r w:rsidR="00682C63">
        <w:rPr>
          <w:lang w:eastAsia="ja-JP"/>
        </w:rPr>
        <w:t>ension</w:t>
      </w:r>
      <w:r w:rsidRPr="00450F9A">
        <w:rPr>
          <w:lang w:eastAsia="ja-JP"/>
        </w:rPr>
        <w:t>)</w:t>
      </w:r>
      <w:bookmarkEnd w:id="154"/>
    </w:p>
    <w:tbl>
      <w:tblPr>
        <w:tblStyle w:val="TableTGAblue"/>
        <w:tblW w:w="0" w:type="auto"/>
        <w:tblLook w:val="04A0" w:firstRow="1" w:lastRow="0" w:firstColumn="1" w:lastColumn="0" w:noHBand="0" w:noVBand="1"/>
        <w:tblDescription w:val="Table 7: Adverse events in Studies NN5401-3590 and NN5401-3726 (extension)"/>
      </w:tblPr>
      <w:tblGrid>
        <w:gridCol w:w="3168"/>
        <w:gridCol w:w="1456"/>
        <w:gridCol w:w="1424"/>
        <w:gridCol w:w="1620"/>
        <w:gridCol w:w="1574"/>
      </w:tblGrid>
      <w:tr w:rsidR="00D63BE8" w:rsidRPr="00450F9A" w14:paraId="67A0058E" w14:textId="77777777" w:rsidTr="00BB64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8" w:type="dxa"/>
            <w:vMerge w:val="restart"/>
          </w:tcPr>
          <w:p w14:paraId="2986CB5A" w14:textId="77777777" w:rsidR="00D63BE8" w:rsidRPr="00450F9A" w:rsidRDefault="00D63BE8" w:rsidP="00450F9A">
            <w:pPr>
              <w:rPr>
                <w:b w:val="0"/>
                <w:szCs w:val="22"/>
                <w:lang w:eastAsia="ja-JP"/>
              </w:rPr>
            </w:pPr>
          </w:p>
        </w:tc>
        <w:tc>
          <w:tcPr>
            <w:tcW w:w="2880" w:type="dxa"/>
            <w:gridSpan w:val="2"/>
          </w:tcPr>
          <w:p w14:paraId="333402F4" w14:textId="7A7A1D4F" w:rsidR="00D63BE8" w:rsidRPr="00D63BE8" w:rsidRDefault="00D63BE8" w:rsidP="00450F9A">
            <w:pPr>
              <w:cnfStyle w:val="100000000000" w:firstRow="1" w:lastRow="0" w:firstColumn="0" w:lastColumn="0" w:oddVBand="0" w:evenVBand="0" w:oddHBand="0" w:evenHBand="0" w:firstRowFirstColumn="0" w:firstRowLastColumn="0" w:lastRowFirstColumn="0" w:lastRowLastColumn="0"/>
              <w:rPr>
                <w:szCs w:val="22"/>
                <w:lang w:eastAsia="ja-JP"/>
              </w:rPr>
            </w:pPr>
            <w:r w:rsidRPr="00D63BE8">
              <w:rPr>
                <w:szCs w:val="22"/>
                <w:lang w:eastAsia="ja-JP"/>
              </w:rPr>
              <w:t>Study NN5401-3590</w:t>
            </w:r>
          </w:p>
        </w:tc>
        <w:tc>
          <w:tcPr>
            <w:tcW w:w="3194" w:type="dxa"/>
            <w:gridSpan w:val="2"/>
          </w:tcPr>
          <w:p w14:paraId="6D621A83" w14:textId="39C35137" w:rsidR="00D63BE8" w:rsidRPr="00D63BE8" w:rsidRDefault="00D63BE8" w:rsidP="00450F9A">
            <w:pPr>
              <w:cnfStyle w:val="100000000000" w:firstRow="1" w:lastRow="0" w:firstColumn="0" w:lastColumn="0" w:oddVBand="0" w:evenVBand="0" w:oddHBand="0" w:evenHBand="0" w:firstRowFirstColumn="0" w:firstRowLastColumn="0" w:lastRowFirstColumn="0" w:lastRowLastColumn="0"/>
              <w:rPr>
                <w:szCs w:val="22"/>
                <w:lang w:eastAsia="ja-JP"/>
              </w:rPr>
            </w:pPr>
            <w:r w:rsidRPr="00D63BE8">
              <w:rPr>
                <w:szCs w:val="22"/>
                <w:lang w:eastAsia="ja-JP"/>
              </w:rPr>
              <w:t>Study NN5401-3726 (ext)</w:t>
            </w:r>
          </w:p>
        </w:tc>
      </w:tr>
      <w:tr w:rsidR="00D63BE8" w:rsidRPr="00450F9A" w14:paraId="3E15D5E7" w14:textId="77777777" w:rsidTr="00BB64EA">
        <w:trPr>
          <w:cnfStyle w:val="100000000000" w:firstRow="1" w:lastRow="0" w:firstColumn="0" w:lastColumn="0" w:oddVBand="0" w:evenVBand="0" w:oddHBand="0" w:evenHBand="0" w:firstRowFirstColumn="0" w:firstRowLastColumn="0" w:lastRowFirstColumn="0" w:lastRowLastColumn="0"/>
          <w:cantSplit/>
          <w:trHeight w:val="530"/>
          <w:tblHeader/>
        </w:trPr>
        <w:tc>
          <w:tcPr>
            <w:cnfStyle w:val="001000000000" w:firstRow="0" w:lastRow="0" w:firstColumn="1" w:lastColumn="0" w:oddVBand="0" w:evenVBand="0" w:oddHBand="0" w:evenHBand="0" w:firstRowFirstColumn="0" w:firstRowLastColumn="0" w:lastRowFirstColumn="0" w:lastRowLastColumn="0"/>
            <w:tcW w:w="3168" w:type="dxa"/>
            <w:vMerge/>
          </w:tcPr>
          <w:p w14:paraId="0101FD12" w14:textId="77777777" w:rsidR="00D63BE8" w:rsidRPr="00450F9A" w:rsidRDefault="00D63BE8" w:rsidP="00450F9A">
            <w:pPr>
              <w:rPr>
                <w:szCs w:val="22"/>
                <w:lang w:eastAsia="ja-JP"/>
              </w:rPr>
            </w:pPr>
          </w:p>
        </w:tc>
        <w:tc>
          <w:tcPr>
            <w:tcW w:w="1456" w:type="dxa"/>
          </w:tcPr>
          <w:p w14:paraId="44563EE8" w14:textId="77777777" w:rsidR="00D63BE8" w:rsidRPr="00D63BE8" w:rsidRDefault="00D63BE8" w:rsidP="00450F9A">
            <w:pPr>
              <w:cnfStyle w:val="100000000000" w:firstRow="1" w:lastRow="0" w:firstColumn="0" w:lastColumn="0" w:oddVBand="0" w:evenVBand="0" w:oddHBand="0" w:evenHBand="0" w:firstRowFirstColumn="0" w:firstRowLastColumn="0" w:lastRowFirstColumn="0" w:lastRowLastColumn="0"/>
              <w:rPr>
                <w:b w:val="0"/>
                <w:szCs w:val="22"/>
                <w:lang w:eastAsia="ja-JP"/>
              </w:rPr>
            </w:pPr>
            <w:r w:rsidRPr="00D63BE8">
              <w:rPr>
                <w:b w:val="0"/>
                <w:szCs w:val="22"/>
                <w:lang w:eastAsia="ja-JP"/>
              </w:rPr>
              <w:t>IDegAsp</w:t>
            </w:r>
          </w:p>
        </w:tc>
        <w:tc>
          <w:tcPr>
            <w:tcW w:w="1424" w:type="dxa"/>
          </w:tcPr>
          <w:p w14:paraId="3BB819EF" w14:textId="77777777" w:rsidR="00D63BE8" w:rsidRPr="00D63BE8" w:rsidRDefault="00D63BE8" w:rsidP="00450F9A">
            <w:pPr>
              <w:cnfStyle w:val="100000000000" w:firstRow="1" w:lastRow="0" w:firstColumn="0" w:lastColumn="0" w:oddVBand="0" w:evenVBand="0" w:oddHBand="0" w:evenHBand="0" w:firstRowFirstColumn="0" w:firstRowLastColumn="0" w:lastRowFirstColumn="0" w:lastRowLastColumn="0"/>
              <w:rPr>
                <w:b w:val="0"/>
                <w:szCs w:val="22"/>
                <w:lang w:eastAsia="ja-JP"/>
              </w:rPr>
            </w:pPr>
            <w:r w:rsidRPr="00D63BE8">
              <w:rPr>
                <w:b w:val="0"/>
                <w:szCs w:val="22"/>
                <w:lang w:eastAsia="ja-JP"/>
              </w:rPr>
              <w:t>IGlar</w:t>
            </w:r>
          </w:p>
        </w:tc>
        <w:tc>
          <w:tcPr>
            <w:tcW w:w="1620" w:type="dxa"/>
          </w:tcPr>
          <w:p w14:paraId="20C7A7FD" w14:textId="77777777" w:rsidR="00D63BE8" w:rsidRPr="00D63BE8" w:rsidRDefault="00D63BE8" w:rsidP="00450F9A">
            <w:pPr>
              <w:cnfStyle w:val="100000000000" w:firstRow="1" w:lastRow="0" w:firstColumn="0" w:lastColumn="0" w:oddVBand="0" w:evenVBand="0" w:oddHBand="0" w:evenHBand="0" w:firstRowFirstColumn="0" w:firstRowLastColumn="0" w:lastRowFirstColumn="0" w:lastRowLastColumn="0"/>
              <w:rPr>
                <w:b w:val="0"/>
                <w:szCs w:val="22"/>
                <w:lang w:eastAsia="ja-JP"/>
              </w:rPr>
            </w:pPr>
            <w:r w:rsidRPr="00D63BE8">
              <w:rPr>
                <w:b w:val="0"/>
                <w:szCs w:val="22"/>
                <w:lang w:eastAsia="ja-JP"/>
              </w:rPr>
              <w:t>IDegAsp</w:t>
            </w:r>
          </w:p>
        </w:tc>
        <w:tc>
          <w:tcPr>
            <w:tcW w:w="1574" w:type="dxa"/>
          </w:tcPr>
          <w:p w14:paraId="2684574C" w14:textId="77777777" w:rsidR="00D63BE8" w:rsidRPr="00D63BE8" w:rsidRDefault="00D63BE8" w:rsidP="00450F9A">
            <w:pPr>
              <w:cnfStyle w:val="100000000000" w:firstRow="1" w:lastRow="0" w:firstColumn="0" w:lastColumn="0" w:oddVBand="0" w:evenVBand="0" w:oddHBand="0" w:evenHBand="0" w:firstRowFirstColumn="0" w:firstRowLastColumn="0" w:lastRowFirstColumn="0" w:lastRowLastColumn="0"/>
              <w:rPr>
                <w:b w:val="0"/>
                <w:szCs w:val="22"/>
                <w:lang w:eastAsia="ja-JP"/>
              </w:rPr>
            </w:pPr>
            <w:r w:rsidRPr="00D63BE8">
              <w:rPr>
                <w:b w:val="0"/>
                <w:szCs w:val="22"/>
                <w:lang w:eastAsia="ja-JP"/>
              </w:rPr>
              <w:t>IGlar</w:t>
            </w:r>
          </w:p>
        </w:tc>
      </w:tr>
      <w:tr w:rsidR="00D63BE8" w:rsidRPr="00450F9A" w14:paraId="3AD2F619" w14:textId="77777777" w:rsidTr="00D63BE8">
        <w:tc>
          <w:tcPr>
            <w:cnfStyle w:val="001000000000" w:firstRow="0" w:lastRow="0" w:firstColumn="1" w:lastColumn="0" w:oddVBand="0" w:evenVBand="0" w:oddHBand="0" w:evenHBand="0" w:firstRowFirstColumn="0" w:firstRowLastColumn="0" w:lastRowFirstColumn="0" w:lastRowLastColumn="0"/>
            <w:tcW w:w="3168" w:type="dxa"/>
          </w:tcPr>
          <w:p w14:paraId="66BBC9D8" w14:textId="77777777" w:rsidR="00450F9A" w:rsidRPr="00D63BE8" w:rsidRDefault="00450F9A" w:rsidP="00D63BE8">
            <w:pPr>
              <w:ind w:left="0"/>
              <w:rPr>
                <w:szCs w:val="22"/>
                <w:lang w:eastAsia="ja-JP"/>
              </w:rPr>
            </w:pPr>
            <w:r w:rsidRPr="00D63BE8">
              <w:rPr>
                <w:szCs w:val="22"/>
                <w:lang w:eastAsia="ja-JP"/>
              </w:rPr>
              <w:t xml:space="preserve">Rate of adverse events </w:t>
            </w:r>
          </w:p>
        </w:tc>
        <w:tc>
          <w:tcPr>
            <w:tcW w:w="1456" w:type="dxa"/>
          </w:tcPr>
          <w:p w14:paraId="4D3B55E2"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352</w:t>
            </w:r>
          </w:p>
        </w:tc>
        <w:tc>
          <w:tcPr>
            <w:tcW w:w="1424" w:type="dxa"/>
          </w:tcPr>
          <w:p w14:paraId="785AA6F3"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269</w:t>
            </w:r>
          </w:p>
        </w:tc>
        <w:tc>
          <w:tcPr>
            <w:tcW w:w="1620" w:type="dxa"/>
          </w:tcPr>
          <w:p w14:paraId="48C3AF0A"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313</w:t>
            </w:r>
          </w:p>
        </w:tc>
        <w:tc>
          <w:tcPr>
            <w:tcW w:w="1574" w:type="dxa"/>
          </w:tcPr>
          <w:p w14:paraId="161EE8BA"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238</w:t>
            </w:r>
          </w:p>
        </w:tc>
      </w:tr>
      <w:tr w:rsidR="00D63BE8" w:rsidRPr="00450F9A" w14:paraId="29E3242E" w14:textId="77777777" w:rsidTr="00D63BE8">
        <w:tc>
          <w:tcPr>
            <w:cnfStyle w:val="001000000000" w:firstRow="0" w:lastRow="0" w:firstColumn="1" w:lastColumn="0" w:oddVBand="0" w:evenVBand="0" w:oddHBand="0" w:evenHBand="0" w:firstRowFirstColumn="0" w:firstRowLastColumn="0" w:lastRowFirstColumn="0" w:lastRowLastColumn="0"/>
            <w:tcW w:w="3168" w:type="dxa"/>
          </w:tcPr>
          <w:p w14:paraId="4A37DE58" w14:textId="77777777" w:rsidR="00450F9A" w:rsidRPr="00D63BE8" w:rsidRDefault="00450F9A" w:rsidP="00D63BE8">
            <w:pPr>
              <w:ind w:left="0"/>
              <w:rPr>
                <w:szCs w:val="22"/>
                <w:lang w:eastAsia="ja-JP"/>
              </w:rPr>
            </w:pPr>
            <w:r w:rsidRPr="00D63BE8">
              <w:rPr>
                <w:szCs w:val="22"/>
                <w:lang w:eastAsia="ja-JP"/>
              </w:rPr>
              <w:t xml:space="preserve">Rate of possibly or probably related adverse events </w:t>
            </w:r>
          </w:p>
        </w:tc>
        <w:tc>
          <w:tcPr>
            <w:tcW w:w="1456" w:type="dxa"/>
          </w:tcPr>
          <w:p w14:paraId="5C59B7D3"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24</w:t>
            </w:r>
          </w:p>
        </w:tc>
        <w:tc>
          <w:tcPr>
            <w:tcW w:w="1424" w:type="dxa"/>
          </w:tcPr>
          <w:p w14:paraId="78EDFC08"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19</w:t>
            </w:r>
          </w:p>
        </w:tc>
        <w:tc>
          <w:tcPr>
            <w:tcW w:w="1620" w:type="dxa"/>
          </w:tcPr>
          <w:p w14:paraId="5CEAABB3"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18</w:t>
            </w:r>
          </w:p>
        </w:tc>
        <w:tc>
          <w:tcPr>
            <w:tcW w:w="1574" w:type="dxa"/>
          </w:tcPr>
          <w:p w14:paraId="31C9E857"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13</w:t>
            </w:r>
          </w:p>
        </w:tc>
      </w:tr>
      <w:tr w:rsidR="00D63BE8" w:rsidRPr="00450F9A" w14:paraId="1DAC1766" w14:textId="77777777" w:rsidTr="00D63BE8">
        <w:tc>
          <w:tcPr>
            <w:cnfStyle w:val="001000000000" w:firstRow="0" w:lastRow="0" w:firstColumn="1" w:lastColumn="0" w:oddVBand="0" w:evenVBand="0" w:oddHBand="0" w:evenHBand="0" w:firstRowFirstColumn="0" w:firstRowLastColumn="0" w:lastRowFirstColumn="0" w:lastRowLastColumn="0"/>
            <w:tcW w:w="3168" w:type="dxa"/>
          </w:tcPr>
          <w:p w14:paraId="09EFB2A2" w14:textId="77777777" w:rsidR="00450F9A" w:rsidRPr="00D63BE8" w:rsidRDefault="00450F9A" w:rsidP="00D63BE8">
            <w:pPr>
              <w:ind w:left="0"/>
              <w:rPr>
                <w:szCs w:val="22"/>
                <w:lang w:eastAsia="ja-JP"/>
              </w:rPr>
            </w:pPr>
            <w:r w:rsidRPr="00D63BE8">
              <w:rPr>
                <w:szCs w:val="22"/>
                <w:lang w:eastAsia="ja-JP"/>
              </w:rPr>
              <w:t xml:space="preserve">Rate of serious adverse events </w:t>
            </w:r>
          </w:p>
        </w:tc>
        <w:tc>
          <w:tcPr>
            <w:tcW w:w="1456" w:type="dxa"/>
          </w:tcPr>
          <w:p w14:paraId="4BA4B3FD"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16</w:t>
            </w:r>
          </w:p>
        </w:tc>
        <w:tc>
          <w:tcPr>
            <w:tcW w:w="1424" w:type="dxa"/>
          </w:tcPr>
          <w:p w14:paraId="0899C129"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5</w:t>
            </w:r>
          </w:p>
        </w:tc>
        <w:tc>
          <w:tcPr>
            <w:tcW w:w="1620" w:type="dxa"/>
          </w:tcPr>
          <w:p w14:paraId="0D9409FB"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17</w:t>
            </w:r>
          </w:p>
        </w:tc>
        <w:tc>
          <w:tcPr>
            <w:tcW w:w="1574" w:type="dxa"/>
          </w:tcPr>
          <w:p w14:paraId="034F8B9F"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9</w:t>
            </w:r>
          </w:p>
        </w:tc>
      </w:tr>
    </w:tbl>
    <w:p w14:paraId="6E0A6637" w14:textId="7D5A2324" w:rsidR="00450F9A" w:rsidRPr="00450F9A" w:rsidRDefault="00D63BE8" w:rsidP="00D63BE8">
      <w:pPr>
        <w:pStyle w:val="TableDescription"/>
        <w:rPr>
          <w:lang w:eastAsia="ja-JP"/>
        </w:rPr>
      </w:pPr>
      <w:r>
        <w:rPr>
          <w:lang w:eastAsia="ja-JP"/>
        </w:rPr>
        <w:t>Note: Rate = number of</w:t>
      </w:r>
      <w:r w:rsidR="00450F9A" w:rsidRPr="00450F9A">
        <w:rPr>
          <w:lang w:eastAsia="ja-JP"/>
        </w:rPr>
        <w:t xml:space="preserve"> events per 100 patient year exposure</w:t>
      </w:r>
      <w:r>
        <w:rPr>
          <w:lang w:eastAsia="ja-JP"/>
        </w:rPr>
        <w:t>.</w:t>
      </w:r>
    </w:p>
    <w:p w14:paraId="20004BBC" w14:textId="2DD26FF7" w:rsidR="00450F9A" w:rsidRPr="00450F9A" w:rsidRDefault="00450F9A" w:rsidP="00450F9A">
      <w:pPr>
        <w:rPr>
          <w:lang w:eastAsia="ja-JP"/>
        </w:rPr>
      </w:pPr>
      <w:r w:rsidRPr="00450F9A">
        <w:rPr>
          <w:lang w:eastAsia="ja-JP"/>
        </w:rPr>
        <w:t xml:space="preserve">The reason for this discrepancy is not clear from the data in the synopsis, however it is noted that a similar pattern was seen in the main </w:t>
      </w:r>
      <w:r w:rsidR="00D63BE8">
        <w:rPr>
          <w:lang w:eastAsia="ja-JP"/>
        </w:rPr>
        <w:t>S</w:t>
      </w:r>
      <w:r w:rsidRPr="00450F9A">
        <w:rPr>
          <w:lang w:eastAsia="ja-JP"/>
        </w:rPr>
        <w:t xml:space="preserve">tudy </w:t>
      </w:r>
      <w:r w:rsidR="00682C63" w:rsidRPr="00450F9A">
        <w:rPr>
          <w:lang w:eastAsia="ja-JP"/>
        </w:rPr>
        <w:t>NN5401</w:t>
      </w:r>
      <w:r w:rsidR="00682C63">
        <w:rPr>
          <w:lang w:eastAsia="ja-JP"/>
        </w:rPr>
        <w:t>-</w:t>
      </w:r>
      <w:r w:rsidRPr="00450F9A">
        <w:rPr>
          <w:lang w:eastAsia="ja-JP"/>
        </w:rPr>
        <w:t xml:space="preserve">3590, of which </w:t>
      </w:r>
      <w:r w:rsidR="00682C63">
        <w:rPr>
          <w:lang w:eastAsia="ja-JP"/>
        </w:rPr>
        <w:t xml:space="preserve">Study </w:t>
      </w:r>
      <w:r w:rsidR="00682C63" w:rsidRPr="00450F9A">
        <w:rPr>
          <w:lang w:eastAsia="ja-JP"/>
        </w:rPr>
        <w:t>NN5401</w:t>
      </w:r>
      <w:r w:rsidR="00682C63">
        <w:rPr>
          <w:lang w:eastAsia="ja-JP"/>
        </w:rPr>
        <w:t>-</w:t>
      </w:r>
      <w:r w:rsidRPr="00450F9A">
        <w:rPr>
          <w:lang w:eastAsia="ja-JP"/>
        </w:rPr>
        <w:t>3726 is an extension. The obse</w:t>
      </w:r>
      <w:r w:rsidR="00D63BE8">
        <w:rPr>
          <w:lang w:eastAsia="ja-JP"/>
        </w:rPr>
        <w:t>rved mean (SD) body weights at B</w:t>
      </w:r>
      <w:r w:rsidRPr="00450F9A">
        <w:rPr>
          <w:lang w:eastAsia="ja-JP"/>
        </w:rPr>
        <w:t>aseline and at the end of the trial were 85.1 kg (18.0) and 88.7 kg (18.3) in the ID</w:t>
      </w:r>
      <w:r w:rsidR="00D63BE8">
        <w:rPr>
          <w:lang w:eastAsia="ja-JP"/>
        </w:rPr>
        <w:t>egAsp group, that is</w:t>
      </w:r>
      <w:r w:rsidR="00B8085E">
        <w:rPr>
          <w:lang w:eastAsia="ja-JP"/>
        </w:rPr>
        <w:t>,</w:t>
      </w:r>
      <w:r w:rsidR="00D63BE8">
        <w:rPr>
          <w:lang w:eastAsia="ja-JP"/>
        </w:rPr>
        <w:t xml:space="preserve"> a weight increase of 3.6 kg;</w:t>
      </w:r>
      <w:r w:rsidRPr="00450F9A">
        <w:rPr>
          <w:lang w:eastAsia="ja-JP"/>
        </w:rPr>
        <w:t xml:space="preserve"> and 85.2 kg (18.6) and 87</w:t>
      </w:r>
      <w:r w:rsidR="00D63BE8">
        <w:rPr>
          <w:lang w:eastAsia="ja-JP"/>
        </w:rPr>
        <w:t>.4 kg (18.9) in the IGlar group, that is</w:t>
      </w:r>
      <w:r w:rsidR="00B8085E">
        <w:rPr>
          <w:lang w:eastAsia="ja-JP"/>
        </w:rPr>
        <w:t>,</w:t>
      </w:r>
      <w:r w:rsidR="00D63BE8">
        <w:rPr>
          <w:lang w:eastAsia="ja-JP"/>
        </w:rPr>
        <w:t xml:space="preserve"> a weight increase of 2.2 kg</w:t>
      </w:r>
      <w:r w:rsidRPr="00450F9A">
        <w:rPr>
          <w:lang w:eastAsia="ja-JP"/>
        </w:rPr>
        <w:t>, respectively. The rate of confirmed hypoglycaemic e</w:t>
      </w:r>
      <w:r w:rsidR="00682C63">
        <w:rPr>
          <w:lang w:eastAsia="ja-JP"/>
        </w:rPr>
        <w:t>pisodes was higher in the IDeg</w:t>
      </w:r>
      <w:r w:rsidRPr="00450F9A">
        <w:rPr>
          <w:lang w:eastAsia="ja-JP"/>
        </w:rPr>
        <w:t xml:space="preserve">Asp group compared to the IGlar group (419 and 211 per 100 PYE for IDegAsp and IGlar groups, respectively), however the rate of nocturnal confirmed hypoglycaemic episodes was lower for IDegAsp (19 and 53 per 100 PYE for IDegAsp and IGlar groups respectively). Rates of severe and nocturnal severe hypoglycaemia were too low in either arm to draw </w:t>
      </w:r>
      <w:r w:rsidR="00D63BE8">
        <w:rPr>
          <w:lang w:eastAsia="ja-JP"/>
        </w:rPr>
        <w:t>any meaningful conclusion. The s</w:t>
      </w:r>
      <w:r w:rsidRPr="00450F9A">
        <w:rPr>
          <w:lang w:eastAsia="ja-JP"/>
        </w:rPr>
        <w:t>ponsor will be asked to comment on the difference in rates of confirmed hypoglycaemic episodes.</w:t>
      </w:r>
      <w:bookmarkStart w:id="155" w:name="_Toc241374318"/>
      <w:bookmarkStart w:id="156" w:name="_Ref271196630"/>
      <w:bookmarkStart w:id="157" w:name="_Toc272414662"/>
      <w:bookmarkStart w:id="158" w:name="_Toc290888526"/>
      <w:bookmarkStart w:id="159" w:name="_Toc416353742"/>
      <w:bookmarkStart w:id="160" w:name="_Toc421005285"/>
      <w:bookmarkStart w:id="161" w:name="_Toc432079162"/>
      <w:bookmarkStart w:id="162" w:name="_Toc432080735"/>
    </w:p>
    <w:p w14:paraId="46663999" w14:textId="77777777" w:rsidR="00450F9A" w:rsidRPr="00450F9A" w:rsidRDefault="00450F9A" w:rsidP="00450F9A">
      <w:pPr>
        <w:rPr>
          <w:b/>
          <w:bCs/>
          <w:lang w:eastAsia="ja-JP"/>
        </w:rPr>
      </w:pPr>
      <w:r w:rsidRPr="00450F9A">
        <w:rPr>
          <w:lang w:eastAsia="ja-JP"/>
        </w:rPr>
        <w:lastRenderedPageBreak/>
        <w:t>It is also noted that the mean daily insulin dose after 52 weeks was higher in the IDegAsp group (70 U) compared with the IGlar group (62 U). The ratio of IDegAsp/IGlar mean daily insulin dose (U) after 52 weeks was 1.13.</w:t>
      </w:r>
    </w:p>
    <w:p w14:paraId="5ABC754D" w14:textId="026EA057" w:rsidR="00450F9A" w:rsidRPr="00450F9A" w:rsidRDefault="00450F9A" w:rsidP="00726BBD">
      <w:pPr>
        <w:pStyle w:val="Heading3"/>
      </w:pPr>
      <w:bookmarkStart w:id="163" w:name="_Toc487202396"/>
      <w:bookmarkStart w:id="164" w:name="_Toc517768427"/>
      <w:r w:rsidRPr="00450F9A">
        <w:t>Patient exposure</w:t>
      </w:r>
      <w:bookmarkEnd w:id="155"/>
      <w:bookmarkEnd w:id="156"/>
      <w:bookmarkEnd w:id="157"/>
      <w:bookmarkEnd w:id="158"/>
      <w:bookmarkEnd w:id="159"/>
      <w:bookmarkEnd w:id="160"/>
      <w:bookmarkEnd w:id="161"/>
      <w:bookmarkEnd w:id="162"/>
      <w:r w:rsidR="00726BBD">
        <w:t xml:space="preserve"> (</w:t>
      </w:r>
      <w:r w:rsidRPr="00450F9A">
        <w:t>integrated data</w:t>
      </w:r>
      <w:bookmarkEnd w:id="163"/>
      <w:r w:rsidR="00726BBD">
        <w:t>)</w:t>
      </w:r>
      <w:bookmarkEnd w:id="164"/>
    </w:p>
    <w:p w14:paraId="0AECF932" w14:textId="69496E49" w:rsidR="00450F9A" w:rsidRPr="00450F9A" w:rsidRDefault="00450F9A" w:rsidP="00450F9A">
      <w:pPr>
        <w:rPr>
          <w:lang w:eastAsia="ja-JP"/>
        </w:rPr>
      </w:pPr>
      <w:r w:rsidRPr="00450F9A">
        <w:rPr>
          <w:lang w:eastAsia="ja-JP"/>
        </w:rPr>
        <w:t>The following integrated patient exposure data is taken from the Summ</w:t>
      </w:r>
      <w:r w:rsidR="00726BBD">
        <w:rPr>
          <w:lang w:eastAsia="ja-JP"/>
        </w:rPr>
        <w:t xml:space="preserve">ary of Clinical Safety Addendum </w:t>
      </w:r>
      <w:r w:rsidRPr="00450F9A">
        <w:rPr>
          <w:lang w:eastAsia="ja-JP"/>
        </w:rPr>
        <w:t xml:space="preserve">and the </w:t>
      </w:r>
      <w:r w:rsidR="00726BBD">
        <w:rPr>
          <w:lang w:eastAsia="ja-JP"/>
        </w:rPr>
        <w:t>Safety Update IDegAsp</w:t>
      </w:r>
      <w:r w:rsidRPr="00450F9A">
        <w:rPr>
          <w:lang w:eastAsia="ja-JP"/>
        </w:rPr>
        <w:t xml:space="preserve">, which contain data up until 30 September 2014. These </w:t>
      </w:r>
      <w:r w:rsidR="00726BBD">
        <w:rPr>
          <w:lang w:eastAsia="ja-JP"/>
        </w:rPr>
        <w:t>2</w:t>
      </w:r>
      <w:r w:rsidRPr="00450F9A">
        <w:rPr>
          <w:lang w:eastAsia="ja-JP"/>
        </w:rPr>
        <w:t xml:space="preserve"> documents compare the updated data to data contained within the Integrated Safety Summary (ISS</w:t>
      </w:r>
      <w:r w:rsidR="00726BBD">
        <w:rPr>
          <w:lang w:eastAsia="ja-JP"/>
        </w:rPr>
        <w:t xml:space="preserve">), with a </w:t>
      </w:r>
      <w:r w:rsidR="009F4052">
        <w:rPr>
          <w:lang w:eastAsia="ja-JP"/>
        </w:rPr>
        <w:t>cut-off</w:t>
      </w:r>
      <w:r w:rsidR="00726BBD">
        <w:rPr>
          <w:lang w:eastAsia="ja-JP"/>
        </w:rPr>
        <w:t xml:space="preserve"> of 31 January 2011.</w:t>
      </w:r>
    </w:p>
    <w:p w14:paraId="4020AE0F" w14:textId="4118E081" w:rsidR="00450F9A" w:rsidRPr="00450F9A" w:rsidRDefault="00450F9A" w:rsidP="00450F9A">
      <w:pPr>
        <w:rPr>
          <w:lang w:eastAsia="ja-JP"/>
        </w:rPr>
      </w:pPr>
      <w:r w:rsidRPr="00450F9A">
        <w:rPr>
          <w:lang w:eastAsia="ja-JP"/>
        </w:rPr>
        <w:t>Per the Summary of Clinical Safety Addendum which has a cut-off date of 30 September 2014:</w:t>
      </w:r>
    </w:p>
    <w:p w14:paraId="40C24672" w14:textId="4D81F57B" w:rsidR="00450F9A" w:rsidRPr="00450F9A" w:rsidRDefault="00450F9A" w:rsidP="00726BBD">
      <w:pPr>
        <w:pStyle w:val="ListBullet"/>
        <w:rPr>
          <w:lang w:eastAsia="ja-JP"/>
        </w:rPr>
      </w:pPr>
      <w:r w:rsidRPr="00450F9A">
        <w:rPr>
          <w:lang w:eastAsia="ja-JP"/>
        </w:rPr>
        <w:t>3139 subjects have been exposed to IDegAsp in 31 completed clinical trials and extension trials, of which 10 trials have been completed since the 31 January 2011</w:t>
      </w:r>
      <w:r w:rsidR="00726BBD">
        <w:rPr>
          <w:lang w:eastAsia="ja-JP"/>
        </w:rPr>
        <w:t>: 7 Phase III</w:t>
      </w:r>
      <w:r w:rsidRPr="00450F9A">
        <w:rPr>
          <w:lang w:eastAsia="ja-JP"/>
        </w:rPr>
        <w:t xml:space="preserve"> trials al</w:t>
      </w:r>
      <w:r w:rsidR="00682C63">
        <w:rPr>
          <w:lang w:eastAsia="ja-JP"/>
        </w:rPr>
        <w:t>l in T2DM (1 extension part, 5 Phase III</w:t>
      </w:r>
      <w:r w:rsidRPr="00450F9A">
        <w:rPr>
          <w:lang w:eastAsia="ja-JP"/>
        </w:rPr>
        <w:t xml:space="preserve"> trials) and 3 clinical pharmacology trials. This has resulted in an 1100 additional subjects compared to the original Integrated Safety Summary (ISS; data up to 31 January 2011</w:t>
      </w:r>
      <w:r w:rsidR="00726BBD">
        <w:rPr>
          <w:lang w:eastAsia="ja-JP"/>
        </w:rPr>
        <w:t xml:space="preserve"> (</w:t>
      </w:r>
      <w:r w:rsidRPr="00450F9A">
        <w:rPr>
          <w:lang w:eastAsia="ja-JP"/>
        </w:rPr>
        <w:t>please see Section 7.4 for information regarding the ISS</w:t>
      </w:r>
      <w:r w:rsidR="00726BBD">
        <w:rPr>
          <w:lang w:eastAsia="ja-JP"/>
        </w:rPr>
        <w:t>)).</w:t>
      </w:r>
    </w:p>
    <w:p w14:paraId="78156AD0" w14:textId="77777777" w:rsidR="00450F9A" w:rsidRPr="00450F9A" w:rsidRDefault="00450F9A" w:rsidP="00726BBD">
      <w:pPr>
        <w:pStyle w:val="ListBullet"/>
        <w:rPr>
          <w:lang w:eastAsia="ja-JP"/>
        </w:rPr>
      </w:pPr>
      <w:r w:rsidRPr="00450F9A">
        <w:rPr>
          <w:lang w:eastAsia="ja-JP"/>
        </w:rPr>
        <w:t>The only ongoing IDegAsp trial as of 30 September 2014 is a paediatric trial.</w:t>
      </w:r>
    </w:p>
    <w:p w14:paraId="68AFA0E0" w14:textId="77777777" w:rsidR="00450F9A" w:rsidRPr="00450F9A" w:rsidRDefault="00450F9A" w:rsidP="00726BBD">
      <w:pPr>
        <w:pStyle w:val="ListBullet"/>
        <w:rPr>
          <w:lang w:eastAsia="ja-JP"/>
        </w:rPr>
      </w:pPr>
      <w:r w:rsidRPr="00450F9A">
        <w:rPr>
          <w:lang w:eastAsia="ja-JP"/>
        </w:rPr>
        <w:t xml:space="preserve">10 773 subjects have been exposed to IDeg and/or IDegAsp in all completed IDeg/IDegAsp trials (a small number of subjects were exposed to both IDeg and IDegAsp). </w:t>
      </w:r>
    </w:p>
    <w:p w14:paraId="34BBA032" w14:textId="658F36A5" w:rsidR="00450F9A" w:rsidRPr="00450F9A" w:rsidRDefault="00450F9A" w:rsidP="00726BBD">
      <w:pPr>
        <w:pStyle w:val="ListBullet2"/>
        <w:rPr>
          <w:lang w:eastAsia="ja-JP"/>
        </w:rPr>
      </w:pPr>
      <w:r w:rsidRPr="00450F9A">
        <w:rPr>
          <w:lang w:eastAsia="ja-JP"/>
        </w:rPr>
        <w:t xml:space="preserve">This includes an additional 167 subjects exposed in </w:t>
      </w:r>
      <w:r w:rsidR="00726BBD">
        <w:rPr>
          <w:lang w:eastAsia="ja-JP"/>
        </w:rPr>
        <w:t>6 P</w:t>
      </w:r>
      <w:r w:rsidRPr="00450F9A">
        <w:rPr>
          <w:lang w:eastAsia="ja-JP"/>
        </w:rPr>
        <w:t>hase I trials completed with IDeg and IDegAsp since the ISS (data up to 31 January 2011).</w:t>
      </w:r>
    </w:p>
    <w:p w14:paraId="1CFD6A72" w14:textId="4E5A12AC" w:rsidR="00450F9A" w:rsidRPr="00450F9A" w:rsidRDefault="00450F9A" w:rsidP="00726BBD">
      <w:pPr>
        <w:pStyle w:val="ListBullet2"/>
        <w:rPr>
          <w:lang w:eastAsia="ja-JP"/>
        </w:rPr>
      </w:pPr>
      <w:r w:rsidRPr="00450F9A">
        <w:rPr>
          <w:lang w:eastAsia="ja-JP"/>
        </w:rPr>
        <w:t>Subjects participating in the main and extension parts of a trial were counted only once in th</w:t>
      </w:r>
      <w:r w:rsidR="00726BBD">
        <w:rPr>
          <w:lang w:eastAsia="ja-JP"/>
        </w:rPr>
        <w:t>e subject exposure calculation.</w:t>
      </w:r>
    </w:p>
    <w:p w14:paraId="5066A473" w14:textId="1B228988" w:rsidR="00450F9A" w:rsidRPr="00450F9A" w:rsidRDefault="00726BBD" w:rsidP="00450F9A">
      <w:pPr>
        <w:rPr>
          <w:lang w:eastAsia="ja-JP"/>
        </w:rPr>
      </w:pPr>
      <w:r>
        <w:rPr>
          <w:lang w:eastAsia="ja-JP"/>
        </w:rPr>
        <w:t>Table 8 that follows</w:t>
      </w:r>
      <w:r w:rsidR="00450F9A" w:rsidRPr="00450F9A">
        <w:rPr>
          <w:lang w:eastAsia="ja-JP"/>
        </w:rPr>
        <w:t xml:space="preserve"> is a summary of all subjects from completed trials for both IDeg and IDegAsp (fr</w:t>
      </w:r>
      <w:r>
        <w:rPr>
          <w:lang w:eastAsia="ja-JP"/>
        </w:rPr>
        <w:t>om Summary of Clinical Safety Addendum IDegAsp</w:t>
      </w:r>
      <w:r w:rsidR="00827B57">
        <w:rPr>
          <w:lang w:eastAsia="ja-JP"/>
        </w:rPr>
        <w:t>).</w:t>
      </w:r>
    </w:p>
    <w:p w14:paraId="0CBFA6EC" w14:textId="59FC32BC" w:rsidR="00450F9A" w:rsidRPr="00450F9A" w:rsidRDefault="00450F9A" w:rsidP="00726BBD">
      <w:pPr>
        <w:pStyle w:val="Tabletitle"/>
        <w:rPr>
          <w:lang w:eastAsia="ja-JP"/>
        </w:rPr>
      </w:pPr>
      <w:bookmarkStart w:id="165" w:name="_Toc487195076"/>
      <w:r w:rsidRPr="00450F9A">
        <w:rPr>
          <w:lang w:eastAsia="ja-JP"/>
        </w:rPr>
        <w:lastRenderedPageBreak/>
        <w:t xml:space="preserve">Table </w:t>
      </w:r>
      <w:r w:rsidR="00726BBD">
        <w:rPr>
          <w:lang w:eastAsia="ja-JP"/>
        </w:rPr>
        <w:t>8</w:t>
      </w:r>
      <w:r w:rsidR="00D548E5">
        <w:rPr>
          <w:lang w:eastAsia="ja-JP"/>
        </w:rPr>
        <w:t>:</w:t>
      </w:r>
      <w:r w:rsidRPr="00450F9A">
        <w:rPr>
          <w:lang w:eastAsia="ja-JP"/>
        </w:rPr>
        <w:t xml:space="preserve"> Exposure in all completed trials (IDeg and IDegAsp)</w:t>
      </w:r>
      <w:bookmarkEnd w:id="165"/>
    </w:p>
    <w:p w14:paraId="79857BDD" w14:textId="445BDD8C" w:rsidR="00450F9A" w:rsidRPr="00450F9A" w:rsidRDefault="00450F9A" w:rsidP="00450F9A">
      <w:pPr>
        <w:rPr>
          <w:lang w:eastAsia="ja-JP"/>
        </w:rPr>
      </w:pPr>
      <w:r w:rsidRPr="00450F9A">
        <w:rPr>
          <w:noProof/>
          <w:lang w:eastAsia="en-AU"/>
        </w:rPr>
        <w:drawing>
          <wp:inline distT="0" distB="0" distL="0" distR="0" wp14:anchorId="16DE9813" wp14:editId="0A73A021">
            <wp:extent cx="5731393" cy="4238625"/>
            <wp:effectExtent l="0" t="0" r="3175" b="0"/>
            <wp:docPr id="4" name="Picture 4" descr="Exposure in all completed trials (IDeg and IDegAsp)" title="Exposure in all completed trials (IDeg and IDeg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t="10463"/>
                    <a:stretch/>
                  </pic:blipFill>
                  <pic:spPr bwMode="auto">
                    <a:xfrm>
                      <a:off x="0" y="0"/>
                      <a:ext cx="5731510" cy="4238712"/>
                    </a:xfrm>
                    <a:prstGeom prst="rect">
                      <a:avLst/>
                    </a:prstGeom>
                    <a:noFill/>
                    <a:ln>
                      <a:noFill/>
                    </a:ln>
                    <a:extLst>
                      <a:ext uri="{53640926-AAD7-44D8-BBD7-CCE9431645EC}">
                        <a14:shadowObscured xmlns:a14="http://schemas.microsoft.com/office/drawing/2010/main"/>
                      </a:ext>
                    </a:extLst>
                  </pic:spPr>
                </pic:pic>
              </a:graphicData>
            </a:graphic>
          </wp:inline>
        </w:drawing>
      </w:r>
    </w:p>
    <w:p w14:paraId="0A2E1169" w14:textId="281F9D20" w:rsidR="00450F9A" w:rsidRPr="00450F9A" w:rsidRDefault="003F62D9" w:rsidP="00450F9A">
      <w:pPr>
        <w:rPr>
          <w:lang w:eastAsia="ja-JP"/>
        </w:rPr>
      </w:pPr>
      <w:r>
        <w:rPr>
          <w:lang w:eastAsia="ja-JP"/>
        </w:rPr>
        <w:t>T</w:t>
      </w:r>
      <w:r w:rsidR="00450F9A" w:rsidRPr="00450F9A">
        <w:rPr>
          <w:lang w:eastAsia="ja-JP"/>
        </w:rPr>
        <w:t xml:space="preserve">able </w:t>
      </w:r>
      <w:r>
        <w:rPr>
          <w:lang w:eastAsia="ja-JP"/>
        </w:rPr>
        <w:t xml:space="preserve">9 (below) </w:t>
      </w:r>
      <w:r w:rsidR="00450F9A" w:rsidRPr="00450F9A">
        <w:rPr>
          <w:lang w:eastAsia="ja-JP"/>
        </w:rPr>
        <w:t>gives an indication of exposure to IDegAsp by expo</w:t>
      </w:r>
      <w:r>
        <w:rPr>
          <w:lang w:eastAsia="ja-JP"/>
        </w:rPr>
        <w:t>sure duration in the completed Phase III</w:t>
      </w:r>
      <w:r w:rsidR="00450F9A" w:rsidRPr="00450F9A">
        <w:rPr>
          <w:lang w:eastAsia="ja-JP"/>
        </w:rPr>
        <w:t xml:space="preserve"> </w:t>
      </w:r>
      <w:r w:rsidR="00726BBD">
        <w:rPr>
          <w:lang w:eastAsia="ja-JP"/>
        </w:rPr>
        <w:t>trials as of 30 September 2014.</w:t>
      </w:r>
    </w:p>
    <w:p w14:paraId="245E9BA6" w14:textId="3B33475D" w:rsidR="00450F9A" w:rsidRPr="00450F9A" w:rsidRDefault="00450F9A" w:rsidP="003F62D9">
      <w:pPr>
        <w:pStyle w:val="Tabletitle"/>
        <w:rPr>
          <w:lang w:eastAsia="ja-JP"/>
        </w:rPr>
      </w:pPr>
      <w:bookmarkStart w:id="166" w:name="_Ref478796088"/>
      <w:bookmarkStart w:id="167" w:name="_Ref478796071"/>
      <w:bookmarkStart w:id="168" w:name="_Ref478796072"/>
      <w:bookmarkStart w:id="169" w:name="_Ref478796077"/>
      <w:bookmarkStart w:id="170" w:name="_Toc487195077"/>
      <w:r w:rsidRPr="00450F9A">
        <w:rPr>
          <w:lang w:eastAsia="ja-JP"/>
        </w:rPr>
        <w:t xml:space="preserve">Table </w:t>
      </w:r>
      <w:bookmarkEnd w:id="166"/>
      <w:r w:rsidR="003F62D9">
        <w:rPr>
          <w:lang w:eastAsia="ja-JP"/>
        </w:rPr>
        <w:t>9</w:t>
      </w:r>
      <w:r w:rsidR="00D548E5">
        <w:rPr>
          <w:lang w:eastAsia="ja-JP"/>
        </w:rPr>
        <w:t>:</w:t>
      </w:r>
      <w:r w:rsidRPr="00450F9A">
        <w:rPr>
          <w:lang w:eastAsia="ja-JP"/>
        </w:rPr>
        <w:t xml:space="preserve"> Exposure to </w:t>
      </w:r>
      <w:r w:rsidR="003F62D9">
        <w:rPr>
          <w:lang w:eastAsia="ja-JP"/>
        </w:rPr>
        <w:t>IDegAsp in completed Phase III</w:t>
      </w:r>
      <w:r w:rsidRPr="00450F9A">
        <w:rPr>
          <w:lang w:eastAsia="ja-JP"/>
        </w:rPr>
        <w:t xml:space="preserve"> trials</w:t>
      </w:r>
      <w:bookmarkEnd w:id="167"/>
      <w:bookmarkEnd w:id="168"/>
      <w:bookmarkEnd w:id="169"/>
      <w:bookmarkEnd w:id="170"/>
    </w:p>
    <w:tbl>
      <w:tblPr>
        <w:tblStyle w:val="TableTGAblue"/>
        <w:tblW w:w="9558" w:type="dxa"/>
        <w:tblLook w:val="04A0" w:firstRow="1" w:lastRow="0" w:firstColumn="1" w:lastColumn="0" w:noHBand="0" w:noVBand="1"/>
        <w:tblDescription w:val="Table 9: Exposure to IDegAsp in completed Phase III trials"/>
      </w:tblPr>
      <w:tblGrid>
        <w:gridCol w:w="2469"/>
        <w:gridCol w:w="1689"/>
        <w:gridCol w:w="1710"/>
        <w:gridCol w:w="1890"/>
        <w:gridCol w:w="1800"/>
      </w:tblGrid>
      <w:tr w:rsidR="003F62D9" w:rsidRPr="00450F9A" w14:paraId="6ADEC1C3" w14:textId="77777777" w:rsidTr="00BB64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69" w:type="dxa"/>
          </w:tcPr>
          <w:p w14:paraId="5C85F31D" w14:textId="77777777" w:rsidR="00450F9A" w:rsidRPr="003F62D9" w:rsidRDefault="00450F9A" w:rsidP="00450F9A">
            <w:pPr>
              <w:rPr>
                <w:szCs w:val="22"/>
                <w:lang w:eastAsia="ja-JP"/>
              </w:rPr>
            </w:pPr>
          </w:p>
        </w:tc>
        <w:tc>
          <w:tcPr>
            <w:tcW w:w="1689" w:type="dxa"/>
          </w:tcPr>
          <w:p w14:paraId="19CC8823" w14:textId="77777777" w:rsidR="00450F9A" w:rsidRPr="003F62D9" w:rsidRDefault="00450F9A" w:rsidP="003F62D9">
            <w:pPr>
              <w:ind w:left="0"/>
              <w:cnfStyle w:val="100000000000" w:firstRow="1" w:lastRow="0" w:firstColumn="0" w:lastColumn="0" w:oddVBand="0" w:evenVBand="0" w:oddHBand="0" w:evenHBand="0" w:firstRowFirstColumn="0" w:firstRowLastColumn="0" w:lastRowFirstColumn="0" w:lastRowLastColumn="0"/>
              <w:rPr>
                <w:szCs w:val="22"/>
                <w:lang w:eastAsia="ja-JP"/>
              </w:rPr>
            </w:pPr>
            <w:r w:rsidRPr="003F62D9">
              <w:rPr>
                <w:szCs w:val="22"/>
                <w:lang w:eastAsia="ja-JP"/>
              </w:rPr>
              <w:t>% of patients with any exposure (N)</w:t>
            </w:r>
          </w:p>
        </w:tc>
        <w:tc>
          <w:tcPr>
            <w:tcW w:w="1710" w:type="dxa"/>
          </w:tcPr>
          <w:p w14:paraId="568F7012" w14:textId="1EFF5099" w:rsidR="00450F9A" w:rsidRPr="003F62D9" w:rsidRDefault="00450F9A" w:rsidP="003F62D9">
            <w:pPr>
              <w:ind w:left="0"/>
              <w:cnfStyle w:val="100000000000" w:firstRow="1" w:lastRow="0" w:firstColumn="0" w:lastColumn="0" w:oddVBand="0" w:evenVBand="0" w:oddHBand="0" w:evenHBand="0" w:firstRowFirstColumn="0" w:firstRowLastColumn="0" w:lastRowFirstColumn="0" w:lastRowLastColumn="0"/>
              <w:rPr>
                <w:szCs w:val="22"/>
                <w:lang w:eastAsia="ja-JP"/>
              </w:rPr>
            </w:pPr>
            <w:r w:rsidRPr="003F62D9">
              <w:rPr>
                <w:szCs w:val="22"/>
                <w:lang w:eastAsia="ja-JP"/>
              </w:rPr>
              <w:t>% of patients with exposure ≥</w:t>
            </w:r>
            <w:r w:rsidR="003F62D9">
              <w:rPr>
                <w:szCs w:val="22"/>
                <w:lang w:eastAsia="ja-JP"/>
              </w:rPr>
              <w:t> </w:t>
            </w:r>
            <w:r w:rsidRPr="003F62D9">
              <w:rPr>
                <w:szCs w:val="22"/>
                <w:lang w:eastAsia="ja-JP"/>
              </w:rPr>
              <w:t xml:space="preserve">6 months </w:t>
            </w:r>
          </w:p>
        </w:tc>
        <w:tc>
          <w:tcPr>
            <w:tcW w:w="1890" w:type="dxa"/>
          </w:tcPr>
          <w:p w14:paraId="57CB35B5" w14:textId="43C3BBB3" w:rsidR="00450F9A" w:rsidRPr="003F62D9" w:rsidRDefault="00450F9A" w:rsidP="003F62D9">
            <w:pPr>
              <w:ind w:left="0"/>
              <w:cnfStyle w:val="100000000000" w:firstRow="1" w:lastRow="0" w:firstColumn="0" w:lastColumn="0" w:oddVBand="0" w:evenVBand="0" w:oddHBand="0" w:evenHBand="0" w:firstRowFirstColumn="0" w:firstRowLastColumn="0" w:lastRowFirstColumn="0" w:lastRowLastColumn="0"/>
              <w:rPr>
                <w:szCs w:val="22"/>
                <w:lang w:eastAsia="ja-JP"/>
              </w:rPr>
            </w:pPr>
            <w:r w:rsidRPr="003F62D9">
              <w:rPr>
                <w:szCs w:val="22"/>
                <w:lang w:eastAsia="ja-JP"/>
              </w:rPr>
              <w:t>% of patients with exposure ≥</w:t>
            </w:r>
            <w:r w:rsidR="003F62D9">
              <w:rPr>
                <w:szCs w:val="22"/>
                <w:lang w:eastAsia="ja-JP"/>
              </w:rPr>
              <w:t> </w:t>
            </w:r>
            <w:r w:rsidRPr="003F62D9">
              <w:rPr>
                <w:szCs w:val="22"/>
                <w:lang w:eastAsia="ja-JP"/>
              </w:rPr>
              <w:t>12 months (N)</w:t>
            </w:r>
          </w:p>
        </w:tc>
        <w:tc>
          <w:tcPr>
            <w:tcW w:w="1800" w:type="dxa"/>
          </w:tcPr>
          <w:p w14:paraId="29D8526C" w14:textId="77777777" w:rsidR="00450F9A" w:rsidRPr="003F62D9" w:rsidRDefault="00450F9A" w:rsidP="003F62D9">
            <w:pPr>
              <w:ind w:left="0"/>
              <w:cnfStyle w:val="100000000000" w:firstRow="1" w:lastRow="0" w:firstColumn="0" w:lastColumn="0" w:oddVBand="0" w:evenVBand="0" w:oddHBand="0" w:evenHBand="0" w:firstRowFirstColumn="0" w:firstRowLastColumn="0" w:lastRowFirstColumn="0" w:lastRowLastColumn="0"/>
              <w:rPr>
                <w:szCs w:val="22"/>
                <w:lang w:eastAsia="ja-JP"/>
              </w:rPr>
            </w:pPr>
            <w:r w:rsidRPr="003F62D9">
              <w:rPr>
                <w:szCs w:val="22"/>
                <w:lang w:eastAsia="ja-JP"/>
              </w:rPr>
              <w:t>Total exposure in subject years</w:t>
            </w:r>
          </w:p>
        </w:tc>
      </w:tr>
      <w:tr w:rsidR="003F62D9" w:rsidRPr="00450F9A" w14:paraId="6E27D8FE"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7EBC4F72" w14:textId="77777777" w:rsidR="00450F9A" w:rsidRPr="003F62D9" w:rsidRDefault="00450F9A" w:rsidP="003F62D9">
            <w:pPr>
              <w:rPr>
                <w:b/>
              </w:rPr>
            </w:pPr>
            <w:r w:rsidRPr="003F62D9">
              <w:rPr>
                <w:b/>
              </w:rPr>
              <w:t>All subjects</w:t>
            </w:r>
          </w:p>
        </w:tc>
        <w:tc>
          <w:tcPr>
            <w:tcW w:w="1689" w:type="dxa"/>
          </w:tcPr>
          <w:p w14:paraId="1940C120"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710" w:type="dxa"/>
          </w:tcPr>
          <w:p w14:paraId="643DB413"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890" w:type="dxa"/>
          </w:tcPr>
          <w:p w14:paraId="2E3239BC"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800" w:type="dxa"/>
          </w:tcPr>
          <w:p w14:paraId="57DDAC4D"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r>
      <w:tr w:rsidR="003F62D9" w:rsidRPr="00450F9A" w14:paraId="20E16CE0"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09BC6C02" w14:textId="77777777" w:rsidR="00450F9A" w:rsidRPr="003F62D9" w:rsidRDefault="00450F9A" w:rsidP="003F62D9">
            <w:r w:rsidRPr="003F62D9">
              <w:t>IDegAsp</w:t>
            </w:r>
          </w:p>
        </w:tc>
        <w:tc>
          <w:tcPr>
            <w:tcW w:w="1689" w:type="dxa"/>
          </w:tcPr>
          <w:p w14:paraId="1C883337"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100 (2382)</w:t>
            </w:r>
          </w:p>
        </w:tc>
        <w:tc>
          <w:tcPr>
            <w:tcW w:w="1710" w:type="dxa"/>
          </w:tcPr>
          <w:p w14:paraId="30217815"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88.6</w:t>
            </w:r>
          </w:p>
        </w:tc>
        <w:tc>
          <w:tcPr>
            <w:tcW w:w="1890" w:type="dxa"/>
          </w:tcPr>
          <w:p w14:paraId="0F0892D3"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18.1 (431)</w:t>
            </w:r>
          </w:p>
        </w:tc>
        <w:tc>
          <w:tcPr>
            <w:tcW w:w="1800" w:type="dxa"/>
          </w:tcPr>
          <w:p w14:paraId="56F57048"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1340.3</w:t>
            </w:r>
          </w:p>
        </w:tc>
      </w:tr>
      <w:tr w:rsidR="003F62D9" w:rsidRPr="00450F9A" w14:paraId="2AEE5B9B"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031A8460" w14:textId="77777777" w:rsidR="00450F9A" w:rsidRPr="003F62D9" w:rsidRDefault="00450F9A" w:rsidP="003F62D9">
            <w:r w:rsidRPr="003F62D9">
              <w:t>Comparators</w:t>
            </w:r>
          </w:p>
        </w:tc>
        <w:tc>
          <w:tcPr>
            <w:tcW w:w="1689" w:type="dxa"/>
          </w:tcPr>
          <w:p w14:paraId="2B5516CA"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100 (1381)</w:t>
            </w:r>
          </w:p>
        </w:tc>
        <w:tc>
          <w:tcPr>
            <w:tcW w:w="1710" w:type="dxa"/>
          </w:tcPr>
          <w:p w14:paraId="7A581AE6"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89.1</w:t>
            </w:r>
          </w:p>
        </w:tc>
        <w:tc>
          <w:tcPr>
            <w:tcW w:w="1890" w:type="dxa"/>
          </w:tcPr>
          <w:p w14:paraId="210CE065"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23.7 (327)</w:t>
            </w:r>
          </w:p>
        </w:tc>
        <w:tc>
          <w:tcPr>
            <w:tcW w:w="1800" w:type="dxa"/>
          </w:tcPr>
          <w:p w14:paraId="06093978"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815.8</w:t>
            </w:r>
          </w:p>
        </w:tc>
      </w:tr>
      <w:tr w:rsidR="003F62D9" w:rsidRPr="00450F9A" w14:paraId="0F9A9C8E"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153D06D4" w14:textId="77777777" w:rsidR="00450F9A" w:rsidRPr="003F62D9" w:rsidRDefault="00450F9A" w:rsidP="003F62D9">
            <w:pPr>
              <w:rPr>
                <w:b/>
              </w:rPr>
            </w:pPr>
            <w:r w:rsidRPr="003F62D9">
              <w:rPr>
                <w:b/>
              </w:rPr>
              <w:t>T1DM</w:t>
            </w:r>
          </w:p>
        </w:tc>
        <w:tc>
          <w:tcPr>
            <w:tcW w:w="1689" w:type="dxa"/>
          </w:tcPr>
          <w:p w14:paraId="613BAB5C"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710" w:type="dxa"/>
          </w:tcPr>
          <w:p w14:paraId="4929D90A"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890" w:type="dxa"/>
          </w:tcPr>
          <w:p w14:paraId="65782EB2"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800" w:type="dxa"/>
          </w:tcPr>
          <w:p w14:paraId="4EA4493E"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r>
      <w:tr w:rsidR="003F62D9" w:rsidRPr="00450F9A" w14:paraId="3DFDC7EA"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39749C93" w14:textId="77777777" w:rsidR="00450F9A" w:rsidRPr="003F62D9" w:rsidRDefault="00450F9A" w:rsidP="003F62D9">
            <w:r w:rsidRPr="003F62D9">
              <w:t>IDegAsp</w:t>
            </w:r>
          </w:p>
        </w:tc>
        <w:tc>
          <w:tcPr>
            <w:tcW w:w="1689" w:type="dxa"/>
          </w:tcPr>
          <w:p w14:paraId="49A77497"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100 (362)</w:t>
            </w:r>
          </w:p>
        </w:tc>
        <w:tc>
          <w:tcPr>
            <w:tcW w:w="1710" w:type="dxa"/>
          </w:tcPr>
          <w:p w14:paraId="38309FBF"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89.0</w:t>
            </w:r>
          </w:p>
        </w:tc>
        <w:tc>
          <w:tcPr>
            <w:tcW w:w="1890" w:type="dxa"/>
          </w:tcPr>
          <w:p w14:paraId="3C6D2287"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64.9 (235)</w:t>
            </w:r>
          </w:p>
        </w:tc>
        <w:tc>
          <w:tcPr>
            <w:tcW w:w="1800" w:type="dxa"/>
          </w:tcPr>
          <w:p w14:paraId="41D25B1A"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296.9</w:t>
            </w:r>
          </w:p>
        </w:tc>
      </w:tr>
      <w:tr w:rsidR="003F62D9" w:rsidRPr="00450F9A" w14:paraId="6B40B051"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4BEB432F" w14:textId="77777777" w:rsidR="00450F9A" w:rsidRPr="003F62D9" w:rsidRDefault="00450F9A" w:rsidP="003F62D9">
            <w:r w:rsidRPr="003F62D9">
              <w:t>Comparators</w:t>
            </w:r>
          </w:p>
        </w:tc>
        <w:tc>
          <w:tcPr>
            <w:tcW w:w="1689" w:type="dxa"/>
          </w:tcPr>
          <w:p w14:paraId="1B7D407D"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100 (180)</w:t>
            </w:r>
          </w:p>
        </w:tc>
        <w:tc>
          <w:tcPr>
            <w:tcW w:w="1710" w:type="dxa"/>
          </w:tcPr>
          <w:p w14:paraId="2F1FA9CB"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87.2</w:t>
            </w:r>
          </w:p>
        </w:tc>
        <w:tc>
          <w:tcPr>
            <w:tcW w:w="1890" w:type="dxa"/>
          </w:tcPr>
          <w:p w14:paraId="6CC194EE"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63.3 (114)</w:t>
            </w:r>
          </w:p>
        </w:tc>
        <w:tc>
          <w:tcPr>
            <w:tcW w:w="1800" w:type="dxa"/>
          </w:tcPr>
          <w:p w14:paraId="597B538A"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145.5</w:t>
            </w:r>
          </w:p>
        </w:tc>
      </w:tr>
      <w:tr w:rsidR="003F62D9" w:rsidRPr="00450F9A" w14:paraId="0AADC521"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2BB915CD" w14:textId="77777777" w:rsidR="00450F9A" w:rsidRPr="003F62D9" w:rsidRDefault="00450F9A" w:rsidP="003F62D9">
            <w:pPr>
              <w:rPr>
                <w:b/>
              </w:rPr>
            </w:pPr>
            <w:r w:rsidRPr="003F62D9">
              <w:rPr>
                <w:b/>
              </w:rPr>
              <w:t>T2DM</w:t>
            </w:r>
          </w:p>
        </w:tc>
        <w:tc>
          <w:tcPr>
            <w:tcW w:w="1689" w:type="dxa"/>
          </w:tcPr>
          <w:p w14:paraId="76863568"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710" w:type="dxa"/>
          </w:tcPr>
          <w:p w14:paraId="15BBD21E"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890" w:type="dxa"/>
          </w:tcPr>
          <w:p w14:paraId="61787BC6"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800" w:type="dxa"/>
          </w:tcPr>
          <w:p w14:paraId="66314194"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r>
      <w:tr w:rsidR="003F62D9" w:rsidRPr="00450F9A" w14:paraId="7E3ACE6A"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477027DA" w14:textId="77777777" w:rsidR="00450F9A" w:rsidRPr="003F62D9" w:rsidRDefault="00450F9A" w:rsidP="003F62D9">
            <w:r w:rsidRPr="003F62D9">
              <w:lastRenderedPageBreak/>
              <w:t>IDegAsp</w:t>
            </w:r>
          </w:p>
        </w:tc>
        <w:tc>
          <w:tcPr>
            <w:tcW w:w="1689" w:type="dxa"/>
          </w:tcPr>
          <w:p w14:paraId="34B5BE1F"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100 (2020)</w:t>
            </w:r>
          </w:p>
        </w:tc>
        <w:tc>
          <w:tcPr>
            <w:tcW w:w="1710" w:type="dxa"/>
          </w:tcPr>
          <w:p w14:paraId="3B4B82A1"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88.6</w:t>
            </w:r>
          </w:p>
        </w:tc>
        <w:tc>
          <w:tcPr>
            <w:tcW w:w="1890" w:type="dxa"/>
          </w:tcPr>
          <w:p w14:paraId="5ADF2C62"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9.7 (196)</w:t>
            </w:r>
          </w:p>
        </w:tc>
        <w:tc>
          <w:tcPr>
            <w:tcW w:w="1800" w:type="dxa"/>
          </w:tcPr>
          <w:p w14:paraId="3EB699E5"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1043.4</w:t>
            </w:r>
          </w:p>
        </w:tc>
      </w:tr>
      <w:tr w:rsidR="003F62D9" w:rsidRPr="00450F9A" w14:paraId="191CE95B"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310DABC0" w14:textId="77777777" w:rsidR="00450F9A" w:rsidRPr="003F62D9" w:rsidRDefault="00450F9A" w:rsidP="003F62D9">
            <w:r w:rsidRPr="003F62D9">
              <w:t>Comparators</w:t>
            </w:r>
          </w:p>
        </w:tc>
        <w:tc>
          <w:tcPr>
            <w:tcW w:w="1689" w:type="dxa"/>
          </w:tcPr>
          <w:p w14:paraId="7482A64F"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100 (1201)</w:t>
            </w:r>
          </w:p>
        </w:tc>
        <w:tc>
          <w:tcPr>
            <w:tcW w:w="1710" w:type="dxa"/>
          </w:tcPr>
          <w:p w14:paraId="5333226E"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89.4</w:t>
            </w:r>
          </w:p>
        </w:tc>
        <w:tc>
          <w:tcPr>
            <w:tcW w:w="1890" w:type="dxa"/>
          </w:tcPr>
          <w:p w14:paraId="6BBCA801"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17.7 (213)</w:t>
            </w:r>
          </w:p>
        </w:tc>
        <w:tc>
          <w:tcPr>
            <w:tcW w:w="1800" w:type="dxa"/>
          </w:tcPr>
          <w:p w14:paraId="3F862A98"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670.3</w:t>
            </w:r>
          </w:p>
        </w:tc>
      </w:tr>
      <w:tr w:rsidR="003F62D9" w:rsidRPr="00450F9A" w14:paraId="65BB71AF"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0530FD43" w14:textId="77777777" w:rsidR="00450F9A" w:rsidRPr="003F62D9" w:rsidRDefault="00450F9A" w:rsidP="003F62D9">
            <w:pPr>
              <w:rPr>
                <w:b/>
              </w:rPr>
            </w:pPr>
            <w:r w:rsidRPr="003F62D9">
              <w:rPr>
                <w:b/>
              </w:rPr>
              <w:t>Insulin naive T2DM</w:t>
            </w:r>
          </w:p>
        </w:tc>
        <w:tc>
          <w:tcPr>
            <w:tcW w:w="1689" w:type="dxa"/>
          </w:tcPr>
          <w:p w14:paraId="4370A578"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710" w:type="dxa"/>
          </w:tcPr>
          <w:p w14:paraId="5388B3ED"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890" w:type="dxa"/>
          </w:tcPr>
          <w:p w14:paraId="3E6B61F1"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800" w:type="dxa"/>
          </w:tcPr>
          <w:p w14:paraId="38992208"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r>
      <w:tr w:rsidR="003F62D9" w:rsidRPr="00450F9A" w14:paraId="25ABD773"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63052C2D" w14:textId="77777777" w:rsidR="00450F9A" w:rsidRPr="003F62D9" w:rsidRDefault="00450F9A" w:rsidP="003F62D9">
            <w:r w:rsidRPr="003F62D9">
              <w:t>IDegAsp</w:t>
            </w:r>
          </w:p>
        </w:tc>
        <w:tc>
          <w:tcPr>
            <w:tcW w:w="1689" w:type="dxa"/>
          </w:tcPr>
          <w:p w14:paraId="587C9FE0"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100 (882)</w:t>
            </w:r>
          </w:p>
        </w:tc>
        <w:tc>
          <w:tcPr>
            <w:tcW w:w="1710" w:type="dxa"/>
          </w:tcPr>
          <w:p w14:paraId="400E32EF"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91.0</w:t>
            </w:r>
          </w:p>
        </w:tc>
        <w:tc>
          <w:tcPr>
            <w:tcW w:w="1890" w:type="dxa"/>
          </w:tcPr>
          <w:p w14:paraId="7BC4DD80"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20.5 (181)</w:t>
            </w:r>
          </w:p>
        </w:tc>
        <w:tc>
          <w:tcPr>
            <w:tcW w:w="1800" w:type="dxa"/>
          </w:tcPr>
          <w:p w14:paraId="4A72802B"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514.1</w:t>
            </w:r>
          </w:p>
        </w:tc>
      </w:tr>
      <w:tr w:rsidR="003F62D9" w:rsidRPr="00450F9A" w14:paraId="182FDF7C" w14:textId="77777777" w:rsidTr="003F62D9">
        <w:trPr>
          <w:trHeight w:val="520"/>
        </w:trPr>
        <w:tc>
          <w:tcPr>
            <w:cnfStyle w:val="001000000000" w:firstRow="0" w:lastRow="0" w:firstColumn="1" w:lastColumn="0" w:oddVBand="0" w:evenVBand="0" w:oddHBand="0" w:evenHBand="0" w:firstRowFirstColumn="0" w:firstRowLastColumn="0" w:lastRowFirstColumn="0" w:lastRowLastColumn="0"/>
            <w:tcW w:w="2469" w:type="dxa"/>
          </w:tcPr>
          <w:p w14:paraId="4C752AD9" w14:textId="77777777" w:rsidR="00450F9A" w:rsidRPr="003F62D9" w:rsidRDefault="00450F9A" w:rsidP="003F62D9">
            <w:r w:rsidRPr="003F62D9">
              <w:t>Comparators</w:t>
            </w:r>
          </w:p>
        </w:tc>
        <w:tc>
          <w:tcPr>
            <w:tcW w:w="1689" w:type="dxa"/>
          </w:tcPr>
          <w:p w14:paraId="45F99907"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100 (605)</w:t>
            </w:r>
          </w:p>
        </w:tc>
        <w:tc>
          <w:tcPr>
            <w:tcW w:w="1710" w:type="dxa"/>
          </w:tcPr>
          <w:p w14:paraId="1370855A"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91.4</w:t>
            </w:r>
          </w:p>
        </w:tc>
        <w:tc>
          <w:tcPr>
            <w:tcW w:w="1890" w:type="dxa"/>
          </w:tcPr>
          <w:p w14:paraId="5EB87F12"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35.2 (213)</w:t>
            </w:r>
          </w:p>
        </w:tc>
        <w:tc>
          <w:tcPr>
            <w:tcW w:w="1800" w:type="dxa"/>
          </w:tcPr>
          <w:p w14:paraId="66EFCA46"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398.9</w:t>
            </w:r>
          </w:p>
        </w:tc>
      </w:tr>
      <w:tr w:rsidR="003F62D9" w:rsidRPr="00450F9A" w14:paraId="42804EF6"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7F9D5BC7" w14:textId="77777777" w:rsidR="00450F9A" w:rsidRPr="003F62D9" w:rsidRDefault="00450F9A" w:rsidP="003F62D9">
            <w:pPr>
              <w:rPr>
                <w:b/>
              </w:rPr>
            </w:pPr>
            <w:r w:rsidRPr="003F62D9">
              <w:rPr>
                <w:b/>
              </w:rPr>
              <w:t>Insulin treated T2DM</w:t>
            </w:r>
          </w:p>
        </w:tc>
        <w:tc>
          <w:tcPr>
            <w:tcW w:w="1689" w:type="dxa"/>
          </w:tcPr>
          <w:p w14:paraId="52D6E949"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710" w:type="dxa"/>
          </w:tcPr>
          <w:p w14:paraId="19C08970"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890" w:type="dxa"/>
          </w:tcPr>
          <w:p w14:paraId="0A654118"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c>
          <w:tcPr>
            <w:tcW w:w="1800" w:type="dxa"/>
          </w:tcPr>
          <w:p w14:paraId="697EDA0F"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p>
        </w:tc>
      </w:tr>
      <w:tr w:rsidR="003F62D9" w:rsidRPr="00450F9A" w14:paraId="7A37B3EE"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4F620138" w14:textId="77777777" w:rsidR="00450F9A" w:rsidRPr="003F62D9" w:rsidRDefault="00450F9A" w:rsidP="003F62D9">
            <w:r w:rsidRPr="003F62D9">
              <w:t>IDegAsp</w:t>
            </w:r>
          </w:p>
        </w:tc>
        <w:tc>
          <w:tcPr>
            <w:tcW w:w="1689" w:type="dxa"/>
          </w:tcPr>
          <w:p w14:paraId="7DD5909D"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100 (1138)</w:t>
            </w:r>
          </w:p>
        </w:tc>
        <w:tc>
          <w:tcPr>
            <w:tcW w:w="1710" w:type="dxa"/>
          </w:tcPr>
          <w:p w14:paraId="0519DDFC"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86.6</w:t>
            </w:r>
          </w:p>
        </w:tc>
        <w:tc>
          <w:tcPr>
            <w:tcW w:w="1890" w:type="dxa"/>
          </w:tcPr>
          <w:p w14:paraId="4C65C544"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1.3 (15)</w:t>
            </w:r>
          </w:p>
        </w:tc>
        <w:tc>
          <w:tcPr>
            <w:tcW w:w="1800" w:type="dxa"/>
          </w:tcPr>
          <w:p w14:paraId="774DAECC"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529.3</w:t>
            </w:r>
          </w:p>
        </w:tc>
      </w:tr>
      <w:tr w:rsidR="003F62D9" w:rsidRPr="00450F9A" w14:paraId="48918852" w14:textId="77777777" w:rsidTr="003F62D9">
        <w:tc>
          <w:tcPr>
            <w:cnfStyle w:val="001000000000" w:firstRow="0" w:lastRow="0" w:firstColumn="1" w:lastColumn="0" w:oddVBand="0" w:evenVBand="0" w:oddHBand="0" w:evenHBand="0" w:firstRowFirstColumn="0" w:firstRowLastColumn="0" w:lastRowFirstColumn="0" w:lastRowLastColumn="0"/>
            <w:tcW w:w="2469" w:type="dxa"/>
          </w:tcPr>
          <w:p w14:paraId="45FE99FC" w14:textId="77777777" w:rsidR="00450F9A" w:rsidRPr="003F62D9" w:rsidRDefault="00450F9A" w:rsidP="003F62D9">
            <w:r w:rsidRPr="003F62D9">
              <w:t>Comparators</w:t>
            </w:r>
          </w:p>
        </w:tc>
        <w:tc>
          <w:tcPr>
            <w:tcW w:w="1689" w:type="dxa"/>
          </w:tcPr>
          <w:p w14:paraId="5366415F"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100 (596)</w:t>
            </w:r>
          </w:p>
        </w:tc>
        <w:tc>
          <w:tcPr>
            <w:tcW w:w="1710" w:type="dxa"/>
          </w:tcPr>
          <w:p w14:paraId="14E6B7C6"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87.4</w:t>
            </w:r>
          </w:p>
        </w:tc>
        <w:tc>
          <w:tcPr>
            <w:tcW w:w="1890" w:type="dxa"/>
          </w:tcPr>
          <w:p w14:paraId="7224EDBC"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0</w:t>
            </w:r>
          </w:p>
        </w:tc>
        <w:tc>
          <w:tcPr>
            <w:tcW w:w="1800" w:type="dxa"/>
          </w:tcPr>
          <w:p w14:paraId="0DC13817" w14:textId="77777777" w:rsidR="00450F9A" w:rsidRPr="003F62D9" w:rsidRDefault="00450F9A" w:rsidP="003F62D9">
            <w:pPr>
              <w:cnfStyle w:val="000000000000" w:firstRow="0" w:lastRow="0" w:firstColumn="0" w:lastColumn="0" w:oddVBand="0" w:evenVBand="0" w:oddHBand="0" w:evenHBand="0" w:firstRowFirstColumn="0" w:firstRowLastColumn="0" w:lastRowFirstColumn="0" w:lastRowLastColumn="0"/>
            </w:pPr>
            <w:r w:rsidRPr="003F62D9">
              <w:t>271.4</w:t>
            </w:r>
          </w:p>
        </w:tc>
      </w:tr>
    </w:tbl>
    <w:p w14:paraId="136382CF" w14:textId="37A748E4" w:rsidR="00450F9A" w:rsidRPr="00450F9A" w:rsidRDefault="00450F9A" w:rsidP="003F62D9">
      <w:pPr>
        <w:pStyle w:val="TableDescription"/>
        <w:rPr>
          <w:lang w:eastAsia="ja-JP"/>
        </w:rPr>
      </w:pPr>
      <w:r w:rsidRPr="00450F9A">
        <w:rPr>
          <w:lang w:eastAsia="ja-JP"/>
        </w:rPr>
        <w:t>N = number of patients. Reference: Safety update IDegAsp (1</w:t>
      </w:r>
      <w:r w:rsidR="003F62D9">
        <w:rPr>
          <w:lang w:eastAsia="ja-JP"/>
        </w:rPr>
        <w:t xml:space="preserve">6 December 2014), includes </w:t>
      </w:r>
      <w:r w:rsidR="005874E2">
        <w:rPr>
          <w:lang w:eastAsia="ja-JP"/>
        </w:rPr>
        <w:t>Studies</w:t>
      </w:r>
      <w:r w:rsidRPr="00450F9A">
        <w:rPr>
          <w:lang w:eastAsia="ja-JP"/>
        </w:rPr>
        <w:t xml:space="preserve"> 3590-3726, 3592, 3593, 3594-3645, 3597, 3844, 3896, 3940, 3941, 3996, 4003</w:t>
      </w:r>
    </w:p>
    <w:p w14:paraId="6B9DF525" w14:textId="0F6DA89A" w:rsidR="00450F9A" w:rsidRPr="00450F9A" w:rsidRDefault="00450F9A" w:rsidP="00450F9A">
      <w:pPr>
        <w:rPr>
          <w:lang w:eastAsia="ja-JP"/>
        </w:rPr>
      </w:pPr>
      <w:r w:rsidRPr="00450F9A">
        <w:rPr>
          <w:lang w:eastAsia="ja-JP"/>
        </w:rPr>
        <w:t>It is also noted that some trials included only IDeg and I</w:t>
      </w:r>
      <w:r w:rsidR="003F62D9">
        <w:rPr>
          <w:lang w:eastAsia="ja-JP"/>
        </w:rPr>
        <w:t>DegAsp and no other comparator.</w:t>
      </w:r>
    </w:p>
    <w:p w14:paraId="25D28441" w14:textId="28961601" w:rsidR="00450F9A" w:rsidRPr="00450F9A" w:rsidRDefault="00450F9A" w:rsidP="00450F9A">
      <w:pPr>
        <w:rPr>
          <w:lang w:eastAsia="ja-JP"/>
        </w:rPr>
      </w:pPr>
      <w:r w:rsidRPr="00450F9A">
        <w:rPr>
          <w:lang w:eastAsia="ja-JP"/>
        </w:rPr>
        <w:t>Compared to the ISS (</w:t>
      </w:r>
      <w:r w:rsidR="009F4052" w:rsidRPr="00450F9A">
        <w:rPr>
          <w:lang w:eastAsia="ja-JP"/>
        </w:rPr>
        <w:t>cut</w:t>
      </w:r>
      <w:r w:rsidR="009F4052">
        <w:rPr>
          <w:lang w:eastAsia="ja-JP"/>
        </w:rPr>
        <w:t>-</w:t>
      </w:r>
      <w:r w:rsidR="009F4052" w:rsidRPr="00450F9A">
        <w:rPr>
          <w:lang w:eastAsia="ja-JP"/>
        </w:rPr>
        <w:t>off</w:t>
      </w:r>
      <w:r w:rsidRPr="00450F9A">
        <w:rPr>
          <w:lang w:eastAsia="ja-JP"/>
        </w:rPr>
        <w:t xml:space="preserve"> date of 31 January 2011), an additional 930 subjects have been exposed to IDegAsp for 6 months, and additional 196 subjects for 12 months or more. The additional subjects who have been exposed for more than 6 mon</w:t>
      </w:r>
      <w:r w:rsidR="00F20A74">
        <w:rPr>
          <w:lang w:eastAsia="ja-JP"/>
        </w:rPr>
        <w:t xml:space="preserve">ths were enrolled on extension </w:t>
      </w:r>
      <w:r w:rsidR="00827B57">
        <w:rPr>
          <w:lang w:eastAsia="ja-JP"/>
        </w:rPr>
        <w:t xml:space="preserve">Study </w:t>
      </w:r>
      <w:r w:rsidRPr="00450F9A">
        <w:rPr>
          <w:lang w:eastAsia="ja-JP"/>
        </w:rPr>
        <w:t>NN5401-3726 and therefore were all insulin naïve T2DM subjects receiving daily IDegAsp. It is noted that the maximum duration of the trials (</w:t>
      </w:r>
      <w:r w:rsidR="005874E2">
        <w:rPr>
          <w:lang w:eastAsia="ja-JP"/>
        </w:rPr>
        <w:t xml:space="preserve">as </w:t>
      </w:r>
      <w:r w:rsidRPr="00450F9A">
        <w:rPr>
          <w:lang w:eastAsia="ja-JP"/>
        </w:rPr>
        <w:t>per</w:t>
      </w:r>
      <w:r w:rsidR="00F20A74">
        <w:rPr>
          <w:lang w:eastAsia="ja-JP"/>
        </w:rPr>
        <w:t xml:space="preserve"> Figure 4, above</w:t>
      </w:r>
      <w:r w:rsidRPr="00450F9A">
        <w:rPr>
          <w:lang w:eastAsia="ja-JP"/>
        </w:rPr>
        <w:t>) is 52 weeks therefore, even though a sizable proportion of the T1DM population and less percentages of the T2DM population are reported to have been exposed for ≥ 12 months, it is not expected that the subjects would have been exposed for any longer than 12 months. It is also noted that a very small number of insulin treated T2DM subjects have been treated for 12 months or more; the reason for this is not clear. Furthermore, of the subjects with T2DM who have been exposed for 12 months or more, the majority of these are in the comparator group. However, it is not clear why there is such a large difference in terms of those who have been exposed for ≥</w:t>
      </w:r>
      <w:r w:rsidR="00827B57">
        <w:rPr>
          <w:lang w:eastAsia="ja-JP"/>
        </w:rPr>
        <w:t xml:space="preserve"> </w:t>
      </w:r>
      <w:r w:rsidRPr="00450F9A">
        <w:rPr>
          <w:lang w:eastAsia="ja-JP"/>
        </w:rPr>
        <w:t xml:space="preserve">12 months (9.7% IDegAsp compared to 17.7% comparator) and this is not reflected as clearly in terms of completion of extension trials which showed that 92.4% of subjects completed the extension trials in the IDegAsp group compared to 93.9% of those in the comparator group. A question will be asked of the </w:t>
      </w:r>
      <w:r w:rsidR="00F20A74">
        <w:rPr>
          <w:lang w:eastAsia="ja-JP"/>
        </w:rPr>
        <w:t>s</w:t>
      </w:r>
      <w:r w:rsidRPr="00450F9A">
        <w:rPr>
          <w:lang w:eastAsia="ja-JP"/>
        </w:rPr>
        <w:t>ponsor to clarify this.</w:t>
      </w:r>
    </w:p>
    <w:p w14:paraId="1828762D" w14:textId="1BA182C7" w:rsidR="00450F9A" w:rsidRPr="00450F9A" w:rsidRDefault="00450F9A" w:rsidP="00450F9A">
      <w:pPr>
        <w:rPr>
          <w:lang w:eastAsia="ja-JP"/>
        </w:rPr>
      </w:pPr>
      <w:r w:rsidRPr="00450F9A">
        <w:rPr>
          <w:lang w:eastAsia="ja-JP"/>
        </w:rPr>
        <w:t>In terms of subjec</w:t>
      </w:r>
      <w:r w:rsidR="00827B57">
        <w:rPr>
          <w:lang w:eastAsia="ja-JP"/>
        </w:rPr>
        <w:t>t disposition in the completed P</w:t>
      </w:r>
      <w:r w:rsidRPr="00450F9A">
        <w:rPr>
          <w:lang w:eastAsia="ja-JP"/>
        </w:rPr>
        <w:t xml:space="preserve">hase </w:t>
      </w:r>
      <w:r w:rsidR="00827B57">
        <w:rPr>
          <w:lang w:eastAsia="ja-JP"/>
        </w:rPr>
        <w:t>III</w:t>
      </w:r>
      <w:r w:rsidRPr="00450F9A">
        <w:rPr>
          <w:lang w:eastAsia="ja-JP"/>
        </w:rPr>
        <w:t xml:space="preserve"> trials for IDegAsp, 87.5% of subjects on the IDegAsp group completed the main trials compared with 88.3% on the comparator group; the most common reason for withdrawal on the IDegAsp arm was ‘other’ (5.65%), Fulfilling withdrawal criteria (4.2%) and adverse events (1.4%). Similar rates were seen on the comparator arm except there were fewer (2.7%) withdrawing due to ‘fulfilling withdrawal criteria’. Of the subjects included in the extension trials (446 on the IDegAsp, 343 on comparator arms), 92.4% completed the trial on IDegAsp and a slightly higher number on the comparator arm (93.9%). The most common reason for withdrawal was ‘other’ (4% for </w:t>
      </w:r>
      <w:r w:rsidRPr="00450F9A">
        <w:rPr>
          <w:lang w:eastAsia="ja-JP"/>
        </w:rPr>
        <w:lastRenderedPageBreak/>
        <w:t xml:space="preserve">IDegAsp and 3% for comparators); 1.3% withdrew due to adverse events on the IDegAsp compared to 0.9% on the comparator arm. It is noted that the </w:t>
      </w:r>
      <w:r w:rsidR="00F20A74">
        <w:rPr>
          <w:lang w:eastAsia="ja-JP"/>
        </w:rPr>
        <w:t>s</w:t>
      </w:r>
      <w:r w:rsidRPr="00450F9A">
        <w:rPr>
          <w:lang w:eastAsia="ja-JP"/>
        </w:rPr>
        <w:t>ponsor has indicated that in some of the new completed trials, new withdrawal criteria have been included and this may have resulted in disproportionate reporting of withdrawals on the IDegAsp group since several trials had IDegAsp in both arms and the</w:t>
      </w:r>
      <w:r w:rsidR="00F20A74">
        <w:rPr>
          <w:lang w:eastAsia="ja-JP"/>
        </w:rPr>
        <w:t>re were no ‘comparator’ groups.</w:t>
      </w:r>
    </w:p>
    <w:p w14:paraId="360D3601" w14:textId="7C4E1127" w:rsidR="00450F9A" w:rsidRPr="00F20A74" w:rsidRDefault="00450F9A" w:rsidP="00450F9A">
      <w:pPr>
        <w:rPr>
          <w:lang w:eastAsia="ja-JP"/>
        </w:rPr>
      </w:pPr>
      <w:r w:rsidRPr="00450F9A">
        <w:rPr>
          <w:lang w:eastAsia="ja-JP"/>
        </w:rPr>
        <w:t>No new information was included regarding demographic characteristics in the Summary of Clinic</w:t>
      </w:r>
      <w:r w:rsidR="00F20A74">
        <w:rPr>
          <w:lang w:eastAsia="ja-JP"/>
        </w:rPr>
        <w:t>al Safety Addendum for IDegAsp.</w:t>
      </w:r>
    </w:p>
    <w:p w14:paraId="33DD9B48" w14:textId="68A7FA93" w:rsidR="00450F9A" w:rsidRPr="00450F9A" w:rsidRDefault="00450F9A" w:rsidP="00F20A74">
      <w:pPr>
        <w:pStyle w:val="Heading3"/>
      </w:pPr>
      <w:bookmarkStart w:id="171" w:name="_Toc241374319"/>
      <w:bookmarkStart w:id="172" w:name="_Ref271044764"/>
      <w:bookmarkStart w:id="173" w:name="_Toc272414663"/>
      <w:bookmarkStart w:id="174" w:name="_Toc290888527"/>
      <w:bookmarkStart w:id="175" w:name="_Toc416353743"/>
      <w:bookmarkStart w:id="176" w:name="_Toc421005286"/>
      <w:bookmarkStart w:id="177" w:name="_Toc432079163"/>
      <w:bookmarkStart w:id="178" w:name="_Toc432080736"/>
      <w:bookmarkStart w:id="179" w:name="_Toc487202397"/>
      <w:bookmarkStart w:id="180" w:name="_Toc517768428"/>
      <w:r w:rsidRPr="00450F9A">
        <w:t>Adverse events</w:t>
      </w:r>
      <w:bookmarkEnd w:id="171"/>
      <w:bookmarkEnd w:id="172"/>
      <w:bookmarkEnd w:id="173"/>
      <w:bookmarkEnd w:id="174"/>
      <w:bookmarkEnd w:id="175"/>
      <w:bookmarkEnd w:id="176"/>
      <w:bookmarkEnd w:id="177"/>
      <w:bookmarkEnd w:id="178"/>
      <w:r w:rsidR="00F20A74">
        <w:t xml:space="preserve"> (</w:t>
      </w:r>
      <w:r w:rsidRPr="00450F9A">
        <w:t>integrated data</w:t>
      </w:r>
      <w:bookmarkEnd w:id="179"/>
      <w:r w:rsidR="00F20A74">
        <w:t>)</w:t>
      </w:r>
      <w:bookmarkEnd w:id="180"/>
    </w:p>
    <w:p w14:paraId="579AE79B" w14:textId="505180A4" w:rsidR="00450F9A" w:rsidRPr="00450F9A" w:rsidRDefault="00450F9A" w:rsidP="00450F9A">
      <w:pPr>
        <w:rPr>
          <w:lang w:eastAsia="ja-JP"/>
        </w:rPr>
      </w:pPr>
      <w:r w:rsidRPr="00450F9A">
        <w:rPr>
          <w:lang w:eastAsia="ja-JP"/>
        </w:rPr>
        <w:t>The following integrated safety analyses are summarised from data presented in the Summa</w:t>
      </w:r>
      <w:r w:rsidR="00F20A74">
        <w:rPr>
          <w:lang w:eastAsia="ja-JP"/>
        </w:rPr>
        <w:t>ry of Clinical Safety Addendum</w:t>
      </w:r>
      <w:r w:rsidRPr="00450F9A">
        <w:rPr>
          <w:lang w:eastAsia="ja-JP"/>
        </w:rPr>
        <w:t>, dated 20 January 2015. The data presented in this Summary compares the cumulated safety inf</w:t>
      </w:r>
      <w:r w:rsidR="00F20A74">
        <w:rPr>
          <w:lang w:eastAsia="ja-JP"/>
        </w:rPr>
        <w:t xml:space="preserve">ormation for IDegAsp with a </w:t>
      </w:r>
      <w:r w:rsidR="009F4052">
        <w:rPr>
          <w:lang w:eastAsia="ja-JP"/>
        </w:rPr>
        <w:t>cut-off</w:t>
      </w:r>
      <w:r w:rsidR="00F20A74">
        <w:rPr>
          <w:lang w:eastAsia="ja-JP"/>
        </w:rPr>
        <w:t xml:space="preserve"> date of 30 September </w:t>
      </w:r>
      <w:r w:rsidRPr="00450F9A">
        <w:rPr>
          <w:lang w:eastAsia="ja-JP"/>
        </w:rPr>
        <w:t>2014, with that was submitted in the original FDA New Drug Application in the Integrated Safet</w:t>
      </w:r>
      <w:r w:rsidR="003278F2">
        <w:rPr>
          <w:lang w:eastAsia="ja-JP"/>
        </w:rPr>
        <w:t xml:space="preserve">y Summary (ISS) which has a </w:t>
      </w:r>
      <w:r w:rsidR="009F4052">
        <w:rPr>
          <w:lang w:eastAsia="ja-JP"/>
        </w:rPr>
        <w:t>cut-</w:t>
      </w:r>
      <w:r w:rsidR="009F4052" w:rsidRPr="00450F9A">
        <w:rPr>
          <w:lang w:eastAsia="ja-JP"/>
        </w:rPr>
        <w:t>off</w:t>
      </w:r>
      <w:r w:rsidRPr="00450F9A">
        <w:rPr>
          <w:lang w:eastAsia="ja-JP"/>
        </w:rPr>
        <w:t xml:space="preserve"> date of 31 J</w:t>
      </w:r>
      <w:r w:rsidR="003278F2">
        <w:rPr>
          <w:lang w:eastAsia="ja-JP"/>
        </w:rPr>
        <w:t>anuary 2011. Please see Section </w:t>
      </w:r>
      <w:r w:rsidRPr="00450F9A">
        <w:rPr>
          <w:lang w:eastAsia="ja-JP"/>
        </w:rPr>
        <w:t xml:space="preserve">7.3 for further information about the reference to the Integrated Safety Summary in </w:t>
      </w:r>
      <w:r w:rsidR="003278F2">
        <w:rPr>
          <w:lang w:eastAsia="ja-JP"/>
        </w:rPr>
        <w:t>this document.</w:t>
      </w:r>
    </w:p>
    <w:p w14:paraId="6CB405F7" w14:textId="42EDA1B2" w:rsidR="00450F9A" w:rsidRPr="00450F9A" w:rsidRDefault="00450F9A" w:rsidP="00450F9A">
      <w:pPr>
        <w:rPr>
          <w:lang w:eastAsia="ja-JP"/>
        </w:rPr>
      </w:pPr>
      <w:r w:rsidRPr="00450F9A">
        <w:rPr>
          <w:lang w:eastAsia="ja-JP"/>
        </w:rPr>
        <w:t xml:space="preserve">The safety evaluation of </w:t>
      </w:r>
      <w:r w:rsidR="003278F2">
        <w:rPr>
          <w:lang w:eastAsia="ja-JP"/>
        </w:rPr>
        <w:t>IDegAsp is mainly based on the Phase III</w:t>
      </w:r>
      <w:r w:rsidRPr="00450F9A">
        <w:rPr>
          <w:lang w:eastAsia="ja-JP"/>
        </w:rPr>
        <w:t xml:space="preserve"> trials, since these represent the major component of IDegAsp exposure. </w:t>
      </w:r>
      <w:r w:rsidR="00522675">
        <w:rPr>
          <w:lang w:eastAsia="ja-JP"/>
        </w:rPr>
        <w:t>2</w:t>
      </w:r>
      <w:r w:rsidRPr="00450F9A">
        <w:rPr>
          <w:lang w:eastAsia="ja-JP"/>
        </w:rPr>
        <w:t xml:space="preserve"> trials (</w:t>
      </w:r>
      <w:r w:rsidR="00522675">
        <w:rPr>
          <w:lang w:eastAsia="ja-JP"/>
        </w:rPr>
        <w:t xml:space="preserve">Studies </w:t>
      </w:r>
      <w:r w:rsidRPr="00450F9A">
        <w:rPr>
          <w:lang w:eastAsia="ja-JP"/>
        </w:rPr>
        <w:t>NN5401-3996 and NN5401-4003) comp</w:t>
      </w:r>
      <w:r w:rsidR="003278F2">
        <w:rPr>
          <w:lang w:eastAsia="ja-JP"/>
        </w:rPr>
        <w:t xml:space="preserve">ared IDegAsp with IDeg + IAsp; </w:t>
      </w:r>
      <w:r w:rsidRPr="00450F9A">
        <w:rPr>
          <w:lang w:eastAsia="ja-JP"/>
        </w:rPr>
        <w:t>both arms are included in the analysis for AEs as part of the IDegAsp arm but only IDegAsp is included in the IDegAsp group for hypoglyc</w:t>
      </w:r>
      <w:r w:rsidR="003278F2">
        <w:rPr>
          <w:lang w:eastAsia="ja-JP"/>
        </w:rPr>
        <w:t>aemic episodes. Comparators in Phase III</w:t>
      </w:r>
      <w:r w:rsidRPr="00450F9A">
        <w:rPr>
          <w:lang w:eastAsia="ja-JP"/>
        </w:rPr>
        <w:t xml:space="preserve"> trials included IDet daily/twice daily + IAsp, IGlar, BIAsp 30, IDeg + IAsp and IDegAsp + metformin stepwise titration. For T2DM trials, oral anti-diabetic drugs were also allowed (some allowing only metformin). It is assumed that the comparator arms of IDegAsp</w:t>
      </w:r>
      <w:r w:rsidR="00827B57">
        <w:rPr>
          <w:lang w:eastAsia="ja-JP"/>
        </w:rPr>
        <w:t xml:space="preserve"> </w:t>
      </w:r>
      <w:r w:rsidRPr="00450F9A">
        <w:rPr>
          <w:lang w:eastAsia="ja-JP"/>
        </w:rPr>
        <w:t>+</w:t>
      </w:r>
      <w:r w:rsidR="00827B57">
        <w:rPr>
          <w:lang w:eastAsia="ja-JP"/>
        </w:rPr>
        <w:t xml:space="preserve"> </w:t>
      </w:r>
      <w:r w:rsidRPr="00450F9A">
        <w:rPr>
          <w:lang w:eastAsia="ja-JP"/>
        </w:rPr>
        <w:t>metformin stepwise is not included in the comparator group for the purposes of the Integrated Safety Summary</w:t>
      </w:r>
      <w:r w:rsidRPr="00450F9A" w:rsidDel="002A7CE4">
        <w:rPr>
          <w:lang w:eastAsia="ja-JP"/>
        </w:rPr>
        <w:t xml:space="preserve"> </w:t>
      </w:r>
      <w:r w:rsidRPr="00450F9A">
        <w:rPr>
          <w:lang w:eastAsia="ja-JP"/>
        </w:rPr>
        <w:t>however this is not expressly stated in the Summary of Clinical Safety Addendum docum</w:t>
      </w:r>
      <w:r w:rsidR="003278F2">
        <w:rPr>
          <w:lang w:eastAsia="ja-JP"/>
        </w:rPr>
        <w:t>ent. It is also noted that all P</w:t>
      </w:r>
      <w:r w:rsidRPr="00450F9A">
        <w:rPr>
          <w:lang w:eastAsia="ja-JP"/>
        </w:rPr>
        <w:t xml:space="preserve">hase </w:t>
      </w:r>
      <w:r w:rsidR="003278F2">
        <w:rPr>
          <w:lang w:eastAsia="ja-JP"/>
        </w:rPr>
        <w:t xml:space="preserve">III trials were open </w:t>
      </w:r>
      <w:r w:rsidRPr="00450F9A">
        <w:rPr>
          <w:lang w:eastAsia="ja-JP"/>
        </w:rPr>
        <w:t>label</w:t>
      </w:r>
      <w:r w:rsidR="009F4052">
        <w:rPr>
          <w:lang w:eastAsia="ja-JP"/>
        </w:rPr>
        <w:t xml:space="preserve"> and</w:t>
      </w:r>
      <w:r w:rsidRPr="00450F9A">
        <w:rPr>
          <w:lang w:eastAsia="ja-JP"/>
        </w:rPr>
        <w:t xml:space="preserve"> therefore there is a risk of bias inherent in these trials.</w:t>
      </w:r>
    </w:p>
    <w:p w14:paraId="5155BAB5" w14:textId="0E24047A" w:rsidR="00450F9A" w:rsidRPr="00450F9A" w:rsidRDefault="00450F9A" w:rsidP="00450F9A">
      <w:pPr>
        <w:rPr>
          <w:lang w:eastAsia="ja-JP"/>
        </w:rPr>
      </w:pPr>
      <w:r w:rsidRPr="00450F9A">
        <w:rPr>
          <w:lang w:eastAsia="ja-JP"/>
        </w:rPr>
        <w:t xml:space="preserve">The trials have been pooled into the following </w:t>
      </w:r>
      <w:r w:rsidR="003278F2">
        <w:rPr>
          <w:lang w:eastAsia="ja-JP"/>
        </w:rPr>
        <w:t>sub</w:t>
      </w:r>
      <w:r w:rsidRPr="00450F9A">
        <w:rPr>
          <w:lang w:eastAsia="ja-JP"/>
        </w:rPr>
        <w:t xml:space="preserve">groups: subjects with </w:t>
      </w:r>
      <w:r w:rsidR="003278F2">
        <w:rPr>
          <w:lang w:eastAsia="ja-JP"/>
        </w:rPr>
        <w:t>T1DM, subjects with T2DM, T2DM</w:t>
      </w:r>
      <w:r w:rsidRPr="00450F9A">
        <w:rPr>
          <w:lang w:eastAsia="ja-JP"/>
        </w:rPr>
        <w:t xml:space="preserve"> insulin treated </w:t>
      </w:r>
      <w:r w:rsidR="003278F2">
        <w:rPr>
          <w:lang w:eastAsia="ja-JP"/>
        </w:rPr>
        <w:t xml:space="preserve">(twice daily dosing) and T2DM </w:t>
      </w:r>
      <w:r w:rsidRPr="00450F9A">
        <w:rPr>
          <w:lang w:eastAsia="ja-JP"/>
        </w:rPr>
        <w:t>insulin naïve (once daily dosing) for the analysis of SAE and hypoglycaemic data. SAE and AE data has also been pooled for all subjects and subjects with T2DM.</w:t>
      </w:r>
    </w:p>
    <w:p w14:paraId="60E893D5" w14:textId="16825800" w:rsidR="00450F9A" w:rsidRPr="00450F9A" w:rsidRDefault="00450F9A" w:rsidP="00450F9A">
      <w:pPr>
        <w:rPr>
          <w:lang w:eastAsia="ja-JP"/>
        </w:rPr>
      </w:pPr>
      <w:r w:rsidRPr="00450F9A">
        <w:rPr>
          <w:lang w:eastAsia="ja-JP"/>
        </w:rPr>
        <w:t xml:space="preserve">No new information is available for </w:t>
      </w:r>
      <w:r w:rsidR="003278F2">
        <w:rPr>
          <w:lang w:eastAsia="ja-JP"/>
        </w:rPr>
        <w:t>P</w:t>
      </w:r>
      <w:r w:rsidRPr="00450F9A">
        <w:rPr>
          <w:lang w:eastAsia="ja-JP"/>
        </w:rPr>
        <w:t xml:space="preserve">hase </w:t>
      </w:r>
      <w:r w:rsidR="003278F2">
        <w:rPr>
          <w:lang w:eastAsia="ja-JP"/>
        </w:rPr>
        <w:t>II</w:t>
      </w:r>
      <w:r w:rsidRPr="00450F9A">
        <w:rPr>
          <w:lang w:eastAsia="ja-JP"/>
        </w:rPr>
        <w:t xml:space="preserve"> trials with IDegAsp (none were conducted); </w:t>
      </w:r>
      <w:r w:rsidR="003278F2">
        <w:rPr>
          <w:lang w:eastAsia="ja-JP"/>
        </w:rPr>
        <w:t>Phase II</w:t>
      </w:r>
      <w:r w:rsidRPr="00450F9A">
        <w:rPr>
          <w:lang w:eastAsia="ja-JP"/>
        </w:rPr>
        <w:t xml:space="preserve"> trial data is pooled with </w:t>
      </w:r>
      <w:r w:rsidR="003278F2">
        <w:rPr>
          <w:lang w:eastAsia="ja-JP"/>
        </w:rPr>
        <w:t>Phase III</w:t>
      </w:r>
      <w:r w:rsidRPr="00450F9A">
        <w:rPr>
          <w:lang w:eastAsia="ja-JP"/>
        </w:rPr>
        <w:t xml:space="preserve"> for rare events.</w:t>
      </w:r>
    </w:p>
    <w:p w14:paraId="557C49AA" w14:textId="5F3E2FBB" w:rsidR="00450F9A" w:rsidRPr="00450F9A" w:rsidRDefault="00450F9A" w:rsidP="00450F9A">
      <w:pPr>
        <w:rPr>
          <w:lang w:eastAsia="ja-JP"/>
        </w:rPr>
      </w:pPr>
      <w:r w:rsidRPr="00450F9A">
        <w:rPr>
          <w:lang w:eastAsia="ja-JP"/>
        </w:rPr>
        <w:t xml:space="preserve">In terms of clinical pharmacology trials, although not specifically described in the Summary of Clinical Safety Addendum, data was available for AEs, SAES, rare events and deaths and presented as pooled data for IDeg and IDegAsp. </w:t>
      </w:r>
      <w:r w:rsidR="0082696D">
        <w:rPr>
          <w:lang w:eastAsia="ja-JP"/>
        </w:rPr>
        <w:t>7</w:t>
      </w:r>
      <w:r w:rsidRPr="00450F9A">
        <w:rPr>
          <w:lang w:eastAsia="ja-JP"/>
        </w:rPr>
        <w:t xml:space="preserve"> clinical pharmacology studies have been completed since the 31 January 2011 for both IDeg and IDegAsp, including </w:t>
      </w:r>
      <w:r w:rsidR="00D44164">
        <w:rPr>
          <w:lang w:eastAsia="ja-JP"/>
        </w:rPr>
        <w:t>2</w:t>
      </w:r>
      <w:r w:rsidRPr="00450F9A">
        <w:rPr>
          <w:lang w:eastAsia="ja-JP"/>
        </w:rPr>
        <w:t xml:space="preserve"> conducted with exploratory formulations of IDegAsp, 2 in healthy subjects and 1 terminated early due to poor recruitment, resulting in an additional 167 subjects were included in the IDeg + IDegAsp group and 123 in the comparator group. The exposure in each of these trials was generally relatively short. Updated data specific to clinical pharmacology therapeutic trials are not summarised in t</w:t>
      </w:r>
      <w:r w:rsidR="007F0E50">
        <w:rPr>
          <w:lang w:eastAsia="ja-JP"/>
        </w:rPr>
        <w:t>his clinical evaluation report.</w:t>
      </w:r>
    </w:p>
    <w:p w14:paraId="1C22DF31" w14:textId="77777777" w:rsidR="00450F9A" w:rsidRPr="00450F9A" w:rsidRDefault="00450F9A" w:rsidP="00450F9A">
      <w:pPr>
        <w:rPr>
          <w:lang w:eastAsia="ja-JP"/>
        </w:rPr>
      </w:pPr>
      <w:r w:rsidRPr="00450F9A">
        <w:rPr>
          <w:lang w:eastAsia="ja-JP"/>
        </w:rPr>
        <w:t>The only ongoing trial is a paediatric trial and data for SAEs, SAEs leading to withdrawal and pregnancies from this trial was presented in a blinded manner.</w:t>
      </w:r>
    </w:p>
    <w:p w14:paraId="2674F862" w14:textId="0C7CDB62" w:rsidR="00450F9A" w:rsidRPr="00450F9A" w:rsidRDefault="00450F9A" w:rsidP="00450F9A">
      <w:pPr>
        <w:rPr>
          <w:lang w:eastAsia="ja-JP"/>
        </w:rPr>
      </w:pPr>
      <w:r w:rsidRPr="00450F9A">
        <w:rPr>
          <w:lang w:eastAsia="ja-JP"/>
        </w:rPr>
        <w:t xml:space="preserve">IDegAsp data has been pooled with IDeg data for all subjects from </w:t>
      </w:r>
      <w:r w:rsidR="005874E2">
        <w:rPr>
          <w:lang w:eastAsia="ja-JP"/>
        </w:rPr>
        <w:t>Phase III</w:t>
      </w:r>
      <w:r w:rsidRPr="00450F9A">
        <w:rPr>
          <w:lang w:eastAsia="ja-JP"/>
        </w:rPr>
        <w:t xml:space="preserve"> trials from either IDeg or IDegAsp for analysis of deaths, cardiovascular events, immunological events, neoplasms and rare events. I</w:t>
      </w:r>
      <w:r w:rsidR="007F0E50">
        <w:rPr>
          <w:lang w:eastAsia="ja-JP"/>
        </w:rPr>
        <w:t>t should be noted that Study EX1250-</w:t>
      </w:r>
      <w:r w:rsidRPr="00450F9A">
        <w:rPr>
          <w:lang w:eastAsia="ja-JP"/>
        </w:rPr>
        <w:t>4080, the dedicated cardiovascular outcomes study, was ongoing as of 30 September 2014 and therefore not included in the integrated safety data for completed trials.</w:t>
      </w:r>
    </w:p>
    <w:p w14:paraId="7069906E" w14:textId="4FD9571B" w:rsidR="00450F9A" w:rsidRPr="00450F9A" w:rsidRDefault="00D44164" w:rsidP="00450F9A">
      <w:pPr>
        <w:rPr>
          <w:lang w:eastAsia="ja-JP"/>
        </w:rPr>
      </w:pPr>
      <w:r>
        <w:rPr>
          <w:lang w:eastAsia="ja-JP"/>
        </w:rPr>
        <w:lastRenderedPageBreak/>
        <w:t>2</w:t>
      </w:r>
      <w:r w:rsidR="00450F9A" w:rsidRPr="00450F9A">
        <w:rPr>
          <w:lang w:eastAsia="ja-JP"/>
        </w:rPr>
        <w:t xml:space="preserve"> analysis sets were described in the Summary of Clinical Safety Addendum:</w:t>
      </w:r>
    </w:p>
    <w:p w14:paraId="1CD6C695" w14:textId="4A2A4381" w:rsidR="00450F9A" w:rsidRPr="00450F9A" w:rsidRDefault="00450F9A" w:rsidP="00C015B8">
      <w:pPr>
        <w:pStyle w:val="ListBullet"/>
        <w:rPr>
          <w:lang w:eastAsia="ja-JP"/>
        </w:rPr>
      </w:pPr>
      <w:r w:rsidRPr="00450F9A">
        <w:rPr>
          <w:lang w:eastAsia="ja-JP"/>
        </w:rPr>
        <w:t>Safety analysis set: includes all subjects who received at least</w:t>
      </w:r>
      <w:r w:rsidR="00D44164">
        <w:rPr>
          <w:lang w:eastAsia="ja-JP"/>
        </w:rPr>
        <w:t xml:space="preserve"> 1</w:t>
      </w:r>
      <w:r w:rsidRPr="00450F9A">
        <w:rPr>
          <w:lang w:eastAsia="ja-JP"/>
        </w:rPr>
        <w:t xml:space="preserve"> dose of the investigational drug or its comparator and they are evaluated ‘as treated’. Descriptive safety data is based on the safety analysis set</w:t>
      </w:r>
      <w:r w:rsidR="00C015B8">
        <w:rPr>
          <w:lang w:eastAsia="ja-JP"/>
        </w:rPr>
        <w:t>.</w:t>
      </w:r>
    </w:p>
    <w:p w14:paraId="768D12AC" w14:textId="488A40B8" w:rsidR="00450F9A" w:rsidRPr="00450F9A" w:rsidRDefault="00450F9A" w:rsidP="00C015B8">
      <w:pPr>
        <w:pStyle w:val="ListBullet"/>
        <w:rPr>
          <w:lang w:eastAsia="ja-JP"/>
        </w:rPr>
      </w:pPr>
      <w:r w:rsidRPr="00450F9A">
        <w:rPr>
          <w:lang w:eastAsia="ja-JP"/>
        </w:rPr>
        <w:t>Full analysis set: includes all randomised subjects and are evaluated as randomised. In exceptional cases, subjects could be excluded however it had to be justified and document</w:t>
      </w:r>
      <w:r w:rsidR="007F0E50">
        <w:rPr>
          <w:lang w:eastAsia="ja-JP"/>
        </w:rPr>
        <w:t>ed in individual study reports.</w:t>
      </w:r>
    </w:p>
    <w:p w14:paraId="1D125ACE" w14:textId="1C2C663B" w:rsidR="00450F9A" w:rsidRPr="00450F9A" w:rsidRDefault="00450F9A" w:rsidP="00450F9A">
      <w:pPr>
        <w:rPr>
          <w:lang w:eastAsia="ja-JP"/>
        </w:rPr>
      </w:pPr>
      <w:r w:rsidRPr="00450F9A">
        <w:rPr>
          <w:lang w:eastAsia="ja-JP"/>
        </w:rPr>
        <w:t xml:space="preserve">It is also noted that the version of MedDRA used in the Clinical Safety Summary Addendum IDegAsp </w:t>
      </w:r>
      <w:r w:rsidR="009F4052" w:rsidRPr="00450F9A">
        <w:rPr>
          <w:lang w:eastAsia="ja-JP"/>
        </w:rPr>
        <w:t>cut</w:t>
      </w:r>
      <w:r w:rsidR="009F4052">
        <w:rPr>
          <w:lang w:eastAsia="ja-JP"/>
        </w:rPr>
        <w:t>-</w:t>
      </w:r>
      <w:r w:rsidR="009F4052" w:rsidRPr="00450F9A">
        <w:rPr>
          <w:lang w:eastAsia="ja-JP"/>
        </w:rPr>
        <w:t>off</w:t>
      </w:r>
      <w:r w:rsidRPr="00450F9A">
        <w:rPr>
          <w:lang w:eastAsia="ja-JP"/>
        </w:rPr>
        <w:t xml:space="preserve"> date of 30 September 2014 is 17.0, whereas the version used in the ISS was 13.1 and the versions used in the Australian dossier were 13.0 and 13.1. Some preferred terms have changed from</w:t>
      </w:r>
      <w:r w:rsidR="00D44164">
        <w:rPr>
          <w:lang w:eastAsia="ja-JP"/>
        </w:rPr>
        <w:t xml:space="preserve"> 1</w:t>
      </w:r>
      <w:r w:rsidRPr="00450F9A">
        <w:rPr>
          <w:lang w:eastAsia="ja-JP"/>
        </w:rPr>
        <w:t xml:space="preserve"> system organ class to another between versions, including some</w:t>
      </w:r>
      <w:r w:rsidR="00C015B8">
        <w:rPr>
          <w:lang w:eastAsia="ja-JP"/>
        </w:rPr>
        <w:t xml:space="preserve"> which relate to hypoglycaemia.</w:t>
      </w:r>
    </w:p>
    <w:p w14:paraId="793F6E0A" w14:textId="7FB0061A" w:rsidR="00450F9A" w:rsidRPr="00450F9A" w:rsidRDefault="00450F9A" w:rsidP="00450F9A">
      <w:pPr>
        <w:rPr>
          <w:lang w:eastAsia="ja-JP"/>
        </w:rPr>
      </w:pPr>
      <w:r w:rsidRPr="00450F9A">
        <w:rPr>
          <w:lang w:eastAsia="ja-JP"/>
        </w:rPr>
        <w:t>Finally, adverse events that occurred in individual studies have not been summa</w:t>
      </w:r>
      <w:r w:rsidR="00C015B8">
        <w:rPr>
          <w:lang w:eastAsia="ja-JP"/>
        </w:rPr>
        <w:t>rised in this CER unless noted.</w:t>
      </w:r>
    </w:p>
    <w:p w14:paraId="116D6E32" w14:textId="77777777" w:rsidR="00450F9A" w:rsidRPr="00450F9A" w:rsidRDefault="00450F9A" w:rsidP="00C015B8">
      <w:pPr>
        <w:pStyle w:val="Heading4"/>
      </w:pPr>
      <w:bookmarkStart w:id="181" w:name="_Ref272317284"/>
      <w:bookmarkStart w:id="182" w:name="_Ref272333565"/>
      <w:bookmarkStart w:id="183" w:name="_Toc272414664"/>
      <w:bookmarkStart w:id="184" w:name="_Toc290888528"/>
      <w:bookmarkStart w:id="185" w:name="_Toc416353744"/>
      <w:bookmarkStart w:id="186" w:name="_Toc421005287"/>
      <w:bookmarkStart w:id="187" w:name="_Toc432079164"/>
      <w:bookmarkStart w:id="188" w:name="_Toc432080737"/>
      <w:r w:rsidRPr="00450F9A">
        <w:t>All adverse events (irrespective of relationship to study treatment)</w:t>
      </w:r>
      <w:bookmarkEnd w:id="181"/>
      <w:bookmarkEnd w:id="182"/>
      <w:bookmarkEnd w:id="183"/>
      <w:bookmarkEnd w:id="184"/>
      <w:bookmarkEnd w:id="185"/>
      <w:bookmarkEnd w:id="186"/>
      <w:bookmarkEnd w:id="187"/>
      <w:bookmarkEnd w:id="188"/>
    </w:p>
    <w:p w14:paraId="2E2931AE" w14:textId="6842BAC4" w:rsidR="00450F9A" w:rsidRPr="00450F9A" w:rsidRDefault="00450F9A" w:rsidP="00C015B8">
      <w:pPr>
        <w:pStyle w:val="Heading5"/>
        <w:rPr>
          <w:lang w:eastAsia="ja-JP"/>
        </w:rPr>
      </w:pPr>
      <w:r w:rsidRPr="00450F9A">
        <w:rPr>
          <w:lang w:eastAsia="ja-JP"/>
        </w:rPr>
        <w:t>Integrated safety analyses (</w:t>
      </w:r>
      <w:r w:rsidR="009F4052" w:rsidRPr="00450F9A">
        <w:rPr>
          <w:lang w:eastAsia="ja-JP"/>
        </w:rPr>
        <w:t>cut</w:t>
      </w:r>
      <w:r w:rsidR="009F4052">
        <w:rPr>
          <w:lang w:eastAsia="ja-JP"/>
        </w:rPr>
        <w:t>-</w:t>
      </w:r>
      <w:r w:rsidR="009F4052" w:rsidRPr="00450F9A">
        <w:rPr>
          <w:lang w:eastAsia="ja-JP"/>
        </w:rPr>
        <w:t>off</w:t>
      </w:r>
      <w:r w:rsidRPr="00450F9A">
        <w:rPr>
          <w:lang w:eastAsia="ja-JP"/>
        </w:rPr>
        <w:t xml:space="preserve"> date of 30 Sept 2014) </w:t>
      </w:r>
    </w:p>
    <w:p w14:paraId="76A02DFC" w14:textId="2DE2E68E" w:rsidR="00450F9A" w:rsidRPr="00450F9A" w:rsidRDefault="00C015B8" w:rsidP="00450F9A">
      <w:pPr>
        <w:rPr>
          <w:lang w:eastAsia="ja-JP"/>
        </w:rPr>
      </w:pPr>
      <w:r>
        <w:rPr>
          <w:lang w:eastAsia="ja-JP"/>
        </w:rPr>
        <w:t>Table 10 (below)</w:t>
      </w:r>
      <w:r w:rsidR="00450F9A" w:rsidRPr="00450F9A">
        <w:rPr>
          <w:lang w:eastAsia="ja-JP"/>
        </w:rPr>
        <w:t xml:space="preserve"> is a summary of all adverse events that have occurred in completed </w:t>
      </w:r>
      <w:r>
        <w:rPr>
          <w:lang w:eastAsia="ja-JP"/>
        </w:rPr>
        <w:t>P</w:t>
      </w:r>
      <w:r w:rsidR="00450F9A" w:rsidRPr="00450F9A">
        <w:rPr>
          <w:lang w:eastAsia="ja-JP"/>
        </w:rPr>
        <w:t xml:space="preserve">hase </w:t>
      </w:r>
      <w:r>
        <w:rPr>
          <w:lang w:eastAsia="ja-JP"/>
        </w:rPr>
        <w:t>III</w:t>
      </w:r>
      <w:r w:rsidR="00450F9A" w:rsidRPr="00450F9A">
        <w:rPr>
          <w:lang w:eastAsia="ja-JP"/>
        </w:rPr>
        <w:t xml:space="preserve"> IDegAsp trials (from Summary of Clinical Safety Addendum IDegAsp, with </w:t>
      </w:r>
      <w:r w:rsidR="009F4052" w:rsidRPr="00450F9A">
        <w:rPr>
          <w:lang w:eastAsia="ja-JP"/>
        </w:rPr>
        <w:t>cut</w:t>
      </w:r>
      <w:r w:rsidR="009F4052">
        <w:rPr>
          <w:lang w:eastAsia="ja-JP"/>
        </w:rPr>
        <w:t>-off</w:t>
      </w:r>
      <w:r>
        <w:rPr>
          <w:lang w:eastAsia="ja-JP"/>
        </w:rPr>
        <w:t xml:space="preserve"> date of 30 </w:t>
      </w:r>
      <w:r w:rsidR="00450F9A" w:rsidRPr="00450F9A">
        <w:rPr>
          <w:lang w:eastAsia="ja-JP"/>
        </w:rPr>
        <w:t>Sept</w:t>
      </w:r>
      <w:r>
        <w:rPr>
          <w:lang w:eastAsia="ja-JP"/>
        </w:rPr>
        <w:t>ember 2014).</w:t>
      </w:r>
    </w:p>
    <w:p w14:paraId="7A111D0C" w14:textId="4B0AA324" w:rsidR="00450F9A" w:rsidRPr="00450F9A" w:rsidRDefault="00450F9A" w:rsidP="00C015B8">
      <w:pPr>
        <w:pStyle w:val="Tabletitle"/>
        <w:rPr>
          <w:lang w:eastAsia="ja-JP"/>
        </w:rPr>
      </w:pPr>
      <w:bookmarkStart w:id="189" w:name="_Toc487195078"/>
      <w:r w:rsidRPr="00450F9A">
        <w:rPr>
          <w:lang w:eastAsia="ja-JP"/>
        </w:rPr>
        <w:t xml:space="preserve">Table </w:t>
      </w:r>
      <w:r w:rsidR="00C015B8">
        <w:rPr>
          <w:lang w:eastAsia="ja-JP"/>
        </w:rPr>
        <w:t>10</w:t>
      </w:r>
      <w:r w:rsidR="00D548E5">
        <w:rPr>
          <w:lang w:eastAsia="ja-JP"/>
        </w:rPr>
        <w:t>:</w:t>
      </w:r>
      <w:r w:rsidR="00C015B8">
        <w:rPr>
          <w:lang w:eastAsia="ja-JP"/>
        </w:rPr>
        <w:t xml:space="preserve"> Adverse events</w:t>
      </w:r>
      <w:r w:rsidRPr="00450F9A">
        <w:rPr>
          <w:lang w:eastAsia="ja-JP"/>
        </w:rPr>
        <w:t xml:space="preserve"> </w:t>
      </w:r>
      <w:r w:rsidR="00C015B8">
        <w:rPr>
          <w:lang w:eastAsia="ja-JP"/>
        </w:rPr>
        <w:t>(</w:t>
      </w:r>
      <w:r w:rsidR="00D548E5">
        <w:rPr>
          <w:lang w:eastAsia="ja-JP"/>
        </w:rPr>
        <w:t>c</w:t>
      </w:r>
      <w:r w:rsidR="00D548E5" w:rsidRPr="00450F9A">
        <w:rPr>
          <w:lang w:eastAsia="ja-JP"/>
        </w:rPr>
        <w:t xml:space="preserve">ompleted </w:t>
      </w:r>
      <w:r w:rsidR="00C015B8">
        <w:rPr>
          <w:lang w:eastAsia="ja-JP"/>
        </w:rPr>
        <w:t>P</w:t>
      </w:r>
      <w:r w:rsidRPr="00450F9A">
        <w:rPr>
          <w:lang w:eastAsia="ja-JP"/>
        </w:rPr>
        <w:t xml:space="preserve">hase </w:t>
      </w:r>
      <w:r w:rsidR="00C015B8">
        <w:rPr>
          <w:lang w:eastAsia="ja-JP"/>
        </w:rPr>
        <w:t>III</w:t>
      </w:r>
      <w:r w:rsidRPr="00450F9A">
        <w:rPr>
          <w:lang w:eastAsia="ja-JP"/>
        </w:rPr>
        <w:t xml:space="preserve"> IDegAsp trials</w:t>
      </w:r>
      <w:bookmarkEnd w:id="189"/>
      <w:r w:rsidR="00C015B8">
        <w:rPr>
          <w:lang w:eastAsia="ja-JP"/>
        </w:rPr>
        <w:t>)</w:t>
      </w:r>
    </w:p>
    <w:p w14:paraId="7D9442FA" w14:textId="77777777" w:rsidR="00450F9A" w:rsidRPr="00450F9A" w:rsidRDefault="00450F9A" w:rsidP="00450F9A">
      <w:pPr>
        <w:rPr>
          <w:lang w:eastAsia="ja-JP"/>
        </w:rPr>
      </w:pPr>
      <w:r w:rsidRPr="00450F9A">
        <w:rPr>
          <w:noProof/>
          <w:lang w:eastAsia="en-AU"/>
        </w:rPr>
        <w:drawing>
          <wp:inline distT="0" distB="0" distL="0" distR="0" wp14:anchorId="738ED780" wp14:editId="2653D837">
            <wp:extent cx="5725551" cy="2974308"/>
            <wp:effectExtent l="0" t="0" r="0" b="0"/>
            <wp:docPr id="7" name="Picture 7" descr="Adverse events (Completed Phase III IDegAsp trials)" title="Adverse events (Completed Phase III IDegAsp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t="1979" b="5037"/>
                    <a:stretch/>
                  </pic:blipFill>
                  <pic:spPr bwMode="auto">
                    <a:xfrm>
                      <a:off x="0" y="0"/>
                      <a:ext cx="5731510" cy="2977404"/>
                    </a:xfrm>
                    <a:prstGeom prst="rect">
                      <a:avLst/>
                    </a:prstGeom>
                    <a:noFill/>
                    <a:ln>
                      <a:noFill/>
                    </a:ln>
                    <a:extLst>
                      <a:ext uri="{53640926-AAD7-44D8-BBD7-CCE9431645EC}">
                        <a14:shadowObscured xmlns:a14="http://schemas.microsoft.com/office/drawing/2010/main"/>
                      </a:ext>
                    </a:extLst>
                  </pic:spPr>
                </pic:pic>
              </a:graphicData>
            </a:graphic>
          </wp:inline>
        </w:drawing>
      </w:r>
    </w:p>
    <w:p w14:paraId="3BDA6722" w14:textId="347958A4" w:rsidR="00450F9A" w:rsidRPr="00450F9A" w:rsidRDefault="00450F9A" w:rsidP="00450F9A">
      <w:pPr>
        <w:rPr>
          <w:lang w:eastAsia="ja-JP"/>
        </w:rPr>
      </w:pPr>
      <w:bookmarkStart w:id="190" w:name="_Ref272333567"/>
      <w:bookmarkStart w:id="191" w:name="_Toc272414665"/>
      <w:bookmarkStart w:id="192" w:name="_Toc290888529"/>
      <w:bookmarkStart w:id="193" w:name="_Toc416353745"/>
      <w:bookmarkStart w:id="194" w:name="_Toc421005288"/>
      <w:bookmarkStart w:id="195" w:name="_Toc432079165"/>
      <w:bookmarkStart w:id="196" w:name="_Toc432080738"/>
      <w:r w:rsidRPr="00450F9A">
        <w:rPr>
          <w:lang w:eastAsia="ja-JP"/>
        </w:rPr>
        <w:t xml:space="preserve">The rate of all adverse events is slightly higher on the IDegAsp arm (369.3 per 100 subject years of exposure compared to 336.0 on comparator); the rate of serious adverse events is relatively similar (17.6 per 100 subjects years of exposure compared to 15.9). The rate of </w:t>
      </w:r>
      <w:r w:rsidRPr="00C015B8">
        <w:rPr>
          <w:lang w:eastAsia="ja-JP"/>
        </w:rPr>
        <w:t xml:space="preserve">related </w:t>
      </w:r>
      <w:r w:rsidRPr="00450F9A">
        <w:rPr>
          <w:lang w:eastAsia="ja-JP"/>
        </w:rPr>
        <w:t xml:space="preserve">adverse events is 31.8 per 100 subject years of exposure on the IDegAsp compared to 35.4 per 100 subject years of exposure on the comparator arm. A similar </w:t>
      </w:r>
      <w:r w:rsidR="000A7910">
        <w:rPr>
          <w:lang w:eastAsia="ja-JP"/>
        </w:rPr>
        <w:t>pattern is seen in the ISS (</w:t>
      </w:r>
      <w:r w:rsidR="009F4052">
        <w:rPr>
          <w:lang w:eastAsia="ja-JP"/>
        </w:rPr>
        <w:t>cut-</w:t>
      </w:r>
      <w:r w:rsidR="009F4052" w:rsidRPr="00450F9A">
        <w:rPr>
          <w:lang w:eastAsia="ja-JP"/>
        </w:rPr>
        <w:t>off</w:t>
      </w:r>
      <w:r w:rsidRPr="00450F9A">
        <w:rPr>
          <w:lang w:eastAsia="ja-JP"/>
        </w:rPr>
        <w:t xml:space="preserve"> date 31 January 2011; data not shown). It is noted that the rates of mild and moderate adverse events were relatively similar across both the IDegAsp and c</w:t>
      </w:r>
      <w:r w:rsidR="00C015B8">
        <w:rPr>
          <w:lang w:eastAsia="ja-JP"/>
        </w:rPr>
        <w:t>omparator groups in the ISS (31 </w:t>
      </w:r>
      <w:r w:rsidRPr="00450F9A">
        <w:rPr>
          <w:lang w:eastAsia="ja-JP"/>
        </w:rPr>
        <w:t>January 2011), however in the updated data (30 September 2014), mild and moderate events were more common in the IDegAsp gr</w:t>
      </w:r>
      <w:r w:rsidR="00C015B8">
        <w:rPr>
          <w:lang w:eastAsia="ja-JP"/>
        </w:rPr>
        <w:t>oup compared to the comparator.</w:t>
      </w:r>
    </w:p>
    <w:p w14:paraId="44B355FF" w14:textId="77777777" w:rsidR="00450F9A" w:rsidRPr="00450F9A" w:rsidRDefault="00450F9A" w:rsidP="00C015B8">
      <w:pPr>
        <w:pStyle w:val="Heading6"/>
        <w:rPr>
          <w:lang w:eastAsia="ja-JP"/>
        </w:rPr>
      </w:pPr>
      <w:r w:rsidRPr="00450F9A">
        <w:rPr>
          <w:lang w:eastAsia="ja-JP"/>
        </w:rPr>
        <w:lastRenderedPageBreak/>
        <w:t>T1DM</w:t>
      </w:r>
    </w:p>
    <w:p w14:paraId="2EF6FEE4" w14:textId="571BD97F" w:rsidR="00450F9A" w:rsidRPr="00450F9A" w:rsidRDefault="00450F9A" w:rsidP="00450F9A">
      <w:pPr>
        <w:rPr>
          <w:lang w:eastAsia="ja-JP"/>
        </w:rPr>
      </w:pPr>
      <w:r w:rsidRPr="00450F9A">
        <w:rPr>
          <w:lang w:eastAsia="ja-JP"/>
        </w:rPr>
        <w:t xml:space="preserve">No updated data for </w:t>
      </w:r>
      <w:r w:rsidR="00C015B8">
        <w:rPr>
          <w:lang w:eastAsia="ja-JP"/>
        </w:rPr>
        <w:t>P</w:t>
      </w:r>
      <w:r w:rsidRPr="00450F9A">
        <w:rPr>
          <w:lang w:eastAsia="ja-JP"/>
        </w:rPr>
        <w:t xml:space="preserve">hase </w:t>
      </w:r>
      <w:r w:rsidR="00C015B8">
        <w:rPr>
          <w:lang w:eastAsia="ja-JP"/>
        </w:rPr>
        <w:t>III</w:t>
      </w:r>
      <w:r w:rsidRPr="00450F9A">
        <w:rPr>
          <w:lang w:eastAsia="ja-JP"/>
        </w:rPr>
        <w:t xml:space="preserve"> trials was provided for the T1DM population in the Summary of Clinical Safety Addendum IDegAsp (cut</w:t>
      </w:r>
      <w:r w:rsidR="00C015B8">
        <w:rPr>
          <w:lang w:eastAsia="ja-JP"/>
        </w:rPr>
        <w:t>-off date of 30 September 2014).</w:t>
      </w:r>
    </w:p>
    <w:p w14:paraId="549D2FD8" w14:textId="77777777" w:rsidR="00450F9A" w:rsidRPr="00450F9A" w:rsidRDefault="00450F9A" w:rsidP="00C015B8">
      <w:pPr>
        <w:pStyle w:val="Heading6"/>
        <w:rPr>
          <w:lang w:eastAsia="ja-JP"/>
        </w:rPr>
      </w:pPr>
      <w:r w:rsidRPr="00450F9A">
        <w:rPr>
          <w:lang w:eastAsia="ja-JP"/>
        </w:rPr>
        <w:t>T2DM</w:t>
      </w:r>
    </w:p>
    <w:p w14:paraId="3B915747" w14:textId="431BF7ED" w:rsidR="00450F9A" w:rsidRPr="00450F9A" w:rsidRDefault="00450F9A" w:rsidP="00450F9A">
      <w:pPr>
        <w:rPr>
          <w:lang w:eastAsia="ja-JP"/>
        </w:rPr>
      </w:pPr>
      <w:r w:rsidRPr="00450F9A">
        <w:rPr>
          <w:lang w:eastAsia="ja-JP"/>
        </w:rPr>
        <w:t>The parameters of all adverse events, as well as mild and moderate adverse events are more common in the IDegAsp group compared to the comparator group</w:t>
      </w:r>
      <w:r w:rsidR="000A7910">
        <w:rPr>
          <w:lang w:eastAsia="ja-JP"/>
        </w:rPr>
        <w:t>.</w:t>
      </w:r>
    </w:p>
    <w:p w14:paraId="51CE2059" w14:textId="6B88FE34" w:rsidR="00450F9A" w:rsidRPr="00450F9A" w:rsidRDefault="00450F9A" w:rsidP="00AB05F0">
      <w:pPr>
        <w:pStyle w:val="Heading6"/>
        <w:rPr>
          <w:lang w:eastAsia="ja-JP"/>
        </w:rPr>
      </w:pPr>
      <w:r w:rsidRPr="00450F9A">
        <w:rPr>
          <w:lang w:eastAsia="ja-JP"/>
        </w:rPr>
        <w:t>Most fre</w:t>
      </w:r>
      <w:r w:rsidR="00AB05F0">
        <w:rPr>
          <w:lang w:eastAsia="ja-JP"/>
        </w:rPr>
        <w:t>quently reported adverse events</w:t>
      </w:r>
    </w:p>
    <w:p w14:paraId="220818CF" w14:textId="018CFCB7" w:rsidR="00450F9A" w:rsidRPr="00450F9A" w:rsidRDefault="00450F9A" w:rsidP="00450F9A">
      <w:pPr>
        <w:rPr>
          <w:lang w:eastAsia="ja-JP"/>
        </w:rPr>
      </w:pPr>
      <w:r w:rsidRPr="00450F9A">
        <w:rPr>
          <w:lang w:eastAsia="ja-JP"/>
        </w:rPr>
        <w:t>The most frequently reported events in the IDegAsp group were nasopharyngitis, upper respiratory tract infections and headache. Headache occurs at a higher rate in the IDegAsp group compared to the comparator (17.0 events per 100 subject years of exposure compared to 13.2).</w:t>
      </w:r>
    </w:p>
    <w:p w14:paraId="2BAC8BA7" w14:textId="77777777" w:rsidR="00450F9A" w:rsidRPr="00450F9A" w:rsidRDefault="00450F9A" w:rsidP="00BA232A">
      <w:pPr>
        <w:pStyle w:val="Heading4"/>
      </w:pPr>
      <w:r w:rsidRPr="00450F9A">
        <w:t>Treatment related adverse events (adverse drug reactions)</w:t>
      </w:r>
      <w:bookmarkEnd w:id="190"/>
      <w:bookmarkEnd w:id="191"/>
      <w:bookmarkEnd w:id="192"/>
      <w:bookmarkEnd w:id="193"/>
      <w:bookmarkEnd w:id="194"/>
      <w:bookmarkEnd w:id="195"/>
      <w:bookmarkEnd w:id="196"/>
    </w:p>
    <w:p w14:paraId="15763FF7" w14:textId="00857637" w:rsidR="00450F9A" w:rsidRPr="00450F9A" w:rsidRDefault="00450F9A" w:rsidP="00BA232A">
      <w:pPr>
        <w:pStyle w:val="Heading5"/>
        <w:rPr>
          <w:lang w:eastAsia="ja-JP"/>
        </w:rPr>
      </w:pPr>
      <w:r w:rsidRPr="00450F9A">
        <w:rPr>
          <w:lang w:eastAsia="ja-JP"/>
        </w:rPr>
        <w:t>Integrated safety analyses (</w:t>
      </w:r>
      <w:r w:rsidR="009F4052" w:rsidRPr="00450F9A">
        <w:rPr>
          <w:lang w:eastAsia="ja-JP"/>
        </w:rPr>
        <w:t>cut</w:t>
      </w:r>
      <w:r w:rsidR="009F4052">
        <w:rPr>
          <w:lang w:eastAsia="ja-JP"/>
        </w:rPr>
        <w:t>-off</w:t>
      </w:r>
      <w:r w:rsidR="00BA232A">
        <w:rPr>
          <w:lang w:eastAsia="ja-JP"/>
        </w:rPr>
        <w:t xml:space="preserve"> date of 30 September 2014)</w:t>
      </w:r>
    </w:p>
    <w:p w14:paraId="7480A657" w14:textId="4787A07B" w:rsidR="00450F9A" w:rsidRPr="00450F9A" w:rsidRDefault="00450F9A" w:rsidP="00450F9A">
      <w:pPr>
        <w:rPr>
          <w:lang w:eastAsia="ja-JP"/>
        </w:rPr>
      </w:pPr>
      <w:r w:rsidRPr="00450F9A">
        <w:rPr>
          <w:lang w:eastAsia="ja-JP"/>
        </w:rPr>
        <w:t>In the updated data, the most frequently reported groups of AEs that were assessed to be related to IDegAsp were events (multiple terms) related to hypoglycaemia; for comparators, events (multiple terms) related to hypoglycaemia and injection s</w:t>
      </w:r>
      <w:r w:rsidR="00BA232A">
        <w:rPr>
          <w:lang w:eastAsia="ja-JP"/>
        </w:rPr>
        <w:t>ite reactions were most common.</w:t>
      </w:r>
    </w:p>
    <w:p w14:paraId="067A5FFB" w14:textId="21ACF3BB" w:rsidR="00450F9A" w:rsidRPr="00450F9A" w:rsidRDefault="00450F9A" w:rsidP="00450F9A">
      <w:pPr>
        <w:rPr>
          <w:lang w:eastAsia="ja-JP"/>
        </w:rPr>
      </w:pPr>
      <w:r w:rsidRPr="00450F9A">
        <w:rPr>
          <w:lang w:eastAsia="ja-JP"/>
        </w:rPr>
        <w:t xml:space="preserve">No single preferred term was reported more than 2% of subjects in completed </w:t>
      </w:r>
      <w:r w:rsidR="00BA232A">
        <w:rPr>
          <w:lang w:eastAsia="ja-JP"/>
        </w:rPr>
        <w:t>P</w:t>
      </w:r>
      <w:r w:rsidRPr="00450F9A">
        <w:rPr>
          <w:lang w:eastAsia="ja-JP"/>
        </w:rPr>
        <w:t xml:space="preserve">hase </w:t>
      </w:r>
      <w:r w:rsidR="00BA232A">
        <w:rPr>
          <w:lang w:eastAsia="ja-JP"/>
        </w:rPr>
        <w:t>III</w:t>
      </w:r>
      <w:r w:rsidRPr="00450F9A">
        <w:rPr>
          <w:lang w:eastAsia="ja-JP"/>
        </w:rPr>
        <w:t xml:space="preserve"> trials on the IDegAsp arm. Hypoglycaemia and weight increase were reported in ≥</w:t>
      </w:r>
      <w:r w:rsidR="00BA232A">
        <w:rPr>
          <w:lang w:eastAsia="ja-JP"/>
        </w:rPr>
        <w:t xml:space="preserve"> </w:t>
      </w:r>
      <w:r w:rsidRPr="00450F9A">
        <w:rPr>
          <w:lang w:eastAsia="ja-JP"/>
        </w:rPr>
        <w:t>1% of subjects in the IDegAsp group. The most common related adverse event (in terms of preferred terms) was hypoglycaemia, however this occurred at a decreased rate compared to the comparator arm (4.7 events per 100 subject years of exposure in IDegAsp group compared to 8.1 in comparator group; comparators included IDet daily/twice daily + IAsp, IGlar and biphasic insulin aspart 30). Furthermore, this rate of hypoglycaemia may, in part, reflect the monitoring program used in clinical trials, which is likely to be more rigorous than normal clinical practice.</w:t>
      </w:r>
    </w:p>
    <w:p w14:paraId="1FC0C3C7" w14:textId="77777777" w:rsidR="00450F9A" w:rsidRPr="00450F9A" w:rsidRDefault="00450F9A" w:rsidP="00450F9A">
      <w:pPr>
        <w:rPr>
          <w:lang w:eastAsia="ja-JP"/>
        </w:rPr>
      </w:pPr>
      <w:bookmarkStart w:id="197" w:name="_Toc241374320"/>
      <w:bookmarkStart w:id="198" w:name="_Ref272333507"/>
      <w:bookmarkStart w:id="199" w:name="_Toc272414666"/>
      <w:bookmarkStart w:id="200" w:name="_Toc290888530"/>
      <w:bookmarkStart w:id="201" w:name="_Toc416353746"/>
      <w:bookmarkStart w:id="202" w:name="_Toc421005289"/>
      <w:bookmarkStart w:id="203" w:name="_Toc432079166"/>
      <w:bookmarkStart w:id="204" w:name="_Toc432080739"/>
      <w:r w:rsidRPr="00450F9A">
        <w:rPr>
          <w:lang w:eastAsia="ja-JP"/>
        </w:rPr>
        <w:t>The rate at which adverse events possibly or probably related to the treatment occurred was 31.8 per 100 subject years of exposure; not too dissimilar to the comparator arm (35.4 events per 100 subjects years of exposure). The rate of possible/probably related adverse events in the updated data (cut-off date of 30 Sept 2014) is relatively similar to that seen in the ISS (32.9 events per 100 subject years of exposure) for the IDegAsp arm and has numerically reduced for the comparator arm since the ISS.</w:t>
      </w:r>
    </w:p>
    <w:p w14:paraId="4123677C" w14:textId="7355B961" w:rsidR="00450F9A" w:rsidRPr="00450F9A" w:rsidRDefault="00450F9A" w:rsidP="00450F9A">
      <w:pPr>
        <w:rPr>
          <w:lang w:eastAsia="ja-JP"/>
        </w:rPr>
      </w:pPr>
      <w:r w:rsidRPr="00450F9A">
        <w:rPr>
          <w:lang w:eastAsia="ja-JP"/>
        </w:rPr>
        <w:t>For subjects with T2DM, rate at which adverse events possibly or probably related to the treatment occurred was 30.3 per 100 subject years of exposure; and again, not too dissimilar to the comparator arm (28.2 events per 1</w:t>
      </w:r>
      <w:r w:rsidR="00BA232A">
        <w:rPr>
          <w:lang w:eastAsia="ja-JP"/>
        </w:rPr>
        <w:t>00 subjects years of exposure).</w:t>
      </w:r>
    </w:p>
    <w:p w14:paraId="3F65FAEA" w14:textId="1478B9DE" w:rsidR="00450F9A" w:rsidRPr="00450F9A" w:rsidRDefault="00450F9A" w:rsidP="00450F9A">
      <w:pPr>
        <w:rPr>
          <w:lang w:eastAsia="ja-JP"/>
        </w:rPr>
      </w:pPr>
      <w:r w:rsidRPr="00450F9A">
        <w:rPr>
          <w:lang w:eastAsia="ja-JP"/>
        </w:rPr>
        <w:t>No updated data was reported for the T1DM populatio</w:t>
      </w:r>
      <w:r w:rsidR="00BA232A">
        <w:rPr>
          <w:lang w:eastAsia="ja-JP"/>
        </w:rPr>
        <w:t>n.</w:t>
      </w:r>
    </w:p>
    <w:p w14:paraId="4657C071" w14:textId="77777777" w:rsidR="00450F9A" w:rsidRPr="00450F9A" w:rsidRDefault="00450F9A" w:rsidP="00BA232A">
      <w:pPr>
        <w:pStyle w:val="Heading4"/>
      </w:pPr>
      <w:r w:rsidRPr="00450F9A">
        <w:t>Deaths and other serious adverse events</w:t>
      </w:r>
      <w:bookmarkEnd w:id="197"/>
      <w:bookmarkEnd w:id="198"/>
      <w:bookmarkEnd w:id="199"/>
      <w:bookmarkEnd w:id="200"/>
      <w:bookmarkEnd w:id="201"/>
      <w:bookmarkEnd w:id="202"/>
      <w:bookmarkEnd w:id="203"/>
      <w:bookmarkEnd w:id="204"/>
    </w:p>
    <w:p w14:paraId="2F7E9C4C" w14:textId="01ACF5D6" w:rsidR="00450F9A" w:rsidRPr="00450F9A" w:rsidRDefault="00450F9A" w:rsidP="00BA232A">
      <w:pPr>
        <w:pStyle w:val="Heading5"/>
        <w:rPr>
          <w:lang w:eastAsia="ja-JP"/>
        </w:rPr>
      </w:pPr>
      <w:r w:rsidRPr="00450F9A">
        <w:rPr>
          <w:lang w:eastAsia="ja-JP"/>
        </w:rPr>
        <w:t>Integrated safety analyses (</w:t>
      </w:r>
      <w:r w:rsidR="009F4052" w:rsidRPr="00450F9A">
        <w:rPr>
          <w:lang w:eastAsia="ja-JP"/>
        </w:rPr>
        <w:t>cut</w:t>
      </w:r>
      <w:r w:rsidR="009F4052">
        <w:rPr>
          <w:lang w:eastAsia="ja-JP"/>
        </w:rPr>
        <w:t>-off</w:t>
      </w:r>
      <w:r w:rsidR="00BA232A">
        <w:rPr>
          <w:lang w:eastAsia="ja-JP"/>
        </w:rPr>
        <w:t xml:space="preserve"> date of 30 September 2014)</w:t>
      </w:r>
    </w:p>
    <w:p w14:paraId="273EE302" w14:textId="77777777" w:rsidR="00450F9A" w:rsidRPr="00450F9A" w:rsidRDefault="00450F9A" w:rsidP="00BA232A">
      <w:pPr>
        <w:pStyle w:val="Heading6"/>
        <w:rPr>
          <w:lang w:eastAsia="ja-JP"/>
        </w:rPr>
      </w:pPr>
      <w:r w:rsidRPr="00450F9A">
        <w:rPr>
          <w:lang w:eastAsia="ja-JP"/>
        </w:rPr>
        <w:t>Deaths</w:t>
      </w:r>
    </w:p>
    <w:p w14:paraId="32977D93" w14:textId="4DDE0992" w:rsidR="00450F9A" w:rsidRPr="00450F9A" w:rsidRDefault="00BA232A" w:rsidP="00450F9A">
      <w:pPr>
        <w:rPr>
          <w:lang w:eastAsia="ja-JP"/>
        </w:rPr>
      </w:pPr>
      <w:r>
        <w:rPr>
          <w:lang w:eastAsia="ja-JP"/>
        </w:rPr>
        <w:t>15</w:t>
      </w:r>
      <w:r w:rsidR="00450F9A" w:rsidRPr="00450F9A">
        <w:rPr>
          <w:lang w:eastAsia="ja-JP"/>
        </w:rPr>
        <w:t xml:space="preserve"> deaths were reported </w:t>
      </w:r>
      <w:r>
        <w:rPr>
          <w:lang w:eastAsia="ja-JP"/>
        </w:rPr>
        <w:t xml:space="preserve">in the completed IDegAsp trials, </w:t>
      </w:r>
      <w:r w:rsidR="00450F9A" w:rsidRPr="00450F9A">
        <w:rPr>
          <w:lang w:eastAsia="ja-JP"/>
        </w:rPr>
        <w:t xml:space="preserve">14 in </w:t>
      </w:r>
      <w:r>
        <w:rPr>
          <w:lang w:eastAsia="ja-JP"/>
        </w:rPr>
        <w:t>P</w:t>
      </w:r>
      <w:r w:rsidR="00450F9A" w:rsidRPr="00450F9A">
        <w:rPr>
          <w:lang w:eastAsia="ja-JP"/>
        </w:rPr>
        <w:t xml:space="preserve">hase </w:t>
      </w:r>
      <w:r>
        <w:rPr>
          <w:lang w:eastAsia="ja-JP"/>
        </w:rPr>
        <w:t>III</w:t>
      </w:r>
      <w:r w:rsidR="00450F9A" w:rsidRPr="00450F9A">
        <w:rPr>
          <w:lang w:eastAsia="ja-JP"/>
        </w:rPr>
        <w:t xml:space="preserve"> trials and 1 in a </w:t>
      </w:r>
      <w:r>
        <w:rPr>
          <w:lang w:eastAsia="ja-JP"/>
        </w:rPr>
        <w:t>Phase II</w:t>
      </w:r>
      <w:r w:rsidR="00450F9A" w:rsidRPr="00450F9A">
        <w:rPr>
          <w:lang w:eastAsia="ja-JP"/>
        </w:rPr>
        <w:t xml:space="preserve"> trial</w:t>
      </w:r>
      <w:r>
        <w:rPr>
          <w:lang w:eastAsia="ja-JP"/>
        </w:rPr>
        <w:t xml:space="preserve">, </w:t>
      </w:r>
      <w:r w:rsidR="00450F9A" w:rsidRPr="00450F9A">
        <w:rPr>
          <w:lang w:eastAsia="ja-JP"/>
        </w:rPr>
        <w:t>and of these deaths, 11 were treated with IDegAsp (0.4%) compared to 3 on the comparator arm (0.2%) and 9 have been reported since the ISS (</w:t>
      </w:r>
      <w:r w:rsidR="009F4052" w:rsidRPr="00450F9A">
        <w:rPr>
          <w:lang w:eastAsia="ja-JP"/>
        </w:rPr>
        <w:t>cut</w:t>
      </w:r>
      <w:r w:rsidR="009F4052">
        <w:rPr>
          <w:lang w:eastAsia="ja-JP"/>
        </w:rPr>
        <w:t>-</w:t>
      </w:r>
      <w:r w:rsidR="009F4052" w:rsidRPr="00450F9A">
        <w:rPr>
          <w:lang w:eastAsia="ja-JP"/>
        </w:rPr>
        <w:t>off</w:t>
      </w:r>
      <w:r w:rsidR="00450F9A" w:rsidRPr="00450F9A">
        <w:rPr>
          <w:lang w:eastAsia="ja-JP"/>
        </w:rPr>
        <w:t xml:space="preserve"> date 31 January 2011); all were T2DM trials.</w:t>
      </w:r>
      <w:bookmarkStart w:id="205" w:name="_Toc241374325"/>
      <w:bookmarkStart w:id="206" w:name="_Ref272333477"/>
      <w:bookmarkStart w:id="207" w:name="_Toc272414667"/>
      <w:bookmarkStart w:id="208" w:name="_Toc290888531"/>
      <w:bookmarkStart w:id="209" w:name="_Toc416353747"/>
      <w:bookmarkStart w:id="210" w:name="_Toc421005290"/>
      <w:bookmarkStart w:id="211" w:name="_Toc432079167"/>
      <w:bookmarkStart w:id="212" w:name="_Toc432080740"/>
      <w:r w:rsidR="00450F9A" w:rsidRPr="00450F9A">
        <w:rPr>
          <w:lang w:eastAsia="ja-JP"/>
        </w:rPr>
        <w:t xml:space="preserve"> Of these 9 deaths reported in the period since 31 January 2011, </w:t>
      </w:r>
      <w:r>
        <w:rPr>
          <w:lang w:eastAsia="ja-JP"/>
        </w:rPr>
        <w:t>1</w:t>
      </w:r>
      <w:r w:rsidR="00450F9A" w:rsidRPr="00450F9A">
        <w:rPr>
          <w:lang w:eastAsia="ja-JP"/>
        </w:rPr>
        <w:t xml:space="preserve"> event of coronary artery disease in a subject with a history of hyperten</w:t>
      </w:r>
      <w:r>
        <w:rPr>
          <w:lang w:eastAsia="ja-JP"/>
        </w:rPr>
        <w:t>sion, hypercholesteremia and 18 </w:t>
      </w:r>
      <w:r w:rsidR="00450F9A" w:rsidRPr="00450F9A">
        <w:rPr>
          <w:lang w:eastAsia="ja-JP"/>
        </w:rPr>
        <w:t>year history of T2DM was assessed to be possibly related to the study drug IDegAsp but considered to be u</w:t>
      </w:r>
      <w:r>
        <w:rPr>
          <w:lang w:eastAsia="ja-JP"/>
        </w:rPr>
        <w:t>nlikely related by the sponsor.</w:t>
      </w:r>
    </w:p>
    <w:p w14:paraId="72EFB168" w14:textId="321CFBC0" w:rsidR="00450F9A" w:rsidRPr="00450F9A" w:rsidRDefault="00450F9A" w:rsidP="00450F9A">
      <w:pPr>
        <w:rPr>
          <w:lang w:eastAsia="ja-JP"/>
        </w:rPr>
      </w:pPr>
      <w:r w:rsidRPr="00450F9A">
        <w:rPr>
          <w:lang w:eastAsia="ja-JP"/>
        </w:rPr>
        <w:lastRenderedPageBreak/>
        <w:t>The proportion of deaths in the ISS (</w:t>
      </w:r>
      <w:r w:rsidR="009F4052" w:rsidRPr="00450F9A">
        <w:rPr>
          <w:lang w:eastAsia="ja-JP"/>
        </w:rPr>
        <w:t>cut</w:t>
      </w:r>
      <w:r w:rsidR="009F4052">
        <w:rPr>
          <w:lang w:eastAsia="ja-JP"/>
        </w:rPr>
        <w:t>-</w:t>
      </w:r>
      <w:r w:rsidR="009F4052" w:rsidRPr="00450F9A">
        <w:rPr>
          <w:lang w:eastAsia="ja-JP"/>
        </w:rPr>
        <w:t>off</w:t>
      </w:r>
      <w:r w:rsidRPr="00450F9A">
        <w:rPr>
          <w:lang w:eastAsia="ja-JP"/>
        </w:rPr>
        <w:t xml:space="preserve"> date 21 January 2011) was similar</w:t>
      </w:r>
      <w:r w:rsidR="00BA232A">
        <w:rPr>
          <w:lang w:eastAsia="ja-JP"/>
        </w:rPr>
        <w:t xml:space="preserve">: </w:t>
      </w:r>
      <w:r w:rsidRPr="00450F9A">
        <w:rPr>
          <w:lang w:eastAsia="ja-JP"/>
        </w:rPr>
        <w:t>0.3% for IDegAsp and 0.1% for comparators.</w:t>
      </w:r>
    </w:p>
    <w:p w14:paraId="7075D100" w14:textId="72217CA8" w:rsidR="00450F9A" w:rsidRPr="00450F9A" w:rsidRDefault="00450F9A" w:rsidP="00BA232A">
      <w:pPr>
        <w:pStyle w:val="Tabletitle"/>
        <w:rPr>
          <w:lang w:eastAsia="ja-JP"/>
        </w:rPr>
      </w:pPr>
      <w:bookmarkStart w:id="213" w:name="_Toc487195079"/>
      <w:r w:rsidRPr="00450F9A">
        <w:rPr>
          <w:lang w:eastAsia="ja-JP"/>
        </w:rPr>
        <w:t xml:space="preserve">Table </w:t>
      </w:r>
      <w:r w:rsidR="00BA232A">
        <w:rPr>
          <w:lang w:eastAsia="ja-JP"/>
        </w:rPr>
        <w:t>11</w:t>
      </w:r>
      <w:r w:rsidR="00D548E5">
        <w:rPr>
          <w:lang w:eastAsia="ja-JP"/>
        </w:rPr>
        <w:t>:</w:t>
      </w:r>
      <w:r w:rsidRPr="00450F9A">
        <w:rPr>
          <w:lang w:eastAsia="ja-JP"/>
        </w:rPr>
        <w:t xml:space="preserve"> Deaths in IDegAsp trials</w:t>
      </w:r>
      <w:bookmarkEnd w:id="213"/>
    </w:p>
    <w:tbl>
      <w:tblPr>
        <w:tblStyle w:val="TableTGAblue"/>
        <w:tblW w:w="0" w:type="auto"/>
        <w:tblLook w:val="04A0" w:firstRow="1" w:lastRow="0" w:firstColumn="1" w:lastColumn="0" w:noHBand="0" w:noVBand="1"/>
        <w:tblDescription w:val="Table 11: Deaths in IDegAsp trials"/>
      </w:tblPr>
      <w:tblGrid>
        <w:gridCol w:w="4068"/>
        <w:gridCol w:w="2520"/>
        <w:gridCol w:w="2654"/>
      </w:tblGrid>
      <w:tr w:rsidR="001501AA" w:rsidRPr="00450F9A" w14:paraId="1731B3D7" w14:textId="77777777" w:rsidTr="00BB64EA">
        <w:trPr>
          <w:cnfStyle w:val="100000000000" w:firstRow="1" w:lastRow="0" w:firstColumn="0" w:lastColumn="0" w:oddVBand="0" w:evenVBand="0" w:oddHBand="0" w:evenHBand="0" w:firstRowFirstColumn="0" w:firstRowLastColumn="0" w:lastRowFirstColumn="0" w:lastRowLastColumn="0"/>
          <w:cantSplit/>
          <w:trHeight w:val="592"/>
          <w:tblHeader/>
        </w:trPr>
        <w:tc>
          <w:tcPr>
            <w:cnfStyle w:val="001000000000" w:firstRow="0" w:lastRow="0" w:firstColumn="1" w:lastColumn="0" w:oddVBand="0" w:evenVBand="0" w:oddHBand="0" w:evenHBand="0" w:firstRowFirstColumn="0" w:firstRowLastColumn="0" w:lastRowFirstColumn="0" w:lastRowLastColumn="0"/>
            <w:tcW w:w="4068" w:type="dxa"/>
          </w:tcPr>
          <w:p w14:paraId="72DFCE54" w14:textId="77777777" w:rsidR="00450F9A" w:rsidRPr="001501AA" w:rsidRDefault="00450F9A" w:rsidP="00BA232A">
            <w:pPr>
              <w:ind w:left="0" w:right="0"/>
              <w:rPr>
                <w:b w:val="0"/>
                <w:sz w:val="21"/>
                <w:szCs w:val="22"/>
                <w:lang w:eastAsia="ja-JP"/>
              </w:rPr>
            </w:pPr>
          </w:p>
        </w:tc>
        <w:tc>
          <w:tcPr>
            <w:tcW w:w="2520" w:type="dxa"/>
          </w:tcPr>
          <w:p w14:paraId="0EFB6AEC" w14:textId="716BED84" w:rsidR="00450F9A" w:rsidRPr="000A7910" w:rsidRDefault="00BA232A" w:rsidP="00BA232A">
            <w:pPr>
              <w:ind w:left="0" w:right="0"/>
              <w:cnfStyle w:val="100000000000" w:firstRow="1" w:lastRow="0" w:firstColumn="0" w:lastColumn="0" w:oddVBand="0" w:evenVBand="0" w:oddHBand="0" w:evenHBand="0" w:firstRowFirstColumn="0" w:firstRowLastColumn="0" w:lastRowFirstColumn="0" w:lastRowLastColumn="0"/>
              <w:rPr>
                <w:sz w:val="21"/>
                <w:szCs w:val="22"/>
                <w:lang w:eastAsia="ja-JP"/>
              </w:rPr>
            </w:pPr>
            <w:r w:rsidRPr="000A7910">
              <w:rPr>
                <w:sz w:val="21"/>
                <w:szCs w:val="22"/>
                <w:lang w:eastAsia="ja-JP"/>
              </w:rPr>
              <w:t>IDegAsp</w:t>
            </w:r>
            <w:r w:rsidR="000A7910">
              <w:rPr>
                <w:sz w:val="21"/>
                <w:szCs w:val="22"/>
                <w:lang w:eastAsia="ja-JP"/>
              </w:rPr>
              <w:t xml:space="preserve"> </w:t>
            </w:r>
            <w:r w:rsidRPr="000A7910">
              <w:rPr>
                <w:sz w:val="21"/>
                <w:szCs w:val="22"/>
                <w:lang w:eastAsia="ja-JP"/>
              </w:rPr>
              <w:t>(</w:t>
            </w:r>
            <w:r w:rsidR="00450F9A" w:rsidRPr="000A7910">
              <w:rPr>
                <w:sz w:val="21"/>
                <w:szCs w:val="22"/>
                <w:lang w:eastAsia="ja-JP"/>
              </w:rPr>
              <w:t>proportion of subjects</w:t>
            </w:r>
            <w:r w:rsidRPr="000A7910">
              <w:rPr>
                <w:sz w:val="21"/>
                <w:szCs w:val="22"/>
                <w:lang w:eastAsia="ja-JP"/>
              </w:rPr>
              <w:t>)</w:t>
            </w:r>
          </w:p>
        </w:tc>
        <w:tc>
          <w:tcPr>
            <w:tcW w:w="2654" w:type="dxa"/>
          </w:tcPr>
          <w:p w14:paraId="5E41A3B1" w14:textId="61F45231" w:rsidR="00450F9A" w:rsidRPr="000A7910" w:rsidRDefault="00BA232A" w:rsidP="00BA232A">
            <w:pPr>
              <w:ind w:left="0" w:right="0"/>
              <w:cnfStyle w:val="100000000000" w:firstRow="1" w:lastRow="0" w:firstColumn="0" w:lastColumn="0" w:oddVBand="0" w:evenVBand="0" w:oddHBand="0" w:evenHBand="0" w:firstRowFirstColumn="0" w:firstRowLastColumn="0" w:lastRowFirstColumn="0" w:lastRowLastColumn="0"/>
              <w:rPr>
                <w:sz w:val="21"/>
                <w:szCs w:val="22"/>
                <w:lang w:eastAsia="ja-JP"/>
              </w:rPr>
            </w:pPr>
            <w:r w:rsidRPr="000A7910">
              <w:rPr>
                <w:sz w:val="21"/>
                <w:szCs w:val="22"/>
                <w:lang w:eastAsia="ja-JP"/>
              </w:rPr>
              <w:t>Comparator</w:t>
            </w:r>
            <w:r w:rsidR="000A7910">
              <w:rPr>
                <w:sz w:val="21"/>
                <w:szCs w:val="22"/>
                <w:lang w:eastAsia="ja-JP"/>
              </w:rPr>
              <w:t xml:space="preserve"> </w:t>
            </w:r>
            <w:r w:rsidRPr="000A7910">
              <w:rPr>
                <w:sz w:val="21"/>
                <w:szCs w:val="22"/>
                <w:lang w:eastAsia="ja-JP"/>
              </w:rPr>
              <w:t>(</w:t>
            </w:r>
            <w:r w:rsidR="00450F9A" w:rsidRPr="000A7910">
              <w:rPr>
                <w:sz w:val="21"/>
                <w:szCs w:val="22"/>
                <w:lang w:eastAsia="ja-JP"/>
              </w:rPr>
              <w:t>proportion of subjects</w:t>
            </w:r>
            <w:r w:rsidRPr="000A7910">
              <w:rPr>
                <w:sz w:val="21"/>
                <w:szCs w:val="22"/>
                <w:lang w:eastAsia="ja-JP"/>
              </w:rPr>
              <w:t>)</w:t>
            </w:r>
          </w:p>
        </w:tc>
      </w:tr>
      <w:tr w:rsidR="00450F9A" w:rsidRPr="00450F9A" w14:paraId="3A114CF7" w14:textId="77777777" w:rsidTr="001501AA">
        <w:tc>
          <w:tcPr>
            <w:cnfStyle w:val="001000000000" w:firstRow="0" w:lastRow="0" w:firstColumn="1" w:lastColumn="0" w:oddVBand="0" w:evenVBand="0" w:oddHBand="0" w:evenHBand="0" w:firstRowFirstColumn="0" w:firstRowLastColumn="0" w:lastRowFirstColumn="0" w:lastRowLastColumn="0"/>
            <w:tcW w:w="4068" w:type="dxa"/>
          </w:tcPr>
          <w:p w14:paraId="68CD0037" w14:textId="4CE2D454" w:rsidR="00450F9A" w:rsidRPr="000A7910" w:rsidRDefault="00450F9A" w:rsidP="000A7910">
            <w:r w:rsidRPr="000A7910">
              <w:t>All Deaths (all completed trials)</w:t>
            </w:r>
          </w:p>
        </w:tc>
        <w:tc>
          <w:tcPr>
            <w:tcW w:w="5174" w:type="dxa"/>
            <w:gridSpan w:val="2"/>
          </w:tcPr>
          <w:p w14:paraId="1B8E3844" w14:textId="77777777"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N = 15</w:t>
            </w:r>
          </w:p>
        </w:tc>
      </w:tr>
      <w:tr w:rsidR="001501AA" w:rsidRPr="00450F9A" w14:paraId="76756B55" w14:textId="77777777" w:rsidTr="001501AA">
        <w:tc>
          <w:tcPr>
            <w:cnfStyle w:val="001000000000" w:firstRow="0" w:lastRow="0" w:firstColumn="1" w:lastColumn="0" w:oddVBand="0" w:evenVBand="0" w:oddHBand="0" w:evenHBand="0" w:firstRowFirstColumn="0" w:firstRowLastColumn="0" w:lastRowFirstColumn="0" w:lastRowLastColumn="0"/>
            <w:tcW w:w="4068" w:type="dxa"/>
          </w:tcPr>
          <w:p w14:paraId="44C2656A" w14:textId="11B9F1EB" w:rsidR="00450F9A" w:rsidRPr="000A7910" w:rsidRDefault="00BA232A" w:rsidP="000A7910">
            <w:r w:rsidRPr="000A7910">
              <w:t>All Deaths (completed Phase III</w:t>
            </w:r>
            <w:r w:rsidR="00450F9A" w:rsidRPr="000A7910">
              <w:t>)</w:t>
            </w:r>
          </w:p>
        </w:tc>
        <w:tc>
          <w:tcPr>
            <w:tcW w:w="2520" w:type="dxa"/>
          </w:tcPr>
          <w:p w14:paraId="143785EC" w14:textId="1465C5B7"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0.4% (n</w:t>
            </w:r>
            <w:r w:rsidR="00BA232A" w:rsidRPr="000A7910">
              <w:t xml:space="preserve"> </w:t>
            </w:r>
            <w:r w:rsidRPr="000A7910">
              <w:t>=</w:t>
            </w:r>
            <w:r w:rsidR="00BA232A" w:rsidRPr="000A7910">
              <w:t xml:space="preserve"> </w:t>
            </w:r>
            <w:r w:rsidRPr="000A7910">
              <w:t>11)</w:t>
            </w:r>
            <w:r w:rsidR="001501AA" w:rsidRPr="000A7910">
              <w:t xml:space="preserve"> </w:t>
            </w:r>
            <w:r w:rsidR="00BA232A" w:rsidRPr="000A7910">
              <w:t xml:space="preserve">(out of </w:t>
            </w:r>
            <w:r w:rsidRPr="000A7910">
              <w:t xml:space="preserve">total </w:t>
            </w:r>
            <w:r w:rsidR="000A7910">
              <w:t>n</w:t>
            </w:r>
            <w:r w:rsidRPr="000A7910">
              <w:t xml:space="preserve"> = 2557</w:t>
            </w:r>
            <w:r w:rsidR="00BA232A" w:rsidRPr="000A7910">
              <w:t>)</w:t>
            </w:r>
          </w:p>
        </w:tc>
        <w:tc>
          <w:tcPr>
            <w:tcW w:w="2654" w:type="dxa"/>
          </w:tcPr>
          <w:p w14:paraId="3640FEA2" w14:textId="0FA32E13"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0.2% (n</w:t>
            </w:r>
            <w:r w:rsidR="00BA232A" w:rsidRPr="000A7910">
              <w:t xml:space="preserve"> </w:t>
            </w:r>
            <w:r w:rsidRPr="000A7910">
              <w:t>=</w:t>
            </w:r>
            <w:r w:rsidR="00BA232A" w:rsidRPr="000A7910">
              <w:t xml:space="preserve"> </w:t>
            </w:r>
            <w:r w:rsidRPr="000A7910">
              <w:t>3)</w:t>
            </w:r>
            <w:r w:rsidR="001501AA" w:rsidRPr="000A7910">
              <w:t xml:space="preserve"> </w:t>
            </w:r>
            <w:r w:rsidR="00BA232A" w:rsidRPr="000A7910">
              <w:t xml:space="preserve">(out of </w:t>
            </w:r>
            <w:r w:rsidR="001501AA" w:rsidRPr="000A7910">
              <w:t xml:space="preserve">total </w:t>
            </w:r>
            <w:r w:rsidR="000A7910">
              <w:t>n</w:t>
            </w:r>
            <w:r w:rsidR="001501AA" w:rsidRPr="000A7910">
              <w:t> = </w:t>
            </w:r>
            <w:r w:rsidRPr="000A7910">
              <w:t>1381</w:t>
            </w:r>
            <w:r w:rsidR="00BA232A" w:rsidRPr="000A7910">
              <w:t>)</w:t>
            </w:r>
          </w:p>
        </w:tc>
      </w:tr>
      <w:tr w:rsidR="001501AA" w:rsidRPr="00450F9A" w14:paraId="74128514" w14:textId="77777777" w:rsidTr="001501AA">
        <w:tc>
          <w:tcPr>
            <w:cnfStyle w:val="001000000000" w:firstRow="0" w:lastRow="0" w:firstColumn="1" w:lastColumn="0" w:oddVBand="0" w:evenVBand="0" w:oddHBand="0" w:evenHBand="0" w:firstRowFirstColumn="0" w:firstRowLastColumn="0" w:lastRowFirstColumn="0" w:lastRowLastColumn="0"/>
            <w:tcW w:w="4068" w:type="dxa"/>
          </w:tcPr>
          <w:p w14:paraId="11A39DF5" w14:textId="783BB443" w:rsidR="00450F9A" w:rsidRPr="000A7910" w:rsidRDefault="00450F9A" w:rsidP="000A7910">
            <w:r w:rsidRPr="000A7910">
              <w:t>Deaths reported in original Integrated Safety Summary (completed</w:t>
            </w:r>
            <w:r w:rsidR="00BA232A" w:rsidRPr="000A7910">
              <w:t xml:space="preserve"> clinical trials with IDeg; </w:t>
            </w:r>
            <w:r w:rsidR="009F4052" w:rsidRPr="000A7910">
              <w:t>cut-off</w:t>
            </w:r>
            <w:r w:rsidRPr="000A7910">
              <w:t xml:space="preserve"> date 31 January 2011)</w:t>
            </w:r>
            <w:r w:rsidR="00BA232A" w:rsidRPr="000A7910">
              <w:rPr>
                <w:vertAlign w:val="superscript"/>
              </w:rPr>
              <w:t>1</w:t>
            </w:r>
          </w:p>
        </w:tc>
        <w:tc>
          <w:tcPr>
            <w:tcW w:w="2520" w:type="dxa"/>
          </w:tcPr>
          <w:p w14:paraId="4CEF8011" w14:textId="77777777"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0.3% (n = 4)</w:t>
            </w:r>
          </w:p>
        </w:tc>
        <w:tc>
          <w:tcPr>
            <w:tcW w:w="2654" w:type="dxa"/>
          </w:tcPr>
          <w:p w14:paraId="1B10F1A2" w14:textId="77777777"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0.1% (n = 1)</w:t>
            </w:r>
          </w:p>
        </w:tc>
      </w:tr>
      <w:tr w:rsidR="001501AA" w:rsidRPr="00450F9A" w14:paraId="058E5936" w14:textId="77777777" w:rsidTr="001501AA">
        <w:tc>
          <w:tcPr>
            <w:cnfStyle w:val="001000000000" w:firstRow="0" w:lastRow="0" w:firstColumn="1" w:lastColumn="0" w:oddVBand="0" w:evenVBand="0" w:oddHBand="0" w:evenHBand="0" w:firstRowFirstColumn="0" w:firstRowLastColumn="0" w:lastRowFirstColumn="0" w:lastRowLastColumn="0"/>
            <w:tcW w:w="4068" w:type="dxa"/>
          </w:tcPr>
          <w:p w14:paraId="05883712" w14:textId="77777777" w:rsidR="00450F9A" w:rsidRPr="000A7910" w:rsidRDefault="00450F9A" w:rsidP="000A7910">
            <w:r w:rsidRPr="000A7910">
              <w:t>MACE (including UAP) deaths</w:t>
            </w:r>
          </w:p>
        </w:tc>
        <w:tc>
          <w:tcPr>
            <w:tcW w:w="2520" w:type="dxa"/>
          </w:tcPr>
          <w:p w14:paraId="55B5691B" w14:textId="26EF1B9C"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0.2% (n</w:t>
            </w:r>
            <w:r w:rsidR="000A7910">
              <w:t xml:space="preserve"> </w:t>
            </w:r>
            <w:r w:rsidRPr="000A7910">
              <w:t>=</w:t>
            </w:r>
            <w:r w:rsidR="000A7910">
              <w:t xml:space="preserve"> </w:t>
            </w:r>
            <w:r w:rsidRPr="000A7910">
              <w:t>5)</w:t>
            </w:r>
          </w:p>
        </w:tc>
        <w:tc>
          <w:tcPr>
            <w:tcW w:w="2654" w:type="dxa"/>
          </w:tcPr>
          <w:p w14:paraId="2B8E1A29" w14:textId="77777777"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0.1% (n = 2)</w:t>
            </w:r>
          </w:p>
        </w:tc>
      </w:tr>
      <w:tr w:rsidR="001501AA" w:rsidRPr="00450F9A" w14:paraId="6D31D251" w14:textId="77777777" w:rsidTr="001501AA">
        <w:tc>
          <w:tcPr>
            <w:cnfStyle w:val="001000000000" w:firstRow="0" w:lastRow="0" w:firstColumn="1" w:lastColumn="0" w:oddVBand="0" w:evenVBand="0" w:oddHBand="0" w:evenHBand="0" w:firstRowFirstColumn="0" w:firstRowLastColumn="0" w:lastRowFirstColumn="0" w:lastRowLastColumn="0"/>
            <w:tcW w:w="4068" w:type="dxa"/>
          </w:tcPr>
          <w:p w14:paraId="41011694" w14:textId="77777777" w:rsidR="00450F9A" w:rsidRPr="000A7910" w:rsidRDefault="00450F9A" w:rsidP="000A7910">
            <w:r w:rsidRPr="000A7910">
              <w:t>Deaths in T1DM group</w:t>
            </w:r>
          </w:p>
        </w:tc>
        <w:tc>
          <w:tcPr>
            <w:tcW w:w="2520" w:type="dxa"/>
          </w:tcPr>
          <w:p w14:paraId="61CBFAD0" w14:textId="77777777"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0</w:t>
            </w:r>
          </w:p>
        </w:tc>
        <w:tc>
          <w:tcPr>
            <w:tcW w:w="2654" w:type="dxa"/>
          </w:tcPr>
          <w:p w14:paraId="6961EF9A" w14:textId="77777777"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0</w:t>
            </w:r>
          </w:p>
        </w:tc>
      </w:tr>
      <w:tr w:rsidR="001501AA" w:rsidRPr="00450F9A" w14:paraId="17B6D005" w14:textId="77777777" w:rsidTr="001501AA">
        <w:tc>
          <w:tcPr>
            <w:cnfStyle w:val="001000000000" w:firstRow="0" w:lastRow="0" w:firstColumn="1" w:lastColumn="0" w:oddVBand="0" w:evenVBand="0" w:oddHBand="0" w:evenHBand="0" w:firstRowFirstColumn="0" w:firstRowLastColumn="0" w:lastRowFirstColumn="0" w:lastRowLastColumn="0"/>
            <w:tcW w:w="4068" w:type="dxa"/>
          </w:tcPr>
          <w:p w14:paraId="2B5E526E" w14:textId="77777777" w:rsidR="00450F9A" w:rsidRPr="000A7910" w:rsidRDefault="00450F9A" w:rsidP="000A7910">
            <w:r w:rsidRPr="000A7910">
              <w:t>Deaths in T2DM group</w:t>
            </w:r>
          </w:p>
        </w:tc>
        <w:tc>
          <w:tcPr>
            <w:tcW w:w="2520" w:type="dxa"/>
          </w:tcPr>
          <w:p w14:paraId="2C2F56FA" w14:textId="71588615"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0.5% (n</w:t>
            </w:r>
            <w:r w:rsidR="000A7910">
              <w:t xml:space="preserve"> </w:t>
            </w:r>
            <w:r w:rsidRPr="000A7910">
              <w:t>=</w:t>
            </w:r>
            <w:r w:rsidR="000A7910">
              <w:t xml:space="preserve"> </w:t>
            </w:r>
            <w:r w:rsidRPr="000A7910">
              <w:t>11)</w:t>
            </w:r>
            <w:r w:rsidR="001501AA" w:rsidRPr="000A7910">
              <w:t xml:space="preserve"> (</w:t>
            </w:r>
            <w:r w:rsidR="000A7910">
              <w:t>total n </w:t>
            </w:r>
            <w:r w:rsidRPr="000A7910">
              <w:t>= 2195</w:t>
            </w:r>
            <w:r w:rsidR="001501AA" w:rsidRPr="000A7910">
              <w:t>)</w:t>
            </w:r>
          </w:p>
        </w:tc>
        <w:tc>
          <w:tcPr>
            <w:tcW w:w="2654" w:type="dxa"/>
          </w:tcPr>
          <w:p w14:paraId="3D163332" w14:textId="547B1FCE" w:rsidR="00450F9A" w:rsidRPr="000A7910" w:rsidRDefault="00450F9A" w:rsidP="000A7910">
            <w:pPr>
              <w:cnfStyle w:val="000000000000" w:firstRow="0" w:lastRow="0" w:firstColumn="0" w:lastColumn="0" w:oddVBand="0" w:evenVBand="0" w:oddHBand="0" w:evenHBand="0" w:firstRowFirstColumn="0" w:firstRowLastColumn="0" w:lastRowFirstColumn="0" w:lastRowLastColumn="0"/>
            </w:pPr>
            <w:r w:rsidRPr="000A7910">
              <w:t>0.2% (n</w:t>
            </w:r>
            <w:r w:rsidR="000A7910">
              <w:t> </w:t>
            </w:r>
            <w:r w:rsidRPr="000A7910">
              <w:t>=</w:t>
            </w:r>
            <w:r w:rsidR="000A7910">
              <w:t> </w:t>
            </w:r>
            <w:r w:rsidRPr="000A7910">
              <w:t>3)</w:t>
            </w:r>
            <w:r w:rsidR="001501AA" w:rsidRPr="000A7910">
              <w:t xml:space="preserve"> (</w:t>
            </w:r>
            <w:r w:rsidR="000A7910">
              <w:t>total n = </w:t>
            </w:r>
            <w:r w:rsidRPr="000A7910">
              <w:t>1201</w:t>
            </w:r>
            <w:r w:rsidR="001501AA" w:rsidRPr="000A7910">
              <w:t>)</w:t>
            </w:r>
          </w:p>
        </w:tc>
      </w:tr>
    </w:tbl>
    <w:p w14:paraId="36C9A787" w14:textId="0BBF6410" w:rsidR="00450F9A" w:rsidRPr="001501AA" w:rsidRDefault="00450F9A" w:rsidP="001501AA">
      <w:pPr>
        <w:pStyle w:val="TableDescription"/>
        <w:rPr>
          <w:lang w:eastAsia="ja-JP"/>
        </w:rPr>
      </w:pPr>
      <w:r w:rsidRPr="00450F9A">
        <w:rPr>
          <w:lang w:eastAsia="ja-JP"/>
        </w:rPr>
        <w:t>n = number of subjects</w:t>
      </w:r>
      <w:r w:rsidR="001501AA">
        <w:rPr>
          <w:lang w:eastAsia="ja-JP"/>
        </w:rPr>
        <w:t>; 1) a</w:t>
      </w:r>
      <w:r w:rsidRPr="00450F9A">
        <w:rPr>
          <w:lang w:eastAsia="ja-JP"/>
        </w:rPr>
        <w:t>s reported in the Summary of Clinical Safety Addendum (IDeg); this data is consistent with the number of deaths reported in the or</w:t>
      </w:r>
      <w:r w:rsidR="001501AA">
        <w:rPr>
          <w:lang w:eastAsia="ja-JP"/>
        </w:rPr>
        <w:t>iginal TGA clinical evaluation</w:t>
      </w:r>
      <w:r w:rsidRPr="00450F9A">
        <w:rPr>
          <w:lang w:eastAsia="ja-JP"/>
        </w:rPr>
        <w:t xml:space="preserve"> but no percentages were reported.</w:t>
      </w:r>
    </w:p>
    <w:p w14:paraId="712CB610" w14:textId="0F19E46F" w:rsidR="00450F9A" w:rsidRPr="00450F9A" w:rsidRDefault="00450F9A" w:rsidP="00450F9A">
      <w:pPr>
        <w:rPr>
          <w:lang w:eastAsia="ja-JP"/>
        </w:rPr>
      </w:pPr>
      <w:r w:rsidRPr="00450F9A">
        <w:rPr>
          <w:lang w:eastAsia="ja-JP"/>
        </w:rPr>
        <w:t>It is noted that all deaths that have occurred on the IDegAsp trials were in the T2DM population. The proportion of subjects who have died on the IDegAsp is numerically higher (0.4%) compared to the comparator (0.2%), however this is similar to the ISS data; it is noted that this difference is slightly g</w:t>
      </w:r>
      <w:r w:rsidR="001501AA">
        <w:rPr>
          <w:lang w:eastAsia="ja-JP"/>
        </w:rPr>
        <w:t xml:space="preserve">reater in the T2DM population, </w:t>
      </w:r>
      <w:r w:rsidRPr="00450F9A">
        <w:rPr>
          <w:lang w:eastAsia="ja-JP"/>
        </w:rPr>
        <w:t>0.5% v</w:t>
      </w:r>
      <w:r w:rsidR="001501AA">
        <w:rPr>
          <w:lang w:eastAsia="ja-JP"/>
        </w:rPr>
        <w:t>ersu</w:t>
      </w:r>
      <w:r w:rsidRPr="00450F9A">
        <w:rPr>
          <w:lang w:eastAsia="ja-JP"/>
        </w:rPr>
        <w:t>s 0.2%.</w:t>
      </w:r>
    </w:p>
    <w:p w14:paraId="5B5183B7" w14:textId="533442C8" w:rsidR="00450F9A" w:rsidRPr="00450F9A" w:rsidRDefault="00450F9A" w:rsidP="00450F9A">
      <w:pPr>
        <w:rPr>
          <w:lang w:eastAsia="ja-JP"/>
        </w:rPr>
      </w:pPr>
      <w:r w:rsidRPr="00450F9A">
        <w:rPr>
          <w:lang w:eastAsia="ja-JP"/>
        </w:rPr>
        <w:t>For deaths that occurred on both IDeg and IDegAsp trials</w:t>
      </w:r>
      <w:r w:rsidRPr="003E7221">
        <w:rPr>
          <w:lang w:eastAsia="ja-JP"/>
        </w:rPr>
        <w:t>, please see</w:t>
      </w:r>
      <w:r w:rsidR="003E7221" w:rsidRPr="003E7221">
        <w:rPr>
          <w:lang w:eastAsia="ja-JP"/>
        </w:rPr>
        <w:t xml:space="preserve"> Section 7.4 of the Tresiba </w:t>
      </w:r>
      <w:r w:rsidRPr="003E7221">
        <w:rPr>
          <w:lang w:eastAsia="ja-JP"/>
        </w:rPr>
        <w:t xml:space="preserve">IDeg CER </w:t>
      </w:r>
      <w:r w:rsidR="003E7221" w:rsidRPr="003E7221">
        <w:rPr>
          <w:lang w:eastAsia="ja-JP"/>
        </w:rPr>
        <w:t>[available as Attachment 2 of the Tresiba submission].</w:t>
      </w:r>
    </w:p>
    <w:p w14:paraId="6136DFB7" w14:textId="77777777" w:rsidR="00450F9A" w:rsidRPr="00450F9A" w:rsidRDefault="00450F9A" w:rsidP="001501AA">
      <w:pPr>
        <w:pStyle w:val="Heading6"/>
        <w:rPr>
          <w:lang w:eastAsia="ja-JP"/>
        </w:rPr>
      </w:pPr>
      <w:r w:rsidRPr="00450F9A">
        <w:rPr>
          <w:lang w:eastAsia="ja-JP"/>
        </w:rPr>
        <w:t>Other serious adverse events</w:t>
      </w:r>
    </w:p>
    <w:p w14:paraId="11316053" w14:textId="1C6CE616" w:rsidR="00450F9A" w:rsidRPr="00450F9A" w:rsidRDefault="00450F9A" w:rsidP="00450F9A">
      <w:pPr>
        <w:rPr>
          <w:lang w:eastAsia="ja-JP"/>
        </w:rPr>
      </w:pPr>
      <w:r w:rsidRPr="00450F9A">
        <w:rPr>
          <w:lang w:eastAsia="ja-JP"/>
        </w:rPr>
        <w:t xml:space="preserve">Serious adverse events that occurred on the completed </w:t>
      </w:r>
      <w:r w:rsidR="001501AA">
        <w:rPr>
          <w:lang w:eastAsia="ja-JP"/>
        </w:rPr>
        <w:t>P</w:t>
      </w:r>
      <w:r w:rsidRPr="00450F9A">
        <w:rPr>
          <w:lang w:eastAsia="ja-JP"/>
        </w:rPr>
        <w:t xml:space="preserve">hase </w:t>
      </w:r>
      <w:r w:rsidR="001501AA">
        <w:rPr>
          <w:lang w:eastAsia="ja-JP"/>
        </w:rPr>
        <w:t>III trials are summarised in Table 12, shown below.</w:t>
      </w:r>
    </w:p>
    <w:p w14:paraId="4547A4B1" w14:textId="09B83E68" w:rsidR="00450F9A" w:rsidRPr="001501AA" w:rsidRDefault="00450F9A" w:rsidP="001501AA">
      <w:pPr>
        <w:pStyle w:val="Tabletitle"/>
        <w:rPr>
          <w:lang w:eastAsia="ja-JP"/>
        </w:rPr>
      </w:pPr>
      <w:bookmarkStart w:id="214" w:name="_Toc487195080"/>
      <w:r w:rsidRPr="00450F9A">
        <w:rPr>
          <w:lang w:eastAsia="ja-JP"/>
        </w:rPr>
        <w:lastRenderedPageBreak/>
        <w:t xml:space="preserve">Table </w:t>
      </w:r>
      <w:r w:rsidR="001501AA">
        <w:rPr>
          <w:lang w:eastAsia="ja-JP"/>
        </w:rPr>
        <w:t>12</w:t>
      </w:r>
      <w:r w:rsidR="00FA6FCA">
        <w:rPr>
          <w:lang w:eastAsia="ja-JP"/>
        </w:rPr>
        <w:t>:</w:t>
      </w:r>
      <w:r w:rsidRPr="00450F9A">
        <w:rPr>
          <w:lang w:eastAsia="ja-JP"/>
        </w:rPr>
        <w:t xml:space="preserve"> Serious adverse events in completed IDegAsp </w:t>
      </w:r>
      <w:r w:rsidR="001501AA">
        <w:rPr>
          <w:lang w:eastAsia="ja-JP"/>
        </w:rPr>
        <w:t>P</w:t>
      </w:r>
      <w:r w:rsidRPr="00450F9A">
        <w:rPr>
          <w:lang w:eastAsia="ja-JP"/>
        </w:rPr>
        <w:t xml:space="preserve">hase </w:t>
      </w:r>
      <w:r w:rsidR="001501AA">
        <w:rPr>
          <w:lang w:eastAsia="ja-JP"/>
        </w:rPr>
        <w:t>III</w:t>
      </w:r>
      <w:r w:rsidRPr="00450F9A">
        <w:rPr>
          <w:lang w:eastAsia="ja-JP"/>
        </w:rPr>
        <w:t xml:space="preserve"> trials</w:t>
      </w:r>
      <w:bookmarkEnd w:id="214"/>
      <w:r w:rsidRPr="00450F9A">
        <w:rPr>
          <w:lang w:eastAsia="ja-JP"/>
        </w:rPr>
        <w:t xml:space="preserve"> </w:t>
      </w:r>
    </w:p>
    <w:p w14:paraId="6885E873" w14:textId="77777777" w:rsidR="00450F9A" w:rsidRPr="00450F9A" w:rsidRDefault="00450F9A" w:rsidP="00450F9A">
      <w:pPr>
        <w:rPr>
          <w:lang w:eastAsia="ja-JP"/>
        </w:rPr>
      </w:pPr>
      <w:r w:rsidRPr="00450F9A">
        <w:rPr>
          <w:noProof/>
          <w:lang w:eastAsia="en-AU"/>
        </w:rPr>
        <w:drawing>
          <wp:inline distT="0" distB="0" distL="0" distR="0" wp14:anchorId="52F36E24" wp14:editId="3517104E">
            <wp:extent cx="5379720" cy="2659380"/>
            <wp:effectExtent l="0" t="0" r="0" b="7620"/>
            <wp:docPr id="9" name="Picture 9" descr="Serious adverse events in completed IDegAsp Phase III trials " title="Serious adverse events in completed IDegAsp Phase III t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r="6128" b="7807"/>
                    <a:stretch/>
                  </pic:blipFill>
                  <pic:spPr bwMode="auto">
                    <a:xfrm>
                      <a:off x="0" y="0"/>
                      <a:ext cx="5380316" cy="2659675"/>
                    </a:xfrm>
                    <a:prstGeom prst="rect">
                      <a:avLst/>
                    </a:prstGeom>
                    <a:noFill/>
                    <a:ln>
                      <a:noFill/>
                    </a:ln>
                    <a:extLst>
                      <a:ext uri="{53640926-AAD7-44D8-BBD7-CCE9431645EC}">
                        <a14:shadowObscured xmlns:a14="http://schemas.microsoft.com/office/drawing/2010/main"/>
                      </a:ext>
                    </a:extLst>
                  </pic:spPr>
                </pic:pic>
              </a:graphicData>
            </a:graphic>
          </wp:inline>
        </w:drawing>
      </w:r>
    </w:p>
    <w:p w14:paraId="74336EEC" w14:textId="2FD37E80" w:rsidR="00450F9A" w:rsidRPr="00450F9A" w:rsidRDefault="00450F9A" w:rsidP="00450F9A">
      <w:pPr>
        <w:rPr>
          <w:lang w:eastAsia="ja-JP"/>
        </w:rPr>
      </w:pPr>
      <w:r w:rsidRPr="00450F9A">
        <w:rPr>
          <w:lang w:eastAsia="ja-JP"/>
        </w:rPr>
        <w:t xml:space="preserve">The general trends of the data for IDegAsp and the comparator arm as seen in the table in relation to each other above have not changed significantly since the ISS, although overall the rates </w:t>
      </w:r>
      <w:r w:rsidR="0014145D">
        <w:rPr>
          <w:lang w:eastAsia="ja-JP"/>
        </w:rPr>
        <w:t>have decreased for both groups.</w:t>
      </w:r>
    </w:p>
    <w:p w14:paraId="6EB240BE" w14:textId="6D062700" w:rsidR="00450F9A" w:rsidRPr="0014145D" w:rsidRDefault="00450F9A" w:rsidP="00450F9A">
      <w:pPr>
        <w:rPr>
          <w:lang w:eastAsia="ja-JP"/>
        </w:rPr>
      </w:pPr>
      <w:r w:rsidRPr="00450F9A">
        <w:rPr>
          <w:lang w:eastAsia="ja-JP"/>
        </w:rPr>
        <w:t>The most frequently reported SAEs were events related to hypoglycaemia (included multiple preferred terms) with a rate of 4.0 events per 100 subject years of exposure reported in the IDegAsp arm and 3.7 on the comparator arm; the most commonly reported single preferred terms in the IDegAsp group were hypoglycaemia and hypoglycaemic unconsciousness (rates on the IDegAsp of 2.6 and 1.0 respectively, and similar on the comparator arm)</w:t>
      </w:r>
      <w:r w:rsidR="0014145D">
        <w:rPr>
          <w:lang w:eastAsia="ja-JP"/>
        </w:rPr>
        <w:t xml:space="preserve">. </w:t>
      </w:r>
      <w:r w:rsidRPr="00450F9A">
        <w:rPr>
          <w:lang w:eastAsia="ja-JP"/>
        </w:rPr>
        <w:t>Apart from hypoglycaemia events, no other serious adverse event occurred at a rate greater than 1 per 100 subject years of exposure.</w:t>
      </w:r>
    </w:p>
    <w:p w14:paraId="476ABE78" w14:textId="77777777" w:rsidR="00450F9A" w:rsidRPr="00450F9A" w:rsidRDefault="00450F9A" w:rsidP="0014145D">
      <w:pPr>
        <w:pStyle w:val="Heading6"/>
        <w:rPr>
          <w:lang w:eastAsia="ja-JP"/>
        </w:rPr>
      </w:pPr>
      <w:r w:rsidRPr="00450F9A">
        <w:rPr>
          <w:lang w:eastAsia="ja-JP"/>
        </w:rPr>
        <w:t>T2DM</w:t>
      </w:r>
    </w:p>
    <w:p w14:paraId="6519EEC3" w14:textId="2EB2A8C2" w:rsidR="00450F9A" w:rsidRPr="00450F9A" w:rsidRDefault="00450F9A" w:rsidP="00450F9A">
      <w:pPr>
        <w:rPr>
          <w:lang w:eastAsia="ja-JP"/>
        </w:rPr>
      </w:pPr>
      <w:r w:rsidRPr="00450F9A">
        <w:rPr>
          <w:lang w:eastAsia="ja-JP"/>
        </w:rPr>
        <w:t xml:space="preserve">With respect to T2DM, the rates of SAEs, SAEs probably or possibly related to study drug, severity and withdrawals due to SAEs are </w:t>
      </w:r>
      <w:r w:rsidRPr="0014145D">
        <w:rPr>
          <w:lang w:eastAsia="ja-JP"/>
        </w:rPr>
        <w:t>generally consistent with the overall populatio</w:t>
      </w:r>
      <w:r w:rsidRPr="003E7221">
        <w:rPr>
          <w:lang w:eastAsia="ja-JP"/>
        </w:rPr>
        <w:t>n</w:t>
      </w:r>
      <w:r w:rsidR="0014145D" w:rsidRPr="003E7221">
        <w:rPr>
          <w:lang w:eastAsia="ja-JP"/>
        </w:rPr>
        <w:t xml:space="preserve">. </w:t>
      </w:r>
      <w:r w:rsidRPr="00450F9A">
        <w:rPr>
          <w:lang w:eastAsia="ja-JP"/>
        </w:rPr>
        <w:t>The rate of events related to hypoglycaemia (multiple terms) occurring on the IDegAsp arm was 1.7 events per 100 subject years of exposure, compared to 2.4 on the comparator arm and were the most commonly occurring events. This is slightly lower than the overall population.</w:t>
      </w:r>
    </w:p>
    <w:p w14:paraId="53EA81D1" w14:textId="095BC410" w:rsidR="00450F9A" w:rsidRPr="00450F9A" w:rsidRDefault="00450F9A" w:rsidP="00450F9A">
      <w:pPr>
        <w:rPr>
          <w:lang w:eastAsia="ja-JP"/>
        </w:rPr>
      </w:pPr>
      <w:r w:rsidRPr="00450F9A">
        <w:rPr>
          <w:lang w:eastAsia="ja-JP"/>
        </w:rPr>
        <w:t>The most commonly reported preferred terms for serious adverse events (proportion of subjects having adverse event ≥ 0.5%) occurring with IDegAsp in the T2DM population was hypoglycaemia with a similar rate in both groups</w:t>
      </w:r>
      <w:r w:rsidR="0014145D">
        <w:rPr>
          <w:lang w:eastAsia="ja-JP"/>
        </w:rPr>
        <w:t>.</w:t>
      </w:r>
    </w:p>
    <w:p w14:paraId="66831114" w14:textId="77777777" w:rsidR="00450F9A" w:rsidRPr="00450F9A" w:rsidRDefault="00450F9A" w:rsidP="0014145D">
      <w:pPr>
        <w:pStyle w:val="Heading4"/>
      </w:pPr>
      <w:r w:rsidRPr="00450F9A">
        <w:t>Discontinuations due to adverse events</w:t>
      </w:r>
      <w:bookmarkEnd w:id="205"/>
      <w:bookmarkEnd w:id="206"/>
      <w:bookmarkEnd w:id="207"/>
      <w:bookmarkEnd w:id="208"/>
      <w:bookmarkEnd w:id="209"/>
      <w:bookmarkEnd w:id="210"/>
      <w:bookmarkEnd w:id="211"/>
      <w:bookmarkEnd w:id="212"/>
    </w:p>
    <w:p w14:paraId="4D332A85" w14:textId="08A748F9" w:rsidR="00450F9A" w:rsidRPr="00450F9A" w:rsidRDefault="00450F9A" w:rsidP="0014145D">
      <w:pPr>
        <w:pStyle w:val="Heading5"/>
        <w:rPr>
          <w:lang w:eastAsia="ja-JP"/>
        </w:rPr>
      </w:pPr>
      <w:r w:rsidRPr="00450F9A">
        <w:rPr>
          <w:lang w:eastAsia="ja-JP"/>
        </w:rPr>
        <w:t xml:space="preserve">Integrated safety analyses </w:t>
      </w:r>
      <w:r w:rsidRPr="0014145D">
        <w:rPr>
          <w:rFonts w:eastAsia="Cambria"/>
        </w:rPr>
        <w:t>(</w:t>
      </w:r>
      <w:r w:rsidR="009F4052" w:rsidRPr="00450F9A">
        <w:rPr>
          <w:lang w:eastAsia="ja-JP"/>
        </w:rPr>
        <w:t>cut</w:t>
      </w:r>
      <w:r w:rsidR="009F4052">
        <w:rPr>
          <w:lang w:eastAsia="ja-JP"/>
        </w:rPr>
        <w:t>-off</w:t>
      </w:r>
      <w:r w:rsidR="0014145D">
        <w:rPr>
          <w:lang w:eastAsia="ja-JP"/>
        </w:rPr>
        <w:t xml:space="preserve"> date of 30 September 2014)</w:t>
      </w:r>
    </w:p>
    <w:p w14:paraId="3EF30CA1" w14:textId="67989815" w:rsidR="00450F9A" w:rsidRPr="00450F9A" w:rsidRDefault="00450F9A" w:rsidP="00450F9A">
      <w:pPr>
        <w:rPr>
          <w:lang w:eastAsia="ja-JP"/>
        </w:rPr>
      </w:pPr>
      <w:r w:rsidRPr="00450F9A">
        <w:rPr>
          <w:lang w:eastAsia="ja-JP"/>
        </w:rPr>
        <w:t>The proportion of subjects withdrawing due to adverse events was similar in the IDegAsp and comparator group. The majority of the events leading to withdrawal were serious adverse events on both arms and in the IDegAsp group</w:t>
      </w:r>
      <w:r w:rsidR="009E06E4">
        <w:rPr>
          <w:lang w:eastAsia="ja-JP"/>
        </w:rPr>
        <w:t>;</w:t>
      </w:r>
      <w:r w:rsidRPr="00450F9A">
        <w:rPr>
          <w:lang w:eastAsia="ja-JP"/>
        </w:rPr>
        <w:t xml:space="preserve"> the most common reasons for withdrawal were related to hypoglycaemia. The percentage of SAEs which lead to withdrawals remained relatively similar to the Integrated Safety Summary (ISS) in both the IDegAsp and comparator groups current dataset: 1.3% v</w:t>
      </w:r>
      <w:r w:rsidR="0014145D">
        <w:rPr>
          <w:lang w:eastAsia="ja-JP"/>
        </w:rPr>
        <w:t>ersu</w:t>
      </w:r>
      <w:r w:rsidRPr="00450F9A">
        <w:rPr>
          <w:lang w:eastAsia="ja-JP"/>
        </w:rPr>
        <w:t>s 1.4% (ISS) for IDegAsp and 1.2% v</w:t>
      </w:r>
      <w:r w:rsidR="0014145D">
        <w:rPr>
          <w:lang w:eastAsia="ja-JP"/>
        </w:rPr>
        <w:t>ersu</w:t>
      </w:r>
      <w:r w:rsidRPr="00450F9A">
        <w:rPr>
          <w:lang w:eastAsia="ja-JP"/>
        </w:rPr>
        <w:t>s 1.1 (ISS) for comparators.</w:t>
      </w:r>
    </w:p>
    <w:p w14:paraId="0D384DF0" w14:textId="7BA82293" w:rsidR="00450F9A" w:rsidRPr="00450F9A" w:rsidRDefault="00450F9A" w:rsidP="00450F9A">
      <w:pPr>
        <w:rPr>
          <w:i/>
          <w:lang w:eastAsia="ja-JP"/>
        </w:rPr>
      </w:pPr>
      <w:bookmarkStart w:id="215" w:name="_Toc241374321"/>
      <w:bookmarkStart w:id="216" w:name="_Ref271044780"/>
      <w:bookmarkStart w:id="217" w:name="_Ref271196640"/>
      <w:bookmarkStart w:id="218" w:name="_Ref272333085"/>
      <w:bookmarkStart w:id="219" w:name="_Toc272414668"/>
      <w:bookmarkStart w:id="220" w:name="_Toc290888532"/>
      <w:bookmarkStart w:id="221" w:name="_Toc416353748"/>
      <w:bookmarkStart w:id="222" w:name="_Toc421005291"/>
      <w:bookmarkStart w:id="223" w:name="_Toc432079168"/>
      <w:bookmarkStart w:id="224" w:name="_Toc432080741"/>
      <w:r w:rsidRPr="00450F9A">
        <w:rPr>
          <w:lang w:eastAsia="ja-JP"/>
        </w:rPr>
        <w:t xml:space="preserve">It is noted that the most frequently reported preferred term leading to withdrawal on the IDegAsp arm almost all occurred at a numerically higher rate in the IDegAsp group although the numbers were small. Hypoglycaemia was the commonest reason for withdrawal and occurred </w:t>
      </w:r>
      <w:r w:rsidRPr="00450F9A">
        <w:rPr>
          <w:lang w:eastAsia="ja-JP"/>
        </w:rPr>
        <w:lastRenderedPageBreak/>
        <w:t>in the IDeg group more than double the</w:t>
      </w:r>
      <w:r w:rsidR="0014145D">
        <w:rPr>
          <w:lang w:eastAsia="ja-JP"/>
        </w:rPr>
        <w:t xml:space="preserve"> rate of the comparators (0.2%/</w:t>
      </w:r>
      <w:r w:rsidRPr="00450F9A">
        <w:rPr>
          <w:lang w:eastAsia="ja-JP"/>
        </w:rPr>
        <w:t>rat</w:t>
      </w:r>
      <w:r w:rsidR="0014145D">
        <w:rPr>
          <w:lang w:eastAsia="ja-JP"/>
        </w:rPr>
        <w:t>e 0.3 versus comparator n = 0 0.0%/</w:t>
      </w:r>
      <w:r w:rsidRPr="00450F9A">
        <w:rPr>
          <w:lang w:eastAsia="ja-JP"/>
        </w:rPr>
        <w:t>rate 0.0). The number of patients who withdrew due to an adverse event that was possibly/probably related to the study treatment was not presented.</w:t>
      </w:r>
    </w:p>
    <w:p w14:paraId="4412B4AC" w14:textId="77777777" w:rsidR="00450F9A" w:rsidRDefault="00450F9A" w:rsidP="0014145D">
      <w:pPr>
        <w:pStyle w:val="Heading3"/>
      </w:pPr>
      <w:bookmarkStart w:id="225" w:name="_Toc487202398"/>
      <w:bookmarkStart w:id="226" w:name="_Toc517768429"/>
      <w:r w:rsidRPr="00450F9A">
        <w:t xml:space="preserve">Evaluation of issues </w:t>
      </w:r>
      <w:bookmarkEnd w:id="215"/>
      <w:bookmarkEnd w:id="216"/>
      <w:bookmarkEnd w:id="217"/>
      <w:bookmarkEnd w:id="218"/>
      <w:bookmarkEnd w:id="219"/>
      <w:bookmarkEnd w:id="220"/>
      <w:bookmarkEnd w:id="221"/>
      <w:bookmarkEnd w:id="222"/>
      <w:r w:rsidRPr="00450F9A">
        <w:t>with possible regulatory impact</w:t>
      </w:r>
      <w:bookmarkEnd w:id="223"/>
      <w:bookmarkEnd w:id="224"/>
      <w:bookmarkEnd w:id="225"/>
      <w:bookmarkEnd w:id="226"/>
    </w:p>
    <w:p w14:paraId="2B434352" w14:textId="7CED6BF4" w:rsidR="009E06E4" w:rsidRPr="00BB64EA" w:rsidRDefault="009E06E4" w:rsidP="00BB64EA">
      <w:pPr>
        <w:rPr>
          <w:lang w:eastAsia="ja-JP"/>
        </w:rPr>
      </w:pPr>
      <w:r>
        <w:rPr>
          <w:lang w:eastAsia="ja-JP"/>
        </w:rPr>
        <w:t xml:space="preserve">The </w:t>
      </w:r>
      <w:r w:rsidR="009F4052" w:rsidRPr="00450F9A">
        <w:rPr>
          <w:lang w:eastAsia="ja-JP"/>
        </w:rPr>
        <w:t>cut</w:t>
      </w:r>
      <w:r w:rsidR="009F4052">
        <w:rPr>
          <w:lang w:eastAsia="ja-JP"/>
        </w:rPr>
        <w:t>-off</w:t>
      </w:r>
      <w:r>
        <w:rPr>
          <w:lang w:eastAsia="ja-JP"/>
        </w:rPr>
        <w:t xml:space="preserve"> date was 30 September 2014</w:t>
      </w:r>
      <w:r w:rsidR="00052A4F">
        <w:rPr>
          <w:lang w:eastAsia="ja-JP"/>
        </w:rPr>
        <w:t xml:space="preserve"> unless otherwise specified </w:t>
      </w:r>
      <w:r>
        <w:rPr>
          <w:lang w:eastAsia="ja-JP"/>
        </w:rPr>
        <w:t>for the following findings:</w:t>
      </w:r>
    </w:p>
    <w:p w14:paraId="1CAA0513" w14:textId="77777777" w:rsidR="00450F9A" w:rsidRPr="00450F9A" w:rsidRDefault="00450F9A" w:rsidP="0014145D">
      <w:pPr>
        <w:pStyle w:val="Heading4"/>
      </w:pPr>
      <w:bookmarkStart w:id="227" w:name="_Toc272414669"/>
      <w:bookmarkStart w:id="228" w:name="_Toc290888533"/>
      <w:bookmarkStart w:id="229" w:name="_Toc416353749"/>
      <w:bookmarkStart w:id="230" w:name="_Toc421005292"/>
      <w:bookmarkStart w:id="231" w:name="_Toc432079169"/>
      <w:bookmarkStart w:id="232" w:name="_Toc432080742"/>
      <w:r w:rsidRPr="00450F9A">
        <w:t>Liver function</w:t>
      </w:r>
      <w:bookmarkEnd w:id="227"/>
      <w:bookmarkEnd w:id="228"/>
      <w:bookmarkEnd w:id="229"/>
      <w:bookmarkEnd w:id="230"/>
      <w:r w:rsidRPr="00450F9A">
        <w:t xml:space="preserve"> and liver toxicity</w:t>
      </w:r>
      <w:bookmarkEnd w:id="231"/>
      <w:bookmarkEnd w:id="232"/>
    </w:p>
    <w:p w14:paraId="41917488" w14:textId="06B5DD09" w:rsidR="00450F9A" w:rsidRPr="00450F9A" w:rsidRDefault="00450F9A" w:rsidP="0014145D">
      <w:pPr>
        <w:pStyle w:val="Heading5"/>
        <w:rPr>
          <w:lang w:eastAsia="ja-JP"/>
        </w:rPr>
      </w:pPr>
      <w:r w:rsidRPr="00450F9A">
        <w:rPr>
          <w:lang w:eastAsia="ja-JP"/>
        </w:rPr>
        <w:t xml:space="preserve">Integrated safety analyses </w:t>
      </w:r>
    </w:p>
    <w:p w14:paraId="4E444B40" w14:textId="79EA9F55" w:rsidR="00450F9A" w:rsidRPr="00450F9A" w:rsidRDefault="00450F9A" w:rsidP="00450F9A">
      <w:pPr>
        <w:rPr>
          <w:lang w:eastAsia="ja-JP"/>
        </w:rPr>
      </w:pPr>
      <w:r w:rsidRPr="00450F9A">
        <w:rPr>
          <w:lang w:eastAsia="ja-JP"/>
        </w:rPr>
        <w:t xml:space="preserve">No subjects across either the IDeg or IDegAsp programs have met the criteria for Hy’s law. </w:t>
      </w:r>
      <w:r w:rsidR="0014145D">
        <w:rPr>
          <w:lang w:eastAsia="ja-JP"/>
        </w:rPr>
        <w:t>1 </w:t>
      </w:r>
      <w:r w:rsidRPr="00450F9A">
        <w:rPr>
          <w:lang w:eastAsia="ja-JP"/>
        </w:rPr>
        <w:t>subject in the IDeg program developed a simultaneous increase in ALT and total bilirubin in associated with an increase in alkaline phosphatase and a carcinoma in the common bile duct.</w:t>
      </w:r>
    </w:p>
    <w:p w14:paraId="2D07A527" w14:textId="77777777" w:rsidR="00450F9A" w:rsidRPr="00450F9A" w:rsidRDefault="00450F9A" w:rsidP="0014145D">
      <w:pPr>
        <w:pStyle w:val="Heading4"/>
      </w:pPr>
      <w:bookmarkStart w:id="233" w:name="_Toc272414670"/>
      <w:bookmarkStart w:id="234" w:name="_Toc290888534"/>
      <w:bookmarkStart w:id="235" w:name="_Toc416353750"/>
      <w:bookmarkStart w:id="236" w:name="_Toc421005293"/>
      <w:bookmarkStart w:id="237" w:name="_Toc432079170"/>
      <w:bookmarkStart w:id="238" w:name="_Toc432080743"/>
      <w:r w:rsidRPr="00450F9A">
        <w:t>Renal function</w:t>
      </w:r>
      <w:bookmarkEnd w:id="233"/>
      <w:bookmarkEnd w:id="234"/>
      <w:bookmarkEnd w:id="235"/>
      <w:bookmarkEnd w:id="236"/>
      <w:r w:rsidRPr="00450F9A">
        <w:t xml:space="preserve"> and renal toxicity</w:t>
      </w:r>
      <w:bookmarkEnd w:id="237"/>
      <w:bookmarkEnd w:id="238"/>
    </w:p>
    <w:p w14:paraId="195786E9" w14:textId="6A4A7C67" w:rsidR="00450F9A" w:rsidRPr="00450F9A" w:rsidRDefault="00450F9A" w:rsidP="0014145D">
      <w:pPr>
        <w:pStyle w:val="Heading5"/>
        <w:rPr>
          <w:lang w:eastAsia="ja-JP"/>
        </w:rPr>
      </w:pPr>
      <w:r w:rsidRPr="00450F9A">
        <w:rPr>
          <w:lang w:eastAsia="ja-JP"/>
        </w:rPr>
        <w:t xml:space="preserve">Integrated safety analyses </w:t>
      </w:r>
    </w:p>
    <w:p w14:paraId="0E54E673" w14:textId="58C663B8" w:rsidR="00450F9A" w:rsidRPr="00450F9A" w:rsidRDefault="00450F9A" w:rsidP="00450F9A">
      <w:pPr>
        <w:rPr>
          <w:lang w:eastAsia="ja-JP"/>
        </w:rPr>
      </w:pPr>
      <w:r w:rsidRPr="00450F9A">
        <w:rPr>
          <w:lang w:eastAsia="ja-JP"/>
        </w:rPr>
        <w:t>No new information was included in the Summary of Clin</w:t>
      </w:r>
      <w:r w:rsidR="0014145D">
        <w:rPr>
          <w:lang w:eastAsia="ja-JP"/>
        </w:rPr>
        <w:t>ical Safety Addendum (IDegAsp).</w:t>
      </w:r>
    </w:p>
    <w:p w14:paraId="6A197E99" w14:textId="77777777" w:rsidR="00450F9A" w:rsidRPr="00450F9A" w:rsidRDefault="00450F9A" w:rsidP="0014145D">
      <w:pPr>
        <w:pStyle w:val="Heading4"/>
      </w:pPr>
      <w:bookmarkStart w:id="239" w:name="_Toc272414671"/>
      <w:bookmarkStart w:id="240" w:name="_Toc290888535"/>
      <w:bookmarkStart w:id="241" w:name="_Toc416353751"/>
      <w:bookmarkStart w:id="242" w:name="_Toc421005294"/>
      <w:bookmarkStart w:id="243" w:name="_Toc432079171"/>
      <w:bookmarkStart w:id="244" w:name="_Toc432080744"/>
      <w:r w:rsidRPr="00450F9A">
        <w:t>Other clinical chemistry</w:t>
      </w:r>
      <w:bookmarkEnd w:id="239"/>
      <w:bookmarkEnd w:id="240"/>
      <w:bookmarkEnd w:id="241"/>
      <w:bookmarkEnd w:id="242"/>
      <w:bookmarkEnd w:id="243"/>
      <w:bookmarkEnd w:id="244"/>
    </w:p>
    <w:p w14:paraId="6F1AB5F4" w14:textId="22E91536" w:rsidR="00450F9A" w:rsidRPr="00450F9A" w:rsidRDefault="0014145D" w:rsidP="0014145D">
      <w:pPr>
        <w:pStyle w:val="Heading5"/>
        <w:rPr>
          <w:lang w:eastAsia="ja-JP"/>
        </w:rPr>
      </w:pPr>
      <w:r>
        <w:rPr>
          <w:lang w:eastAsia="ja-JP"/>
        </w:rPr>
        <w:t xml:space="preserve">Integrated safety analyses </w:t>
      </w:r>
    </w:p>
    <w:p w14:paraId="56781998" w14:textId="0EF319EF" w:rsidR="00450F9A" w:rsidRPr="00450F9A" w:rsidRDefault="00450F9A" w:rsidP="00450F9A">
      <w:pPr>
        <w:rPr>
          <w:lang w:eastAsia="ja-JP"/>
        </w:rPr>
      </w:pPr>
      <w:r w:rsidRPr="00450F9A">
        <w:rPr>
          <w:lang w:eastAsia="ja-JP"/>
        </w:rPr>
        <w:t>No new information was included in the Summary of Clin</w:t>
      </w:r>
      <w:bookmarkStart w:id="245" w:name="_Toc272414672"/>
      <w:bookmarkStart w:id="246" w:name="_Toc290888536"/>
      <w:bookmarkStart w:id="247" w:name="_Toc416353752"/>
      <w:bookmarkStart w:id="248" w:name="_Toc421005295"/>
      <w:bookmarkStart w:id="249" w:name="_Toc432079172"/>
      <w:bookmarkStart w:id="250" w:name="_Toc432080745"/>
      <w:r w:rsidR="0014145D">
        <w:rPr>
          <w:lang w:eastAsia="ja-JP"/>
        </w:rPr>
        <w:t>ical Safety Addendum (IDegAsp).</w:t>
      </w:r>
    </w:p>
    <w:p w14:paraId="587ABC5A" w14:textId="77777777" w:rsidR="00450F9A" w:rsidRPr="00450F9A" w:rsidRDefault="00450F9A" w:rsidP="0014145D">
      <w:pPr>
        <w:pStyle w:val="Heading4"/>
      </w:pPr>
      <w:r w:rsidRPr="00450F9A">
        <w:t>Haematology</w:t>
      </w:r>
      <w:bookmarkEnd w:id="245"/>
      <w:bookmarkEnd w:id="246"/>
      <w:bookmarkEnd w:id="247"/>
      <w:bookmarkEnd w:id="248"/>
      <w:r w:rsidRPr="00450F9A">
        <w:t xml:space="preserve"> and haematological toxicity</w:t>
      </w:r>
      <w:bookmarkEnd w:id="249"/>
      <w:bookmarkEnd w:id="250"/>
    </w:p>
    <w:p w14:paraId="7798A441" w14:textId="1914284C" w:rsidR="00450F9A" w:rsidRPr="00450F9A" w:rsidRDefault="00450F9A" w:rsidP="0014145D">
      <w:pPr>
        <w:pStyle w:val="Heading5"/>
        <w:rPr>
          <w:lang w:eastAsia="ja-JP"/>
        </w:rPr>
      </w:pPr>
      <w:r w:rsidRPr="00450F9A">
        <w:rPr>
          <w:lang w:eastAsia="ja-JP"/>
        </w:rPr>
        <w:t xml:space="preserve">Integrated safety analyses </w:t>
      </w:r>
    </w:p>
    <w:p w14:paraId="35E25078" w14:textId="77777777" w:rsidR="00450F9A" w:rsidRPr="00450F9A" w:rsidRDefault="00450F9A" w:rsidP="00450F9A">
      <w:pPr>
        <w:rPr>
          <w:lang w:eastAsia="ja-JP"/>
        </w:rPr>
      </w:pPr>
      <w:bookmarkStart w:id="251" w:name="_Toc272414674"/>
      <w:bookmarkStart w:id="252" w:name="_Toc290888538"/>
      <w:bookmarkStart w:id="253" w:name="_Toc416353753"/>
      <w:bookmarkStart w:id="254" w:name="_Toc421005296"/>
      <w:bookmarkStart w:id="255" w:name="_Toc432079173"/>
      <w:bookmarkStart w:id="256" w:name="_Toc432080746"/>
      <w:r w:rsidRPr="00450F9A">
        <w:rPr>
          <w:lang w:eastAsia="ja-JP"/>
        </w:rPr>
        <w:t>No specific information was included in the Summary of Clinical Safety Addendum (IDegAsp).</w:t>
      </w:r>
    </w:p>
    <w:p w14:paraId="19EC84D0" w14:textId="65CD1FCE" w:rsidR="00450F9A" w:rsidRPr="00450F9A" w:rsidRDefault="00450F9A" w:rsidP="00450F9A">
      <w:pPr>
        <w:rPr>
          <w:lang w:eastAsia="ja-JP"/>
        </w:rPr>
      </w:pPr>
      <w:r w:rsidRPr="00450F9A">
        <w:rPr>
          <w:lang w:eastAsia="ja-JP"/>
        </w:rPr>
        <w:t>It is noted that 3 adverse events of preferred term ‘thrombocytop</w:t>
      </w:r>
      <w:r w:rsidR="0014145D">
        <w:rPr>
          <w:lang w:eastAsia="ja-JP"/>
        </w:rPr>
        <w:t>a</w:t>
      </w:r>
      <w:r w:rsidRPr="00450F9A">
        <w:rPr>
          <w:lang w:eastAsia="ja-JP"/>
        </w:rPr>
        <w:t>enia’ were reported, including 2 on the IDegAsp group, however none were considered t</w:t>
      </w:r>
      <w:r w:rsidR="0014145D">
        <w:rPr>
          <w:lang w:eastAsia="ja-JP"/>
        </w:rPr>
        <w:t>o be related to the study drug.</w:t>
      </w:r>
    </w:p>
    <w:p w14:paraId="21AFE2ED" w14:textId="77777777" w:rsidR="00450F9A" w:rsidRPr="00450F9A" w:rsidRDefault="00450F9A" w:rsidP="0014145D">
      <w:pPr>
        <w:pStyle w:val="Heading4"/>
      </w:pPr>
      <w:r w:rsidRPr="00450F9A">
        <w:t>Other laboratory test</w:t>
      </w:r>
      <w:bookmarkEnd w:id="251"/>
      <w:bookmarkEnd w:id="252"/>
      <w:bookmarkEnd w:id="253"/>
      <w:bookmarkEnd w:id="254"/>
      <w:bookmarkEnd w:id="255"/>
      <w:bookmarkEnd w:id="256"/>
      <w:r w:rsidRPr="00450F9A">
        <w:t>s</w:t>
      </w:r>
    </w:p>
    <w:p w14:paraId="73A15CE2" w14:textId="2B5154E9" w:rsidR="00450F9A" w:rsidRPr="00450F9A" w:rsidRDefault="00450F9A" w:rsidP="0014145D">
      <w:pPr>
        <w:pStyle w:val="Heading5"/>
        <w:rPr>
          <w:lang w:eastAsia="ja-JP"/>
        </w:rPr>
      </w:pPr>
      <w:r w:rsidRPr="00450F9A">
        <w:rPr>
          <w:lang w:eastAsia="ja-JP"/>
        </w:rPr>
        <w:t xml:space="preserve">Integrated safety analyses </w:t>
      </w:r>
    </w:p>
    <w:p w14:paraId="7FEC95DA" w14:textId="77AD5D7B" w:rsidR="00450F9A" w:rsidRPr="00450F9A" w:rsidRDefault="00450F9A" w:rsidP="00450F9A">
      <w:pPr>
        <w:rPr>
          <w:lang w:eastAsia="ja-JP"/>
        </w:rPr>
      </w:pPr>
      <w:r w:rsidRPr="00450F9A">
        <w:rPr>
          <w:lang w:eastAsia="ja-JP"/>
        </w:rPr>
        <w:t>No specific information was included in the Summary of Clin</w:t>
      </w:r>
      <w:r w:rsidR="0014145D">
        <w:rPr>
          <w:lang w:eastAsia="ja-JP"/>
        </w:rPr>
        <w:t>ical Safety Addendum (IDegAsp).</w:t>
      </w:r>
    </w:p>
    <w:p w14:paraId="323DD9F6" w14:textId="77777777" w:rsidR="00450F9A" w:rsidRPr="00450F9A" w:rsidRDefault="00450F9A" w:rsidP="0014145D">
      <w:pPr>
        <w:pStyle w:val="Heading4"/>
      </w:pPr>
      <w:bookmarkStart w:id="257" w:name="_Toc272414675"/>
      <w:bookmarkStart w:id="258" w:name="_Toc290888539"/>
      <w:bookmarkStart w:id="259" w:name="_Toc416353754"/>
      <w:bookmarkStart w:id="260" w:name="_Toc421005297"/>
      <w:bookmarkStart w:id="261" w:name="_Toc432079174"/>
      <w:bookmarkStart w:id="262" w:name="_Toc432080747"/>
      <w:r w:rsidRPr="00450F9A">
        <w:t>Electrocardiograph</w:t>
      </w:r>
      <w:bookmarkEnd w:id="257"/>
      <w:bookmarkEnd w:id="258"/>
      <w:bookmarkEnd w:id="259"/>
      <w:bookmarkEnd w:id="260"/>
      <w:r w:rsidRPr="00450F9A">
        <w:t xml:space="preserve"> findings and cardiovascular safety</w:t>
      </w:r>
      <w:bookmarkEnd w:id="261"/>
      <w:bookmarkEnd w:id="262"/>
    </w:p>
    <w:p w14:paraId="09DF7F52" w14:textId="6A3348A2" w:rsidR="00450F9A" w:rsidRPr="00450F9A" w:rsidRDefault="00450F9A" w:rsidP="0014145D">
      <w:pPr>
        <w:pStyle w:val="Heading5"/>
        <w:rPr>
          <w:lang w:eastAsia="ja-JP"/>
        </w:rPr>
      </w:pPr>
      <w:r w:rsidRPr="00450F9A">
        <w:rPr>
          <w:lang w:eastAsia="ja-JP"/>
        </w:rPr>
        <w:t xml:space="preserve">Integrated safety analyses </w:t>
      </w:r>
    </w:p>
    <w:p w14:paraId="5E24352B" w14:textId="1BFEF85B" w:rsidR="00450F9A" w:rsidRPr="00450F9A" w:rsidRDefault="00450F9A" w:rsidP="00450F9A">
      <w:pPr>
        <w:rPr>
          <w:lang w:eastAsia="ja-JP"/>
        </w:rPr>
      </w:pPr>
      <w:r w:rsidRPr="00450F9A">
        <w:rPr>
          <w:lang w:eastAsia="ja-JP"/>
        </w:rPr>
        <w:t>For the integrated analysis presented in the Summary of Clinical Safety Addendum, the definition of Major Adverse Cardiovascular Events (MACE) includes events of acute coronary syndrome (ACS) including unstable angina, stroke or cardiovascular death. This is in comparison to the dedicated cardiovascular outcomes trial reported for the dedicated cardiovascular outcomes trial (</w:t>
      </w:r>
      <w:r w:rsidR="0014145D">
        <w:rPr>
          <w:lang w:eastAsia="ja-JP"/>
        </w:rPr>
        <w:t>see Section 7.2</w:t>
      </w:r>
      <w:r w:rsidR="003E7221">
        <w:rPr>
          <w:lang w:eastAsia="ja-JP"/>
        </w:rPr>
        <w:t xml:space="preserve"> above</w:t>
      </w:r>
      <w:r w:rsidR="0014145D">
        <w:rPr>
          <w:lang w:eastAsia="ja-JP"/>
        </w:rPr>
        <w:t xml:space="preserve">), the </w:t>
      </w:r>
      <w:r w:rsidR="00682C63">
        <w:rPr>
          <w:lang w:eastAsia="ja-JP"/>
        </w:rPr>
        <w:t>DEVOTE</w:t>
      </w:r>
      <w:r w:rsidRPr="00450F9A">
        <w:rPr>
          <w:lang w:eastAsia="ja-JP"/>
        </w:rPr>
        <w:t xml:space="preserve"> </w:t>
      </w:r>
      <w:r w:rsidR="0014145D">
        <w:rPr>
          <w:lang w:eastAsia="ja-JP"/>
        </w:rPr>
        <w:t xml:space="preserve">trial </w:t>
      </w:r>
      <w:r w:rsidRPr="00450F9A">
        <w:rPr>
          <w:lang w:eastAsia="ja-JP"/>
        </w:rPr>
        <w:t>which does not include unstable angina pectoris. Therefore</w:t>
      </w:r>
      <w:r w:rsidR="0014145D">
        <w:rPr>
          <w:lang w:eastAsia="ja-JP"/>
        </w:rPr>
        <w:t>,</w:t>
      </w:r>
      <w:r w:rsidRPr="00450F9A">
        <w:rPr>
          <w:lang w:eastAsia="ja-JP"/>
        </w:rPr>
        <w:t xml:space="preserve"> to distinguish this different definition, the MACE for the integrated safety analysis wi</w:t>
      </w:r>
      <w:r w:rsidR="0014145D">
        <w:rPr>
          <w:lang w:eastAsia="ja-JP"/>
        </w:rPr>
        <w:t>ll be designated as MACE (ISA).</w:t>
      </w:r>
    </w:p>
    <w:p w14:paraId="2E189E4B" w14:textId="42F7FA51" w:rsidR="00450F9A" w:rsidRPr="00450F9A" w:rsidRDefault="00450F9A" w:rsidP="00450F9A">
      <w:pPr>
        <w:rPr>
          <w:lang w:eastAsia="ja-JP"/>
        </w:rPr>
      </w:pPr>
      <w:r w:rsidRPr="00450F9A">
        <w:rPr>
          <w:lang w:eastAsia="ja-JP"/>
        </w:rPr>
        <w:t>Pooled data for IDegAsp and IDeg was presented in Summary of Clinical Safety Addendum in terms of cardiovascular data and it is the same which was presented for in the Summary of Clinical Safety Addendum IDeg</w:t>
      </w:r>
      <w:r w:rsidR="0014145D">
        <w:rPr>
          <w:lang w:eastAsia="ja-JP"/>
        </w:rPr>
        <w:t>.</w:t>
      </w:r>
      <w:r w:rsidRPr="00450F9A">
        <w:rPr>
          <w:lang w:eastAsia="ja-JP"/>
        </w:rPr>
        <w:t xml:space="preserve"> </w:t>
      </w:r>
      <w:r w:rsidR="003E7221" w:rsidRPr="003E7221">
        <w:rPr>
          <w:lang w:eastAsia="ja-JP"/>
        </w:rPr>
        <w:t>Please refer to section 7.5</w:t>
      </w:r>
      <w:r w:rsidRPr="003E7221">
        <w:rPr>
          <w:lang w:eastAsia="ja-JP"/>
        </w:rPr>
        <w:t xml:space="preserve"> in the </w:t>
      </w:r>
      <w:r w:rsidR="003E7221" w:rsidRPr="003E7221">
        <w:rPr>
          <w:lang w:eastAsia="ja-JP"/>
        </w:rPr>
        <w:t xml:space="preserve">Tresiba </w:t>
      </w:r>
      <w:r w:rsidRPr="003E7221">
        <w:rPr>
          <w:lang w:eastAsia="ja-JP"/>
        </w:rPr>
        <w:t>IDeg CER</w:t>
      </w:r>
      <w:r w:rsidR="003E7221" w:rsidRPr="003E7221">
        <w:rPr>
          <w:lang w:eastAsia="ja-JP"/>
        </w:rPr>
        <w:t xml:space="preserve"> [available as Attachment 2 of the Tresiba submission].</w:t>
      </w:r>
      <w:r w:rsidR="003E7221" w:rsidRPr="003E7221">
        <w:rPr>
          <w:vertAlign w:val="superscript"/>
          <w:lang w:eastAsia="ja-JP"/>
        </w:rPr>
        <w:fldChar w:fldCharType="begin"/>
      </w:r>
      <w:r w:rsidR="003E7221" w:rsidRPr="003E7221">
        <w:rPr>
          <w:vertAlign w:val="superscript"/>
          <w:lang w:eastAsia="ja-JP"/>
        </w:rPr>
        <w:instrText xml:space="preserve"> NOTEREF _Ref511595014 \h  \* MERGEFORMAT </w:instrText>
      </w:r>
      <w:r w:rsidR="003E7221" w:rsidRPr="003E7221">
        <w:rPr>
          <w:vertAlign w:val="superscript"/>
          <w:lang w:eastAsia="ja-JP"/>
        </w:rPr>
      </w:r>
      <w:r w:rsidR="003E7221" w:rsidRPr="003E7221">
        <w:rPr>
          <w:vertAlign w:val="superscript"/>
          <w:lang w:eastAsia="ja-JP"/>
        </w:rPr>
        <w:fldChar w:fldCharType="separate"/>
      </w:r>
      <w:r w:rsidR="00090E68">
        <w:rPr>
          <w:vertAlign w:val="superscript"/>
          <w:lang w:eastAsia="ja-JP"/>
        </w:rPr>
        <w:t>1</w:t>
      </w:r>
      <w:r w:rsidR="003E7221" w:rsidRPr="003E7221">
        <w:rPr>
          <w:vertAlign w:val="superscript"/>
          <w:lang w:eastAsia="ja-JP"/>
        </w:rPr>
        <w:fldChar w:fldCharType="end"/>
      </w:r>
    </w:p>
    <w:p w14:paraId="017D7DC3" w14:textId="253B227D" w:rsidR="00450F9A" w:rsidRPr="00450F9A" w:rsidRDefault="00450F9A" w:rsidP="00450F9A">
      <w:pPr>
        <w:rPr>
          <w:lang w:eastAsia="ja-JP"/>
        </w:rPr>
      </w:pPr>
      <w:r w:rsidRPr="00450F9A">
        <w:rPr>
          <w:lang w:eastAsia="ja-JP"/>
        </w:rPr>
        <w:t>In terms of the IDegAsp specific data, the EAC evaluated 62 events (4.4 events per 100 subject years of exposure) in the IDegAsp group and 30 events (3.7 events per 100 subject years of exp</w:t>
      </w:r>
      <w:r w:rsidR="00D0034E">
        <w:rPr>
          <w:lang w:eastAsia="ja-JP"/>
        </w:rPr>
        <w:t>osure) in the comparator group.</w:t>
      </w:r>
    </w:p>
    <w:p w14:paraId="464E6580" w14:textId="25FC4313" w:rsidR="00450F9A" w:rsidRPr="00450F9A" w:rsidRDefault="00450F9A" w:rsidP="00450F9A">
      <w:pPr>
        <w:rPr>
          <w:lang w:eastAsia="ja-JP"/>
        </w:rPr>
      </w:pPr>
      <w:r w:rsidRPr="00450F9A">
        <w:rPr>
          <w:lang w:eastAsia="ja-JP"/>
        </w:rPr>
        <w:lastRenderedPageBreak/>
        <w:t xml:space="preserve">A numerically higher rate of </w:t>
      </w:r>
      <w:proofErr w:type="gramStart"/>
      <w:r w:rsidRPr="00450F9A">
        <w:rPr>
          <w:lang w:eastAsia="ja-JP"/>
        </w:rPr>
        <w:t>MACE(</w:t>
      </w:r>
      <w:proofErr w:type="gramEnd"/>
      <w:r w:rsidRPr="00450F9A">
        <w:rPr>
          <w:lang w:eastAsia="ja-JP"/>
        </w:rPr>
        <w:t>ISA) was seen on the IDegAsp group (1.9 per 100 subject years of exposure) compared to comparator group (1.5), however the difference is small. Data for MACEs assessed as possibly or probably related to trial product were not presented for the IDegAsp group only.</w:t>
      </w:r>
    </w:p>
    <w:p w14:paraId="262ABA52" w14:textId="41E1AEE4" w:rsidR="00450F9A" w:rsidRPr="00450F9A" w:rsidRDefault="00450F9A" w:rsidP="00450F9A">
      <w:pPr>
        <w:rPr>
          <w:lang w:eastAsia="ja-JP"/>
        </w:rPr>
      </w:pPr>
      <w:r w:rsidRPr="00450F9A">
        <w:rPr>
          <w:lang w:eastAsia="ja-JP"/>
        </w:rPr>
        <w:t>No new information regarding electrocardiograph findings was included in the Summary of Clin</w:t>
      </w:r>
      <w:r w:rsidR="00840A32">
        <w:rPr>
          <w:lang w:eastAsia="ja-JP"/>
        </w:rPr>
        <w:t>ical Safety Addendum (IDegAsp).</w:t>
      </w:r>
      <w:bookmarkStart w:id="263" w:name="_Toc272414676"/>
      <w:bookmarkStart w:id="264" w:name="_Toc290888540"/>
      <w:bookmarkStart w:id="265" w:name="_Toc416353755"/>
      <w:bookmarkStart w:id="266" w:name="_Toc421005298"/>
      <w:bookmarkStart w:id="267" w:name="_Toc432079175"/>
      <w:bookmarkStart w:id="268" w:name="_Toc432080748"/>
    </w:p>
    <w:p w14:paraId="503AA631" w14:textId="77777777" w:rsidR="00450F9A" w:rsidRPr="00450F9A" w:rsidRDefault="00450F9A" w:rsidP="00840A32">
      <w:pPr>
        <w:pStyle w:val="Heading4"/>
      </w:pPr>
      <w:r w:rsidRPr="00450F9A">
        <w:t>Vital signs</w:t>
      </w:r>
      <w:bookmarkEnd w:id="263"/>
      <w:bookmarkEnd w:id="264"/>
      <w:bookmarkEnd w:id="265"/>
      <w:bookmarkEnd w:id="266"/>
      <w:r w:rsidRPr="00450F9A">
        <w:t xml:space="preserve"> and clinical examination findings</w:t>
      </w:r>
      <w:bookmarkEnd w:id="267"/>
      <w:bookmarkEnd w:id="268"/>
    </w:p>
    <w:p w14:paraId="75068DCC" w14:textId="4C764E76" w:rsidR="00450F9A" w:rsidRPr="00450F9A" w:rsidRDefault="00450F9A" w:rsidP="00840A32">
      <w:pPr>
        <w:pStyle w:val="Heading5"/>
        <w:rPr>
          <w:lang w:eastAsia="ja-JP"/>
        </w:rPr>
      </w:pPr>
      <w:r w:rsidRPr="00450F9A">
        <w:rPr>
          <w:lang w:eastAsia="ja-JP"/>
        </w:rPr>
        <w:t xml:space="preserve">Integrated safety analyses </w:t>
      </w:r>
    </w:p>
    <w:p w14:paraId="5D83060C" w14:textId="20B3D5B3" w:rsidR="00450F9A" w:rsidRPr="00450F9A" w:rsidRDefault="00450F9A" w:rsidP="00450F9A">
      <w:pPr>
        <w:rPr>
          <w:lang w:eastAsia="ja-JP"/>
        </w:rPr>
      </w:pPr>
      <w:r w:rsidRPr="00450F9A">
        <w:rPr>
          <w:lang w:eastAsia="ja-JP"/>
        </w:rPr>
        <w:t>No specific information was included in the Summary of Clin</w:t>
      </w:r>
      <w:r w:rsidR="00840A32">
        <w:rPr>
          <w:lang w:eastAsia="ja-JP"/>
        </w:rPr>
        <w:t>ical Safety Addendum (IDegAsp).</w:t>
      </w:r>
    </w:p>
    <w:p w14:paraId="068BF000" w14:textId="77777777" w:rsidR="00450F9A" w:rsidRPr="00450F9A" w:rsidRDefault="00450F9A" w:rsidP="00840A32">
      <w:pPr>
        <w:pStyle w:val="Heading4"/>
      </w:pPr>
      <w:bookmarkStart w:id="269" w:name="_Toc432079176"/>
      <w:bookmarkStart w:id="270" w:name="_Toc432080749"/>
      <w:r w:rsidRPr="00450F9A">
        <w:t>Immunogenicity and immunological events</w:t>
      </w:r>
      <w:bookmarkEnd w:id="269"/>
      <w:bookmarkEnd w:id="270"/>
    </w:p>
    <w:p w14:paraId="4182EA38" w14:textId="711E0EAB" w:rsidR="00450F9A" w:rsidRPr="00450F9A" w:rsidRDefault="00450F9A" w:rsidP="00840A32">
      <w:pPr>
        <w:pStyle w:val="Heading5"/>
        <w:rPr>
          <w:lang w:eastAsia="ja-JP"/>
        </w:rPr>
      </w:pPr>
      <w:r w:rsidRPr="00450F9A">
        <w:rPr>
          <w:lang w:eastAsia="ja-JP"/>
        </w:rPr>
        <w:t xml:space="preserve">Integrated safety analyses </w:t>
      </w:r>
    </w:p>
    <w:p w14:paraId="5660455A" w14:textId="746B7997" w:rsidR="00450F9A" w:rsidRPr="00450F9A" w:rsidRDefault="00450F9A" w:rsidP="00450F9A">
      <w:pPr>
        <w:rPr>
          <w:lang w:eastAsia="ja-JP"/>
        </w:rPr>
      </w:pPr>
      <w:r w:rsidRPr="00450F9A">
        <w:rPr>
          <w:lang w:eastAsia="ja-JP"/>
        </w:rPr>
        <w:t>Only pooled data for IDegAsp and IDeg was presented in Summary of Clinical Safety Addendum and it is the same which was presented in the Summary of Clinical Safety Addendum for IDeg</w:t>
      </w:r>
      <w:r w:rsidR="003E7221">
        <w:rPr>
          <w:lang w:eastAsia="ja-JP"/>
        </w:rPr>
        <w:t xml:space="preserve">. </w:t>
      </w:r>
      <w:r w:rsidR="003E7221" w:rsidRPr="003E7221">
        <w:rPr>
          <w:lang w:eastAsia="ja-JP"/>
        </w:rPr>
        <w:t>P</w:t>
      </w:r>
      <w:r w:rsidR="003E7221">
        <w:rPr>
          <w:lang w:eastAsia="ja-JP"/>
        </w:rPr>
        <w:t>lease refer to S</w:t>
      </w:r>
      <w:r w:rsidR="003E7221" w:rsidRPr="003E7221">
        <w:rPr>
          <w:lang w:eastAsia="ja-JP"/>
        </w:rPr>
        <w:t xml:space="preserve">ection </w:t>
      </w:r>
      <w:r w:rsidR="003E7221">
        <w:rPr>
          <w:lang w:eastAsia="ja-JP"/>
        </w:rPr>
        <w:t xml:space="preserve">7.4 of </w:t>
      </w:r>
      <w:r w:rsidR="003E7221" w:rsidRPr="003E7221">
        <w:rPr>
          <w:lang w:eastAsia="ja-JP"/>
        </w:rPr>
        <w:t>the Tresiba IDeg CER [available as Attachment 2 of the Tresiba submission].</w:t>
      </w:r>
      <w:r w:rsidR="003E7221" w:rsidRPr="003E7221">
        <w:rPr>
          <w:vertAlign w:val="superscript"/>
          <w:lang w:eastAsia="ja-JP"/>
        </w:rPr>
        <w:fldChar w:fldCharType="begin"/>
      </w:r>
      <w:r w:rsidR="003E7221" w:rsidRPr="003E7221">
        <w:rPr>
          <w:vertAlign w:val="superscript"/>
          <w:lang w:eastAsia="ja-JP"/>
        </w:rPr>
        <w:instrText xml:space="preserve"> NOTEREF _Ref511595014 \h  \* MERGEFORMAT </w:instrText>
      </w:r>
      <w:r w:rsidR="003E7221" w:rsidRPr="003E7221">
        <w:rPr>
          <w:vertAlign w:val="superscript"/>
          <w:lang w:eastAsia="ja-JP"/>
        </w:rPr>
      </w:r>
      <w:r w:rsidR="003E7221" w:rsidRPr="003E7221">
        <w:rPr>
          <w:vertAlign w:val="superscript"/>
          <w:lang w:eastAsia="ja-JP"/>
        </w:rPr>
        <w:fldChar w:fldCharType="separate"/>
      </w:r>
      <w:r w:rsidR="00090E68">
        <w:rPr>
          <w:vertAlign w:val="superscript"/>
          <w:lang w:eastAsia="ja-JP"/>
        </w:rPr>
        <w:t>1</w:t>
      </w:r>
      <w:r w:rsidR="003E7221" w:rsidRPr="003E7221">
        <w:rPr>
          <w:vertAlign w:val="superscript"/>
          <w:lang w:eastAsia="ja-JP"/>
        </w:rPr>
        <w:fldChar w:fldCharType="end"/>
      </w:r>
      <w:r w:rsidR="003E7221">
        <w:rPr>
          <w:lang w:eastAsia="ja-JP"/>
        </w:rPr>
        <w:t xml:space="preserve"> </w:t>
      </w:r>
      <w:r w:rsidRPr="00450F9A">
        <w:rPr>
          <w:lang w:eastAsia="ja-JP"/>
        </w:rPr>
        <w:t xml:space="preserve">It is noted that for this pooled data, overall rates of immunogenicity related AEs, including those assessed to be possibly or probably related to study drug, occurred at a similar rate in the IDeg+IDegAsp group and the comparator group. </w:t>
      </w:r>
    </w:p>
    <w:p w14:paraId="3DD52F3B" w14:textId="474B7E70" w:rsidR="00450F9A" w:rsidRPr="00450F9A" w:rsidRDefault="00450F9A" w:rsidP="00450F9A">
      <w:pPr>
        <w:rPr>
          <w:lang w:eastAsia="ja-JP"/>
        </w:rPr>
      </w:pPr>
      <w:r w:rsidRPr="00450F9A">
        <w:rPr>
          <w:lang w:eastAsia="ja-JP"/>
        </w:rPr>
        <w:t>Relating to the narrow and narrow</w:t>
      </w:r>
      <w:r w:rsidR="000A5967">
        <w:rPr>
          <w:lang w:eastAsia="ja-JP"/>
        </w:rPr>
        <w:t xml:space="preserve"> + </w:t>
      </w:r>
      <w:r w:rsidRPr="00450F9A">
        <w:rPr>
          <w:lang w:eastAsia="ja-JP"/>
        </w:rPr>
        <w:t>broad scope searches completed, the sponsor has stated that the outcomes seen for immunogenicity in patients with T1DM and T2DM and the IDegAsp trials only was similar to that seen in the pooled data however no data was available to clarify this.</w:t>
      </w:r>
    </w:p>
    <w:p w14:paraId="3681D283" w14:textId="77777777" w:rsidR="00450F9A" w:rsidRPr="00450F9A" w:rsidRDefault="00450F9A" w:rsidP="000A5967">
      <w:pPr>
        <w:pStyle w:val="Heading4"/>
      </w:pPr>
      <w:bookmarkStart w:id="271" w:name="_Toc432079177"/>
      <w:bookmarkStart w:id="272" w:name="_Toc432080750"/>
      <w:r w:rsidRPr="00450F9A">
        <w:t>Serious skin reactions</w:t>
      </w:r>
      <w:bookmarkEnd w:id="271"/>
      <w:bookmarkEnd w:id="272"/>
    </w:p>
    <w:p w14:paraId="2D75AA88" w14:textId="244F5CAA" w:rsidR="00450F9A" w:rsidRPr="00450F9A" w:rsidRDefault="00450F9A" w:rsidP="000A5967">
      <w:pPr>
        <w:pStyle w:val="Heading5"/>
        <w:rPr>
          <w:lang w:eastAsia="ja-JP"/>
        </w:rPr>
      </w:pPr>
      <w:r w:rsidRPr="00450F9A">
        <w:rPr>
          <w:lang w:eastAsia="ja-JP"/>
        </w:rPr>
        <w:t xml:space="preserve">Integrated safety analyses </w:t>
      </w:r>
    </w:p>
    <w:p w14:paraId="161BED10" w14:textId="77777777" w:rsidR="00450F9A" w:rsidRPr="00450F9A" w:rsidRDefault="00450F9A" w:rsidP="00450F9A">
      <w:pPr>
        <w:rPr>
          <w:lang w:eastAsia="ja-JP"/>
        </w:rPr>
      </w:pPr>
      <w:bookmarkStart w:id="273" w:name="_Toc272414678"/>
      <w:bookmarkStart w:id="274" w:name="_Toc290888542"/>
      <w:bookmarkStart w:id="275" w:name="_Toc416353757"/>
      <w:bookmarkStart w:id="276" w:name="_Toc421005300"/>
      <w:bookmarkStart w:id="277" w:name="_Toc432079178"/>
      <w:bookmarkStart w:id="278" w:name="_Toc432080751"/>
      <w:r w:rsidRPr="00450F9A">
        <w:rPr>
          <w:lang w:eastAsia="ja-JP"/>
        </w:rPr>
        <w:t>No specific information was included in the Summary of Clinical Safety Addendum (IDegAsp).</w:t>
      </w:r>
    </w:p>
    <w:p w14:paraId="7D5D8DF4" w14:textId="1BFAFB66" w:rsidR="00450F9A" w:rsidRPr="00450F9A" w:rsidRDefault="00450F9A" w:rsidP="00450F9A">
      <w:pPr>
        <w:rPr>
          <w:lang w:eastAsia="ja-JP"/>
        </w:rPr>
      </w:pPr>
      <w:r w:rsidRPr="00450F9A">
        <w:rPr>
          <w:lang w:eastAsia="ja-JP"/>
        </w:rPr>
        <w:t xml:space="preserve">It is noted that </w:t>
      </w:r>
      <w:r w:rsidR="000A5967">
        <w:rPr>
          <w:lang w:eastAsia="ja-JP"/>
        </w:rPr>
        <w:t>2</w:t>
      </w:r>
      <w:r w:rsidRPr="00450F9A">
        <w:rPr>
          <w:lang w:eastAsia="ja-JP"/>
        </w:rPr>
        <w:t xml:space="preserve"> adverse events of photosensitivity reaction</w:t>
      </w:r>
      <w:r w:rsidR="000A5967">
        <w:rPr>
          <w:lang w:eastAsia="ja-JP"/>
        </w:rPr>
        <w:t xml:space="preserve"> was reported in the completed Phase III</w:t>
      </w:r>
      <w:r w:rsidRPr="00450F9A">
        <w:rPr>
          <w:lang w:eastAsia="ja-JP"/>
        </w:rPr>
        <w:t xml:space="preserve"> trials for IDegAsp</w:t>
      </w:r>
      <w:r w:rsidR="000A5967">
        <w:rPr>
          <w:lang w:eastAsia="ja-JP"/>
        </w:rPr>
        <w:t>,</w:t>
      </w:r>
      <w:r w:rsidR="00D44164">
        <w:rPr>
          <w:lang w:eastAsia="ja-JP"/>
        </w:rPr>
        <w:t xml:space="preserve"> 1</w:t>
      </w:r>
      <w:r w:rsidRPr="00450F9A">
        <w:rPr>
          <w:lang w:eastAsia="ja-JP"/>
        </w:rPr>
        <w:t xml:space="preserve"> each on I</w:t>
      </w:r>
      <w:r w:rsidR="000A5967">
        <w:rPr>
          <w:lang w:eastAsia="ja-JP"/>
        </w:rPr>
        <w:t xml:space="preserve">DegAsp and the comparator group, </w:t>
      </w:r>
      <w:r w:rsidRPr="00450F9A">
        <w:rPr>
          <w:lang w:eastAsia="ja-JP"/>
        </w:rPr>
        <w:t>but neither were considered to be possibly or probably related to the study drug.</w:t>
      </w:r>
    </w:p>
    <w:p w14:paraId="091BBA09" w14:textId="77777777" w:rsidR="00450F9A" w:rsidRPr="00450F9A" w:rsidRDefault="00450F9A" w:rsidP="000A5967">
      <w:pPr>
        <w:pStyle w:val="Heading4"/>
      </w:pPr>
      <w:r w:rsidRPr="00450F9A">
        <w:t>Neoplasms</w:t>
      </w:r>
    </w:p>
    <w:p w14:paraId="07BCB06F" w14:textId="6549C601" w:rsidR="00450F9A" w:rsidRPr="00450F9A" w:rsidRDefault="000A5967" w:rsidP="000A5967">
      <w:pPr>
        <w:pStyle w:val="Heading5"/>
        <w:rPr>
          <w:lang w:eastAsia="ja-JP"/>
        </w:rPr>
      </w:pPr>
      <w:r>
        <w:rPr>
          <w:lang w:eastAsia="ja-JP"/>
        </w:rPr>
        <w:t xml:space="preserve">Integrated safety analysis </w:t>
      </w:r>
    </w:p>
    <w:p w14:paraId="6CC93889" w14:textId="6CDA8A01" w:rsidR="00450F9A" w:rsidRPr="00450F9A" w:rsidRDefault="00450F9A" w:rsidP="00450F9A">
      <w:pPr>
        <w:rPr>
          <w:lang w:eastAsia="ja-JP"/>
        </w:rPr>
      </w:pPr>
      <w:r w:rsidRPr="00450F9A">
        <w:rPr>
          <w:lang w:eastAsia="ja-JP"/>
        </w:rPr>
        <w:t>Only pooled data for IDegAsp and IDeg was presented in Summary of Clinical Safety Addendum which is the same as that presented in the Summary of Clinical Safety Addendum for IDeg</w:t>
      </w:r>
      <w:r w:rsidR="007677A0">
        <w:rPr>
          <w:lang w:eastAsia="ja-JP"/>
        </w:rPr>
        <w:t>,</w:t>
      </w:r>
      <w:r w:rsidRPr="00450F9A">
        <w:rPr>
          <w:lang w:eastAsia="ja-JP"/>
        </w:rPr>
        <w:t xml:space="preserve"> please </w:t>
      </w:r>
      <w:r w:rsidR="00CD02DA">
        <w:rPr>
          <w:lang w:eastAsia="ja-JP"/>
        </w:rPr>
        <w:t>refer to Section 7.4</w:t>
      </w:r>
      <w:r w:rsidR="00CD02DA" w:rsidRPr="003E7221">
        <w:rPr>
          <w:lang w:eastAsia="ja-JP"/>
        </w:rPr>
        <w:t xml:space="preserve"> in the Tresiba IDeg CER [available as Attachment 2 of the Tresiba submission].</w:t>
      </w:r>
      <w:r w:rsidR="00CD02DA" w:rsidRPr="003E7221">
        <w:rPr>
          <w:vertAlign w:val="superscript"/>
          <w:lang w:eastAsia="ja-JP"/>
        </w:rPr>
        <w:fldChar w:fldCharType="begin"/>
      </w:r>
      <w:r w:rsidR="00CD02DA" w:rsidRPr="003E7221">
        <w:rPr>
          <w:vertAlign w:val="superscript"/>
          <w:lang w:eastAsia="ja-JP"/>
        </w:rPr>
        <w:instrText xml:space="preserve"> NOTEREF _Ref511595014 \h  \* MERGEFORMAT </w:instrText>
      </w:r>
      <w:r w:rsidR="00CD02DA" w:rsidRPr="003E7221">
        <w:rPr>
          <w:vertAlign w:val="superscript"/>
          <w:lang w:eastAsia="ja-JP"/>
        </w:rPr>
      </w:r>
      <w:r w:rsidR="00CD02DA" w:rsidRPr="003E7221">
        <w:rPr>
          <w:vertAlign w:val="superscript"/>
          <w:lang w:eastAsia="ja-JP"/>
        </w:rPr>
        <w:fldChar w:fldCharType="separate"/>
      </w:r>
      <w:r w:rsidR="00090E68">
        <w:rPr>
          <w:vertAlign w:val="superscript"/>
          <w:lang w:eastAsia="ja-JP"/>
        </w:rPr>
        <w:t>1</w:t>
      </w:r>
      <w:r w:rsidR="00CD02DA" w:rsidRPr="003E7221">
        <w:rPr>
          <w:vertAlign w:val="superscript"/>
          <w:lang w:eastAsia="ja-JP"/>
        </w:rPr>
        <w:fldChar w:fldCharType="end"/>
      </w:r>
    </w:p>
    <w:p w14:paraId="7E8AD208" w14:textId="40DF7041" w:rsidR="00450F9A" w:rsidRPr="00450F9A" w:rsidRDefault="00450F9A" w:rsidP="00450F9A">
      <w:pPr>
        <w:rPr>
          <w:lang w:eastAsia="ja-JP"/>
        </w:rPr>
      </w:pPr>
      <w:r w:rsidRPr="00450F9A">
        <w:rPr>
          <w:lang w:eastAsia="ja-JP"/>
        </w:rPr>
        <w:t xml:space="preserve">In terms of IDegAsp specific data in </w:t>
      </w:r>
      <w:r w:rsidR="007677A0">
        <w:rPr>
          <w:lang w:eastAsia="ja-JP"/>
        </w:rPr>
        <w:t>P</w:t>
      </w:r>
      <w:r w:rsidRPr="00450F9A">
        <w:rPr>
          <w:lang w:eastAsia="ja-JP"/>
        </w:rPr>
        <w:t>has</w:t>
      </w:r>
      <w:r w:rsidR="007677A0">
        <w:rPr>
          <w:lang w:eastAsia="ja-JP"/>
        </w:rPr>
        <w:t>e III</w:t>
      </w:r>
      <w:r w:rsidRPr="00450F9A">
        <w:rPr>
          <w:lang w:eastAsia="ja-JP"/>
        </w:rPr>
        <w:t xml:space="preserve"> trials, there were varying degrees of discrepancy in the overall rate of neoplasms reported for the IDeg</w:t>
      </w:r>
      <w:r w:rsidR="007677A0">
        <w:rPr>
          <w:lang w:eastAsia="ja-JP"/>
        </w:rPr>
        <w:t>Asp groups and the comparators,</w:t>
      </w:r>
      <w:r w:rsidRPr="00450F9A">
        <w:rPr>
          <w:lang w:eastAsia="ja-JP"/>
        </w:rPr>
        <w:t xml:space="preserve"> the rates were numerically higher in the IDegAsp group for all IDegAsp </w:t>
      </w:r>
      <w:r w:rsidR="007677A0">
        <w:rPr>
          <w:lang w:eastAsia="ja-JP"/>
        </w:rPr>
        <w:t>P</w:t>
      </w:r>
      <w:r w:rsidRPr="00450F9A">
        <w:rPr>
          <w:lang w:eastAsia="ja-JP"/>
        </w:rPr>
        <w:t xml:space="preserve">hase </w:t>
      </w:r>
      <w:r w:rsidR="007677A0">
        <w:rPr>
          <w:lang w:eastAsia="ja-JP"/>
        </w:rPr>
        <w:t>III</w:t>
      </w:r>
      <w:r w:rsidRPr="00450F9A">
        <w:rPr>
          <w:lang w:eastAsia="ja-JP"/>
        </w:rPr>
        <w:t xml:space="preserve"> trials (2.8 events per 100 subjects years of exposure for IDegAsp compared to 2.3) and T2DM (3.2 events per 100 subjects years of exposure for IDegAsp compared to 1.8) however for the T1DM subset, the rate </w:t>
      </w:r>
      <w:r w:rsidR="007677A0">
        <w:rPr>
          <w:lang w:eastAsia="ja-JP"/>
        </w:rPr>
        <w:t>was lower in the IDegAsp group,</w:t>
      </w:r>
      <w:r w:rsidRPr="00450F9A">
        <w:rPr>
          <w:lang w:eastAsia="ja-JP"/>
        </w:rPr>
        <w:t xml:space="preserve"> 1 event per 100 subjects years of exposure for IDegAsp compared to 4.8.</w:t>
      </w:r>
    </w:p>
    <w:p w14:paraId="2EA87D43" w14:textId="77777777" w:rsidR="00450F9A" w:rsidRPr="00450F9A" w:rsidRDefault="00450F9A" w:rsidP="00450F9A">
      <w:pPr>
        <w:rPr>
          <w:lang w:eastAsia="ja-JP"/>
        </w:rPr>
      </w:pPr>
      <w:r w:rsidRPr="00450F9A">
        <w:rPr>
          <w:lang w:eastAsia="ja-JP"/>
        </w:rPr>
        <w:t xml:space="preserve">In terms of externally classified neoplasms (assessed by an independent consultant for blinded evaluation), the rate of benign neoplasms was numerically higher in the IDegAsp group (2.9 per 100 subject years of exposure for IDegAsp compared to 2.2) but for malignant neoplasms, the rates were numerically lower in the IDegAsp group (0.5 events per 100 subjects years of </w:t>
      </w:r>
      <w:r w:rsidRPr="00450F9A">
        <w:rPr>
          <w:lang w:eastAsia="ja-JP"/>
        </w:rPr>
        <w:lastRenderedPageBreak/>
        <w:t>exposure for IDegAsp compared to 0.9 on the comparator group). Data was not presented by T1DM and T2DM subset for the externally classified neoplasms.</w:t>
      </w:r>
    </w:p>
    <w:p w14:paraId="1CF02783" w14:textId="5A3DF22C" w:rsidR="00450F9A" w:rsidRPr="00450F9A" w:rsidRDefault="00450F9A" w:rsidP="00450F9A">
      <w:pPr>
        <w:rPr>
          <w:lang w:eastAsia="ja-JP"/>
        </w:rPr>
      </w:pPr>
      <w:r w:rsidRPr="00450F9A">
        <w:rPr>
          <w:lang w:eastAsia="ja-JP"/>
        </w:rPr>
        <w:t xml:space="preserve">Overall, numerical differences between the groups are noted, however the differences are mostly relatively small, the rates are relatively low and it is unknown whether these are true differences. It is also noted that in the PSUR submitted for this evaluation that both neoplasms and colon cancer are being monitored as part of an Evaluation of Authority Request requested by the </w:t>
      </w:r>
      <w:r w:rsidR="00052A4F" w:rsidRPr="00450F9A">
        <w:rPr>
          <w:lang w:eastAsia="ja-JP"/>
        </w:rPr>
        <w:t>Swiss</w:t>
      </w:r>
      <w:r w:rsidR="00052A4F">
        <w:rPr>
          <w:lang w:eastAsia="ja-JP"/>
        </w:rPr>
        <w:t>M</w:t>
      </w:r>
      <w:r w:rsidR="00052A4F" w:rsidRPr="00450F9A">
        <w:rPr>
          <w:lang w:eastAsia="ja-JP"/>
        </w:rPr>
        <w:t xml:space="preserve">edic </w:t>
      </w:r>
      <w:r w:rsidRPr="00450F9A">
        <w:rPr>
          <w:lang w:eastAsia="ja-JP"/>
        </w:rPr>
        <w:t>and EMA respectively (</w:t>
      </w:r>
      <w:r w:rsidR="007677A0">
        <w:rPr>
          <w:lang w:eastAsia="ja-JP"/>
        </w:rPr>
        <w:t>s</w:t>
      </w:r>
      <w:r w:rsidRPr="00450F9A">
        <w:rPr>
          <w:lang w:eastAsia="ja-JP"/>
        </w:rPr>
        <w:t xml:space="preserve">ee </w:t>
      </w:r>
      <w:r w:rsidR="007677A0">
        <w:rPr>
          <w:lang w:eastAsia="ja-JP"/>
        </w:rPr>
        <w:t>S</w:t>
      </w:r>
      <w:r w:rsidRPr="00450F9A">
        <w:rPr>
          <w:lang w:eastAsia="ja-JP"/>
        </w:rPr>
        <w:t>ection 7.7 for further information) and this should continue to be monitored.</w:t>
      </w:r>
    </w:p>
    <w:p w14:paraId="44289771" w14:textId="6F241D5C" w:rsidR="00450F9A" w:rsidRPr="00450F9A" w:rsidRDefault="00450F9A" w:rsidP="007677A0">
      <w:pPr>
        <w:pStyle w:val="Heading4"/>
      </w:pPr>
      <w:r w:rsidRPr="00450F9A">
        <w:t xml:space="preserve">Hypoglycaemic episodes </w:t>
      </w:r>
    </w:p>
    <w:p w14:paraId="6446B57F" w14:textId="1BEA14F4" w:rsidR="00450F9A" w:rsidRPr="007677A0" w:rsidRDefault="007677A0" w:rsidP="00450F9A">
      <w:pPr>
        <w:rPr>
          <w:lang w:eastAsia="ja-JP"/>
        </w:rPr>
      </w:pPr>
      <w:r w:rsidRPr="007677A0">
        <w:rPr>
          <w:lang w:eastAsia="ja-JP"/>
        </w:rPr>
        <w:t>Definitions:</w:t>
      </w:r>
    </w:p>
    <w:p w14:paraId="07ADB51D" w14:textId="09B77180" w:rsidR="00450F9A" w:rsidRPr="00450F9A" w:rsidRDefault="009F4052" w:rsidP="007677A0">
      <w:pPr>
        <w:pStyle w:val="ListBullet"/>
        <w:rPr>
          <w:lang w:eastAsia="ja-JP"/>
        </w:rPr>
      </w:pPr>
      <w:r w:rsidRPr="00450F9A">
        <w:rPr>
          <w:i/>
          <w:iCs/>
          <w:lang w:eastAsia="ja-JP"/>
        </w:rPr>
        <w:t>Severe</w:t>
      </w:r>
      <w:r w:rsidR="00450F9A" w:rsidRPr="00450F9A">
        <w:rPr>
          <w:i/>
          <w:iCs/>
          <w:lang w:eastAsia="ja-JP"/>
        </w:rPr>
        <w:t xml:space="preserve"> hypoglyc</w:t>
      </w:r>
      <w:r w:rsidR="00CD02DA">
        <w:rPr>
          <w:i/>
          <w:iCs/>
          <w:lang w:eastAsia="ja-JP"/>
        </w:rPr>
        <w:t>a</w:t>
      </w:r>
      <w:r w:rsidR="00450F9A" w:rsidRPr="00450F9A">
        <w:rPr>
          <w:i/>
          <w:iCs/>
          <w:lang w:eastAsia="ja-JP"/>
        </w:rPr>
        <w:t xml:space="preserve">emia </w:t>
      </w:r>
      <w:r w:rsidR="00450F9A" w:rsidRPr="00450F9A">
        <w:rPr>
          <w:lang w:eastAsia="ja-JP"/>
        </w:rPr>
        <w:t>is an episode requiring assistance of another person to actively administer carbohydrate, glucagon, or other resuscitative actions (American Diabetes Association classification)</w:t>
      </w:r>
      <w:r w:rsidR="007677A0">
        <w:rPr>
          <w:lang w:eastAsia="ja-JP"/>
        </w:rPr>
        <w:t>.</w:t>
      </w:r>
    </w:p>
    <w:p w14:paraId="2E09C332" w14:textId="0F206451" w:rsidR="00450F9A" w:rsidRPr="00450F9A" w:rsidRDefault="009F4052" w:rsidP="007677A0">
      <w:pPr>
        <w:pStyle w:val="ListBullet"/>
        <w:rPr>
          <w:lang w:eastAsia="ja-JP"/>
        </w:rPr>
      </w:pPr>
      <w:r w:rsidRPr="00450F9A">
        <w:rPr>
          <w:i/>
          <w:iCs/>
          <w:lang w:eastAsia="ja-JP"/>
        </w:rPr>
        <w:t>Documented</w:t>
      </w:r>
      <w:r w:rsidR="00450F9A" w:rsidRPr="00450F9A">
        <w:rPr>
          <w:i/>
          <w:iCs/>
          <w:lang w:eastAsia="ja-JP"/>
        </w:rPr>
        <w:t xml:space="preserve"> symptomatic hypoglyc</w:t>
      </w:r>
      <w:r w:rsidR="00CD02DA">
        <w:rPr>
          <w:i/>
          <w:iCs/>
          <w:lang w:eastAsia="ja-JP"/>
        </w:rPr>
        <w:t>a</w:t>
      </w:r>
      <w:r w:rsidR="00450F9A" w:rsidRPr="00450F9A">
        <w:rPr>
          <w:i/>
          <w:iCs/>
          <w:lang w:eastAsia="ja-JP"/>
        </w:rPr>
        <w:t xml:space="preserve">emia </w:t>
      </w:r>
      <w:r w:rsidR="00450F9A" w:rsidRPr="00450F9A">
        <w:rPr>
          <w:lang w:eastAsia="ja-JP"/>
        </w:rPr>
        <w:t xml:space="preserve">is an episode during which typical symptoms of </w:t>
      </w:r>
      <w:r w:rsidR="005874E2" w:rsidRPr="00450F9A">
        <w:rPr>
          <w:lang w:eastAsia="ja-JP"/>
        </w:rPr>
        <w:t>hypoglycaemia</w:t>
      </w:r>
      <w:r w:rsidR="00450F9A" w:rsidRPr="00450F9A">
        <w:rPr>
          <w:lang w:eastAsia="ja-JP"/>
        </w:rPr>
        <w:t xml:space="preserve"> are accompanied by a measured plasma glucose concentration </w:t>
      </w:r>
      <w:r w:rsidR="007677A0">
        <w:rPr>
          <w:lang w:eastAsia="ja-JP"/>
        </w:rPr>
        <w:t xml:space="preserve">≤ </w:t>
      </w:r>
      <w:r w:rsidR="00450F9A" w:rsidRPr="00450F9A">
        <w:rPr>
          <w:lang w:eastAsia="ja-JP"/>
        </w:rPr>
        <w:t>3.9 mmol/L (American Diabetes Association classification)</w:t>
      </w:r>
      <w:r w:rsidR="007677A0">
        <w:rPr>
          <w:lang w:eastAsia="ja-JP"/>
        </w:rPr>
        <w:t>.</w:t>
      </w:r>
    </w:p>
    <w:p w14:paraId="47922EB4" w14:textId="08361D5D" w:rsidR="00450F9A" w:rsidRPr="00450F9A" w:rsidRDefault="009F4052" w:rsidP="007677A0">
      <w:pPr>
        <w:pStyle w:val="ListBullet"/>
        <w:rPr>
          <w:b/>
          <w:lang w:eastAsia="ja-JP"/>
        </w:rPr>
      </w:pPr>
      <w:r w:rsidRPr="00450F9A">
        <w:rPr>
          <w:i/>
          <w:lang w:eastAsia="ja-JP"/>
        </w:rPr>
        <w:t>Confirmed</w:t>
      </w:r>
      <w:r w:rsidR="00450F9A" w:rsidRPr="00450F9A">
        <w:rPr>
          <w:i/>
          <w:lang w:eastAsia="ja-JP"/>
        </w:rPr>
        <w:t xml:space="preserve"> hypoglyc</w:t>
      </w:r>
      <w:r w:rsidR="00CD02DA">
        <w:rPr>
          <w:i/>
          <w:lang w:eastAsia="ja-JP"/>
        </w:rPr>
        <w:t>a</w:t>
      </w:r>
      <w:r w:rsidR="00450F9A" w:rsidRPr="00450F9A">
        <w:rPr>
          <w:i/>
          <w:lang w:eastAsia="ja-JP"/>
        </w:rPr>
        <w:t>emic</w:t>
      </w:r>
      <w:r w:rsidR="00450F9A" w:rsidRPr="00450F9A">
        <w:rPr>
          <w:lang w:eastAsia="ja-JP"/>
        </w:rPr>
        <w:t xml:space="preserve"> episodes are either severe (</w:t>
      </w:r>
      <w:r w:rsidR="007677A0">
        <w:rPr>
          <w:lang w:eastAsia="ja-JP"/>
        </w:rPr>
        <w:t>that is,</w:t>
      </w:r>
      <w:r w:rsidR="00450F9A" w:rsidRPr="00450F9A">
        <w:rPr>
          <w:lang w:eastAsia="ja-JP"/>
        </w:rPr>
        <w:t xml:space="preserve"> requiring assistance from another person) or where plasma glucose was biochemically confirmed to be &lt;</w:t>
      </w:r>
      <w:r w:rsidR="007677A0">
        <w:rPr>
          <w:lang w:eastAsia="ja-JP"/>
        </w:rPr>
        <w:t xml:space="preserve"> </w:t>
      </w:r>
      <w:r w:rsidR="00450F9A" w:rsidRPr="00450F9A">
        <w:rPr>
          <w:lang w:eastAsia="ja-JP"/>
        </w:rPr>
        <w:t>3.1 mmol/L with or without symptoms consistent with hypoglyc</w:t>
      </w:r>
      <w:r w:rsidR="00CD02DA">
        <w:rPr>
          <w:lang w:eastAsia="ja-JP"/>
        </w:rPr>
        <w:t>a</w:t>
      </w:r>
      <w:r w:rsidR="00450F9A" w:rsidRPr="00450F9A">
        <w:rPr>
          <w:lang w:eastAsia="ja-JP"/>
        </w:rPr>
        <w:t>emia.</w:t>
      </w:r>
    </w:p>
    <w:p w14:paraId="51F48A18" w14:textId="6F8007A8" w:rsidR="00450F9A" w:rsidRPr="007677A0" w:rsidRDefault="009F4052" w:rsidP="00450F9A">
      <w:pPr>
        <w:pStyle w:val="ListBullet"/>
        <w:rPr>
          <w:b/>
          <w:lang w:eastAsia="ja-JP"/>
        </w:rPr>
      </w:pPr>
      <w:r w:rsidRPr="00450F9A">
        <w:rPr>
          <w:i/>
          <w:lang w:eastAsia="ja-JP"/>
        </w:rPr>
        <w:t>Nocturnal</w:t>
      </w:r>
      <w:r w:rsidR="00450F9A" w:rsidRPr="00450F9A">
        <w:rPr>
          <w:i/>
          <w:lang w:eastAsia="ja-JP"/>
        </w:rPr>
        <w:t xml:space="preserve">: </w:t>
      </w:r>
      <w:r w:rsidR="00450F9A" w:rsidRPr="00450F9A">
        <w:rPr>
          <w:lang w:eastAsia="ja-JP"/>
        </w:rPr>
        <w:t>time of onset between 00.01 and 5.59 inclusive.</w:t>
      </w:r>
    </w:p>
    <w:p w14:paraId="2D62ADCF" w14:textId="4189A23A" w:rsidR="00450F9A" w:rsidRPr="00450F9A" w:rsidRDefault="00450F9A" w:rsidP="00450F9A">
      <w:pPr>
        <w:rPr>
          <w:lang w:eastAsia="ja-JP"/>
        </w:rPr>
      </w:pPr>
      <w:r w:rsidRPr="007677A0">
        <w:rPr>
          <w:lang w:eastAsia="ja-JP"/>
        </w:rPr>
        <w:t>T1DM data</w:t>
      </w:r>
      <w:r w:rsidRPr="00450F9A">
        <w:rPr>
          <w:lang w:eastAsia="ja-JP"/>
        </w:rPr>
        <w:t xml:space="preserve"> has not been updated since the Integrated Safety Summary</w:t>
      </w:r>
      <w:r w:rsidRPr="00450F9A" w:rsidDel="002A7CE4">
        <w:rPr>
          <w:lang w:eastAsia="ja-JP"/>
        </w:rPr>
        <w:t xml:space="preserve"> </w:t>
      </w:r>
      <w:r w:rsidR="007677A0">
        <w:rPr>
          <w:lang w:eastAsia="ja-JP"/>
        </w:rPr>
        <w:t>(cut off 31 Jan</w:t>
      </w:r>
      <w:r w:rsidRPr="00450F9A">
        <w:rPr>
          <w:lang w:eastAsia="ja-JP"/>
        </w:rPr>
        <w:t>u</w:t>
      </w:r>
      <w:r w:rsidR="007677A0">
        <w:rPr>
          <w:lang w:eastAsia="ja-JP"/>
        </w:rPr>
        <w:t>a</w:t>
      </w:r>
      <w:r w:rsidRPr="00450F9A">
        <w:rPr>
          <w:lang w:eastAsia="ja-JP"/>
        </w:rPr>
        <w:t>ry 2011) and thus no further data included in this report.</w:t>
      </w:r>
    </w:p>
    <w:p w14:paraId="3DB2B80A" w14:textId="017B1AE9" w:rsidR="00450F9A" w:rsidRPr="00450F9A" w:rsidRDefault="00450F9A" w:rsidP="00450F9A">
      <w:pPr>
        <w:rPr>
          <w:lang w:eastAsia="ja-JP"/>
        </w:rPr>
      </w:pPr>
      <w:r w:rsidRPr="007677A0">
        <w:rPr>
          <w:lang w:eastAsia="ja-JP"/>
        </w:rPr>
        <w:t>T2DM; Insulin naïve on daily therapy:</w:t>
      </w:r>
      <w:r w:rsidRPr="00450F9A">
        <w:rPr>
          <w:b/>
          <w:lang w:eastAsia="ja-JP"/>
        </w:rPr>
        <w:t xml:space="preserve"> </w:t>
      </w:r>
      <w:r w:rsidRPr="00450F9A">
        <w:rPr>
          <w:lang w:eastAsia="ja-JP"/>
        </w:rPr>
        <w:t>Rates of confirmed and documented symptomatic hypoglycaemia are higher in the IDegAsp group compared to the comparator; but reduced when looking specifically at nocturnal episodes.</w:t>
      </w:r>
    </w:p>
    <w:p w14:paraId="7B94CA7F" w14:textId="4CE468BC" w:rsidR="007677A0" w:rsidRPr="00450F9A" w:rsidRDefault="00450F9A" w:rsidP="00450F9A">
      <w:pPr>
        <w:rPr>
          <w:lang w:eastAsia="ja-JP"/>
        </w:rPr>
      </w:pPr>
      <w:r w:rsidRPr="007677A0">
        <w:rPr>
          <w:lang w:eastAsia="ja-JP"/>
        </w:rPr>
        <w:t xml:space="preserve">T2DM; Insulin naive treated on twice a day treatment): </w:t>
      </w:r>
      <w:r w:rsidRPr="00450F9A">
        <w:rPr>
          <w:lang w:eastAsia="ja-JP"/>
        </w:rPr>
        <w:t>Rates of confirmed and documented symptomatic hypoglycaemia, including nocturnal episodes, are lower in the IDegAsp group compared to the comparator. Few episodes of severe hypoglycaemia occurred on either arm.</w:t>
      </w:r>
    </w:p>
    <w:p w14:paraId="3A7C6EBA" w14:textId="3471D0F6" w:rsidR="00450F9A" w:rsidRPr="00450F9A" w:rsidRDefault="00250FA0" w:rsidP="00450F9A">
      <w:pPr>
        <w:rPr>
          <w:lang w:eastAsia="ja-JP"/>
        </w:rPr>
      </w:pPr>
      <w:r w:rsidRPr="00250FA0">
        <w:rPr>
          <w:lang w:eastAsia="ja-JP"/>
        </w:rPr>
        <w:t xml:space="preserve">T2DM; Insulin </w:t>
      </w:r>
      <w:r w:rsidR="00450F9A" w:rsidRPr="00250FA0">
        <w:rPr>
          <w:lang w:eastAsia="ja-JP"/>
        </w:rPr>
        <w:t>treated on daily therapy:</w:t>
      </w:r>
      <w:r w:rsidR="00450F9A" w:rsidRPr="00450F9A">
        <w:rPr>
          <w:b/>
          <w:lang w:eastAsia="ja-JP"/>
        </w:rPr>
        <w:t xml:space="preserve"> </w:t>
      </w:r>
      <w:r w:rsidR="00450F9A" w:rsidRPr="00450F9A">
        <w:rPr>
          <w:lang w:eastAsia="ja-JP"/>
        </w:rPr>
        <w:t>Rates of nocturnal confirmed and documented symptomatic (24 hour and nocturnal) hypoglycaemic episodes were lower in the IDegAsp group compared to the comparator group. However</w:t>
      </w:r>
      <w:r>
        <w:rPr>
          <w:lang w:eastAsia="ja-JP"/>
        </w:rPr>
        <w:t>,</w:t>
      </w:r>
      <w:r w:rsidR="00450F9A" w:rsidRPr="00450F9A">
        <w:rPr>
          <w:lang w:eastAsia="ja-JP"/>
        </w:rPr>
        <w:t xml:space="preserve"> the rate of confirmed episodes (24 hours) was higher in the IDegAsp group. Relatively low rates of severe episodes occurred on both arms.</w:t>
      </w:r>
    </w:p>
    <w:p w14:paraId="52B0A3CB" w14:textId="5AA2D929" w:rsidR="00450F9A" w:rsidRPr="00450F9A" w:rsidRDefault="00250FA0" w:rsidP="00450F9A">
      <w:pPr>
        <w:rPr>
          <w:lang w:eastAsia="ja-JP"/>
        </w:rPr>
      </w:pPr>
      <w:r>
        <w:rPr>
          <w:lang w:eastAsia="ja-JP"/>
        </w:rPr>
        <w:t xml:space="preserve">T2DM; Insulin </w:t>
      </w:r>
      <w:r w:rsidR="00450F9A" w:rsidRPr="00250FA0">
        <w:rPr>
          <w:lang w:eastAsia="ja-JP"/>
        </w:rPr>
        <w:t xml:space="preserve">treated on twice daily therapy: </w:t>
      </w:r>
      <w:r w:rsidR="00450F9A" w:rsidRPr="00450F9A">
        <w:rPr>
          <w:lang w:eastAsia="ja-JP"/>
        </w:rPr>
        <w:t>The IDegAsp group had lower rates of all types of hypoglycaemic episodes, including nocturnal.</w:t>
      </w:r>
    </w:p>
    <w:p w14:paraId="5D8894DC" w14:textId="77777777" w:rsidR="00450F9A" w:rsidRPr="00450F9A" w:rsidRDefault="00450F9A" w:rsidP="00450F9A">
      <w:pPr>
        <w:rPr>
          <w:lang w:eastAsia="ja-JP"/>
        </w:rPr>
      </w:pPr>
      <w:r w:rsidRPr="00450F9A">
        <w:rPr>
          <w:lang w:eastAsia="ja-JP"/>
        </w:rPr>
        <w:t>Thus, in summary, it is noted that there were</w:t>
      </w:r>
    </w:p>
    <w:p w14:paraId="5BC3AE43" w14:textId="0D6A49C2" w:rsidR="00450F9A" w:rsidRPr="00450F9A" w:rsidRDefault="00450F9A" w:rsidP="00250FA0">
      <w:pPr>
        <w:pStyle w:val="ListBullet"/>
        <w:rPr>
          <w:lang w:eastAsia="ja-JP"/>
        </w:rPr>
      </w:pPr>
      <w:r w:rsidRPr="00450F9A">
        <w:rPr>
          <w:lang w:eastAsia="ja-JP"/>
        </w:rPr>
        <w:t>Overall, less nocturnal hypoglycaemic episodes with IDegAsp compared to the comparator group</w:t>
      </w:r>
      <w:r w:rsidR="00250FA0">
        <w:rPr>
          <w:lang w:eastAsia="ja-JP"/>
        </w:rPr>
        <w:t>.</w:t>
      </w:r>
    </w:p>
    <w:p w14:paraId="7D012138" w14:textId="419C4987" w:rsidR="00450F9A" w:rsidRPr="00450F9A" w:rsidRDefault="00450F9A" w:rsidP="00250FA0">
      <w:pPr>
        <w:pStyle w:val="ListBullet"/>
        <w:rPr>
          <w:lang w:eastAsia="ja-JP"/>
        </w:rPr>
      </w:pPr>
      <w:r w:rsidRPr="00450F9A">
        <w:rPr>
          <w:lang w:eastAsia="ja-JP"/>
        </w:rPr>
        <w:t>More hypoglycaemic episodes overall in patients on twice daily dosing</w:t>
      </w:r>
      <w:r w:rsidR="00250FA0">
        <w:rPr>
          <w:lang w:eastAsia="ja-JP"/>
        </w:rPr>
        <w:t>.</w:t>
      </w:r>
    </w:p>
    <w:p w14:paraId="2F645C3A" w14:textId="685991AC" w:rsidR="00450F9A" w:rsidRPr="00450F9A" w:rsidRDefault="00450F9A" w:rsidP="00250FA0">
      <w:pPr>
        <w:pStyle w:val="ListBullet"/>
        <w:rPr>
          <w:lang w:eastAsia="ja-JP"/>
        </w:rPr>
      </w:pPr>
      <w:r w:rsidRPr="00450F9A">
        <w:rPr>
          <w:lang w:eastAsia="ja-JP"/>
        </w:rPr>
        <w:t>In terms of the once daily dosing, there were possibly more confirmed or symp</w:t>
      </w:r>
      <w:r w:rsidR="00250FA0">
        <w:rPr>
          <w:lang w:eastAsia="ja-JP"/>
        </w:rPr>
        <w:t>tomatic hypoglycaemic episodes,</w:t>
      </w:r>
      <w:r w:rsidRPr="00450F9A">
        <w:rPr>
          <w:lang w:eastAsia="ja-JP"/>
        </w:rPr>
        <w:t xml:space="preserve"> but si</w:t>
      </w:r>
      <w:r w:rsidR="00250FA0">
        <w:rPr>
          <w:lang w:eastAsia="ja-JP"/>
        </w:rPr>
        <w:t xml:space="preserve">milar rate of severe episodes </w:t>
      </w:r>
      <w:r w:rsidRPr="00450F9A">
        <w:rPr>
          <w:lang w:eastAsia="ja-JP"/>
        </w:rPr>
        <w:t>with IDegAsp</w:t>
      </w:r>
      <w:r w:rsidR="00250FA0">
        <w:rPr>
          <w:lang w:eastAsia="ja-JP"/>
        </w:rPr>
        <w:t>.</w:t>
      </w:r>
    </w:p>
    <w:p w14:paraId="15962190" w14:textId="52B15996" w:rsidR="00450F9A" w:rsidRPr="00450F9A" w:rsidRDefault="00450F9A" w:rsidP="00450F9A">
      <w:pPr>
        <w:pStyle w:val="ListBullet"/>
        <w:rPr>
          <w:lang w:eastAsia="ja-JP"/>
        </w:rPr>
      </w:pPr>
      <w:r w:rsidRPr="00450F9A">
        <w:rPr>
          <w:lang w:eastAsia="ja-JP"/>
        </w:rPr>
        <w:t>More hypoglycaemic episodes in insulin treated patients overall (expected)</w:t>
      </w:r>
      <w:r w:rsidR="00250FA0">
        <w:rPr>
          <w:lang w:eastAsia="ja-JP"/>
        </w:rPr>
        <w:t>.</w:t>
      </w:r>
    </w:p>
    <w:p w14:paraId="756B8ACB" w14:textId="3ED600A2" w:rsidR="00450F9A" w:rsidRPr="00450F9A" w:rsidRDefault="00450F9A" w:rsidP="00450F9A">
      <w:pPr>
        <w:rPr>
          <w:lang w:eastAsia="ja-JP"/>
        </w:rPr>
      </w:pPr>
      <w:r w:rsidRPr="00450F9A">
        <w:rPr>
          <w:lang w:eastAsia="ja-JP"/>
        </w:rPr>
        <w:t xml:space="preserve">The subgroups in which IDegAsp had higher rates of hypoglycaemia were all T2DM and all receiving the daily dose as indicated </w:t>
      </w:r>
      <w:r w:rsidR="00250FA0">
        <w:rPr>
          <w:lang w:eastAsia="ja-JP"/>
        </w:rPr>
        <w:t>in Table 13, below.</w:t>
      </w:r>
    </w:p>
    <w:p w14:paraId="39B88542" w14:textId="7C3EDB8B" w:rsidR="00450F9A" w:rsidRPr="00450F9A" w:rsidRDefault="00450F9A" w:rsidP="00250FA0">
      <w:pPr>
        <w:pStyle w:val="Tabletitle"/>
        <w:rPr>
          <w:lang w:eastAsia="ja-JP"/>
        </w:rPr>
      </w:pPr>
      <w:bookmarkStart w:id="279" w:name="_Toc487195081"/>
      <w:r w:rsidRPr="00450F9A">
        <w:rPr>
          <w:lang w:eastAsia="ja-JP"/>
        </w:rPr>
        <w:lastRenderedPageBreak/>
        <w:t>Table</w:t>
      </w:r>
      <w:r w:rsidR="00250FA0">
        <w:rPr>
          <w:lang w:eastAsia="ja-JP"/>
        </w:rPr>
        <w:t xml:space="preserve"> 13</w:t>
      </w:r>
      <w:r w:rsidR="00FA6FCA">
        <w:rPr>
          <w:lang w:eastAsia="ja-JP"/>
        </w:rPr>
        <w:t>:</w:t>
      </w:r>
      <w:r w:rsidRPr="00450F9A">
        <w:rPr>
          <w:lang w:eastAsia="ja-JP"/>
        </w:rPr>
        <w:t xml:space="preserve"> Hypoglycaemia parameters in which the rate of hypoglycaemia was higher in the IDeg than the comparator group</w:t>
      </w:r>
      <w:bookmarkEnd w:id="279"/>
    </w:p>
    <w:tbl>
      <w:tblPr>
        <w:tblStyle w:val="TableTGAblue"/>
        <w:tblW w:w="0" w:type="auto"/>
        <w:tblLook w:val="04A0" w:firstRow="1" w:lastRow="0" w:firstColumn="1" w:lastColumn="0" w:noHBand="0" w:noVBand="1"/>
        <w:tblDescription w:val="Table 13: Hypoglycaemia parameters in which the rate of hypoglycaemia was higher in the IDeg than the comparator group"/>
      </w:tblPr>
      <w:tblGrid>
        <w:gridCol w:w="3080"/>
        <w:gridCol w:w="3081"/>
        <w:gridCol w:w="3081"/>
      </w:tblGrid>
      <w:tr w:rsidR="00450F9A" w:rsidRPr="00250FA0" w14:paraId="036D703B" w14:textId="77777777" w:rsidTr="00BB64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tcPr>
          <w:p w14:paraId="76DD0406" w14:textId="77777777" w:rsidR="00450F9A" w:rsidRPr="00250FA0" w:rsidRDefault="00450F9A" w:rsidP="00450F9A">
            <w:pPr>
              <w:rPr>
                <w:szCs w:val="22"/>
                <w:lang w:eastAsia="ja-JP"/>
              </w:rPr>
            </w:pPr>
          </w:p>
        </w:tc>
        <w:tc>
          <w:tcPr>
            <w:tcW w:w="3081" w:type="dxa"/>
          </w:tcPr>
          <w:p w14:paraId="17F04C39" w14:textId="77777777" w:rsidR="00450F9A" w:rsidRPr="00250FA0" w:rsidRDefault="00450F9A" w:rsidP="00450F9A">
            <w:pPr>
              <w:cnfStyle w:val="100000000000" w:firstRow="1" w:lastRow="0" w:firstColumn="0" w:lastColumn="0" w:oddVBand="0" w:evenVBand="0" w:oddHBand="0" w:evenHBand="0" w:firstRowFirstColumn="0" w:firstRowLastColumn="0" w:lastRowFirstColumn="0" w:lastRowLastColumn="0"/>
              <w:rPr>
                <w:szCs w:val="22"/>
                <w:lang w:eastAsia="ja-JP"/>
              </w:rPr>
            </w:pPr>
            <w:r w:rsidRPr="00250FA0">
              <w:rPr>
                <w:szCs w:val="22"/>
                <w:lang w:eastAsia="ja-JP"/>
              </w:rPr>
              <w:t>IDegAsp (rate)</w:t>
            </w:r>
          </w:p>
        </w:tc>
        <w:tc>
          <w:tcPr>
            <w:tcW w:w="3081" w:type="dxa"/>
          </w:tcPr>
          <w:p w14:paraId="78A8EBDD" w14:textId="77777777" w:rsidR="00450F9A" w:rsidRPr="00250FA0" w:rsidRDefault="00450F9A" w:rsidP="00450F9A">
            <w:pPr>
              <w:cnfStyle w:val="100000000000" w:firstRow="1" w:lastRow="0" w:firstColumn="0" w:lastColumn="0" w:oddVBand="0" w:evenVBand="0" w:oddHBand="0" w:evenHBand="0" w:firstRowFirstColumn="0" w:firstRowLastColumn="0" w:lastRowFirstColumn="0" w:lastRowLastColumn="0"/>
              <w:rPr>
                <w:szCs w:val="22"/>
                <w:lang w:eastAsia="ja-JP"/>
              </w:rPr>
            </w:pPr>
            <w:r w:rsidRPr="00250FA0">
              <w:rPr>
                <w:szCs w:val="22"/>
                <w:lang w:eastAsia="ja-JP"/>
              </w:rPr>
              <w:t>Comparator (rate)</w:t>
            </w:r>
          </w:p>
        </w:tc>
      </w:tr>
      <w:tr w:rsidR="00450F9A" w:rsidRPr="00250FA0" w14:paraId="11B8C4D8" w14:textId="77777777" w:rsidTr="00250FA0">
        <w:tc>
          <w:tcPr>
            <w:cnfStyle w:val="001000000000" w:firstRow="0" w:lastRow="0" w:firstColumn="1" w:lastColumn="0" w:oddVBand="0" w:evenVBand="0" w:oddHBand="0" w:evenHBand="0" w:firstRowFirstColumn="0" w:firstRowLastColumn="0" w:lastRowFirstColumn="0" w:lastRowLastColumn="0"/>
            <w:tcW w:w="3080" w:type="dxa"/>
          </w:tcPr>
          <w:p w14:paraId="18772D20" w14:textId="77777777" w:rsidR="00450F9A" w:rsidRPr="00250FA0" w:rsidRDefault="00450F9A" w:rsidP="00450F9A">
            <w:pPr>
              <w:rPr>
                <w:szCs w:val="22"/>
                <w:lang w:eastAsia="ja-JP"/>
              </w:rPr>
            </w:pPr>
            <w:r w:rsidRPr="00250FA0">
              <w:rPr>
                <w:szCs w:val="22"/>
                <w:lang w:eastAsia="ja-JP"/>
              </w:rPr>
              <w:t>T2DM insulin naïve on daily therapy: confirmed hypoglycaemia (24 hours)</w:t>
            </w:r>
          </w:p>
        </w:tc>
        <w:tc>
          <w:tcPr>
            <w:tcW w:w="3081" w:type="dxa"/>
          </w:tcPr>
          <w:p w14:paraId="2F0AE61D" w14:textId="77777777" w:rsidR="00450F9A" w:rsidRPr="00250FA0"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250FA0">
              <w:rPr>
                <w:szCs w:val="22"/>
                <w:lang w:eastAsia="ja-JP"/>
              </w:rPr>
              <w:t>332</w:t>
            </w:r>
          </w:p>
        </w:tc>
        <w:tc>
          <w:tcPr>
            <w:tcW w:w="3081" w:type="dxa"/>
          </w:tcPr>
          <w:p w14:paraId="502AB6EF" w14:textId="77777777" w:rsidR="00450F9A" w:rsidRPr="00250FA0"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250FA0">
              <w:rPr>
                <w:szCs w:val="22"/>
                <w:lang w:eastAsia="ja-JP"/>
              </w:rPr>
              <w:t>225</w:t>
            </w:r>
          </w:p>
        </w:tc>
      </w:tr>
      <w:tr w:rsidR="00450F9A" w:rsidRPr="00250FA0" w14:paraId="79275F68" w14:textId="77777777" w:rsidTr="00250FA0">
        <w:tc>
          <w:tcPr>
            <w:cnfStyle w:val="001000000000" w:firstRow="0" w:lastRow="0" w:firstColumn="1" w:lastColumn="0" w:oddVBand="0" w:evenVBand="0" w:oddHBand="0" w:evenHBand="0" w:firstRowFirstColumn="0" w:firstRowLastColumn="0" w:lastRowFirstColumn="0" w:lastRowLastColumn="0"/>
            <w:tcW w:w="3080" w:type="dxa"/>
          </w:tcPr>
          <w:p w14:paraId="78645A06" w14:textId="77777777" w:rsidR="00450F9A" w:rsidRPr="00250FA0" w:rsidRDefault="00450F9A" w:rsidP="00450F9A">
            <w:pPr>
              <w:rPr>
                <w:szCs w:val="22"/>
                <w:lang w:eastAsia="ja-JP"/>
              </w:rPr>
            </w:pPr>
            <w:r w:rsidRPr="00250FA0">
              <w:rPr>
                <w:szCs w:val="22"/>
                <w:lang w:eastAsia="ja-JP"/>
              </w:rPr>
              <w:t>T2DM insulin naïve on daily therapy: documented symptomatic hypoglycaemia (24 hours)</w:t>
            </w:r>
          </w:p>
        </w:tc>
        <w:tc>
          <w:tcPr>
            <w:tcW w:w="3081" w:type="dxa"/>
          </w:tcPr>
          <w:p w14:paraId="3CDE83ED" w14:textId="77777777" w:rsidR="00450F9A" w:rsidRPr="00250FA0"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250FA0">
              <w:rPr>
                <w:szCs w:val="22"/>
                <w:lang w:eastAsia="ja-JP"/>
              </w:rPr>
              <w:t>673</w:t>
            </w:r>
          </w:p>
        </w:tc>
        <w:tc>
          <w:tcPr>
            <w:tcW w:w="3081" w:type="dxa"/>
          </w:tcPr>
          <w:p w14:paraId="3F77FCBB" w14:textId="77777777" w:rsidR="00450F9A" w:rsidRPr="00250FA0"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250FA0">
              <w:rPr>
                <w:szCs w:val="22"/>
                <w:lang w:eastAsia="ja-JP"/>
              </w:rPr>
              <w:t>565</w:t>
            </w:r>
          </w:p>
        </w:tc>
      </w:tr>
      <w:tr w:rsidR="00450F9A" w:rsidRPr="00250FA0" w14:paraId="7A3E6F38" w14:textId="77777777" w:rsidTr="00250FA0">
        <w:tc>
          <w:tcPr>
            <w:cnfStyle w:val="001000000000" w:firstRow="0" w:lastRow="0" w:firstColumn="1" w:lastColumn="0" w:oddVBand="0" w:evenVBand="0" w:oddHBand="0" w:evenHBand="0" w:firstRowFirstColumn="0" w:firstRowLastColumn="0" w:lastRowFirstColumn="0" w:lastRowLastColumn="0"/>
            <w:tcW w:w="3080" w:type="dxa"/>
          </w:tcPr>
          <w:p w14:paraId="768411F0" w14:textId="77777777" w:rsidR="00450F9A" w:rsidRPr="00250FA0" w:rsidRDefault="00450F9A" w:rsidP="00450F9A">
            <w:pPr>
              <w:rPr>
                <w:szCs w:val="22"/>
                <w:lang w:eastAsia="ja-JP"/>
              </w:rPr>
            </w:pPr>
            <w:r w:rsidRPr="00250FA0">
              <w:rPr>
                <w:szCs w:val="22"/>
                <w:lang w:eastAsia="ja-JP"/>
              </w:rPr>
              <w:t xml:space="preserve">T2DM insulin treated on daily therapy: confirmed hypoglycaemia (24 hours) </w:t>
            </w:r>
          </w:p>
        </w:tc>
        <w:tc>
          <w:tcPr>
            <w:tcW w:w="3081" w:type="dxa"/>
          </w:tcPr>
          <w:p w14:paraId="43B11973" w14:textId="77777777" w:rsidR="00450F9A" w:rsidRPr="00250FA0"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250FA0">
              <w:rPr>
                <w:szCs w:val="22"/>
                <w:lang w:eastAsia="ja-JP"/>
              </w:rPr>
              <w:t>431</w:t>
            </w:r>
          </w:p>
        </w:tc>
        <w:tc>
          <w:tcPr>
            <w:tcW w:w="3081" w:type="dxa"/>
          </w:tcPr>
          <w:p w14:paraId="7C2A34F4" w14:textId="77777777" w:rsidR="00450F9A" w:rsidRPr="00250FA0"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250FA0">
              <w:rPr>
                <w:szCs w:val="22"/>
                <w:lang w:eastAsia="ja-JP"/>
              </w:rPr>
              <w:t>420</w:t>
            </w:r>
          </w:p>
        </w:tc>
      </w:tr>
    </w:tbl>
    <w:p w14:paraId="03A8BCBF" w14:textId="0F16CC06" w:rsidR="00450F9A" w:rsidRPr="00250FA0" w:rsidRDefault="00450F9A" w:rsidP="00250FA0">
      <w:pPr>
        <w:pStyle w:val="TableDescription"/>
        <w:rPr>
          <w:lang w:eastAsia="ja-JP"/>
        </w:rPr>
      </w:pPr>
      <w:r w:rsidRPr="00450F9A">
        <w:rPr>
          <w:lang w:eastAsia="ja-JP"/>
        </w:rPr>
        <w:t>Rate: number of episodes per 100 subject years of exposure</w:t>
      </w:r>
    </w:p>
    <w:p w14:paraId="7B5DA47B" w14:textId="77777777" w:rsidR="00450F9A" w:rsidRPr="00450F9A" w:rsidRDefault="00450F9A" w:rsidP="00250FA0">
      <w:pPr>
        <w:pStyle w:val="Heading4"/>
      </w:pPr>
      <w:r w:rsidRPr="00450F9A">
        <w:t>Other safety parameter</w:t>
      </w:r>
      <w:bookmarkEnd w:id="273"/>
      <w:bookmarkEnd w:id="274"/>
      <w:bookmarkEnd w:id="275"/>
      <w:bookmarkEnd w:id="276"/>
      <w:bookmarkEnd w:id="277"/>
      <w:bookmarkEnd w:id="278"/>
      <w:r w:rsidRPr="00450F9A">
        <w:t>s</w:t>
      </w:r>
    </w:p>
    <w:p w14:paraId="527BEC42" w14:textId="7C266521" w:rsidR="00450F9A" w:rsidRPr="00450F9A" w:rsidRDefault="00250FA0" w:rsidP="00250FA0">
      <w:pPr>
        <w:pStyle w:val="Heading5"/>
        <w:rPr>
          <w:lang w:eastAsia="ja-JP"/>
        </w:rPr>
      </w:pPr>
      <w:r>
        <w:rPr>
          <w:lang w:eastAsia="ja-JP"/>
        </w:rPr>
        <w:t xml:space="preserve">Integrated safety analyses </w:t>
      </w:r>
    </w:p>
    <w:p w14:paraId="77237744" w14:textId="40080878" w:rsidR="00450F9A" w:rsidRPr="00450F9A" w:rsidRDefault="00450F9A" w:rsidP="00250FA0">
      <w:pPr>
        <w:pStyle w:val="Heading6"/>
        <w:rPr>
          <w:lang w:eastAsia="ja-JP"/>
        </w:rPr>
      </w:pPr>
      <w:r w:rsidRPr="00450F9A">
        <w:rPr>
          <w:lang w:eastAsia="ja-JP"/>
        </w:rPr>
        <w:t xml:space="preserve">Other </w:t>
      </w:r>
      <w:r w:rsidR="00CD02DA">
        <w:rPr>
          <w:lang w:eastAsia="ja-JP"/>
        </w:rPr>
        <w:t>a</w:t>
      </w:r>
      <w:r w:rsidRPr="00450F9A">
        <w:rPr>
          <w:lang w:eastAsia="ja-JP"/>
        </w:rPr>
        <w:t>dverse events highlighted in the Summary of Clinical Safety Addendum</w:t>
      </w:r>
    </w:p>
    <w:p w14:paraId="26A35CFF" w14:textId="3A352432" w:rsidR="00450F9A" w:rsidRPr="00450F9A" w:rsidRDefault="00450F9A" w:rsidP="00250FA0">
      <w:pPr>
        <w:pStyle w:val="ListBullet"/>
        <w:rPr>
          <w:lang w:eastAsia="ja-JP"/>
        </w:rPr>
      </w:pPr>
      <w:r w:rsidRPr="00450F9A">
        <w:rPr>
          <w:lang w:eastAsia="ja-JP"/>
        </w:rPr>
        <w:t xml:space="preserve">Medication errors: the rate of medication error on IDegAsp arm was 3.3 events per 100 PYE compared to comparator rate of 2.2 </w:t>
      </w:r>
      <w:r w:rsidR="00CD02DA">
        <w:rPr>
          <w:lang w:eastAsia="ja-JP"/>
        </w:rPr>
        <w:t xml:space="preserve">events; the ISS rate (cut </w:t>
      </w:r>
      <w:r w:rsidRPr="00450F9A">
        <w:rPr>
          <w:lang w:eastAsia="ja-JP"/>
        </w:rPr>
        <w:t>off 31 January 2011) was 5.2 for IDegAsp and 3.2 for the comparators. The most frequent medication error (according to preferred term) was ‘wrong drug administered’ (0.8% of subjects, rate 1.6 per 100 subject years of exposure in the IDegAsp group’; 0.4% of subjects 0.7 per 100 subjects years of ex</w:t>
      </w:r>
      <w:r w:rsidR="00250FA0">
        <w:rPr>
          <w:lang w:eastAsia="ja-JP"/>
        </w:rPr>
        <w:t>posure in the comparator group)</w:t>
      </w:r>
      <w:r w:rsidRPr="00450F9A">
        <w:rPr>
          <w:lang w:eastAsia="ja-JP"/>
        </w:rPr>
        <w:t xml:space="preserve"> noted to be twice as common in the IDegAsp group compared to the comparator group</w:t>
      </w:r>
      <w:r w:rsidR="00CD02DA">
        <w:rPr>
          <w:lang w:eastAsia="ja-JP"/>
        </w:rPr>
        <w:t xml:space="preserve">, </w:t>
      </w:r>
      <w:r w:rsidRPr="00450F9A">
        <w:rPr>
          <w:lang w:eastAsia="ja-JP"/>
        </w:rPr>
        <w:t>followed by incorrect dose administered (0.5% of subjects, rate 1.1 per 100 subject years of exposure in the IDegAsp group’; 0.4% of subjects, 0.7 per 100 subjects years of exposure in the comparator group). The rates of medication errors assessed to be probably or possibly related to the trial drug were 1.2 events per 100 patient years of exposure for IDegA</w:t>
      </w:r>
      <w:r w:rsidR="00250FA0">
        <w:rPr>
          <w:lang w:eastAsia="ja-JP"/>
        </w:rPr>
        <w:t>sp and 0.7 for the comparators.</w:t>
      </w:r>
    </w:p>
    <w:p w14:paraId="64336EB0" w14:textId="77777777" w:rsidR="00450F9A" w:rsidRPr="00450F9A" w:rsidRDefault="00450F9A" w:rsidP="00250FA0">
      <w:pPr>
        <w:pStyle w:val="ListBullet"/>
        <w:rPr>
          <w:lang w:eastAsia="ja-JP"/>
        </w:rPr>
      </w:pPr>
      <w:r w:rsidRPr="00450F9A">
        <w:rPr>
          <w:lang w:eastAsia="ja-JP"/>
        </w:rPr>
        <w:t>Injection site reactions: rates of injection site reactions with IDegAsp and comparators were 4.3 and 8.0 events per 100 PYE, respectively (decreased rate compared to the integrated safety summary). The rates of injection site reactions assessed as possibly or probably related to study drug by the investigator were 2.7 events per 100 PYE in the IDegAsp group and 7.0 with the comparators.</w:t>
      </w:r>
    </w:p>
    <w:p w14:paraId="242A3DCA" w14:textId="0F39BBF0" w:rsidR="00450F9A" w:rsidRPr="00450F9A" w:rsidRDefault="00450F9A" w:rsidP="00250FA0">
      <w:pPr>
        <w:pStyle w:val="ListBullet"/>
        <w:rPr>
          <w:lang w:eastAsia="ja-JP"/>
        </w:rPr>
      </w:pPr>
      <w:r w:rsidRPr="00450F9A">
        <w:rPr>
          <w:lang w:eastAsia="ja-JP"/>
        </w:rPr>
        <w:t>Lipodystrophy: The rate of lipodystrophy in the IDeg and comparator group was 0.1 events per 100 PYE and 1.3 events per 100 PYE respectively; the Integrated Safety Summary</w:t>
      </w:r>
      <w:r w:rsidRPr="00450F9A" w:rsidDel="002A7CE4">
        <w:rPr>
          <w:lang w:eastAsia="ja-JP"/>
        </w:rPr>
        <w:t xml:space="preserve"> </w:t>
      </w:r>
      <w:r w:rsidRPr="00450F9A">
        <w:rPr>
          <w:lang w:eastAsia="ja-JP"/>
        </w:rPr>
        <w:t>reported rates of 0.3 and 1.9 respectively. AEs assessed as possibly or probably related to the study drug on the IDeg arm occurred at a rate of 0.0 events per 100 PYE v</w:t>
      </w:r>
      <w:r w:rsidR="00250FA0">
        <w:rPr>
          <w:lang w:eastAsia="ja-JP"/>
        </w:rPr>
        <w:t>ersu</w:t>
      </w:r>
      <w:r w:rsidRPr="00450F9A">
        <w:rPr>
          <w:lang w:eastAsia="ja-JP"/>
        </w:rPr>
        <w:t>s 0.6</w:t>
      </w:r>
      <w:r w:rsidR="00250FA0">
        <w:rPr>
          <w:lang w:eastAsia="ja-JP"/>
        </w:rPr>
        <w:t xml:space="preserve"> events on the comparator arm).</w:t>
      </w:r>
    </w:p>
    <w:p w14:paraId="03913EC9" w14:textId="36029AC0" w:rsidR="00450F9A" w:rsidRPr="00450F9A" w:rsidRDefault="00450F9A" w:rsidP="00250FA0">
      <w:pPr>
        <w:pStyle w:val="ListBullet"/>
        <w:rPr>
          <w:lang w:eastAsia="ja-JP"/>
        </w:rPr>
      </w:pPr>
      <w:r w:rsidRPr="00450F9A">
        <w:rPr>
          <w:lang w:eastAsia="ja-JP"/>
        </w:rPr>
        <w:t>Peripheral oedema: the rate of peripheral oedema was 3.8 events per 100 PYE on the IDeg arm and 2.6 events for the comparator arm; the preferred term ‘local swelling’ was also assessed and the event rates were the same on both each arm (0.9). It is noted that the frequency of</w:t>
      </w:r>
      <w:r w:rsidR="00250FA0">
        <w:rPr>
          <w:lang w:eastAsia="ja-JP"/>
        </w:rPr>
        <w:t xml:space="preserve"> local swelling in the ISS (</w:t>
      </w:r>
      <w:r w:rsidR="009F4052">
        <w:rPr>
          <w:lang w:eastAsia="ja-JP"/>
        </w:rPr>
        <w:t>cut-</w:t>
      </w:r>
      <w:r w:rsidR="009F4052" w:rsidRPr="00450F9A">
        <w:rPr>
          <w:lang w:eastAsia="ja-JP"/>
        </w:rPr>
        <w:t>off</w:t>
      </w:r>
      <w:r w:rsidRPr="00450F9A">
        <w:rPr>
          <w:lang w:eastAsia="ja-JP"/>
        </w:rPr>
        <w:t xml:space="preserve"> date 31 January 2011) was 0.1 events per 100 PYE for both groups, however it is unclear whether there is a true increase in frequency or whether this is secondary to the MedDRA version updates that have occurred between the </w:t>
      </w:r>
      <w:r w:rsidRPr="00450F9A">
        <w:rPr>
          <w:lang w:eastAsia="ja-JP"/>
        </w:rPr>
        <w:lastRenderedPageBreak/>
        <w:t>ISS and the safety update leading to some events of oedema peripheral being recoded to local swelling. Rate of related (possibly or probably) peripheral oedema events were 0.8 and 0.4 per 100 patient years of exposure for the IDegAsp group and comparators respectively, a doubling of the rate on the IDegAsp arm.</w:t>
      </w:r>
      <w:bookmarkStart w:id="280" w:name="_Toc272414686"/>
      <w:bookmarkStart w:id="281" w:name="_Ref273005527"/>
      <w:bookmarkStart w:id="282" w:name="_Toc290888550"/>
      <w:bookmarkStart w:id="283" w:name="_Toc416353765"/>
      <w:bookmarkStart w:id="284" w:name="_Toc421005308"/>
      <w:bookmarkStart w:id="285" w:name="_Toc432079179"/>
      <w:bookmarkStart w:id="286" w:name="_Toc432080752"/>
    </w:p>
    <w:p w14:paraId="762254AC" w14:textId="77777777" w:rsidR="00450F9A" w:rsidRPr="00450F9A" w:rsidRDefault="00450F9A" w:rsidP="00250FA0">
      <w:pPr>
        <w:pStyle w:val="Heading3"/>
      </w:pPr>
      <w:bookmarkStart w:id="287" w:name="_Toc487202399"/>
      <w:bookmarkStart w:id="288" w:name="_Toc517768430"/>
      <w:r w:rsidRPr="00450F9A">
        <w:t>Other safety issues</w:t>
      </w:r>
      <w:bookmarkEnd w:id="280"/>
      <w:bookmarkEnd w:id="281"/>
      <w:bookmarkEnd w:id="282"/>
      <w:bookmarkEnd w:id="283"/>
      <w:bookmarkEnd w:id="284"/>
      <w:bookmarkEnd w:id="285"/>
      <w:bookmarkEnd w:id="286"/>
      <w:bookmarkEnd w:id="287"/>
      <w:bookmarkEnd w:id="288"/>
    </w:p>
    <w:p w14:paraId="1E173868" w14:textId="77777777" w:rsidR="00450F9A" w:rsidRPr="00450F9A" w:rsidRDefault="00450F9A" w:rsidP="00250FA0">
      <w:pPr>
        <w:pStyle w:val="Heading4"/>
      </w:pPr>
      <w:bookmarkStart w:id="289" w:name="_Toc241374322"/>
      <w:bookmarkStart w:id="290" w:name="_Ref272331212"/>
      <w:bookmarkStart w:id="291" w:name="_Toc272414687"/>
      <w:bookmarkStart w:id="292" w:name="_Toc290888551"/>
      <w:bookmarkStart w:id="293" w:name="_Toc416353766"/>
      <w:bookmarkStart w:id="294" w:name="_Toc421005309"/>
      <w:bookmarkStart w:id="295" w:name="_Toc432079180"/>
      <w:bookmarkStart w:id="296" w:name="_Toc432080753"/>
      <w:r w:rsidRPr="00450F9A">
        <w:t>Safety in special populations</w:t>
      </w:r>
      <w:bookmarkEnd w:id="289"/>
      <w:bookmarkEnd w:id="290"/>
      <w:bookmarkEnd w:id="291"/>
      <w:bookmarkEnd w:id="292"/>
      <w:bookmarkEnd w:id="293"/>
      <w:bookmarkEnd w:id="294"/>
      <w:bookmarkEnd w:id="295"/>
      <w:bookmarkEnd w:id="296"/>
    </w:p>
    <w:p w14:paraId="7BDBB33D" w14:textId="77777777" w:rsidR="00450F9A" w:rsidRPr="00450F9A" w:rsidRDefault="00450F9A" w:rsidP="00250FA0">
      <w:pPr>
        <w:pStyle w:val="Heading5"/>
        <w:rPr>
          <w:lang w:eastAsia="ja-JP"/>
        </w:rPr>
      </w:pPr>
      <w:r w:rsidRPr="00450F9A">
        <w:rPr>
          <w:lang w:eastAsia="ja-JP"/>
        </w:rPr>
        <w:t>Paediatrics</w:t>
      </w:r>
    </w:p>
    <w:p w14:paraId="3678139C" w14:textId="4E55F636" w:rsidR="00450F9A" w:rsidRPr="00450F9A" w:rsidRDefault="00450F9A" w:rsidP="00450F9A">
      <w:pPr>
        <w:rPr>
          <w:b/>
          <w:bCs/>
          <w:i/>
          <w:lang w:eastAsia="ja-JP"/>
        </w:rPr>
      </w:pPr>
      <w:r w:rsidRPr="00450F9A">
        <w:rPr>
          <w:bCs/>
          <w:lang w:eastAsia="ja-JP"/>
        </w:rPr>
        <w:t>As of 30 September 2014,</w:t>
      </w:r>
      <w:r w:rsidR="00D44164">
        <w:rPr>
          <w:bCs/>
          <w:lang w:eastAsia="ja-JP"/>
        </w:rPr>
        <w:t xml:space="preserve"> 1</w:t>
      </w:r>
      <w:r w:rsidRPr="00450F9A">
        <w:rPr>
          <w:bCs/>
          <w:lang w:eastAsia="ja-JP"/>
        </w:rPr>
        <w:t xml:space="preserve"> clinical pharmacology trial with IDegAsp has been completed and </w:t>
      </w:r>
      <w:r w:rsidR="00250FA0">
        <w:rPr>
          <w:bCs/>
          <w:lang w:eastAsia="ja-JP"/>
        </w:rPr>
        <w:t>1</w:t>
      </w:r>
      <w:r w:rsidR="00CD02DA">
        <w:rPr>
          <w:bCs/>
          <w:lang w:eastAsia="ja-JP"/>
        </w:rPr>
        <w:t> </w:t>
      </w:r>
      <w:r w:rsidR="00250FA0">
        <w:rPr>
          <w:bCs/>
          <w:lang w:eastAsia="ja-JP"/>
        </w:rPr>
        <w:t>P</w:t>
      </w:r>
      <w:r w:rsidRPr="00450F9A">
        <w:rPr>
          <w:bCs/>
          <w:lang w:eastAsia="ja-JP"/>
        </w:rPr>
        <w:t xml:space="preserve">hase </w:t>
      </w:r>
      <w:r w:rsidR="00250FA0">
        <w:rPr>
          <w:bCs/>
          <w:lang w:eastAsia="ja-JP"/>
        </w:rPr>
        <w:t>III</w:t>
      </w:r>
      <w:r w:rsidRPr="00450F9A">
        <w:rPr>
          <w:bCs/>
          <w:lang w:eastAsia="ja-JP"/>
        </w:rPr>
        <w:t xml:space="preserve"> trial is ongoing.</w:t>
      </w:r>
    </w:p>
    <w:p w14:paraId="7069E24B" w14:textId="4A27DFF5" w:rsidR="00450F9A" w:rsidRPr="00250FA0" w:rsidRDefault="00450F9A" w:rsidP="00450F9A">
      <w:pPr>
        <w:rPr>
          <w:bCs/>
          <w:lang w:eastAsia="ja-JP"/>
        </w:rPr>
      </w:pPr>
      <w:r w:rsidRPr="00450F9A">
        <w:rPr>
          <w:bCs/>
          <w:lang w:eastAsia="ja-JP"/>
        </w:rPr>
        <w:t>In the ongoing trial (3816), 5.5% of subjects (pooled and blinde</w:t>
      </w:r>
      <w:r w:rsidR="00250FA0">
        <w:rPr>
          <w:bCs/>
          <w:lang w:eastAsia="ja-JP"/>
        </w:rPr>
        <w:t>d data; 20 subjects reported 23 </w:t>
      </w:r>
      <w:r w:rsidRPr="00450F9A">
        <w:rPr>
          <w:bCs/>
          <w:lang w:eastAsia="ja-JP"/>
        </w:rPr>
        <w:t>events) have reported an SAE</w:t>
      </w:r>
      <w:r w:rsidR="00250FA0">
        <w:rPr>
          <w:bCs/>
          <w:lang w:eastAsia="ja-JP"/>
        </w:rPr>
        <w:t>;</w:t>
      </w:r>
      <w:r w:rsidRPr="00450F9A">
        <w:rPr>
          <w:bCs/>
          <w:lang w:eastAsia="ja-JP"/>
        </w:rPr>
        <w:t xml:space="preserve"> the SAEs reported by more than </w:t>
      </w:r>
      <w:r w:rsidR="00250FA0">
        <w:rPr>
          <w:bCs/>
          <w:lang w:eastAsia="ja-JP"/>
        </w:rPr>
        <w:t>1 subject are hypoglycaemia (7 </w:t>
      </w:r>
      <w:r w:rsidRPr="00450F9A">
        <w:rPr>
          <w:bCs/>
          <w:lang w:eastAsia="ja-JP"/>
        </w:rPr>
        <w:t>subjects), diabetic ketoacidosis (2 subjects) and viral infection (2 subjects). No SAEs have led to trial withdrawal.</w:t>
      </w:r>
    </w:p>
    <w:p w14:paraId="291B3FEC" w14:textId="77777777" w:rsidR="00450F9A" w:rsidRPr="00450F9A" w:rsidRDefault="00450F9A" w:rsidP="00383CF3">
      <w:pPr>
        <w:pStyle w:val="Heading5"/>
        <w:rPr>
          <w:lang w:eastAsia="ja-JP"/>
        </w:rPr>
      </w:pPr>
      <w:r w:rsidRPr="00450F9A">
        <w:rPr>
          <w:lang w:eastAsia="ja-JP"/>
        </w:rPr>
        <w:t>Pregnancy and lactation</w:t>
      </w:r>
    </w:p>
    <w:p w14:paraId="15701123" w14:textId="1CF7835B" w:rsidR="00450F9A" w:rsidRPr="00450F9A" w:rsidRDefault="00450F9A" w:rsidP="00450F9A">
      <w:pPr>
        <w:rPr>
          <w:lang w:eastAsia="ja-JP"/>
        </w:rPr>
      </w:pPr>
      <w:r w:rsidRPr="00450F9A">
        <w:rPr>
          <w:lang w:eastAsia="ja-JP"/>
        </w:rPr>
        <w:t>As of 30 September 2014, 6 pregnancies have been reported on completed IDe</w:t>
      </w:r>
      <w:r w:rsidR="00383CF3">
        <w:rPr>
          <w:lang w:eastAsia="ja-JP"/>
        </w:rPr>
        <w:t>gAsp trials (1 </w:t>
      </w:r>
      <w:r w:rsidRPr="00450F9A">
        <w:rPr>
          <w:lang w:eastAsia="ja-JP"/>
        </w:rPr>
        <w:t>since the integrated safety summary) including 4 pregnancies in</w:t>
      </w:r>
      <w:bookmarkStart w:id="297" w:name="_Toc241374324"/>
      <w:bookmarkStart w:id="298" w:name="_Ref272331214"/>
      <w:bookmarkStart w:id="299" w:name="_Toc272414688"/>
      <w:bookmarkStart w:id="300" w:name="_Toc290888552"/>
      <w:bookmarkStart w:id="301" w:name="_Toc416353767"/>
      <w:bookmarkStart w:id="302" w:name="_Toc421005310"/>
      <w:bookmarkStart w:id="303" w:name="_Toc432079181"/>
      <w:bookmarkStart w:id="304" w:name="_Toc432080754"/>
      <w:r w:rsidR="00383CF3">
        <w:rPr>
          <w:lang w:eastAsia="ja-JP"/>
        </w:rPr>
        <w:t xml:space="preserve"> subjects in the IDegAsp group.</w:t>
      </w:r>
    </w:p>
    <w:p w14:paraId="5A7CD311" w14:textId="4D63210A" w:rsidR="00450F9A" w:rsidRPr="00450F9A" w:rsidRDefault="00383CF3" w:rsidP="00450F9A">
      <w:pPr>
        <w:rPr>
          <w:lang w:eastAsia="ja-JP"/>
        </w:rPr>
      </w:pPr>
      <w:r>
        <w:rPr>
          <w:lang w:eastAsia="ja-JP"/>
        </w:rPr>
        <w:t>Table 14 (below)</w:t>
      </w:r>
      <w:r w:rsidR="00450F9A" w:rsidRPr="00450F9A">
        <w:rPr>
          <w:lang w:eastAsia="ja-JP"/>
        </w:rPr>
        <w:t xml:space="preserve"> is a summary of the pregnancies that have </w:t>
      </w:r>
      <w:r>
        <w:rPr>
          <w:lang w:eastAsia="ja-JP"/>
        </w:rPr>
        <w:t>occurred in the IDegAsp trials.</w:t>
      </w:r>
    </w:p>
    <w:p w14:paraId="01BA1EED" w14:textId="5382D7C3" w:rsidR="00450F9A" w:rsidRPr="00450F9A" w:rsidRDefault="00450F9A" w:rsidP="00383CF3">
      <w:pPr>
        <w:pStyle w:val="Tabletitle"/>
        <w:rPr>
          <w:lang w:eastAsia="ja-JP"/>
        </w:rPr>
      </w:pPr>
      <w:bookmarkStart w:id="305" w:name="_Toc487195082"/>
      <w:r w:rsidRPr="00450F9A">
        <w:rPr>
          <w:lang w:eastAsia="ja-JP"/>
        </w:rPr>
        <w:t>Table</w:t>
      </w:r>
      <w:r w:rsidR="00383CF3">
        <w:rPr>
          <w:lang w:eastAsia="ja-JP"/>
        </w:rPr>
        <w:t xml:space="preserve"> 14</w:t>
      </w:r>
      <w:r w:rsidR="00FA6FCA">
        <w:rPr>
          <w:lang w:eastAsia="ja-JP"/>
        </w:rPr>
        <w:t>:</w:t>
      </w:r>
      <w:r w:rsidR="00FA6FCA" w:rsidRPr="00450F9A">
        <w:rPr>
          <w:lang w:eastAsia="ja-JP"/>
        </w:rPr>
        <w:t xml:space="preserve"> </w:t>
      </w:r>
      <w:r w:rsidRPr="00450F9A">
        <w:rPr>
          <w:lang w:eastAsia="ja-JP"/>
        </w:rPr>
        <w:t>Pregnancies in subjects receiving IDegAsp</w:t>
      </w:r>
      <w:bookmarkEnd w:id="305"/>
    </w:p>
    <w:tbl>
      <w:tblPr>
        <w:tblStyle w:val="TableTGAblue"/>
        <w:tblW w:w="0" w:type="auto"/>
        <w:tblLook w:val="04A0" w:firstRow="1" w:lastRow="0" w:firstColumn="1" w:lastColumn="0" w:noHBand="0" w:noVBand="1"/>
        <w:tblDescription w:val="Table 14: Pregnancies in subjects receiving IDegAsp"/>
      </w:tblPr>
      <w:tblGrid>
        <w:gridCol w:w="1782"/>
        <w:gridCol w:w="1513"/>
        <w:gridCol w:w="2123"/>
        <w:gridCol w:w="3780"/>
      </w:tblGrid>
      <w:tr w:rsidR="00383CF3" w:rsidRPr="00450F9A" w14:paraId="4ACA64C8" w14:textId="77777777" w:rsidTr="00BB64EA">
        <w:trPr>
          <w:cnfStyle w:val="100000000000" w:firstRow="1" w:lastRow="0" w:firstColumn="0" w:lastColumn="0" w:oddVBand="0" w:evenVBand="0" w:oddHBand="0" w:evenHBand="0" w:firstRowFirstColumn="0" w:firstRowLastColumn="0" w:lastRowFirstColumn="0" w:lastRowLastColumn="0"/>
          <w:cantSplit/>
          <w:trHeight w:val="403"/>
          <w:tblHeader/>
        </w:trPr>
        <w:tc>
          <w:tcPr>
            <w:cnfStyle w:val="001000000000" w:firstRow="0" w:lastRow="0" w:firstColumn="1" w:lastColumn="0" w:oddVBand="0" w:evenVBand="0" w:oddHBand="0" w:evenHBand="0" w:firstRowFirstColumn="0" w:firstRowLastColumn="0" w:lastRowFirstColumn="0" w:lastRowLastColumn="0"/>
            <w:tcW w:w="1782" w:type="dxa"/>
          </w:tcPr>
          <w:p w14:paraId="5C412537" w14:textId="4C285E52" w:rsidR="00450F9A" w:rsidRPr="00CD02DA" w:rsidRDefault="00383CF3" w:rsidP="00383CF3">
            <w:pPr>
              <w:keepNext/>
              <w:rPr>
                <w:szCs w:val="22"/>
                <w:lang w:eastAsia="ja-JP"/>
              </w:rPr>
            </w:pPr>
            <w:r w:rsidRPr="00CD02DA">
              <w:rPr>
                <w:szCs w:val="22"/>
                <w:lang w:eastAsia="ja-JP"/>
              </w:rPr>
              <w:t>Pregnancy</w:t>
            </w:r>
          </w:p>
        </w:tc>
        <w:tc>
          <w:tcPr>
            <w:tcW w:w="1513" w:type="dxa"/>
          </w:tcPr>
          <w:p w14:paraId="4A3D94E3" w14:textId="77777777" w:rsidR="00450F9A" w:rsidRPr="00CD02DA" w:rsidRDefault="00450F9A" w:rsidP="00CD02DA">
            <w:pPr>
              <w:keepNext/>
              <w:ind w:left="0"/>
              <w:cnfStyle w:val="100000000000" w:firstRow="1" w:lastRow="0" w:firstColumn="0" w:lastColumn="0" w:oddVBand="0" w:evenVBand="0" w:oddHBand="0" w:evenHBand="0" w:firstRowFirstColumn="0" w:firstRowLastColumn="0" w:lastRowFirstColumn="0" w:lastRowLastColumn="0"/>
              <w:rPr>
                <w:szCs w:val="22"/>
                <w:lang w:eastAsia="ja-JP"/>
              </w:rPr>
            </w:pPr>
            <w:r w:rsidRPr="00CD02DA">
              <w:rPr>
                <w:szCs w:val="22"/>
                <w:lang w:eastAsia="ja-JP"/>
              </w:rPr>
              <w:t>Study drug</w:t>
            </w:r>
          </w:p>
        </w:tc>
        <w:tc>
          <w:tcPr>
            <w:tcW w:w="2123" w:type="dxa"/>
          </w:tcPr>
          <w:p w14:paraId="37859425" w14:textId="77777777" w:rsidR="00450F9A" w:rsidRPr="00CD02DA" w:rsidRDefault="00450F9A" w:rsidP="00383CF3">
            <w:pPr>
              <w:keepNext/>
              <w:cnfStyle w:val="100000000000" w:firstRow="1" w:lastRow="0" w:firstColumn="0" w:lastColumn="0" w:oddVBand="0" w:evenVBand="0" w:oddHBand="0" w:evenHBand="0" w:firstRowFirstColumn="0" w:firstRowLastColumn="0" w:lastRowFirstColumn="0" w:lastRowLastColumn="0"/>
              <w:rPr>
                <w:szCs w:val="22"/>
                <w:lang w:eastAsia="ja-JP"/>
              </w:rPr>
            </w:pPr>
            <w:r w:rsidRPr="00CD02DA">
              <w:rPr>
                <w:szCs w:val="22"/>
                <w:lang w:eastAsia="ja-JP"/>
              </w:rPr>
              <w:t>Reported event</w:t>
            </w:r>
          </w:p>
        </w:tc>
        <w:tc>
          <w:tcPr>
            <w:tcW w:w="3780" w:type="dxa"/>
          </w:tcPr>
          <w:p w14:paraId="1A911474" w14:textId="77777777" w:rsidR="00450F9A" w:rsidRPr="00CD02DA" w:rsidRDefault="00450F9A" w:rsidP="00383CF3">
            <w:pPr>
              <w:keepNext/>
              <w:cnfStyle w:val="100000000000" w:firstRow="1" w:lastRow="0" w:firstColumn="0" w:lastColumn="0" w:oddVBand="0" w:evenVBand="0" w:oddHBand="0" w:evenHBand="0" w:firstRowFirstColumn="0" w:firstRowLastColumn="0" w:lastRowFirstColumn="0" w:lastRowLastColumn="0"/>
              <w:rPr>
                <w:szCs w:val="22"/>
                <w:lang w:eastAsia="ja-JP"/>
              </w:rPr>
            </w:pPr>
            <w:r w:rsidRPr="00CD02DA">
              <w:rPr>
                <w:szCs w:val="22"/>
                <w:lang w:eastAsia="ja-JP"/>
              </w:rPr>
              <w:t>Outcome</w:t>
            </w:r>
          </w:p>
        </w:tc>
      </w:tr>
      <w:tr w:rsidR="00383CF3" w:rsidRPr="00450F9A" w14:paraId="5F69E556" w14:textId="77777777" w:rsidTr="00383CF3">
        <w:tc>
          <w:tcPr>
            <w:cnfStyle w:val="001000000000" w:firstRow="0" w:lastRow="0" w:firstColumn="1" w:lastColumn="0" w:oddVBand="0" w:evenVBand="0" w:oddHBand="0" w:evenHBand="0" w:firstRowFirstColumn="0" w:firstRowLastColumn="0" w:lastRowFirstColumn="0" w:lastRowLastColumn="0"/>
            <w:tcW w:w="1782" w:type="dxa"/>
          </w:tcPr>
          <w:p w14:paraId="518920CD" w14:textId="6C7BD588" w:rsidR="00450F9A" w:rsidRPr="00450F9A" w:rsidRDefault="00383CF3" w:rsidP="00383CF3">
            <w:pPr>
              <w:keepNext/>
              <w:rPr>
                <w:szCs w:val="22"/>
                <w:lang w:eastAsia="ja-JP"/>
              </w:rPr>
            </w:pPr>
            <w:r>
              <w:rPr>
                <w:szCs w:val="22"/>
                <w:lang w:eastAsia="ja-JP"/>
              </w:rPr>
              <w:t>1</w:t>
            </w:r>
          </w:p>
        </w:tc>
        <w:tc>
          <w:tcPr>
            <w:tcW w:w="1513" w:type="dxa"/>
          </w:tcPr>
          <w:p w14:paraId="14BC31A4" w14:textId="77777777" w:rsidR="00450F9A" w:rsidRPr="00450F9A" w:rsidRDefault="00450F9A" w:rsidP="00383CF3">
            <w:pPr>
              <w:keepNext/>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IDegAsp + IAsp</w:t>
            </w:r>
          </w:p>
        </w:tc>
        <w:tc>
          <w:tcPr>
            <w:tcW w:w="2123" w:type="dxa"/>
          </w:tcPr>
          <w:p w14:paraId="12C919E7" w14:textId="127ECBF1" w:rsidR="00450F9A" w:rsidRPr="00450F9A" w:rsidRDefault="00383CF3" w:rsidP="00383CF3">
            <w:pPr>
              <w:keepNext/>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 xml:space="preserve">Abortion </w:t>
            </w:r>
            <w:r w:rsidR="00CD02DA">
              <w:rPr>
                <w:szCs w:val="22"/>
                <w:lang w:eastAsia="ja-JP"/>
              </w:rPr>
              <w:t>(</w:t>
            </w:r>
            <w:r w:rsidR="00450F9A" w:rsidRPr="00450F9A">
              <w:rPr>
                <w:szCs w:val="22"/>
                <w:lang w:eastAsia="ja-JP"/>
              </w:rPr>
              <w:t>spontaneous</w:t>
            </w:r>
            <w:r w:rsidR="00CD02DA">
              <w:rPr>
                <w:szCs w:val="22"/>
                <w:lang w:eastAsia="ja-JP"/>
              </w:rPr>
              <w:t>)</w:t>
            </w:r>
          </w:p>
        </w:tc>
        <w:tc>
          <w:tcPr>
            <w:tcW w:w="3780" w:type="dxa"/>
          </w:tcPr>
          <w:p w14:paraId="47F364AC" w14:textId="2FB12C02" w:rsidR="00450F9A" w:rsidRPr="00450F9A" w:rsidRDefault="00450F9A" w:rsidP="00383CF3">
            <w:pPr>
              <w:keepNext/>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Spontaneous abortion at 6 weeks</w:t>
            </w:r>
            <w:r w:rsidR="00CD02DA">
              <w:rPr>
                <w:szCs w:val="22"/>
                <w:lang w:eastAsia="ja-JP"/>
              </w:rPr>
              <w:t>.</w:t>
            </w:r>
          </w:p>
        </w:tc>
      </w:tr>
      <w:tr w:rsidR="00383CF3" w:rsidRPr="00450F9A" w14:paraId="03AC3E73" w14:textId="77777777" w:rsidTr="00383CF3">
        <w:tc>
          <w:tcPr>
            <w:cnfStyle w:val="001000000000" w:firstRow="0" w:lastRow="0" w:firstColumn="1" w:lastColumn="0" w:oddVBand="0" w:evenVBand="0" w:oddHBand="0" w:evenHBand="0" w:firstRowFirstColumn="0" w:firstRowLastColumn="0" w:lastRowFirstColumn="0" w:lastRowLastColumn="0"/>
            <w:tcW w:w="1782" w:type="dxa"/>
          </w:tcPr>
          <w:p w14:paraId="7C8FFFB0" w14:textId="6F7BE889" w:rsidR="00450F9A" w:rsidRPr="00450F9A" w:rsidRDefault="00383CF3" w:rsidP="00383CF3">
            <w:pPr>
              <w:keepNext/>
              <w:rPr>
                <w:szCs w:val="22"/>
                <w:lang w:eastAsia="ja-JP"/>
              </w:rPr>
            </w:pPr>
            <w:r>
              <w:rPr>
                <w:szCs w:val="22"/>
                <w:lang w:eastAsia="ja-JP"/>
              </w:rPr>
              <w:t>2</w:t>
            </w:r>
          </w:p>
        </w:tc>
        <w:tc>
          <w:tcPr>
            <w:tcW w:w="1513" w:type="dxa"/>
          </w:tcPr>
          <w:p w14:paraId="3B50EEE9" w14:textId="77777777" w:rsidR="00450F9A" w:rsidRPr="00450F9A" w:rsidRDefault="00450F9A" w:rsidP="00383CF3">
            <w:pPr>
              <w:keepNext/>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IDegAsp + IAsp</w:t>
            </w:r>
          </w:p>
        </w:tc>
        <w:tc>
          <w:tcPr>
            <w:tcW w:w="2123" w:type="dxa"/>
          </w:tcPr>
          <w:p w14:paraId="2AEA30BF" w14:textId="77777777" w:rsidR="00450F9A" w:rsidRPr="00450F9A" w:rsidRDefault="00450F9A" w:rsidP="00383CF3">
            <w:pPr>
              <w:keepNext/>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Pregnancy</w:t>
            </w:r>
          </w:p>
        </w:tc>
        <w:tc>
          <w:tcPr>
            <w:tcW w:w="3780" w:type="dxa"/>
          </w:tcPr>
          <w:p w14:paraId="755CC987" w14:textId="3A0D6A3B" w:rsidR="00450F9A" w:rsidRPr="00450F9A" w:rsidRDefault="00CD02DA" w:rsidP="00383CF3">
            <w:pPr>
              <w:keepNext/>
              <w:cnfStyle w:val="000000000000" w:firstRow="0" w:lastRow="0" w:firstColumn="0" w:lastColumn="0" w:oddVBand="0" w:evenVBand="0" w:oddHBand="0" w:evenHBand="0" w:firstRowFirstColumn="0" w:firstRowLastColumn="0" w:lastRowFirstColumn="0" w:lastRowLastColumn="0"/>
              <w:rPr>
                <w:szCs w:val="22"/>
                <w:lang w:eastAsia="ja-JP"/>
              </w:rPr>
            </w:pPr>
            <w:r>
              <w:rPr>
                <w:szCs w:val="22"/>
                <w:lang w:eastAsia="ja-JP"/>
              </w:rPr>
              <w:t>Termination of pregnancy</w:t>
            </w:r>
            <w:r w:rsidR="00450F9A" w:rsidRPr="00450F9A">
              <w:rPr>
                <w:szCs w:val="22"/>
                <w:lang w:eastAsia="ja-JP"/>
              </w:rPr>
              <w:t xml:space="preserve"> due to social circumstances</w:t>
            </w:r>
            <w:r>
              <w:rPr>
                <w:szCs w:val="22"/>
                <w:lang w:eastAsia="ja-JP"/>
              </w:rPr>
              <w:t>.</w:t>
            </w:r>
          </w:p>
        </w:tc>
      </w:tr>
      <w:tr w:rsidR="00383CF3" w:rsidRPr="00450F9A" w14:paraId="2D50BD3E" w14:textId="77777777" w:rsidTr="00383CF3">
        <w:tc>
          <w:tcPr>
            <w:cnfStyle w:val="001000000000" w:firstRow="0" w:lastRow="0" w:firstColumn="1" w:lastColumn="0" w:oddVBand="0" w:evenVBand="0" w:oddHBand="0" w:evenHBand="0" w:firstRowFirstColumn="0" w:firstRowLastColumn="0" w:lastRowFirstColumn="0" w:lastRowLastColumn="0"/>
            <w:tcW w:w="1782" w:type="dxa"/>
          </w:tcPr>
          <w:p w14:paraId="01E485BE" w14:textId="1112D385" w:rsidR="00450F9A" w:rsidRPr="00450F9A" w:rsidRDefault="00383CF3" w:rsidP="00450F9A">
            <w:pPr>
              <w:rPr>
                <w:szCs w:val="22"/>
                <w:lang w:eastAsia="ja-JP"/>
              </w:rPr>
            </w:pPr>
            <w:r>
              <w:rPr>
                <w:szCs w:val="22"/>
                <w:lang w:eastAsia="ja-JP"/>
              </w:rPr>
              <w:t>3</w:t>
            </w:r>
          </w:p>
        </w:tc>
        <w:tc>
          <w:tcPr>
            <w:tcW w:w="1513" w:type="dxa"/>
          </w:tcPr>
          <w:p w14:paraId="36EB73D6"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IDegAsp + IAsp</w:t>
            </w:r>
          </w:p>
        </w:tc>
        <w:tc>
          <w:tcPr>
            <w:tcW w:w="2123" w:type="dxa"/>
          </w:tcPr>
          <w:p w14:paraId="01C799DD"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Pregnancy</w:t>
            </w:r>
          </w:p>
        </w:tc>
        <w:tc>
          <w:tcPr>
            <w:tcW w:w="3780" w:type="dxa"/>
          </w:tcPr>
          <w:p w14:paraId="6166517B" w14:textId="220BCEE8"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 xml:space="preserve">Health infant born gestational age 34 weeks. </w:t>
            </w:r>
            <w:r w:rsidR="00CD02DA" w:rsidRPr="00450F9A">
              <w:rPr>
                <w:szCs w:val="22"/>
                <w:lang w:eastAsia="ja-JP"/>
              </w:rPr>
              <w:t>Caesarean</w:t>
            </w:r>
            <w:r w:rsidRPr="00450F9A">
              <w:rPr>
                <w:szCs w:val="22"/>
                <w:lang w:eastAsia="ja-JP"/>
              </w:rPr>
              <w:t xml:space="preserve"> </w:t>
            </w:r>
            <w:r w:rsidR="00CD02DA">
              <w:rPr>
                <w:szCs w:val="22"/>
                <w:lang w:eastAsia="ja-JP"/>
              </w:rPr>
              <w:t xml:space="preserve">section </w:t>
            </w:r>
            <w:r w:rsidR="00CD02DA" w:rsidRPr="00450F9A">
              <w:rPr>
                <w:szCs w:val="22"/>
                <w:lang w:eastAsia="ja-JP"/>
              </w:rPr>
              <w:t>performed</w:t>
            </w:r>
            <w:r w:rsidRPr="00450F9A">
              <w:rPr>
                <w:szCs w:val="22"/>
                <w:lang w:eastAsia="ja-JP"/>
              </w:rPr>
              <w:t xml:space="preserve"> as infant was trapped by umbilical cord; weight of newborn was low (1970</w:t>
            </w:r>
            <w:r w:rsidR="00383CF3">
              <w:rPr>
                <w:szCs w:val="22"/>
                <w:lang w:eastAsia="ja-JP"/>
              </w:rPr>
              <w:t xml:space="preserve"> </w:t>
            </w:r>
            <w:r w:rsidRPr="00450F9A">
              <w:rPr>
                <w:szCs w:val="22"/>
                <w:lang w:eastAsia="ja-JP"/>
              </w:rPr>
              <w:t>g)</w:t>
            </w:r>
            <w:r w:rsidR="00CD02DA">
              <w:rPr>
                <w:szCs w:val="22"/>
                <w:lang w:eastAsia="ja-JP"/>
              </w:rPr>
              <w:t>.</w:t>
            </w:r>
          </w:p>
        </w:tc>
      </w:tr>
      <w:tr w:rsidR="00383CF3" w:rsidRPr="00450F9A" w14:paraId="7758024C" w14:textId="77777777" w:rsidTr="00383CF3">
        <w:tc>
          <w:tcPr>
            <w:cnfStyle w:val="001000000000" w:firstRow="0" w:lastRow="0" w:firstColumn="1" w:lastColumn="0" w:oddVBand="0" w:evenVBand="0" w:oddHBand="0" w:evenHBand="0" w:firstRowFirstColumn="0" w:firstRowLastColumn="0" w:lastRowFirstColumn="0" w:lastRowLastColumn="0"/>
            <w:tcW w:w="1782" w:type="dxa"/>
          </w:tcPr>
          <w:p w14:paraId="6EF8141E" w14:textId="09017F58" w:rsidR="00450F9A" w:rsidRPr="00383CF3" w:rsidRDefault="00383CF3" w:rsidP="00383CF3">
            <w:pPr>
              <w:rPr>
                <w:szCs w:val="22"/>
                <w:lang w:eastAsia="ja-JP"/>
              </w:rPr>
            </w:pPr>
            <w:r>
              <w:rPr>
                <w:szCs w:val="22"/>
                <w:lang w:eastAsia="ja-JP"/>
              </w:rPr>
              <w:t xml:space="preserve">4 </w:t>
            </w:r>
            <w:r w:rsidR="00450F9A" w:rsidRPr="00450F9A">
              <w:rPr>
                <w:i/>
                <w:szCs w:val="22"/>
                <w:lang w:eastAsia="ja-JP"/>
              </w:rPr>
              <w:t>(new since 31 Jan</w:t>
            </w:r>
            <w:r>
              <w:rPr>
                <w:i/>
                <w:szCs w:val="22"/>
                <w:lang w:eastAsia="ja-JP"/>
              </w:rPr>
              <w:t>uary</w:t>
            </w:r>
            <w:r w:rsidR="00450F9A" w:rsidRPr="00450F9A">
              <w:rPr>
                <w:i/>
                <w:szCs w:val="22"/>
                <w:lang w:eastAsia="ja-JP"/>
              </w:rPr>
              <w:t xml:space="preserve"> 2011)</w:t>
            </w:r>
          </w:p>
        </w:tc>
        <w:tc>
          <w:tcPr>
            <w:tcW w:w="1513" w:type="dxa"/>
          </w:tcPr>
          <w:p w14:paraId="3E28B889"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IDegAsp</w:t>
            </w:r>
          </w:p>
        </w:tc>
        <w:tc>
          <w:tcPr>
            <w:tcW w:w="2123" w:type="dxa"/>
          </w:tcPr>
          <w:p w14:paraId="3B3C4081"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Pregnancy</w:t>
            </w:r>
          </w:p>
        </w:tc>
        <w:tc>
          <w:tcPr>
            <w:tcW w:w="3780" w:type="dxa"/>
          </w:tcPr>
          <w:p w14:paraId="11835B73" w14:textId="0C68760D"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Infant delivered; infant had hypoglycaemia 28</w:t>
            </w:r>
            <w:r w:rsidR="00CD02DA">
              <w:rPr>
                <w:szCs w:val="22"/>
                <w:lang w:eastAsia="ja-JP"/>
              </w:rPr>
              <w:t xml:space="preserve"> </w:t>
            </w:r>
            <w:r w:rsidRPr="00450F9A">
              <w:rPr>
                <w:szCs w:val="22"/>
                <w:lang w:eastAsia="ja-JP"/>
              </w:rPr>
              <w:t>mg/dL) but recovered.</w:t>
            </w:r>
          </w:p>
        </w:tc>
      </w:tr>
    </w:tbl>
    <w:p w14:paraId="5D0476B0" w14:textId="0C634A7A" w:rsidR="00450F9A" w:rsidRPr="00450F9A" w:rsidRDefault="00450F9A" w:rsidP="00450F9A">
      <w:pPr>
        <w:rPr>
          <w:lang w:eastAsia="ja-JP"/>
        </w:rPr>
      </w:pPr>
      <w:r w:rsidRPr="00450F9A">
        <w:rPr>
          <w:lang w:eastAsia="ja-JP"/>
        </w:rPr>
        <w:t>The number of events that have occurred on the IDegAsp clinical trials is low; no r</w:t>
      </w:r>
      <w:r w:rsidR="00383CF3">
        <w:rPr>
          <w:lang w:eastAsia="ja-JP"/>
        </w:rPr>
        <w:t>obust conclusions can be drawn.</w:t>
      </w:r>
    </w:p>
    <w:p w14:paraId="0F4A3022" w14:textId="77777777" w:rsidR="00450F9A" w:rsidRPr="00450F9A" w:rsidRDefault="00450F9A" w:rsidP="00383CF3">
      <w:pPr>
        <w:pStyle w:val="Heading5"/>
        <w:rPr>
          <w:lang w:eastAsia="ja-JP"/>
        </w:rPr>
      </w:pPr>
      <w:r w:rsidRPr="00450F9A">
        <w:rPr>
          <w:lang w:eastAsia="ja-JP"/>
        </w:rPr>
        <w:t>Other</w:t>
      </w:r>
    </w:p>
    <w:p w14:paraId="2A6C9196" w14:textId="5469B58A" w:rsidR="00450F9A" w:rsidRPr="00450F9A" w:rsidRDefault="00450F9A" w:rsidP="00450F9A">
      <w:pPr>
        <w:rPr>
          <w:lang w:eastAsia="ja-JP"/>
        </w:rPr>
      </w:pPr>
      <w:r w:rsidRPr="00450F9A">
        <w:rPr>
          <w:lang w:eastAsia="ja-JP"/>
        </w:rPr>
        <w:t>No new information relating to intrinsic factors, overdose, drug abuse, withdrawal and rebound or the effects on ability to drive or operate machinery or impairment o</w:t>
      </w:r>
      <w:r w:rsidR="00383CF3">
        <w:rPr>
          <w:lang w:eastAsia="ja-JP"/>
        </w:rPr>
        <w:t>f mental ability were reported.</w:t>
      </w:r>
    </w:p>
    <w:p w14:paraId="2219FC63" w14:textId="77777777" w:rsidR="00450F9A" w:rsidRPr="00450F9A" w:rsidRDefault="00450F9A" w:rsidP="00383CF3">
      <w:pPr>
        <w:pStyle w:val="Heading5"/>
      </w:pPr>
      <w:r w:rsidRPr="00450F9A">
        <w:t>Safety related to drug-drug interactions and other interactions</w:t>
      </w:r>
      <w:bookmarkEnd w:id="297"/>
      <w:bookmarkEnd w:id="298"/>
      <w:bookmarkEnd w:id="299"/>
      <w:bookmarkEnd w:id="300"/>
      <w:bookmarkEnd w:id="301"/>
      <w:bookmarkEnd w:id="302"/>
      <w:bookmarkEnd w:id="303"/>
      <w:bookmarkEnd w:id="304"/>
    </w:p>
    <w:p w14:paraId="087F0CD5" w14:textId="4FCA8A72" w:rsidR="00450F9A" w:rsidRPr="00450F9A" w:rsidRDefault="00450F9A" w:rsidP="00450F9A">
      <w:pPr>
        <w:rPr>
          <w:lang w:eastAsia="ja-JP"/>
        </w:rPr>
      </w:pPr>
      <w:bookmarkStart w:id="306" w:name="_Toc241374326"/>
      <w:bookmarkStart w:id="307" w:name="_Ref272333048"/>
      <w:bookmarkStart w:id="308" w:name="_Toc272414679"/>
      <w:bookmarkStart w:id="309" w:name="_Toc290888543"/>
      <w:bookmarkStart w:id="310" w:name="_Toc416353758"/>
      <w:bookmarkStart w:id="311" w:name="_Toc421005301"/>
      <w:bookmarkStart w:id="312" w:name="_Toc432079182"/>
      <w:bookmarkStart w:id="313" w:name="_Toc432080755"/>
      <w:r w:rsidRPr="00450F9A">
        <w:rPr>
          <w:lang w:eastAsia="ja-JP"/>
        </w:rPr>
        <w:t xml:space="preserve">No new information included relating to extrinsic factors or drug </w:t>
      </w:r>
      <w:r w:rsidR="00383CF3">
        <w:rPr>
          <w:lang w:eastAsia="ja-JP"/>
        </w:rPr>
        <w:t>interactions were reported.</w:t>
      </w:r>
    </w:p>
    <w:p w14:paraId="0D1BFCE2" w14:textId="77777777" w:rsidR="00450F9A" w:rsidRPr="00450F9A" w:rsidRDefault="00450F9A" w:rsidP="00383CF3">
      <w:pPr>
        <w:pStyle w:val="Heading3"/>
      </w:pPr>
      <w:bookmarkStart w:id="314" w:name="_Toc487202400"/>
      <w:bookmarkStart w:id="315" w:name="_Toc517768431"/>
      <w:r w:rsidRPr="00450F9A">
        <w:lastRenderedPageBreak/>
        <w:t>Post marketing experience</w:t>
      </w:r>
      <w:bookmarkEnd w:id="306"/>
      <w:bookmarkEnd w:id="307"/>
      <w:bookmarkEnd w:id="308"/>
      <w:bookmarkEnd w:id="309"/>
      <w:bookmarkEnd w:id="310"/>
      <w:bookmarkEnd w:id="311"/>
      <w:bookmarkEnd w:id="312"/>
      <w:bookmarkEnd w:id="313"/>
      <w:bookmarkEnd w:id="314"/>
      <w:bookmarkEnd w:id="315"/>
    </w:p>
    <w:p w14:paraId="7EA52376" w14:textId="77777777" w:rsidR="00383CF3" w:rsidRDefault="00450F9A" w:rsidP="00383CF3">
      <w:pPr>
        <w:pStyle w:val="Heading4"/>
      </w:pPr>
      <w:r w:rsidRPr="00383CF3">
        <w:t>Insulin degludec/insulin aspart</w:t>
      </w:r>
      <w:r w:rsidR="00383CF3">
        <w:t xml:space="preserve"> p</w:t>
      </w:r>
      <w:r w:rsidRPr="00450F9A">
        <w:t>eriodic safety update report (PSUR)/periodic benefit–risk evaluation report (PBRE</w:t>
      </w:r>
      <w:r w:rsidR="00383CF3">
        <w:t>R)</w:t>
      </w:r>
    </w:p>
    <w:p w14:paraId="26590339" w14:textId="4D5A4ABF" w:rsidR="00383CF3" w:rsidRPr="00450F9A" w:rsidRDefault="00383CF3" w:rsidP="00011817">
      <w:pPr>
        <w:pStyle w:val="ListBullet"/>
      </w:pPr>
      <w:r>
        <w:t>Date: From 1 October 2014 to 30-September 2015</w:t>
      </w:r>
      <w:r w:rsidR="00011817">
        <w:t>.</w:t>
      </w:r>
    </w:p>
    <w:p w14:paraId="5341AF5A" w14:textId="71928505" w:rsidR="00450F9A" w:rsidRPr="00450F9A" w:rsidRDefault="00450F9A" w:rsidP="00450F9A">
      <w:pPr>
        <w:rPr>
          <w:lang w:eastAsia="ja-JP"/>
        </w:rPr>
      </w:pPr>
      <w:r w:rsidRPr="00450F9A">
        <w:rPr>
          <w:lang w:eastAsia="ja-JP"/>
        </w:rPr>
        <w:t xml:space="preserve">The </w:t>
      </w:r>
      <w:r w:rsidRPr="00383CF3">
        <w:t xml:space="preserve">start </w:t>
      </w:r>
      <w:r w:rsidRPr="00450F9A">
        <w:rPr>
          <w:lang w:eastAsia="ja-JP"/>
        </w:rPr>
        <w:t>date of the PSUR/PBRER is the day immediat</w:t>
      </w:r>
      <w:r w:rsidR="00383CF3">
        <w:rPr>
          <w:lang w:eastAsia="ja-JP"/>
        </w:rPr>
        <w:t xml:space="preserve">ely following the </w:t>
      </w:r>
      <w:r w:rsidR="009F4052">
        <w:rPr>
          <w:lang w:eastAsia="ja-JP"/>
        </w:rPr>
        <w:t>cut-</w:t>
      </w:r>
      <w:r w:rsidR="009F4052" w:rsidRPr="00450F9A">
        <w:rPr>
          <w:lang w:eastAsia="ja-JP"/>
        </w:rPr>
        <w:t>off</w:t>
      </w:r>
      <w:r w:rsidRPr="00450F9A">
        <w:rPr>
          <w:lang w:eastAsia="ja-JP"/>
        </w:rPr>
        <w:t xml:space="preserve"> date for the Summary of Clinical Safety Addendum and therefo</w:t>
      </w:r>
      <w:r w:rsidR="00383CF3">
        <w:rPr>
          <w:lang w:eastAsia="ja-JP"/>
        </w:rPr>
        <w:t>re contains more updated data.</w:t>
      </w:r>
    </w:p>
    <w:p w14:paraId="19F0EF75" w14:textId="77777777" w:rsidR="00450F9A" w:rsidRPr="00450F9A" w:rsidRDefault="00450F9A" w:rsidP="00383CF3">
      <w:pPr>
        <w:pStyle w:val="Heading5"/>
        <w:rPr>
          <w:lang w:eastAsia="ja-JP"/>
        </w:rPr>
      </w:pPr>
      <w:r w:rsidRPr="00450F9A">
        <w:rPr>
          <w:lang w:eastAsia="ja-JP"/>
        </w:rPr>
        <w:t>Worldwide marketing authorisation status</w:t>
      </w:r>
    </w:p>
    <w:p w14:paraId="4B1F1439" w14:textId="77777777" w:rsidR="00450F9A" w:rsidRPr="00450F9A" w:rsidRDefault="00450F9A" w:rsidP="00450F9A">
      <w:pPr>
        <w:rPr>
          <w:lang w:eastAsia="ja-JP"/>
        </w:rPr>
      </w:pPr>
      <w:r w:rsidRPr="00450F9A">
        <w:rPr>
          <w:lang w:eastAsia="ja-JP"/>
        </w:rPr>
        <w:t>IDegAsp has been approved in more than 55 countries and marketed in 5 countries (Denmark, Switzerland, India, Bangladesh and Mexico).</w:t>
      </w:r>
    </w:p>
    <w:p w14:paraId="0257BBCF" w14:textId="72EDB25D" w:rsidR="00450F9A" w:rsidRPr="00450F9A" w:rsidRDefault="00450F9A" w:rsidP="005B25F6">
      <w:pPr>
        <w:pStyle w:val="Heading5"/>
        <w:rPr>
          <w:lang w:eastAsia="ja-JP"/>
        </w:rPr>
      </w:pPr>
      <w:r w:rsidRPr="00450F9A">
        <w:rPr>
          <w:lang w:eastAsia="ja-JP"/>
        </w:rPr>
        <w:t>Regulatory actions of note in the PSUR/PBRER period</w:t>
      </w:r>
    </w:p>
    <w:p w14:paraId="7ACC934B" w14:textId="4551A18D" w:rsidR="00450F9A" w:rsidRPr="00450F9A" w:rsidRDefault="00450F9A" w:rsidP="005B25F6">
      <w:pPr>
        <w:pStyle w:val="ListBullet"/>
        <w:rPr>
          <w:lang w:eastAsia="ja-JP"/>
        </w:rPr>
      </w:pPr>
      <w:r w:rsidRPr="00450F9A">
        <w:rPr>
          <w:lang w:eastAsia="ja-JP"/>
        </w:rPr>
        <w:t>Singapore: marketing applica</w:t>
      </w:r>
      <w:r w:rsidR="005B25F6">
        <w:rPr>
          <w:lang w:eastAsia="ja-JP"/>
        </w:rPr>
        <w:t>tion for IDeg was withdrawn by s</w:t>
      </w:r>
      <w:r w:rsidRPr="00450F9A">
        <w:rPr>
          <w:lang w:eastAsia="ja-JP"/>
        </w:rPr>
        <w:t>ponsor, as the regulatory authority decided to wait for the results of the DEVOTE</w:t>
      </w:r>
      <w:r w:rsidR="005B25F6">
        <w:rPr>
          <w:lang w:eastAsia="ja-JP"/>
        </w:rPr>
        <w:t xml:space="preserve"> trial</w:t>
      </w:r>
      <w:r w:rsidRPr="00450F9A">
        <w:rPr>
          <w:lang w:eastAsia="ja-JP"/>
        </w:rPr>
        <w:t xml:space="preserve"> before making a final decision regar</w:t>
      </w:r>
      <w:r w:rsidR="005B25F6">
        <w:rPr>
          <w:lang w:eastAsia="ja-JP"/>
        </w:rPr>
        <w:t>ding the marketing application.</w:t>
      </w:r>
    </w:p>
    <w:p w14:paraId="28918186" w14:textId="7B778588" w:rsidR="00450F9A" w:rsidRPr="00450F9A" w:rsidRDefault="00450F9A" w:rsidP="005B25F6">
      <w:pPr>
        <w:pStyle w:val="ListBullet"/>
        <w:rPr>
          <w:lang w:eastAsia="ja-JP"/>
        </w:rPr>
      </w:pPr>
      <w:r w:rsidRPr="00450F9A">
        <w:rPr>
          <w:lang w:eastAsia="ja-JP"/>
        </w:rPr>
        <w:t xml:space="preserve">Malaysia: rejection (following appeals process) for IDegAsp; DEVOTE </w:t>
      </w:r>
      <w:r w:rsidR="005B25F6">
        <w:rPr>
          <w:lang w:eastAsia="ja-JP"/>
        </w:rPr>
        <w:t xml:space="preserve">trial </w:t>
      </w:r>
      <w:r w:rsidRPr="00450F9A">
        <w:rPr>
          <w:lang w:eastAsia="ja-JP"/>
        </w:rPr>
        <w:t>results are required to confirm the cardiovascular safety of the products.</w:t>
      </w:r>
    </w:p>
    <w:p w14:paraId="7122CAFE" w14:textId="50BD9992" w:rsidR="00450F9A" w:rsidRPr="00450F9A" w:rsidRDefault="005B25F6" w:rsidP="005B25F6">
      <w:pPr>
        <w:pStyle w:val="Heading5"/>
        <w:rPr>
          <w:lang w:eastAsia="ja-JP"/>
        </w:rPr>
      </w:pPr>
      <w:r>
        <w:rPr>
          <w:lang w:eastAsia="ja-JP"/>
        </w:rPr>
        <w:t>Clinical trial data</w:t>
      </w:r>
    </w:p>
    <w:p w14:paraId="5ED25FE4" w14:textId="2656A419" w:rsidR="00450F9A" w:rsidRPr="00450F9A" w:rsidRDefault="00450F9A" w:rsidP="00450F9A">
      <w:pPr>
        <w:rPr>
          <w:lang w:eastAsia="ja-JP"/>
        </w:rPr>
      </w:pPr>
      <w:r w:rsidRPr="00450F9A">
        <w:rPr>
          <w:lang w:eastAsia="ja-JP"/>
        </w:rPr>
        <w:t>Clinical trial data has already been summarised, based on the Summary of Clinical Safety Addendum, thus the only additional clinical trial data to be included in the CER from the PSUR/PBRER are those from clinical trials completed in this reporting period (there a</w:t>
      </w:r>
      <w:r w:rsidR="005B25F6">
        <w:rPr>
          <w:lang w:eastAsia="ja-JP"/>
        </w:rPr>
        <w:t>re no ongoing clinical trials).</w:t>
      </w:r>
    </w:p>
    <w:p w14:paraId="47B5A424" w14:textId="77777777" w:rsidR="00450F9A" w:rsidRPr="00450F9A" w:rsidRDefault="00450F9A" w:rsidP="005B25F6">
      <w:pPr>
        <w:pStyle w:val="Heading6"/>
        <w:rPr>
          <w:lang w:eastAsia="ja-JP"/>
        </w:rPr>
      </w:pPr>
      <w:r w:rsidRPr="00450F9A">
        <w:rPr>
          <w:lang w:eastAsia="ja-JP"/>
        </w:rPr>
        <w:t>Completed clinical trials</w:t>
      </w:r>
    </w:p>
    <w:p w14:paraId="1E66CBA7" w14:textId="4A1FB5E7" w:rsidR="00450F9A" w:rsidRPr="00450F9A" w:rsidRDefault="005B25F6" w:rsidP="00450F9A">
      <w:pPr>
        <w:rPr>
          <w:lang w:eastAsia="ja-JP"/>
        </w:rPr>
      </w:pPr>
      <w:r>
        <w:rPr>
          <w:lang w:eastAsia="ja-JP"/>
        </w:rPr>
        <w:t>1</w:t>
      </w:r>
      <w:r w:rsidR="00450F9A" w:rsidRPr="00450F9A">
        <w:rPr>
          <w:lang w:eastAsia="ja-JP"/>
        </w:rPr>
        <w:t xml:space="preserve"> </w:t>
      </w:r>
      <w:r>
        <w:rPr>
          <w:lang w:eastAsia="ja-JP"/>
        </w:rPr>
        <w:t>P</w:t>
      </w:r>
      <w:r w:rsidR="00450F9A" w:rsidRPr="00450F9A">
        <w:rPr>
          <w:lang w:eastAsia="ja-JP"/>
        </w:rPr>
        <w:t xml:space="preserve">hase </w:t>
      </w:r>
      <w:r>
        <w:rPr>
          <w:lang w:eastAsia="ja-JP"/>
        </w:rPr>
        <w:t>III</w:t>
      </w:r>
      <w:r w:rsidR="00450F9A" w:rsidRPr="00450F9A">
        <w:rPr>
          <w:lang w:eastAsia="ja-JP"/>
        </w:rPr>
        <w:t>b paediatric clinical trial (</w:t>
      </w:r>
      <w:r>
        <w:rPr>
          <w:lang w:eastAsia="ja-JP"/>
        </w:rPr>
        <w:t xml:space="preserve">Study </w:t>
      </w:r>
      <w:r w:rsidR="00450F9A" w:rsidRPr="00450F9A">
        <w:rPr>
          <w:lang w:eastAsia="ja-JP"/>
        </w:rPr>
        <w:t xml:space="preserve">NN5401-3816) was completed in this reporting period: a 16 week multinational, open label, </w:t>
      </w:r>
      <w:r w:rsidR="00D44164">
        <w:rPr>
          <w:lang w:eastAsia="ja-JP"/>
        </w:rPr>
        <w:t>2</w:t>
      </w:r>
      <w:r w:rsidR="00450F9A" w:rsidRPr="00450F9A">
        <w:rPr>
          <w:lang w:eastAsia="ja-JP"/>
        </w:rPr>
        <w:t xml:space="preserve"> arm, pa</w:t>
      </w:r>
      <w:r>
        <w:rPr>
          <w:lang w:eastAsia="ja-JP"/>
        </w:rPr>
        <w:t xml:space="preserve">rallel group, randomised, treat to </w:t>
      </w:r>
      <w:r w:rsidR="00450F9A" w:rsidRPr="00450F9A">
        <w:rPr>
          <w:lang w:eastAsia="ja-JP"/>
        </w:rPr>
        <w:t>target, efficacy and safety trial with IDegAsp once daily with main meal and insulin asp for the remaining meals vs. insulin detemir and mealtime IAs</w:t>
      </w:r>
      <w:r>
        <w:rPr>
          <w:lang w:eastAsia="ja-JP"/>
        </w:rPr>
        <w:t xml:space="preserve">p in subjects with T1DM aged 1 to </w:t>
      </w:r>
      <w:r w:rsidR="00450F9A" w:rsidRPr="00450F9A">
        <w:rPr>
          <w:lang w:eastAsia="ja-JP"/>
        </w:rPr>
        <w:t>&lt;</w:t>
      </w:r>
      <w:r w:rsidR="005874E2">
        <w:rPr>
          <w:lang w:eastAsia="ja-JP"/>
        </w:rPr>
        <w:t> </w:t>
      </w:r>
      <w:r>
        <w:rPr>
          <w:lang w:eastAsia="ja-JP"/>
        </w:rPr>
        <w:t>18 years old.</w:t>
      </w:r>
    </w:p>
    <w:p w14:paraId="689F7F96" w14:textId="540E6838" w:rsidR="00450F9A" w:rsidRPr="00450F9A" w:rsidRDefault="005B25F6" w:rsidP="00450F9A">
      <w:pPr>
        <w:rPr>
          <w:lang w:eastAsia="ja-JP"/>
        </w:rPr>
      </w:pPr>
      <w:r>
        <w:rPr>
          <w:lang w:eastAsia="ja-JP"/>
        </w:rPr>
        <w:t>Key safety findings are shown below in Table 15.</w:t>
      </w:r>
    </w:p>
    <w:p w14:paraId="5EBD8E85" w14:textId="5D9C3924" w:rsidR="00450F9A" w:rsidRPr="00450F9A" w:rsidRDefault="00450F9A" w:rsidP="005B25F6">
      <w:pPr>
        <w:pStyle w:val="Tabletitle"/>
        <w:rPr>
          <w:lang w:eastAsia="ja-JP"/>
        </w:rPr>
      </w:pPr>
      <w:bookmarkStart w:id="316" w:name="_Toc487195083"/>
      <w:r w:rsidRPr="00450F9A">
        <w:rPr>
          <w:lang w:eastAsia="ja-JP"/>
        </w:rPr>
        <w:t xml:space="preserve">Table </w:t>
      </w:r>
      <w:r w:rsidR="005B25F6">
        <w:rPr>
          <w:lang w:eastAsia="ja-JP"/>
        </w:rPr>
        <w:t>15</w:t>
      </w:r>
      <w:r w:rsidR="00FA6FCA">
        <w:rPr>
          <w:lang w:eastAsia="ja-JP"/>
        </w:rPr>
        <w:t>:</w:t>
      </w:r>
      <w:r w:rsidR="005B25F6">
        <w:rPr>
          <w:lang w:eastAsia="ja-JP"/>
        </w:rPr>
        <w:t xml:space="preserve"> </w:t>
      </w:r>
      <w:r w:rsidRPr="00450F9A">
        <w:rPr>
          <w:lang w:eastAsia="ja-JP"/>
        </w:rPr>
        <w:t xml:space="preserve">Key safety findings in </w:t>
      </w:r>
      <w:r w:rsidR="005B25F6">
        <w:rPr>
          <w:lang w:eastAsia="ja-JP"/>
        </w:rPr>
        <w:t xml:space="preserve">Study </w:t>
      </w:r>
      <w:r w:rsidRPr="00450F9A">
        <w:rPr>
          <w:lang w:eastAsia="ja-JP"/>
        </w:rPr>
        <w:t>NN5401-3816</w:t>
      </w:r>
      <w:bookmarkEnd w:id="316"/>
    </w:p>
    <w:tbl>
      <w:tblPr>
        <w:tblStyle w:val="TableTGAblue"/>
        <w:tblW w:w="0" w:type="auto"/>
        <w:tblLook w:val="04A0" w:firstRow="1" w:lastRow="0" w:firstColumn="1" w:lastColumn="0" w:noHBand="0" w:noVBand="1"/>
        <w:tblDescription w:val="Table 15: Key safety findings in Study NN5401-3816"/>
      </w:tblPr>
      <w:tblGrid>
        <w:gridCol w:w="3080"/>
        <w:gridCol w:w="3081"/>
        <w:gridCol w:w="3081"/>
      </w:tblGrid>
      <w:tr w:rsidR="00450F9A" w:rsidRPr="00450F9A" w14:paraId="3B057A25" w14:textId="77777777" w:rsidTr="005874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tcPr>
          <w:p w14:paraId="291172C3" w14:textId="4C637A26" w:rsidR="00450F9A" w:rsidRPr="00011817" w:rsidRDefault="00011817" w:rsidP="00011817">
            <w:pPr>
              <w:rPr>
                <w:szCs w:val="22"/>
                <w:lang w:eastAsia="ja-JP"/>
              </w:rPr>
            </w:pPr>
            <w:r w:rsidRPr="00011817">
              <w:rPr>
                <w:szCs w:val="22"/>
                <w:lang w:eastAsia="ja-JP"/>
              </w:rPr>
              <w:t>Key safety finding</w:t>
            </w:r>
          </w:p>
        </w:tc>
        <w:tc>
          <w:tcPr>
            <w:tcW w:w="3081" w:type="dxa"/>
          </w:tcPr>
          <w:p w14:paraId="1D6C72A4" w14:textId="77777777" w:rsidR="00450F9A" w:rsidRPr="005B25F6" w:rsidRDefault="00450F9A" w:rsidP="00450F9A">
            <w:pPr>
              <w:cnfStyle w:val="100000000000" w:firstRow="1" w:lastRow="0" w:firstColumn="0" w:lastColumn="0" w:oddVBand="0" w:evenVBand="0" w:oddHBand="0" w:evenHBand="0" w:firstRowFirstColumn="0" w:firstRowLastColumn="0" w:lastRowFirstColumn="0" w:lastRowLastColumn="0"/>
              <w:rPr>
                <w:szCs w:val="22"/>
                <w:lang w:eastAsia="ja-JP"/>
              </w:rPr>
            </w:pPr>
            <w:r w:rsidRPr="005B25F6">
              <w:rPr>
                <w:szCs w:val="22"/>
                <w:lang w:eastAsia="ja-JP"/>
              </w:rPr>
              <w:t>IDegAsp</w:t>
            </w:r>
          </w:p>
        </w:tc>
        <w:tc>
          <w:tcPr>
            <w:tcW w:w="3081" w:type="dxa"/>
          </w:tcPr>
          <w:p w14:paraId="6476C236" w14:textId="77777777" w:rsidR="00450F9A" w:rsidRPr="005B25F6" w:rsidRDefault="00450F9A" w:rsidP="00450F9A">
            <w:pPr>
              <w:cnfStyle w:val="100000000000" w:firstRow="1" w:lastRow="0" w:firstColumn="0" w:lastColumn="0" w:oddVBand="0" w:evenVBand="0" w:oddHBand="0" w:evenHBand="0" w:firstRowFirstColumn="0" w:firstRowLastColumn="0" w:lastRowFirstColumn="0" w:lastRowLastColumn="0"/>
              <w:rPr>
                <w:szCs w:val="22"/>
                <w:lang w:eastAsia="ja-JP"/>
              </w:rPr>
            </w:pPr>
            <w:r w:rsidRPr="005B25F6">
              <w:rPr>
                <w:szCs w:val="22"/>
                <w:lang w:eastAsia="ja-JP"/>
              </w:rPr>
              <w:t>Insulin determir</w:t>
            </w:r>
          </w:p>
        </w:tc>
      </w:tr>
      <w:tr w:rsidR="00450F9A" w:rsidRPr="00450F9A" w14:paraId="3242008B" w14:textId="77777777" w:rsidTr="005874E2">
        <w:trPr>
          <w:cantSplit/>
        </w:trPr>
        <w:tc>
          <w:tcPr>
            <w:cnfStyle w:val="001000000000" w:firstRow="0" w:lastRow="0" w:firstColumn="1" w:lastColumn="0" w:oddVBand="0" w:evenVBand="0" w:oddHBand="0" w:evenHBand="0" w:firstRowFirstColumn="0" w:firstRowLastColumn="0" w:lastRowFirstColumn="0" w:lastRowLastColumn="0"/>
            <w:tcW w:w="3080" w:type="dxa"/>
          </w:tcPr>
          <w:p w14:paraId="5C2B9FD4" w14:textId="77777777" w:rsidR="00450F9A" w:rsidRPr="00450F9A" w:rsidRDefault="00450F9A" w:rsidP="00450F9A">
            <w:pPr>
              <w:rPr>
                <w:b/>
                <w:szCs w:val="22"/>
                <w:lang w:eastAsia="ja-JP"/>
              </w:rPr>
            </w:pPr>
            <w:r w:rsidRPr="00450F9A">
              <w:rPr>
                <w:b/>
                <w:szCs w:val="22"/>
                <w:lang w:eastAsia="ja-JP"/>
              </w:rPr>
              <w:t>Deaths</w:t>
            </w:r>
          </w:p>
        </w:tc>
        <w:tc>
          <w:tcPr>
            <w:tcW w:w="3081" w:type="dxa"/>
          </w:tcPr>
          <w:p w14:paraId="109F5F4F"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0</w:t>
            </w:r>
          </w:p>
        </w:tc>
        <w:tc>
          <w:tcPr>
            <w:tcW w:w="3081" w:type="dxa"/>
          </w:tcPr>
          <w:p w14:paraId="4D1824A1"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0</w:t>
            </w:r>
          </w:p>
        </w:tc>
      </w:tr>
      <w:tr w:rsidR="00450F9A" w:rsidRPr="00450F9A" w14:paraId="4CEB0161" w14:textId="77777777" w:rsidTr="005874E2">
        <w:trPr>
          <w:cantSplit/>
        </w:trPr>
        <w:tc>
          <w:tcPr>
            <w:cnfStyle w:val="001000000000" w:firstRow="0" w:lastRow="0" w:firstColumn="1" w:lastColumn="0" w:oddVBand="0" w:evenVBand="0" w:oddHBand="0" w:evenHBand="0" w:firstRowFirstColumn="0" w:firstRowLastColumn="0" w:lastRowFirstColumn="0" w:lastRowLastColumn="0"/>
            <w:tcW w:w="3080" w:type="dxa"/>
          </w:tcPr>
          <w:p w14:paraId="291B95FC" w14:textId="77777777" w:rsidR="00450F9A" w:rsidRPr="00450F9A" w:rsidRDefault="00450F9A" w:rsidP="00450F9A">
            <w:pPr>
              <w:rPr>
                <w:b/>
                <w:szCs w:val="22"/>
                <w:lang w:eastAsia="ja-JP"/>
              </w:rPr>
            </w:pPr>
            <w:r w:rsidRPr="00450F9A">
              <w:rPr>
                <w:b/>
                <w:szCs w:val="22"/>
                <w:lang w:eastAsia="ja-JP"/>
              </w:rPr>
              <w:t>AE rate</w:t>
            </w:r>
          </w:p>
        </w:tc>
        <w:tc>
          <w:tcPr>
            <w:tcW w:w="3081" w:type="dxa"/>
          </w:tcPr>
          <w:p w14:paraId="2255B4F2"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915 events per 100 patient years of exposure</w:t>
            </w:r>
          </w:p>
        </w:tc>
        <w:tc>
          <w:tcPr>
            <w:tcW w:w="3081" w:type="dxa"/>
          </w:tcPr>
          <w:p w14:paraId="4D0B7DEE"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853 events per 100 patient years of exposure</w:t>
            </w:r>
          </w:p>
        </w:tc>
      </w:tr>
      <w:tr w:rsidR="00450F9A" w:rsidRPr="00450F9A" w14:paraId="6A1E5C52" w14:textId="77777777" w:rsidTr="005874E2">
        <w:trPr>
          <w:cantSplit/>
        </w:trPr>
        <w:tc>
          <w:tcPr>
            <w:cnfStyle w:val="001000000000" w:firstRow="0" w:lastRow="0" w:firstColumn="1" w:lastColumn="0" w:oddVBand="0" w:evenVBand="0" w:oddHBand="0" w:evenHBand="0" w:firstRowFirstColumn="0" w:firstRowLastColumn="0" w:lastRowFirstColumn="0" w:lastRowLastColumn="0"/>
            <w:tcW w:w="3080" w:type="dxa"/>
          </w:tcPr>
          <w:p w14:paraId="6EA0D1FC" w14:textId="77777777" w:rsidR="00450F9A" w:rsidRPr="00450F9A" w:rsidRDefault="00450F9A" w:rsidP="00450F9A">
            <w:pPr>
              <w:rPr>
                <w:b/>
                <w:szCs w:val="22"/>
                <w:lang w:eastAsia="ja-JP"/>
              </w:rPr>
            </w:pPr>
            <w:r w:rsidRPr="00450F9A">
              <w:rPr>
                <w:b/>
                <w:szCs w:val="22"/>
                <w:lang w:eastAsia="ja-JP"/>
              </w:rPr>
              <w:t>SAEs (% of patients who reported an event)</w:t>
            </w:r>
          </w:p>
        </w:tc>
        <w:tc>
          <w:tcPr>
            <w:tcW w:w="3081" w:type="dxa"/>
          </w:tcPr>
          <w:p w14:paraId="2AA49208"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14 events in 11 subjects (6.1%); rate 26 events per 100 patient years of exposure</w:t>
            </w:r>
          </w:p>
        </w:tc>
        <w:tc>
          <w:tcPr>
            <w:tcW w:w="3081" w:type="dxa"/>
          </w:tcPr>
          <w:p w14:paraId="0682FC86"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7 events in 7 subjects (3.9%); rate 13 events per 100 patient years of exposure</w:t>
            </w:r>
          </w:p>
        </w:tc>
      </w:tr>
      <w:tr w:rsidR="00450F9A" w:rsidRPr="00450F9A" w14:paraId="226ECE94" w14:textId="77777777" w:rsidTr="005874E2">
        <w:trPr>
          <w:cantSplit/>
        </w:trPr>
        <w:tc>
          <w:tcPr>
            <w:cnfStyle w:val="001000000000" w:firstRow="0" w:lastRow="0" w:firstColumn="1" w:lastColumn="0" w:oddVBand="0" w:evenVBand="0" w:oddHBand="0" w:evenHBand="0" w:firstRowFirstColumn="0" w:firstRowLastColumn="0" w:lastRowFirstColumn="0" w:lastRowLastColumn="0"/>
            <w:tcW w:w="3080" w:type="dxa"/>
          </w:tcPr>
          <w:p w14:paraId="29C8A61C" w14:textId="1A8A9376" w:rsidR="00450F9A" w:rsidRPr="00450F9A" w:rsidRDefault="00450F9A" w:rsidP="00450F9A">
            <w:pPr>
              <w:rPr>
                <w:b/>
                <w:szCs w:val="22"/>
                <w:lang w:eastAsia="ja-JP"/>
              </w:rPr>
            </w:pPr>
            <w:r w:rsidRPr="00450F9A">
              <w:rPr>
                <w:b/>
                <w:szCs w:val="22"/>
                <w:lang w:eastAsia="ja-JP"/>
              </w:rPr>
              <w:t>C</w:t>
            </w:r>
            <w:r w:rsidR="005B25F6">
              <w:rPr>
                <w:b/>
                <w:szCs w:val="22"/>
                <w:lang w:eastAsia="ja-JP"/>
              </w:rPr>
              <w:t>onfirmed hypoglycaemic episodes</w:t>
            </w:r>
          </w:p>
        </w:tc>
        <w:tc>
          <w:tcPr>
            <w:tcW w:w="3081" w:type="dxa"/>
          </w:tcPr>
          <w:p w14:paraId="11993E5E"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4623 events per 100 patient years of exposure</w:t>
            </w:r>
          </w:p>
        </w:tc>
        <w:tc>
          <w:tcPr>
            <w:tcW w:w="3081" w:type="dxa"/>
          </w:tcPr>
          <w:p w14:paraId="3EFA467C"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4955 events per 100 patient years of exposure</w:t>
            </w:r>
          </w:p>
        </w:tc>
      </w:tr>
      <w:tr w:rsidR="00450F9A" w:rsidRPr="00450F9A" w14:paraId="3B95498B" w14:textId="77777777" w:rsidTr="005874E2">
        <w:trPr>
          <w:cantSplit/>
        </w:trPr>
        <w:tc>
          <w:tcPr>
            <w:cnfStyle w:val="001000000000" w:firstRow="0" w:lastRow="0" w:firstColumn="1" w:lastColumn="0" w:oddVBand="0" w:evenVBand="0" w:oddHBand="0" w:evenHBand="0" w:firstRowFirstColumn="0" w:firstRowLastColumn="0" w:lastRowFirstColumn="0" w:lastRowLastColumn="0"/>
            <w:tcW w:w="3080" w:type="dxa"/>
          </w:tcPr>
          <w:p w14:paraId="0FF7BAD7" w14:textId="19494395" w:rsidR="00450F9A" w:rsidRPr="00450F9A" w:rsidRDefault="005B25F6" w:rsidP="00450F9A">
            <w:pPr>
              <w:rPr>
                <w:b/>
                <w:szCs w:val="22"/>
                <w:lang w:eastAsia="ja-JP"/>
              </w:rPr>
            </w:pPr>
            <w:r>
              <w:rPr>
                <w:b/>
                <w:szCs w:val="22"/>
                <w:lang w:eastAsia="ja-JP"/>
              </w:rPr>
              <w:t>Severe hypoglycaemic episodes</w:t>
            </w:r>
          </w:p>
        </w:tc>
        <w:tc>
          <w:tcPr>
            <w:tcW w:w="3081" w:type="dxa"/>
          </w:tcPr>
          <w:p w14:paraId="2DC790FD"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26 events per 100 patient years of exposure</w:t>
            </w:r>
          </w:p>
        </w:tc>
        <w:tc>
          <w:tcPr>
            <w:tcW w:w="3081" w:type="dxa"/>
          </w:tcPr>
          <w:p w14:paraId="5C120D4E" w14:textId="77777777" w:rsidR="00450F9A" w:rsidRPr="00450F9A" w:rsidRDefault="00450F9A" w:rsidP="00450F9A">
            <w:pPr>
              <w:cnfStyle w:val="000000000000" w:firstRow="0" w:lastRow="0" w:firstColumn="0" w:lastColumn="0" w:oddVBand="0" w:evenVBand="0" w:oddHBand="0" w:evenHBand="0" w:firstRowFirstColumn="0" w:firstRowLastColumn="0" w:lastRowFirstColumn="0" w:lastRowLastColumn="0"/>
              <w:rPr>
                <w:szCs w:val="22"/>
                <w:lang w:eastAsia="ja-JP"/>
              </w:rPr>
            </w:pPr>
            <w:r w:rsidRPr="00450F9A">
              <w:rPr>
                <w:szCs w:val="22"/>
                <w:lang w:eastAsia="ja-JP"/>
              </w:rPr>
              <w:t>7 events per 100 patient years of exposure</w:t>
            </w:r>
          </w:p>
        </w:tc>
      </w:tr>
    </w:tbl>
    <w:p w14:paraId="6D92ACE9" w14:textId="4DAD1C7B" w:rsidR="00450F9A" w:rsidRPr="00450F9A" w:rsidRDefault="00450F9A" w:rsidP="00450F9A">
      <w:pPr>
        <w:rPr>
          <w:lang w:eastAsia="ja-JP"/>
        </w:rPr>
      </w:pPr>
      <w:r w:rsidRPr="00450F9A">
        <w:rPr>
          <w:lang w:eastAsia="ja-JP"/>
        </w:rPr>
        <w:lastRenderedPageBreak/>
        <w:t xml:space="preserve">Higher rates of AEs, SAEs and severe hypoglycaemic episodes are noted in this paediatric </w:t>
      </w:r>
      <w:r w:rsidR="005B25F6">
        <w:rPr>
          <w:lang w:eastAsia="ja-JP"/>
        </w:rPr>
        <w:t>population for the IDegAsp arm.</w:t>
      </w:r>
    </w:p>
    <w:p w14:paraId="2F0054B7" w14:textId="052A7354" w:rsidR="00450F9A" w:rsidRPr="00450F9A" w:rsidRDefault="00450F9A" w:rsidP="005B25F6">
      <w:pPr>
        <w:pStyle w:val="Heading4"/>
      </w:pPr>
      <w:r w:rsidRPr="00450F9A">
        <w:t>Post marketing exposure</w:t>
      </w:r>
    </w:p>
    <w:p w14:paraId="436D4895" w14:textId="68029D45" w:rsidR="00450F9A" w:rsidRPr="00450F9A" w:rsidRDefault="00450F9A" w:rsidP="00450F9A">
      <w:pPr>
        <w:rPr>
          <w:lang w:eastAsia="ja-JP"/>
        </w:rPr>
      </w:pPr>
      <w:r w:rsidRPr="00450F9A">
        <w:rPr>
          <w:lang w:eastAsia="ja-JP"/>
        </w:rPr>
        <w:t>It is e</w:t>
      </w:r>
      <w:r w:rsidR="005B25F6">
        <w:rPr>
          <w:lang w:eastAsia="ja-JP"/>
        </w:rPr>
        <w:t>stimated that there has been 12,</w:t>
      </w:r>
      <w:r w:rsidRPr="00450F9A">
        <w:rPr>
          <w:lang w:eastAsia="ja-JP"/>
        </w:rPr>
        <w:t xml:space="preserve">902 patient years </w:t>
      </w:r>
      <w:r w:rsidR="005B25F6">
        <w:rPr>
          <w:lang w:eastAsia="ja-JP"/>
        </w:rPr>
        <w:t>of exposure to IDegAsp until 30 </w:t>
      </w:r>
      <w:r w:rsidRPr="00450F9A">
        <w:rPr>
          <w:lang w:eastAsia="ja-JP"/>
        </w:rPr>
        <w:t>September 2015 (‘cumulati</w:t>
      </w:r>
      <w:r w:rsidR="005B25F6">
        <w:rPr>
          <w:lang w:eastAsia="ja-JP"/>
        </w:rPr>
        <w:t>ve exposure’) and of these, 11,</w:t>
      </w:r>
      <w:r w:rsidRPr="00450F9A">
        <w:rPr>
          <w:lang w:eastAsia="ja-JP"/>
        </w:rPr>
        <w:t>644 patient years of exposure have occurred during the</w:t>
      </w:r>
      <w:r w:rsidR="005B25F6">
        <w:rPr>
          <w:lang w:eastAsia="ja-JP"/>
        </w:rPr>
        <w:t xml:space="preserve"> current PSUR reporting period.</w:t>
      </w:r>
    </w:p>
    <w:p w14:paraId="52865EA9" w14:textId="2653A1B6" w:rsidR="00450F9A" w:rsidRPr="00450F9A" w:rsidRDefault="00450F9A" w:rsidP="005B25F6">
      <w:pPr>
        <w:pStyle w:val="ListBullet"/>
        <w:rPr>
          <w:lang w:eastAsia="ja-JP"/>
        </w:rPr>
      </w:pPr>
      <w:r w:rsidRPr="00450F9A">
        <w:rPr>
          <w:lang w:eastAsia="ja-JP"/>
        </w:rPr>
        <w:t>Cumulatively, 91 adverse drug reactions have been reported in 41 spontaneous case reports, of which 4 reports were serious. 79 adverse drug reactions wer</w:t>
      </w:r>
      <w:r w:rsidR="005B25F6">
        <w:rPr>
          <w:lang w:eastAsia="ja-JP"/>
        </w:rPr>
        <w:t>e reported in this PSUR period.</w:t>
      </w:r>
    </w:p>
    <w:p w14:paraId="07EA4DC4" w14:textId="77777777" w:rsidR="00450F9A" w:rsidRPr="00450F9A" w:rsidRDefault="00450F9A" w:rsidP="005B25F6">
      <w:pPr>
        <w:pStyle w:val="ListBullet"/>
        <w:rPr>
          <w:lang w:eastAsia="ja-JP"/>
        </w:rPr>
      </w:pPr>
      <w:r w:rsidRPr="00450F9A">
        <w:rPr>
          <w:lang w:eastAsia="ja-JP"/>
        </w:rPr>
        <w:t>One serious event of hypoglycaemia was received from non-interventional post-marketing studies and other solicited sources and is included as an adverse drug reaction.</w:t>
      </w:r>
    </w:p>
    <w:p w14:paraId="42B61FE9" w14:textId="220AA6E9" w:rsidR="00450F9A" w:rsidRPr="00450F9A" w:rsidRDefault="00450F9A" w:rsidP="005B25F6">
      <w:pPr>
        <w:pStyle w:val="ListBullet"/>
        <w:rPr>
          <w:lang w:eastAsia="ja-JP"/>
        </w:rPr>
      </w:pPr>
      <w:r w:rsidRPr="00450F9A">
        <w:rPr>
          <w:lang w:eastAsia="ja-JP"/>
        </w:rPr>
        <w:t xml:space="preserve">Most frequently reported events (5 events each) were injection site reactions (SOC </w:t>
      </w:r>
      <w:r w:rsidR="005B25F6">
        <w:rPr>
          <w:lang w:eastAsia="ja-JP"/>
        </w:rPr>
        <w:t>g</w:t>
      </w:r>
      <w:r w:rsidRPr="00450F9A">
        <w:rPr>
          <w:lang w:eastAsia="ja-JP"/>
        </w:rPr>
        <w:t>eneral disorders and administration site conditions), hypoglycaemia, hyperglycaemia (both of SOC Metabolism and nutrition disorder) and blood glucose inc</w:t>
      </w:r>
      <w:r w:rsidR="005B25F6">
        <w:rPr>
          <w:lang w:eastAsia="ja-JP"/>
        </w:rPr>
        <w:t>reased (SOC investigations).</w:t>
      </w:r>
    </w:p>
    <w:p w14:paraId="5FF300F7" w14:textId="0037765B" w:rsidR="00450F9A" w:rsidRPr="00450F9A" w:rsidRDefault="00450F9A" w:rsidP="005B25F6">
      <w:pPr>
        <w:pStyle w:val="ListBullet"/>
        <w:rPr>
          <w:lang w:eastAsia="ja-JP"/>
        </w:rPr>
      </w:pPr>
      <w:r w:rsidRPr="00450F9A">
        <w:rPr>
          <w:lang w:eastAsia="ja-JP"/>
        </w:rPr>
        <w:t>No cases of MACE o</w:t>
      </w:r>
      <w:r w:rsidR="005B25F6">
        <w:rPr>
          <w:lang w:eastAsia="ja-JP"/>
        </w:rPr>
        <w:t>r neoplasms have been reported.</w:t>
      </w:r>
    </w:p>
    <w:p w14:paraId="0878DCF9" w14:textId="6AC43E0C" w:rsidR="00450F9A" w:rsidRPr="00450F9A" w:rsidRDefault="00450F9A" w:rsidP="005B25F6">
      <w:pPr>
        <w:pStyle w:val="ListBullet"/>
        <w:rPr>
          <w:lang w:eastAsia="ja-JP"/>
        </w:rPr>
      </w:pPr>
      <w:r w:rsidRPr="00450F9A">
        <w:rPr>
          <w:lang w:eastAsia="ja-JP"/>
        </w:rPr>
        <w:t>No fatal cases have been reported</w:t>
      </w:r>
      <w:r w:rsidR="005B25F6">
        <w:rPr>
          <w:lang w:eastAsia="ja-JP"/>
        </w:rPr>
        <w:t>.</w:t>
      </w:r>
    </w:p>
    <w:p w14:paraId="1FC1FCBF" w14:textId="5DA43AD8" w:rsidR="00450F9A" w:rsidRPr="00450F9A" w:rsidRDefault="00450F9A" w:rsidP="005B25F6">
      <w:pPr>
        <w:pStyle w:val="ListBullet"/>
        <w:rPr>
          <w:lang w:eastAsia="ja-JP"/>
        </w:rPr>
      </w:pPr>
      <w:r w:rsidRPr="00450F9A">
        <w:rPr>
          <w:lang w:eastAsia="ja-JP"/>
        </w:rPr>
        <w:t xml:space="preserve">Lack of efficacy: </w:t>
      </w:r>
      <w:r w:rsidR="00D44164">
        <w:rPr>
          <w:lang w:eastAsia="ja-JP"/>
        </w:rPr>
        <w:t>3</w:t>
      </w:r>
      <w:r w:rsidRPr="00450F9A">
        <w:rPr>
          <w:lang w:eastAsia="ja-JP"/>
        </w:rPr>
        <w:t xml:space="preserve"> reports were reported and all of these cases were associated with non-serious events of blood glucose increased or hy</w:t>
      </w:r>
      <w:r w:rsidR="005B25F6">
        <w:rPr>
          <w:lang w:eastAsia="ja-JP"/>
        </w:rPr>
        <w:t>perglycaemia.</w:t>
      </w:r>
    </w:p>
    <w:p w14:paraId="7009FF61" w14:textId="45FE4072" w:rsidR="00450F9A" w:rsidRPr="00450F9A" w:rsidRDefault="00450F9A" w:rsidP="005B25F6">
      <w:pPr>
        <w:pStyle w:val="ListBullet"/>
        <w:rPr>
          <w:lang w:eastAsia="ja-JP"/>
        </w:rPr>
      </w:pPr>
      <w:r w:rsidRPr="00450F9A">
        <w:rPr>
          <w:lang w:eastAsia="ja-JP"/>
        </w:rPr>
        <w:t>Allergic reactions: 4 cases with 7 non-serious allergic reactions in the cumulative per</w:t>
      </w:r>
      <w:r w:rsidR="00011817">
        <w:rPr>
          <w:lang w:eastAsia="ja-JP"/>
        </w:rPr>
        <w:t>iod; 4 </w:t>
      </w:r>
      <w:r w:rsidRPr="00450F9A">
        <w:rPr>
          <w:lang w:eastAsia="ja-JP"/>
        </w:rPr>
        <w:t>events from this reporting period.</w:t>
      </w:r>
    </w:p>
    <w:p w14:paraId="4A971DD4" w14:textId="4CC139CA" w:rsidR="00450F9A" w:rsidRPr="00450F9A" w:rsidRDefault="00450F9A" w:rsidP="005B25F6">
      <w:pPr>
        <w:pStyle w:val="ListBullet"/>
        <w:rPr>
          <w:lang w:eastAsia="ja-JP"/>
        </w:rPr>
      </w:pPr>
      <w:r w:rsidRPr="00450F9A">
        <w:rPr>
          <w:lang w:eastAsia="ja-JP"/>
        </w:rPr>
        <w:t>Medication errors: 8 case reports with 9 non-serious events; 7 events (6 reports) from this reporting period: multiple use of single use product, wrong technique in administration (4 events), drug dose omission and incorrect storage of the product. No case of a mix-up of bolus insulin with IDegAsp was reported in this reporting period;</w:t>
      </w:r>
      <w:r w:rsidR="00D44164">
        <w:rPr>
          <w:lang w:eastAsia="ja-JP"/>
        </w:rPr>
        <w:t xml:space="preserve"> 1</w:t>
      </w:r>
      <w:r w:rsidRPr="00450F9A">
        <w:rPr>
          <w:lang w:eastAsia="ja-JP"/>
        </w:rPr>
        <w:t xml:space="preserve"> has been reported cumulati</w:t>
      </w:r>
      <w:r w:rsidR="005B25F6">
        <w:rPr>
          <w:lang w:eastAsia="ja-JP"/>
        </w:rPr>
        <w:t>vely.</w:t>
      </w:r>
    </w:p>
    <w:p w14:paraId="226035F1" w14:textId="00729230" w:rsidR="00450F9A" w:rsidRPr="00450F9A" w:rsidRDefault="00450F9A" w:rsidP="00450F9A">
      <w:pPr>
        <w:rPr>
          <w:lang w:eastAsia="ja-JP"/>
        </w:rPr>
      </w:pPr>
      <w:r w:rsidRPr="00450F9A">
        <w:rPr>
          <w:lang w:eastAsia="ja-JP"/>
        </w:rPr>
        <w:t xml:space="preserve">The PSUR/PBRER states that </w:t>
      </w:r>
      <w:r w:rsidRPr="00450F9A">
        <w:rPr>
          <w:i/>
          <w:lang w:eastAsia="ja-JP"/>
        </w:rPr>
        <w:t>‘no specific pattern or clu</w:t>
      </w:r>
      <w:r w:rsidR="005B25F6">
        <w:rPr>
          <w:i/>
          <w:lang w:eastAsia="ja-JP"/>
        </w:rPr>
        <w:t>stering of events was observed…</w:t>
      </w:r>
      <w:r w:rsidRPr="00450F9A">
        <w:rPr>
          <w:i/>
          <w:lang w:eastAsia="ja-JP"/>
        </w:rPr>
        <w:t xml:space="preserve">. single or few events (by PT) were reported’ </w:t>
      </w:r>
      <w:r w:rsidR="005B25F6">
        <w:rPr>
          <w:i/>
          <w:lang w:eastAsia="ja-JP"/>
        </w:rPr>
        <w:t>…</w:t>
      </w:r>
      <w:r w:rsidRPr="00450F9A">
        <w:rPr>
          <w:i/>
          <w:lang w:eastAsia="ja-JP"/>
        </w:rPr>
        <w:t xml:space="preserve"> and ‘overall, no significant new safety concer</w:t>
      </w:r>
      <w:r w:rsidR="005B25F6">
        <w:rPr>
          <w:i/>
          <w:lang w:eastAsia="ja-JP"/>
        </w:rPr>
        <w:t>ns were identified with Ryzodeg</w:t>
      </w:r>
      <w:r w:rsidRPr="00450F9A">
        <w:rPr>
          <w:i/>
          <w:lang w:eastAsia="ja-JP"/>
        </w:rPr>
        <w:t xml:space="preserve"> from marketing experience, up until 30 Sep 2015.’</w:t>
      </w:r>
    </w:p>
    <w:p w14:paraId="600235EA" w14:textId="0D34F9A7" w:rsidR="00450F9A" w:rsidRPr="00450F9A" w:rsidRDefault="00450F9A" w:rsidP="00450F9A">
      <w:pPr>
        <w:rPr>
          <w:lang w:eastAsia="ja-JP"/>
        </w:rPr>
      </w:pPr>
      <w:r w:rsidRPr="00450F9A">
        <w:rPr>
          <w:lang w:eastAsia="ja-JP"/>
        </w:rPr>
        <w:t>Off</w:t>
      </w:r>
      <w:r w:rsidR="005B25F6">
        <w:rPr>
          <w:lang w:eastAsia="ja-JP"/>
        </w:rPr>
        <w:t xml:space="preserve"> </w:t>
      </w:r>
      <w:r w:rsidRPr="00450F9A">
        <w:rPr>
          <w:lang w:eastAsia="ja-JP"/>
        </w:rPr>
        <w:t>label use: Cumulatively, 6 case reports have been received relating to the use of IDegAsp in children, all of which are from this reporting period.</w:t>
      </w:r>
      <w:r w:rsidR="00D44164">
        <w:rPr>
          <w:lang w:eastAsia="ja-JP"/>
        </w:rPr>
        <w:t xml:space="preserve"> 1</w:t>
      </w:r>
      <w:r w:rsidRPr="00450F9A">
        <w:rPr>
          <w:lang w:eastAsia="ja-JP"/>
        </w:rPr>
        <w:t xml:space="preserve"> report was associated with an event of ‘blood glucose abnormal’</w:t>
      </w:r>
      <w:r w:rsidR="009F4052">
        <w:rPr>
          <w:lang w:eastAsia="ja-JP"/>
        </w:rPr>
        <w:t>;</w:t>
      </w:r>
      <w:r w:rsidRPr="00450F9A">
        <w:rPr>
          <w:lang w:eastAsia="ja-JP"/>
        </w:rPr>
        <w:t xml:space="preserve"> the others had no adverse event reported. There are no reported post marketing cases of IDegAsp use </w:t>
      </w:r>
      <w:r w:rsidR="005B25F6">
        <w:rPr>
          <w:lang w:eastAsia="ja-JP"/>
        </w:rPr>
        <w:t>in pregnant or lactating women.</w:t>
      </w:r>
    </w:p>
    <w:p w14:paraId="4FDB4A44" w14:textId="77777777" w:rsidR="00450F9A" w:rsidRPr="00450F9A" w:rsidRDefault="00450F9A" w:rsidP="00450F9A">
      <w:pPr>
        <w:rPr>
          <w:lang w:eastAsia="ja-JP"/>
        </w:rPr>
      </w:pPr>
      <w:r w:rsidRPr="00450F9A">
        <w:rPr>
          <w:lang w:eastAsia="ja-JP"/>
        </w:rPr>
        <w:t>Data relating to IDegAsp components:</w:t>
      </w:r>
    </w:p>
    <w:p w14:paraId="2ABD0100" w14:textId="753C19D0" w:rsidR="00450F9A" w:rsidRPr="00450F9A" w:rsidRDefault="00450F9A" w:rsidP="00011817">
      <w:pPr>
        <w:pStyle w:val="ListBullet"/>
        <w:rPr>
          <w:lang w:eastAsia="ja-JP"/>
        </w:rPr>
      </w:pPr>
      <w:r w:rsidRPr="00450F9A">
        <w:rPr>
          <w:lang w:eastAsia="ja-JP"/>
        </w:rPr>
        <w:t xml:space="preserve">IDeg: </w:t>
      </w:r>
      <w:r w:rsidR="00011817">
        <w:rPr>
          <w:lang w:eastAsia="ja-JP"/>
        </w:rPr>
        <w:t>Please refer to Section 7.7</w:t>
      </w:r>
      <w:r w:rsidR="00011817" w:rsidRPr="00011817">
        <w:rPr>
          <w:lang w:eastAsia="ja-JP"/>
        </w:rPr>
        <w:t xml:space="preserve"> </w:t>
      </w:r>
      <w:r w:rsidR="00011817">
        <w:rPr>
          <w:lang w:eastAsia="ja-JP"/>
        </w:rPr>
        <w:t xml:space="preserve">(PSUR/PBRER summary) </w:t>
      </w:r>
      <w:r w:rsidR="00011817" w:rsidRPr="00011817">
        <w:rPr>
          <w:lang w:eastAsia="ja-JP"/>
        </w:rPr>
        <w:t>in the Tresiba IDeg CER [available as Attachment 2 of the Tresiba submission].</w:t>
      </w:r>
      <w:r w:rsidR="00011817" w:rsidRPr="00011817">
        <w:rPr>
          <w:vertAlign w:val="superscript"/>
          <w:lang w:eastAsia="ja-JP"/>
        </w:rPr>
        <w:fldChar w:fldCharType="begin"/>
      </w:r>
      <w:r w:rsidR="00011817" w:rsidRPr="00011817">
        <w:rPr>
          <w:vertAlign w:val="superscript"/>
          <w:lang w:eastAsia="ja-JP"/>
        </w:rPr>
        <w:instrText xml:space="preserve"> NOTEREF _Ref511595014 \h  \* MERGEFORMAT </w:instrText>
      </w:r>
      <w:r w:rsidR="00011817" w:rsidRPr="00011817">
        <w:rPr>
          <w:vertAlign w:val="superscript"/>
          <w:lang w:eastAsia="ja-JP"/>
        </w:rPr>
      </w:r>
      <w:r w:rsidR="00011817" w:rsidRPr="00011817">
        <w:rPr>
          <w:vertAlign w:val="superscript"/>
          <w:lang w:eastAsia="ja-JP"/>
        </w:rPr>
        <w:fldChar w:fldCharType="separate"/>
      </w:r>
      <w:r w:rsidR="00090E68">
        <w:rPr>
          <w:vertAlign w:val="superscript"/>
          <w:lang w:eastAsia="ja-JP"/>
        </w:rPr>
        <w:t>1</w:t>
      </w:r>
      <w:r w:rsidR="00011817" w:rsidRPr="00011817">
        <w:rPr>
          <w:lang w:eastAsia="ja-JP"/>
        </w:rPr>
        <w:fldChar w:fldCharType="end"/>
      </w:r>
    </w:p>
    <w:p w14:paraId="2FDC1EDD" w14:textId="04F41873" w:rsidR="00450F9A" w:rsidRPr="00011817" w:rsidRDefault="00450F9A" w:rsidP="005B25F6">
      <w:pPr>
        <w:pStyle w:val="ListBullet"/>
        <w:rPr>
          <w:lang w:eastAsia="ja-JP"/>
        </w:rPr>
      </w:pPr>
      <w:r w:rsidRPr="00011817">
        <w:rPr>
          <w:lang w:eastAsia="ja-JP"/>
        </w:rPr>
        <w:t>IAsp: The most recent DSUR and PSUR fo</w:t>
      </w:r>
      <w:r w:rsidR="00011817">
        <w:rPr>
          <w:lang w:eastAsia="ja-JP"/>
        </w:rPr>
        <w:t>r IAsp were for the period of 1 October 2014 to 30 September 2015. According to the s</w:t>
      </w:r>
      <w:r w:rsidRPr="00011817">
        <w:rPr>
          <w:lang w:eastAsia="ja-JP"/>
        </w:rPr>
        <w:t xml:space="preserve">ponsor (PBRER/PSUR) </w:t>
      </w:r>
      <w:r w:rsidRPr="00011817">
        <w:rPr>
          <w:i/>
          <w:lang w:eastAsia="ja-JP"/>
        </w:rPr>
        <w:t>‘Overall, the clinical trial safety data for IAsp remain in accordance with the cumulative experience as described in the current reference safety information. No reasons for new safety concerns were identified in connection with the administration of IAsp in clinical trials in the reporting period. No change was made to the existing safety concerns for IAsp</w:t>
      </w:r>
      <w:r w:rsidR="00011817">
        <w:rPr>
          <w:i/>
          <w:lang w:eastAsia="ja-JP"/>
        </w:rPr>
        <w:t>’.</w:t>
      </w:r>
    </w:p>
    <w:p w14:paraId="2A98D12A" w14:textId="72ADCDF7" w:rsidR="00450F9A" w:rsidRPr="00450F9A" w:rsidRDefault="00011817" w:rsidP="00450F9A">
      <w:pPr>
        <w:rPr>
          <w:lang w:eastAsia="ja-JP"/>
        </w:rPr>
      </w:pPr>
      <w:r>
        <w:rPr>
          <w:lang w:eastAsia="ja-JP"/>
        </w:rPr>
        <w:t xml:space="preserve">Other safety information; </w:t>
      </w:r>
      <w:r w:rsidR="00450F9A" w:rsidRPr="00450F9A">
        <w:rPr>
          <w:lang w:eastAsia="ja-JP"/>
        </w:rPr>
        <w:t>the PSUR states that</w:t>
      </w:r>
      <w:r>
        <w:rPr>
          <w:lang w:eastAsia="ja-JP"/>
        </w:rPr>
        <w:t>:</w:t>
      </w:r>
    </w:p>
    <w:p w14:paraId="439CF9AC" w14:textId="48E54A34" w:rsidR="00450F9A" w:rsidRPr="00011817" w:rsidRDefault="00450F9A" w:rsidP="005B25F6">
      <w:pPr>
        <w:pStyle w:val="ListBullet"/>
        <w:rPr>
          <w:i/>
          <w:lang w:eastAsia="ja-JP"/>
        </w:rPr>
      </w:pPr>
      <w:r w:rsidRPr="00011817">
        <w:rPr>
          <w:i/>
          <w:lang w:eastAsia="ja-JP"/>
        </w:rPr>
        <w:t>‘No new nonclinical safety findings were reported during the period of</w:t>
      </w:r>
      <w:r w:rsidR="005B25F6" w:rsidRPr="00011817">
        <w:rPr>
          <w:i/>
          <w:lang w:eastAsia="ja-JP"/>
        </w:rPr>
        <w:t xml:space="preserve"> this PSUR for Ryzodeg.’</w:t>
      </w:r>
    </w:p>
    <w:p w14:paraId="782304E9" w14:textId="49DACFD0" w:rsidR="00450F9A" w:rsidRPr="00011817" w:rsidRDefault="00450F9A" w:rsidP="005B25F6">
      <w:pPr>
        <w:pStyle w:val="ListBullet"/>
        <w:rPr>
          <w:i/>
          <w:lang w:eastAsia="ja-JP"/>
        </w:rPr>
      </w:pPr>
      <w:r w:rsidRPr="00011817">
        <w:rPr>
          <w:i/>
          <w:lang w:eastAsia="ja-JP"/>
        </w:rPr>
        <w:lastRenderedPageBreak/>
        <w:t>‘No new significant safety findings or co</w:t>
      </w:r>
      <w:r w:rsidR="00011817">
        <w:rPr>
          <w:i/>
          <w:lang w:eastAsia="ja-JP"/>
        </w:rPr>
        <w:t>ncerns specifically for Ryzodeg</w:t>
      </w:r>
      <w:r w:rsidRPr="00011817">
        <w:rPr>
          <w:i/>
          <w:lang w:eastAsia="ja-JP"/>
        </w:rPr>
        <w:t xml:space="preserve"> were identified based on the results of the revie</w:t>
      </w:r>
      <w:r w:rsidR="00011817">
        <w:rPr>
          <w:i/>
          <w:lang w:eastAsia="ja-JP"/>
        </w:rPr>
        <w:t>w of the scientific literature’.</w:t>
      </w:r>
    </w:p>
    <w:p w14:paraId="41CEFC10" w14:textId="3931220F" w:rsidR="00450F9A" w:rsidRPr="00450F9A" w:rsidRDefault="00450F9A" w:rsidP="00450F9A">
      <w:pPr>
        <w:rPr>
          <w:lang w:eastAsia="ja-JP"/>
        </w:rPr>
      </w:pPr>
      <w:r w:rsidRPr="00450F9A">
        <w:rPr>
          <w:lang w:eastAsia="ja-JP"/>
        </w:rPr>
        <w:t>It is noted that no non-interventional studies were initiated or completed for IDe</w:t>
      </w:r>
      <w:r w:rsidR="005B25F6">
        <w:rPr>
          <w:lang w:eastAsia="ja-JP"/>
        </w:rPr>
        <w:t xml:space="preserve">gAsp in this reporting period. </w:t>
      </w:r>
    </w:p>
    <w:p w14:paraId="311E2869" w14:textId="5D234415" w:rsidR="00450F9A" w:rsidRPr="004A367C" w:rsidRDefault="00450F9A" w:rsidP="00450F9A">
      <w:pPr>
        <w:pStyle w:val="Heading4"/>
      </w:pPr>
      <w:r w:rsidRPr="00450F9A">
        <w:t>Signal review and Evaluation of authority request</w:t>
      </w:r>
    </w:p>
    <w:p w14:paraId="5FDF5318" w14:textId="18B89AEF" w:rsidR="00450F9A" w:rsidRPr="00450F9A" w:rsidRDefault="00011817" w:rsidP="00450F9A">
      <w:pPr>
        <w:rPr>
          <w:lang w:eastAsia="ja-JP"/>
        </w:rPr>
      </w:pPr>
      <w:r>
        <w:rPr>
          <w:lang w:eastAsia="ja-JP"/>
        </w:rPr>
        <w:t xml:space="preserve">1 </w:t>
      </w:r>
      <w:r w:rsidR="00450F9A" w:rsidRPr="00450F9A">
        <w:rPr>
          <w:lang w:eastAsia="ja-JP"/>
        </w:rPr>
        <w:t>signal review of MACE</w:t>
      </w:r>
      <w:r>
        <w:rPr>
          <w:lang w:eastAsia="ja-JP"/>
        </w:rPr>
        <w:t xml:space="preserve"> </w:t>
      </w:r>
      <w:r w:rsidR="00450F9A" w:rsidRPr="00450F9A">
        <w:rPr>
          <w:lang w:eastAsia="ja-JP"/>
        </w:rPr>
        <w:t>is ongoin</w:t>
      </w:r>
      <w:r w:rsidR="004A367C">
        <w:rPr>
          <w:lang w:eastAsia="ja-JP"/>
        </w:rPr>
        <w:t>g;</w:t>
      </w:r>
      <w:r w:rsidR="00450F9A" w:rsidRPr="00450F9A">
        <w:rPr>
          <w:lang w:eastAsia="ja-JP"/>
        </w:rPr>
        <w:t xml:space="preserve"> MACE data from the dedicated cardiovascular outcomes trial, other clinical trials and post</w:t>
      </w:r>
      <w:r w:rsidR="004A367C">
        <w:rPr>
          <w:lang w:eastAsia="ja-JP"/>
        </w:rPr>
        <w:t xml:space="preserve"> marketing sources is included.</w:t>
      </w:r>
    </w:p>
    <w:p w14:paraId="78F6A2F5" w14:textId="47584AB0" w:rsidR="00450F9A" w:rsidRPr="004A367C" w:rsidRDefault="00450F9A" w:rsidP="00450F9A">
      <w:pPr>
        <w:rPr>
          <w:lang w:eastAsia="ja-JP"/>
        </w:rPr>
      </w:pPr>
      <w:r w:rsidRPr="00450F9A">
        <w:rPr>
          <w:lang w:eastAsia="ja-JP"/>
        </w:rPr>
        <w:t xml:space="preserve">An Evaluation of Authority Request is ongoing of neoplasms and colon cancer as requested by </w:t>
      </w:r>
      <w:r w:rsidR="000F24B5" w:rsidRPr="00450F9A">
        <w:rPr>
          <w:lang w:eastAsia="ja-JP"/>
        </w:rPr>
        <w:t>Swiss</w:t>
      </w:r>
      <w:r w:rsidR="000F24B5">
        <w:rPr>
          <w:lang w:eastAsia="ja-JP"/>
        </w:rPr>
        <w:t>M</w:t>
      </w:r>
      <w:r w:rsidR="000F24B5" w:rsidRPr="00450F9A">
        <w:rPr>
          <w:lang w:eastAsia="ja-JP"/>
        </w:rPr>
        <w:t xml:space="preserve">edic </w:t>
      </w:r>
      <w:r w:rsidRPr="00450F9A">
        <w:rPr>
          <w:lang w:eastAsia="ja-JP"/>
        </w:rPr>
        <w:t xml:space="preserve">and EMA’s Committee for Medicinal Products for Human Use respectively. All potential events of neoplasms from all completed </w:t>
      </w:r>
      <w:r w:rsidR="004A367C">
        <w:rPr>
          <w:lang w:eastAsia="ja-JP"/>
        </w:rPr>
        <w:t>P</w:t>
      </w:r>
      <w:r w:rsidRPr="00450F9A">
        <w:rPr>
          <w:lang w:eastAsia="ja-JP"/>
        </w:rPr>
        <w:t xml:space="preserve">hase </w:t>
      </w:r>
      <w:r w:rsidR="004A367C">
        <w:rPr>
          <w:lang w:eastAsia="ja-JP"/>
        </w:rPr>
        <w:t>III</w:t>
      </w:r>
      <w:r w:rsidRPr="00450F9A">
        <w:rPr>
          <w:lang w:eastAsia="ja-JP"/>
        </w:rPr>
        <w:t xml:space="preserve">a and </w:t>
      </w:r>
      <w:r w:rsidR="004A367C">
        <w:rPr>
          <w:lang w:eastAsia="ja-JP"/>
        </w:rPr>
        <w:t>III</w:t>
      </w:r>
      <w:r w:rsidRPr="00450F9A">
        <w:rPr>
          <w:lang w:eastAsia="ja-JP"/>
        </w:rPr>
        <w:t>b IDegAsp trials were sent to an external, independent and blinded consultant for classification into malignant, benign and unclassifiable neoplasms and post marketing data was analysed.</w:t>
      </w:r>
    </w:p>
    <w:p w14:paraId="28D6872B" w14:textId="77777777" w:rsidR="00450F9A" w:rsidRPr="00450F9A" w:rsidRDefault="00450F9A" w:rsidP="004A367C">
      <w:pPr>
        <w:pStyle w:val="Heading4"/>
      </w:pPr>
      <w:r w:rsidRPr="00450F9A">
        <w:t xml:space="preserve">Summaries of safety concerns </w:t>
      </w:r>
    </w:p>
    <w:p w14:paraId="76332302" w14:textId="05B3377F" w:rsidR="00450F9A" w:rsidRPr="00450F9A" w:rsidRDefault="00450F9A" w:rsidP="00450F9A">
      <w:pPr>
        <w:rPr>
          <w:lang w:eastAsia="ja-JP"/>
        </w:rPr>
      </w:pPr>
      <w:r w:rsidRPr="00450F9A">
        <w:rPr>
          <w:lang w:eastAsia="ja-JP"/>
        </w:rPr>
        <w:t xml:space="preserve">No new potential or important risks have been </w:t>
      </w:r>
      <w:r w:rsidR="004A367C">
        <w:rPr>
          <w:lang w:eastAsia="ja-JP"/>
        </w:rPr>
        <w:t>identified in this PSUR period.</w:t>
      </w:r>
    </w:p>
    <w:p w14:paraId="22D2E85B" w14:textId="4D490A18" w:rsidR="00450F9A" w:rsidRPr="00450F9A" w:rsidRDefault="00450F9A" w:rsidP="004A367C">
      <w:pPr>
        <w:pStyle w:val="Tabletitle"/>
        <w:rPr>
          <w:lang w:eastAsia="ja-JP"/>
        </w:rPr>
      </w:pPr>
      <w:bookmarkStart w:id="317" w:name="_Toc487195084"/>
      <w:r w:rsidRPr="00450F9A">
        <w:rPr>
          <w:lang w:eastAsia="ja-JP"/>
        </w:rPr>
        <w:t xml:space="preserve">Table </w:t>
      </w:r>
      <w:r w:rsidR="004A367C">
        <w:rPr>
          <w:lang w:eastAsia="ja-JP"/>
        </w:rPr>
        <w:t>16</w:t>
      </w:r>
      <w:r w:rsidR="00FA6FCA">
        <w:rPr>
          <w:lang w:eastAsia="ja-JP"/>
        </w:rPr>
        <w:t>:</w:t>
      </w:r>
      <w:r w:rsidR="004A367C">
        <w:rPr>
          <w:lang w:eastAsia="ja-JP"/>
        </w:rPr>
        <w:t xml:space="preserve"> </w:t>
      </w:r>
      <w:r w:rsidRPr="00450F9A">
        <w:rPr>
          <w:lang w:eastAsia="ja-JP"/>
        </w:rPr>
        <w:t>Summary of safety concerns as stated in PSUR</w:t>
      </w:r>
      <w:bookmarkEnd w:id="317"/>
    </w:p>
    <w:tbl>
      <w:tblPr>
        <w:tblStyle w:val="TableTGAblue"/>
        <w:tblW w:w="9558" w:type="dxa"/>
        <w:tblLook w:val="04A0" w:firstRow="1" w:lastRow="0" w:firstColumn="1" w:lastColumn="0" w:noHBand="0" w:noVBand="1"/>
        <w:tblDescription w:val="Table 16: Summary of safety concerns as stated in PSUR"/>
      </w:tblPr>
      <w:tblGrid>
        <w:gridCol w:w="3080"/>
        <w:gridCol w:w="3081"/>
        <w:gridCol w:w="3397"/>
      </w:tblGrid>
      <w:tr w:rsidR="00450F9A" w:rsidRPr="004A367C" w14:paraId="3605FE6A" w14:textId="77777777" w:rsidTr="00BB64EA">
        <w:trPr>
          <w:cnfStyle w:val="100000000000" w:firstRow="1" w:lastRow="0" w:firstColumn="0" w:lastColumn="0" w:oddVBand="0" w:evenVBand="0" w:oddHBand="0" w:evenHBand="0" w:firstRowFirstColumn="0" w:firstRowLastColumn="0" w:lastRowFirstColumn="0" w:lastRowLastColumn="0"/>
          <w:cantSplit/>
          <w:trHeight w:val="817"/>
          <w:tblHeader/>
        </w:trPr>
        <w:tc>
          <w:tcPr>
            <w:cnfStyle w:val="001000000000" w:firstRow="0" w:lastRow="0" w:firstColumn="1" w:lastColumn="0" w:oddVBand="0" w:evenVBand="0" w:oddHBand="0" w:evenHBand="0" w:firstRowFirstColumn="0" w:firstRowLastColumn="0" w:lastRowFirstColumn="0" w:lastRowLastColumn="0"/>
            <w:tcW w:w="3080" w:type="dxa"/>
          </w:tcPr>
          <w:p w14:paraId="1028C2CE" w14:textId="77777777" w:rsidR="00450F9A" w:rsidRPr="004A367C" w:rsidRDefault="00450F9A" w:rsidP="000F24B5">
            <w:r w:rsidRPr="004A367C">
              <w:t>Category of safety concern</w:t>
            </w:r>
          </w:p>
        </w:tc>
        <w:tc>
          <w:tcPr>
            <w:tcW w:w="3081" w:type="dxa"/>
          </w:tcPr>
          <w:p w14:paraId="06C600DA" w14:textId="77777777" w:rsidR="00450F9A" w:rsidRPr="004A367C" w:rsidRDefault="00450F9A" w:rsidP="000F24B5">
            <w:pPr>
              <w:cnfStyle w:val="100000000000" w:firstRow="1" w:lastRow="0" w:firstColumn="0" w:lastColumn="0" w:oddVBand="0" w:evenVBand="0" w:oddHBand="0" w:evenHBand="0" w:firstRowFirstColumn="0" w:firstRowLastColumn="0" w:lastRowFirstColumn="0" w:lastRowLastColumn="0"/>
            </w:pPr>
            <w:r w:rsidRPr="004A367C">
              <w:t xml:space="preserve">Safety concerns </w:t>
            </w:r>
          </w:p>
        </w:tc>
        <w:tc>
          <w:tcPr>
            <w:tcW w:w="3397" w:type="dxa"/>
          </w:tcPr>
          <w:p w14:paraId="751B5E85" w14:textId="77777777" w:rsidR="00450F9A" w:rsidRPr="004A367C" w:rsidRDefault="00450F9A" w:rsidP="000F24B5">
            <w:pPr>
              <w:cnfStyle w:val="100000000000" w:firstRow="1" w:lastRow="0" w:firstColumn="0" w:lastColumn="0" w:oddVBand="0" w:evenVBand="0" w:oddHBand="0" w:evenHBand="0" w:firstRowFirstColumn="0" w:firstRowLastColumn="0" w:lastRowFirstColumn="0" w:lastRowLastColumn="0"/>
            </w:pPr>
            <w:r w:rsidRPr="004A367C">
              <w:t>Comments</w:t>
            </w:r>
          </w:p>
        </w:tc>
      </w:tr>
      <w:tr w:rsidR="00450F9A" w:rsidRPr="004A367C" w14:paraId="5554646D" w14:textId="77777777" w:rsidTr="00BB64EA">
        <w:tc>
          <w:tcPr>
            <w:cnfStyle w:val="001000000000" w:firstRow="0" w:lastRow="0" w:firstColumn="1" w:lastColumn="0" w:oddVBand="0" w:evenVBand="0" w:oddHBand="0" w:evenHBand="0" w:firstRowFirstColumn="0" w:firstRowLastColumn="0" w:lastRowFirstColumn="0" w:lastRowLastColumn="0"/>
            <w:tcW w:w="3080" w:type="dxa"/>
            <w:vMerge w:val="restart"/>
          </w:tcPr>
          <w:p w14:paraId="1EFE0A24" w14:textId="77777777" w:rsidR="00450F9A" w:rsidRPr="004A367C" w:rsidRDefault="00450F9A" w:rsidP="00BB64EA">
            <w:r w:rsidRPr="004A367C">
              <w:t>Important identified risks</w:t>
            </w:r>
          </w:p>
        </w:tc>
        <w:tc>
          <w:tcPr>
            <w:tcW w:w="3081" w:type="dxa"/>
          </w:tcPr>
          <w:p w14:paraId="12D7D48F" w14:textId="77777777"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Hypoglycaemia</w:t>
            </w:r>
          </w:p>
        </w:tc>
        <w:tc>
          <w:tcPr>
            <w:tcW w:w="3397" w:type="dxa"/>
          </w:tcPr>
          <w:p w14:paraId="7D021E61" w14:textId="040133F9"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No new significant information identified</w:t>
            </w:r>
          </w:p>
        </w:tc>
      </w:tr>
      <w:tr w:rsidR="00450F9A" w:rsidRPr="004A367C" w14:paraId="335E15B6" w14:textId="77777777" w:rsidTr="00BB64EA">
        <w:tc>
          <w:tcPr>
            <w:cnfStyle w:val="001000000000" w:firstRow="0" w:lastRow="0" w:firstColumn="1" w:lastColumn="0" w:oddVBand="0" w:evenVBand="0" w:oddHBand="0" w:evenHBand="0" w:firstRowFirstColumn="0" w:firstRowLastColumn="0" w:lastRowFirstColumn="0" w:lastRowLastColumn="0"/>
            <w:tcW w:w="3080" w:type="dxa"/>
            <w:vMerge/>
          </w:tcPr>
          <w:p w14:paraId="219D86BC" w14:textId="77777777" w:rsidR="00450F9A" w:rsidRPr="004A367C" w:rsidRDefault="00450F9A" w:rsidP="00BB64EA"/>
        </w:tc>
        <w:tc>
          <w:tcPr>
            <w:tcW w:w="3081" w:type="dxa"/>
          </w:tcPr>
          <w:p w14:paraId="3346ABAC" w14:textId="39F7D13B" w:rsidR="00450F9A" w:rsidRPr="004A367C" w:rsidRDefault="004A367C" w:rsidP="00BB64EA">
            <w:pPr>
              <w:cnfStyle w:val="000000000000" w:firstRow="0" w:lastRow="0" w:firstColumn="0" w:lastColumn="0" w:oddVBand="0" w:evenVBand="0" w:oddHBand="0" w:evenHBand="0" w:firstRowFirstColumn="0" w:firstRowLastColumn="0" w:lastRowFirstColumn="0" w:lastRowLastColumn="0"/>
            </w:pPr>
            <w:r>
              <w:t xml:space="preserve">Immunogenicity </w:t>
            </w:r>
            <w:r w:rsidR="00450F9A" w:rsidRPr="004A367C">
              <w:t>related events (allergic reactions)</w:t>
            </w:r>
          </w:p>
        </w:tc>
        <w:tc>
          <w:tcPr>
            <w:tcW w:w="3397" w:type="dxa"/>
          </w:tcPr>
          <w:p w14:paraId="3934A300" w14:textId="3D338144"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No new significant information identified</w:t>
            </w:r>
          </w:p>
        </w:tc>
      </w:tr>
      <w:tr w:rsidR="00450F9A" w:rsidRPr="004A367C" w14:paraId="71A92747" w14:textId="77777777" w:rsidTr="00BB64EA">
        <w:trPr>
          <w:trHeight w:val="6163"/>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3B73B15F" w14:textId="77777777" w:rsidR="00450F9A" w:rsidRPr="004A367C" w:rsidRDefault="00450F9A" w:rsidP="00BB64EA">
            <w:r w:rsidRPr="004A367C">
              <w:t>Important potential risks</w:t>
            </w:r>
          </w:p>
        </w:tc>
        <w:tc>
          <w:tcPr>
            <w:tcW w:w="3081" w:type="dxa"/>
          </w:tcPr>
          <w:p w14:paraId="60686393" w14:textId="7BF2F52D"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Medication errors d</w:t>
            </w:r>
            <w:r w:rsidR="004A367C">
              <w:t xml:space="preserve">ue to mix </w:t>
            </w:r>
            <w:r w:rsidRPr="004A367C">
              <w:t>up between IDegAsp and bolus insulin</w:t>
            </w:r>
          </w:p>
        </w:tc>
        <w:tc>
          <w:tcPr>
            <w:tcW w:w="3397" w:type="dxa"/>
          </w:tcPr>
          <w:p w14:paraId="1FC0E4FB" w14:textId="5A42401C"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No new significant information id</w:t>
            </w:r>
            <w:r w:rsidR="00011817">
              <w:t>entified according to the PSUR.</w:t>
            </w:r>
          </w:p>
          <w:p w14:paraId="461D3E36" w14:textId="0E62EBEA" w:rsidR="00450F9A" w:rsidRPr="004A367C" w:rsidRDefault="00011817" w:rsidP="00BB64EA">
            <w:pPr>
              <w:cnfStyle w:val="000000000000" w:firstRow="0" w:lastRow="0" w:firstColumn="0" w:lastColumn="0" w:oddVBand="0" w:evenVBand="0" w:oddHBand="0" w:evenHBand="0" w:firstRowFirstColumn="0" w:firstRowLastColumn="0" w:lastRowFirstColumn="0" w:lastRowLastColumn="0"/>
            </w:pPr>
            <w:r>
              <w:t>However, it is noted that 10 </w:t>
            </w:r>
            <w:r w:rsidR="00450F9A" w:rsidRPr="004A367C">
              <w:t>medication errors resulting in a mix up between IDegAsp and bolus insulin have occurred in therapeutic confirmatory trials, including 3 events which were considered to be possibly/probably related to the trial pr</w:t>
            </w:r>
            <w:r w:rsidR="004A367C">
              <w:t>oduct and</w:t>
            </w:r>
            <w:r w:rsidR="00D44164">
              <w:t xml:space="preserve"> 1</w:t>
            </w:r>
            <w:r w:rsidR="004A367C">
              <w:t xml:space="preserve"> that was serious.</w:t>
            </w:r>
          </w:p>
          <w:p w14:paraId="6AE86CF7" w14:textId="4AD8D847"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It is also noted that the number of adult subjects at risk in the table entitled ‘Over</w:t>
            </w:r>
            <w:r w:rsidR="004A367C">
              <w:t xml:space="preserve">view of all treatment emergent mix </w:t>
            </w:r>
            <w:r w:rsidRPr="004A367C">
              <w:t>ups in t</w:t>
            </w:r>
            <w:r w:rsidR="004A367C">
              <w:t xml:space="preserve">herapeutic confirmatory trials, </w:t>
            </w:r>
            <w:r w:rsidRPr="004A367C">
              <w:t>T1DM</w:t>
            </w:r>
            <w:r w:rsidR="004A367C">
              <w:t xml:space="preserve"> + T2DM, </w:t>
            </w:r>
            <w:r w:rsidRPr="004A367C">
              <w:t>adult population’</w:t>
            </w:r>
            <w:r w:rsidR="004A367C">
              <w:t xml:space="preserve"> within </w:t>
            </w:r>
            <w:r w:rsidR="00011817">
              <w:t>[a specified table]</w:t>
            </w:r>
            <w:r w:rsidR="004A367C">
              <w:t xml:space="preserve"> is very low,</w:t>
            </w:r>
            <w:r w:rsidRPr="004A367C">
              <w:t xml:space="preserve"> n </w:t>
            </w:r>
            <w:r w:rsidRPr="004A367C">
              <w:lastRenderedPageBreak/>
              <w:t xml:space="preserve">= 382 for </w:t>
            </w:r>
            <w:r w:rsidR="004A367C">
              <w:t>IDegAsp and 180 for comparator;</w:t>
            </w:r>
            <w:r w:rsidRPr="004A367C">
              <w:t xml:space="preserve"> </w:t>
            </w:r>
            <w:r w:rsidR="004A367C">
              <w:t>the reason for this is unclear.</w:t>
            </w:r>
          </w:p>
        </w:tc>
      </w:tr>
      <w:tr w:rsidR="00450F9A" w:rsidRPr="004A367C" w14:paraId="51C4F737" w14:textId="77777777" w:rsidTr="00BB64EA">
        <w:tc>
          <w:tcPr>
            <w:cnfStyle w:val="001000000000" w:firstRow="0" w:lastRow="0" w:firstColumn="1" w:lastColumn="0" w:oddVBand="0" w:evenVBand="0" w:oddHBand="0" w:evenHBand="0" w:firstRowFirstColumn="0" w:firstRowLastColumn="0" w:lastRowFirstColumn="0" w:lastRowLastColumn="0"/>
            <w:tcW w:w="3080" w:type="dxa"/>
            <w:vMerge/>
          </w:tcPr>
          <w:p w14:paraId="0154D033" w14:textId="77777777" w:rsidR="00450F9A" w:rsidRPr="004A367C" w:rsidRDefault="00450F9A" w:rsidP="00BB64EA"/>
        </w:tc>
        <w:tc>
          <w:tcPr>
            <w:tcW w:w="3081" w:type="dxa"/>
          </w:tcPr>
          <w:p w14:paraId="2DC3DC51" w14:textId="3D598BD0" w:rsidR="00450F9A" w:rsidRPr="004A367C" w:rsidRDefault="004A367C" w:rsidP="00BB64EA">
            <w:pPr>
              <w:cnfStyle w:val="000000000000" w:firstRow="0" w:lastRow="0" w:firstColumn="0" w:lastColumn="0" w:oddVBand="0" w:evenVBand="0" w:oddHBand="0" w:evenHBand="0" w:firstRowFirstColumn="0" w:firstRowLastColumn="0" w:lastRowFirstColumn="0" w:lastRowLastColumn="0"/>
            </w:pPr>
            <w:r>
              <w:t>Immunological events,</w:t>
            </w:r>
            <w:r w:rsidR="00450F9A" w:rsidRPr="004A367C">
              <w:t xml:space="preserve"> formation of neutralising insulin antibodies</w:t>
            </w:r>
          </w:p>
        </w:tc>
        <w:tc>
          <w:tcPr>
            <w:tcW w:w="3397" w:type="dxa"/>
          </w:tcPr>
          <w:p w14:paraId="4DE7D436" w14:textId="02056157"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No new significant information identified</w:t>
            </w:r>
            <w:r w:rsidR="00011817">
              <w:t>.</w:t>
            </w:r>
          </w:p>
        </w:tc>
      </w:tr>
      <w:tr w:rsidR="00450F9A" w:rsidRPr="004A367C" w14:paraId="5F6CB3A3" w14:textId="77777777" w:rsidTr="00BB64EA">
        <w:tc>
          <w:tcPr>
            <w:cnfStyle w:val="001000000000" w:firstRow="0" w:lastRow="0" w:firstColumn="1" w:lastColumn="0" w:oddVBand="0" w:evenVBand="0" w:oddHBand="0" w:evenHBand="0" w:firstRowFirstColumn="0" w:firstRowLastColumn="0" w:lastRowFirstColumn="0" w:lastRowLastColumn="0"/>
            <w:tcW w:w="3080" w:type="dxa"/>
            <w:vMerge w:val="restart"/>
          </w:tcPr>
          <w:p w14:paraId="0C4CE82D" w14:textId="47EC40D9" w:rsidR="00450F9A" w:rsidRPr="004A367C" w:rsidRDefault="00AA6791" w:rsidP="00BB64EA">
            <w:r>
              <w:t>Missing information</w:t>
            </w:r>
          </w:p>
        </w:tc>
        <w:tc>
          <w:tcPr>
            <w:tcW w:w="3081" w:type="dxa"/>
          </w:tcPr>
          <w:p w14:paraId="7D73CF19" w14:textId="77777777"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Pregnant and lactating women</w:t>
            </w:r>
          </w:p>
        </w:tc>
        <w:tc>
          <w:tcPr>
            <w:tcW w:w="3397" w:type="dxa"/>
          </w:tcPr>
          <w:p w14:paraId="5EDD0098" w14:textId="32A430EF"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No new significant information identified</w:t>
            </w:r>
            <w:r w:rsidR="00011817">
              <w:t>.</w:t>
            </w:r>
          </w:p>
        </w:tc>
      </w:tr>
      <w:tr w:rsidR="00450F9A" w:rsidRPr="004A367C" w14:paraId="6576E4B0" w14:textId="77777777" w:rsidTr="00BB64EA">
        <w:tc>
          <w:tcPr>
            <w:cnfStyle w:val="001000000000" w:firstRow="0" w:lastRow="0" w:firstColumn="1" w:lastColumn="0" w:oddVBand="0" w:evenVBand="0" w:oddHBand="0" w:evenHBand="0" w:firstRowFirstColumn="0" w:firstRowLastColumn="0" w:lastRowFirstColumn="0" w:lastRowLastColumn="0"/>
            <w:tcW w:w="3080" w:type="dxa"/>
            <w:vMerge/>
          </w:tcPr>
          <w:p w14:paraId="68346E0C" w14:textId="77777777" w:rsidR="00450F9A" w:rsidRPr="004A367C" w:rsidRDefault="00450F9A" w:rsidP="00BB64EA"/>
        </w:tc>
        <w:tc>
          <w:tcPr>
            <w:tcW w:w="3081" w:type="dxa"/>
          </w:tcPr>
          <w:p w14:paraId="3E6EA989" w14:textId="1B5D6157"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Children and adolescents &lt;</w:t>
            </w:r>
            <w:r w:rsidR="00011817">
              <w:t> 18 </w:t>
            </w:r>
            <w:r w:rsidRPr="004A367C">
              <w:t>years</w:t>
            </w:r>
          </w:p>
        </w:tc>
        <w:tc>
          <w:tcPr>
            <w:tcW w:w="3397" w:type="dxa"/>
          </w:tcPr>
          <w:p w14:paraId="366ACB2E" w14:textId="5350CA4B" w:rsidR="00450F9A" w:rsidRPr="004A367C" w:rsidRDefault="004A367C" w:rsidP="00BB64EA">
            <w:pPr>
              <w:cnfStyle w:val="000000000000" w:firstRow="0" w:lastRow="0" w:firstColumn="0" w:lastColumn="0" w:oddVBand="0" w:evenVBand="0" w:oddHBand="0" w:evenHBand="0" w:firstRowFirstColumn="0" w:firstRowLastColumn="0" w:lastRowFirstColumn="0" w:lastRowLastColumn="0"/>
            </w:pPr>
            <w:r>
              <w:t>As noted above, a Phase III</w:t>
            </w:r>
            <w:r w:rsidR="00450F9A" w:rsidRPr="004A367C">
              <w:t>b trial was completed in a</w:t>
            </w:r>
            <w:r>
              <w:t xml:space="preserve"> paediatric population (aged 1 to</w:t>
            </w:r>
            <w:r w:rsidR="00450F9A" w:rsidRPr="004A367C">
              <w:t xml:space="preserve"> &lt;</w:t>
            </w:r>
            <w:r>
              <w:t xml:space="preserve"> </w:t>
            </w:r>
            <w:r w:rsidR="00450F9A" w:rsidRPr="004A367C">
              <w:t xml:space="preserve">18 years). </w:t>
            </w:r>
            <w:r w:rsidR="009F4052" w:rsidRPr="004A367C">
              <w:t>The</w:t>
            </w:r>
            <w:r w:rsidR="00450F9A" w:rsidRPr="004A367C">
              <w:t xml:space="preserve"> PSUR notes that a variation application has been submitted to the EMA related to the use of IDegAsp in children and adolescents.</w:t>
            </w:r>
          </w:p>
          <w:p w14:paraId="3A017875" w14:textId="4A243BF5"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 xml:space="preserve">It is noted that the Product information available on the EMA website indicates that Ryzodeg is now indicated for the treatment of adolescents </w:t>
            </w:r>
            <w:r w:rsidRPr="004A367C">
              <w:lastRenderedPageBreak/>
              <w:t>and children form the age of 2 years.</w:t>
            </w:r>
            <w:r w:rsidR="00966EFA" w:rsidRPr="00011817">
              <w:rPr>
                <w:vertAlign w:val="superscript"/>
              </w:rPr>
              <w:footnoteReference w:id="8"/>
            </w:r>
          </w:p>
        </w:tc>
      </w:tr>
      <w:tr w:rsidR="00450F9A" w:rsidRPr="004A367C" w14:paraId="109CF6E8" w14:textId="77777777" w:rsidTr="00BB64EA">
        <w:tc>
          <w:tcPr>
            <w:cnfStyle w:val="001000000000" w:firstRow="0" w:lastRow="0" w:firstColumn="1" w:lastColumn="0" w:oddVBand="0" w:evenVBand="0" w:oddHBand="0" w:evenHBand="0" w:firstRowFirstColumn="0" w:firstRowLastColumn="0" w:lastRowFirstColumn="0" w:lastRowLastColumn="0"/>
            <w:tcW w:w="3080" w:type="dxa"/>
            <w:vMerge/>
          </w:tcPr>
          <w:p w14:paraId="1D301905" w14:textId="77777777" w:rsidR="00450F9A" w:rsidRPr="004A367C" w:rsidRDefault="00450F9A" w:rsidP="00BB64EA"/>
        </w:tc>
        <w:tc>
          <w:tcPr>
            <w:tcW w:w="3081" w:type="dxa"/>
          </w:tcPr>
          <w:p w14:paraId="593C8991" w14:textId="77777777"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Hepatic impairment</w:t>
            </w:r>
          </w:p>
        </w:tc>
        <w:tc>
          <w:tcPr>
            <w:tcW w:w="3397" w:type="dxa"/>
          </w:tcPr>
          <w:p w14:paraId="027654B9" w14:textId="7F13204A"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No new significant information identified</w:t>
            </w:r>
            <w:r w:rsidR="0001672C">
              <w:t>.</w:t>
            </w:r>
          </w:p>
        </w:tc>
      </w:tr>
      <w:tr w:rsidR="00450F9A" w:rsidRPr="004A367C" w14:paraId="0F44E694" w14:textId="77777777" w:rsidTr="00BB64EA">
        <w:tc>
          <w:tcPr>
            <w:cnfStyle w:val="001000000000" w:firstRow="0" w:lastRow="0" w:firstColumn="1" w:lastColumn="0" w:oddVBand="0" w:evenVBand="0" w:oddHBand="0" w:evenHBand="0" w:firstRowFirstColumn="0" w:firstRowLastColumn="0" w:lastRowFirstColumn="0" w:lastRowLastColumn="0"/>
            <w:tcW w:w="3080" w:type="dxa"/>
            <w:vMerge/>
          </w:tcPr>
          <w:p w14:paraId="70B8D083" w14:textId="77777777" w:rsidR="00450F9A" w:rsidRPr="004A367C" w:rsidRDefault="00450F9A" w:rsidP="00BB64EA"/>
        </w:tc>
        <w:tc>
          <w:tcPr>
            <w:tcW w:w="3081" w:type="dxa"/>
          </w:tcPr>
          <w:p w14:paraId="7D242533" w14:textId="77777777"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Moderate and severe renal impairment</w:t>
            </w:r>
          </w:p>
        </w:tc>
        <w:tc>
          <w:tcPr>
            <w:tcW w:w="3397" w:type="dxa"/>
          </w:tcPr>
          <w:p w14:paraId="6EB42038" w14:textId="11154CED"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No new significant information identified</w:t>
            </w:r>
            <w:r w:rsidR="00011817">
              <w:t>.</w:t>
            </w:r>
          </w:p>
        </w:tc>
      </w:tr>
      <w:tr w:rsidR="00450F9A" w:rsidRPr="004A367C" w14:paraId="7BFD2599" w14:textId="77777777" w:rsidTr="00BB64EA">
        <w:tc>
          <w:tcPr>
            <w:cnfStyle w:val="001000000000" w:firstRow="0" w:lastRow="0" w:firstColumn="1" w:lastColumn="0" w:oddVBand="0" w:evenVBand="0" w:oddHBand="0" w:evenHBand="0" w:firstRowFirstColumn="0" w:firstRowLastColumn="0" w:lastRowFirstColumn="0" w:lastRowLastColumn="0"/>
            <w:tcW w:w="3080" w:type="dxa"/>
            <w:vMerge/>
          </w:tcPr>
          <w:p w14:paraId="614E7456" w14:textId="77777777" w:rsidR="00450F9A" w:rsidRPr="004A367C" w:rsidRDefault="00450F9A" w:rsidP="00BB64EA"/>
        </w:tc>
        <w:tc>
          <w:tcPr>
            <w:tcW w:w="3081" w:type="dxa"/>
          </w:tcPr>
          <w:p w14:paraId="19D1E667" w14:textId="38663FCF"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Elderly patients (&gt;</w:t>
            </w:r>
            <w:r w:rsidR="00966EFA">
              <w:t xml:space="preserve"> </w:t>
            </w:r>
            <w:r w:rsidRPr="004A367C">
              <w:t>75 years) with T1DM</w:t>
            </w:r>
          </w:p>
        </w:tc>
        <w:tc>
          <w:tcPr>
            <w:tcW w:w="3397" w:type="dxa"/>
          </w:tcPr>
          <w:p w14:paraId="2480CB1F" w14:textId="49E763DC"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No new significant information identified</w:t>
            </w:r>
            <w:r w:rsidR="0001672C">
              <w:t>.</w:t>
            </w:r>
          </w:p>
        </w:tc>
      </w:tr>
      <w:tr w:rsidR="00450F9A" w:rsidRPr="004A367C" w14:paraId="7523C827" w14:textId="77777777" w:rsidTr="00BB64EA">
        <w:tc>
          <w:tcPr>
            <w:cnfStyle w:val="001000000000" w:firstRow="0" w:lastRow="0" w:firstColumn="1" w:lastColumn="0" w:oddVBand="0" w:evenVBand="0" w:oddHBand="0" w:evenHBand="0" w:firstRowFirstColumn="0" w:firstRowLastColumn="0" w:lastRowFirstColumn="0" w:lastRowLastColumn="0"/>
            <w:tcW w:w="3080" w:type="dxa"/>
            <w:vMerge/>
          </w:tcPr>
          <w:p w14:paraId="39984768" w14:textId="77777777" w:rsidR="00450F9A" w:rsidRPr="004A367C" w:rsidRDefault="00450F9A" w:rsidP="00BB64EA"/>
        </w:tc>
        <w:tc>
          <w:tcPr>
            <w:tcW w:w="3081" w:type="dxa"/>
          </w:tcPr>
          <w:p w14:paraId="21F83F1E" w14:textId="77777777"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Co-administration of GLP-1 receptor agonists</w:t>
            </w:r>
          </w:p>
        </w:tc>
        <w:tc>
          <w:tcPr>
            <w:tcW w:w="3397" w:type="dxa"/>
          </w:tcPr>
          <w:p w14:paraId="4B9A2FAC" w14:textId="01F1777D" w:rsidR="00450F9A" w:rsidRPr="004A367C" w:rsidRDefault="00450F9A" w:rsidP="00BB64EA">
            <w:pPr>
              <w:cnfStyle w:val="000000000000" w:firstRow="0" w:lastRow="0" w:firstColumn="0" w:lastColumn="0" w:oddVBand="0" w:evenVBand="0" w:oddHBand="0" w:evenHBand="0" w:firstRowFirstColumn="0" w:firstRowLastColumn="0" w:lastRowFirstColumn="0" w:lastRowLastColumn="0"/>
            </w:pPr>
            <w:r w:rsidRPr="004A367C">
              <w:t>No new significant information identified</w:t>
            </w:r>
            <w:r w:rsidR="0001672C">
              <w:t>.</w:t>
            </w:r>
          </w:p>
        </w:tc>
      </w:tr>
    </w:tbl>
    <w:p w14:paraId="54A49DA5" w14:textId="77777777" w:rsidR="00450F9A" w:rsidRPr="00450F9A" w:rsidRDefault="00450F9A" w:rsidP="00450F9A">
      <w:pPr>
        <w:rPr>
          <w:lang w:eastAsia="ja-JP"/>
        </w:rPr>
      </w:pPr>
      <w:r w:rsidRPr="00450F9A">
        <w:rPr>
          <w:lang w:eastAsia="ja-JP"/>
        </w:rPr>
        <w:t>As highlighted above, it is noted that medication errors due to a mix-up with IDegAsp and bolus insulin is an Important potential risk, however several related cases have been reported, especially in the T2DM population. The evaluator would recommend this be changed to an identified risk in the Australian Specific Annex and risk mitigation strategies employed.</w:t>
      </w:r>
    </w:p>
    <w:p w14:paraId="4A40ACAA" w14:textId="7E4545EF" w:rsidR="00450F9A" w:rsidRPr="00450F9A" w:rsidRDefault="00450F9A" w:rsidP="00450F9A">
      <w:pPr>
        <w:rPr>
          <w:lang w:eastAsia="ja-JP"/>
        </w:rPr>
      </w:pPr>
      <w:r w:rsidRPr="00450F9A">
        <w:rPr>
          <w:lang w:eastAsia="ja-JP"/>
        </w:rPr>
        <w:t xml:space="preserve">It is also noted that the EMA has a recently approved paediatric indication and that there are completed clinical trials in children. The evaluator would recommend the </w:t>
      </w:r>
      <w:r w:rsidR="004A367C">
        <w:rPr>
          <w:lang w:eastAsia="ja-JP"/>
        </w:rPr>
        <w:t>s</w:t>
      </w:r>
      <w:r w:rsidRPr="00450F9A">
        <w:rPr>
          <w:lang w:eastAsia="ja-JP"/>
        </w:rPr>
        <w:t xml:space="preserve">ponsor submit </w:t>
      </w:r>
      <w:r w:rsidR="00152FC6">
        <w:rPr>
          <w:lang w:eastAsia="ja-JP"/>
        </w:rPr>
        <w:t>an extension of indications</w:t>
      </w:r>
      <w:r w:rsidRPr="0001672C">
        <w:rPr>
          <w:lang w:eastAsia="ja-JP"/>
        </w:rPr>
        <w:t xml:space="preserve"> application to extend the indication for use in children.</w:t>
      </w:r>
    </w:p>
    <w:p w14:paraId="2E2CDAEA" w14:textId="77777777" w:rsidR="00450F9A" w:rsidRPr="00450F9A" w:rsidRDefault="00450F9A" w:rsidP="00A128C1">
      <w:pPr>
        <w:pStyle w:val="Heading3"/>
      </w:pPr>
      <w:r w:rsidRPr="00450F9A" w:rsidDel="00C06E64">
        <w:t xml:space="preserve"> </w:t>
      </w:r>
      <w:bookmarkStart w:id="318" w:name="_Toc241374328"/>
      <w:bookmarkStart w:id="319" w:name="_Toc272414691"/>
      <w:bookmarkStart w:id="320" w:name="_Toc290888555"/>
      <w:bookmarkStart w:id="321" w:name="_Toc416353770"/>
      <w:bookmarkStart w:id="322" w:name="_Toc421005312"/>
      <w:bookmarkStart w:id="323" w:name="_Toc432079183"/>
      <w:bookmarkStart w:id="324" w:name="_Toc432080756"/>
      <w:bookmarkStart w:id="325" w:name="_Toc487202401"/>
      <w:bookmarkStart w:id="326" w:name="_Toc517768432"/>
      <w:r w:rsidRPr="00450F9A">
        <w:t>Evaluator’s overall conclusions on clinical safety</w:t>
      </w:r>
      <w:bookmarkEnd w:id="318"/>
      <w:bookmarkEnd w:id="319"/>
      <w:bookmarkEnd w:id="320"/>
      <w:bookmarkEnd w:id="321"/>
      <w:bookmarkEnd w:id="322"/>
      <w:bookmarkEnd w:id="323"/>
      <w:bookmarkEnd w:id="324"/>
      <w:bookmarkEnd w:id="325"/>
      <w:bookmarkEnd w:id="326"/>
    </w:p>
    <w:p w14:paraId="09D6FEBB" w14:textId="01255D31" w:rsidR="00450F9A" w:rsidRPr="00450F9A" w:rsidRDefault="00450F9A" w:rsidP="00450F9A">
      <w:pPr>
        <w:rPr>
          <w:lang w:eastAsia="ja-JP"/>
        </w:rPr>
      </w:pPr>
      <w:r w:rsidRPr="00450F9A">
        <w:rPr>
          <w:lang w:eastAsia="ja-JP"/>
        </w:rPr>
        <w:t xml:space="preserve">The important identified risks of IDeg Asp as noted in the PSUR/PBRER are hypoglycaemia and immunogenicity-related events (allergic reactions). A safety concern arising from the original </w:t>
      </w:r>
      <w:r w:rsidR="00FD4512">
        <w:rPr>
          <w:lang w:eastAsia="ja-JP"/>
        </w:rPr>
        <w:t xml:space="preserve">withdrawn </w:t>
      </w:r>
      <w:r w:rsidRPr="00450F9A">
        <w:rPr>
          <w:lang w:eastAsia="ja-JP"/>
        </w:rPr>
        <w:t>submission for IDegAsp related to cardiovascular outcomes and a core component of the safety data submitted in this resubmission of IDegAsp w</w:t>
      </w:r>
      <w:r w:rsidR="00150DD2">
        <w:rPr>
          <w:lang w:eastAsia="ja-JP"/>
        </w:rPr>
        <w:t xml:space="preserve">as the cardiovascular outcomes </w:t>
      </w:r>
      <w:r w:rsidR="00682C63">
        <w:rPr>
          <w:lang w:eastAsia="ja-JP"/>
        </w:rPr>
        <w:t>DEVOTE</w:t>
      </w:r>
      <w:r w:rsidR="00152FC6">
        <w:rPr>
          <w:lang w:eastAsia="ja-JP"/>
        </w:rPr>
        <w:t xml:space="preserve"> trial</w:t>
      </w:r>
      <w:r w:rsidRPr="00450F9A">
        <w:rPr>
          <w:lang w:eastAsia="ja-JP"/>
        </w:rPr>
        <w:t xml:space="preserve">. This trial was of robust design and the primary endpoint comparing IDeg with IGlar was met for non-inferiority in an interim analysis; therefore the cardiovascular signal detected in the </w:t>
      </w:r>
      <w:r w:rsidR="00966EFA">
        <w:rPr>
          <w:lang w:eastAsia="ja-JP"/>
        </w:rPr>
        <w:t>Phase III</w:t>
      </w:r>
      <w:r w:rsidRPr="00450F9A">
        <w:rPr>
          <w:lang w:eastAsia="ja-JP"/>
        </w:rPr>
        <w:t xml:space="preserve"> development program in the original </w:t>
      </w:r>
      <w:r w:rsidR="00FD4512">
        <w:rPr>
          <w:lang w:eastAsia="ja-JP"/>
        </w:rPr>
        <w:t xml:space="preserve">withdrawn </w:t>
      </w:r>
      <w:r w:rsidRPr="00450F9A">
        <w:rPr>
          <w:lang w:eastAsia="ja-JP"/>
        </w:rPr>
        <w:t>submission was not supported. Nevertheless, it is noted that only interim results are presented and final results will provide stronger evidence. Further it is noted th</w:t>
      </w:r>
      <w:r w:rsidR="00150DD2">
        <w:rPr>
          <w:lang w:eastAsia="ja-JP"/>
        </w:rPr>
        <w:t xml:space="preserve">at </w:t>
      </w:r>
      <w:r w:rsidR="00152FC6">
        <w:rPr>
          <w:lang w:eastAsia="ja-JP"/>
        </w:rPr>
        <w:t>the</w:t>
      </w:r>
      <w:r w:rsidRPr="00450F9A">
        <w:rPr>
          <w:lang w:eastAsia="ja-JP"/>
        </w:rPr>
        <w:t xml:space="preserve"> </w:t>
      </w:r>
      <w:r w:rsidR="00682C63">
        <w:rPr>
          <w:lang w:eastAsia="ja-JP"/>
        </w:rPr>
        <w:t>DEVOTE</w:t>
      </w:r>
      <w:r w:rsidR="00152FC6">
        <w:rPr>
          <w:lang w:eastAsia="ja-JP"/>
        </w:rPr>
        <w:t xml:space="preserve"> trial </w:t>
      </w:r>
      <w:r w:rsidRPr="00450F9A">
        <w:rPr>
          <w:lang w:eastAsia="ja-JP"/>
        </w:rPr>
        <w:t xml:space="preserve">does not provide data specific either to the T1DM population or patients receiving IDegAsp. </w:t>
      </w:r>
    </w:p>
    <w:p w14:paraId="17F6F67F" w14:textId="0998890D" w:rsidR="00450F9A" w:rsidRPr="00450F9A" w:rsidRDefault="00450F9A" w:rsidP="00450F9A">
      <w:pPr>
        <w:rPr>
          <w:lang w:eastAsia="ja-JP"/>
        </w:rPr>
      </w:pPr>
      <w:r w:rsidRPr="00450F9A">
        <w:rPr>
          <w:lang w:eastAsia="ja-JP"/>
        </w:rPr>
        <w:t xml:space="preserve">New integrated safety data with </w:t>
      </w:r>
      <w:r w:rsidR="009F4052" w:rsidRPr="00450F9A">
        <w:rPr>
          <w:lang w:eastAsia="ja-JP"/>
        </w:rPr>
        <w:t>cut</w:t>
      </w:r>
      <w:r w:rsidR="009F4052">
        <w:rPr>
          <w:lang w:eastAsia="ja-JP"/>
        </w:rPr>
        <w:t>-</w:t>
      </w:r>
      <w:r w:rsidR="009F4052" w:rsidRPr="00450F9A">
        <w:rPr>
          <w:lang w:eastAsia="ja-JP"/>
        </w:rPr>
        <w:t>off</w:t>
      </w:r>
      <w:r w:rsidRPr="00450F9A">
        <w:rPr>
          <w:lang w:eastAsia="ja-JP"/>
        </w:rPr>
        <w:t xml:space="preserve"> date of 30 September 2014 has been presented for IDegAsp in the current submission. This data has been compared in the submission documents to the Integrated Safety Summary (ISS) with cut-off of 31 January 2011 from the FDA dossier. The evaluator has assumed that this data is the same as that in the original Australian dossier.</w:t>
      </w:r>
    </w:p>
    <w:p w14:paraId="785B2034" w14:textId="37C3D496" w:rsidR="00450F9A" w:rsidRPr="00450F9A" w:rsidRDefault="00450F9A" w:rsidP="00450F9A">
      <w:pPr>
        <w:rPr>
          <w:lang w:eastAsia="ja-JP"/>
        </w:rPr>
      </w:pPr>
      <w:r w:rsidRPr="00450F9A">
        <w:rPr>
          <w:lang w:eastAsia="ja-JP"/>
        </w:rPr>
        <w:t xml:space="preserve">The updated dataset contained 10 new completed trials, of which 7 were </w:t>
      </w:r>
      <w:r w:rsidR="00150DD2">
        <w:rPr>
          <w:lang w:eastAsia="ja-JP"/>
        </w:rPr>
        <w:t>P</w:t>
      </w:r>
      <w:r w:rsidRPr="00450F9A">
        <w:rPr>
          <w:lang w:eastAsia="ja-JP"/>
        </w:rPr>
        <w:t xml:space="preserve">hase </w:t>
      </w:r>
      <w:r w:rsidR="00150DD2">
        <w:rPr>
          <w:lang w:eastAsia="ja-JP"/>
        </w:rPr>
        <w:t>III</w:t>
      </w:r>
      <w:r w:rsidRPr="00450F9A">
        <w:rPr>
          <w:lang w:eastAsia="ja-JP"/>
        </w:rPr>
        <w:t xml:space="preserve"> trials, resulting in exposure of an additional 1100 subjects. There were no new </w:t>
      </w:r>
      <w:r w:rsidR="00150DD2">
        <w:rPr>
          <w:lang w:eastAsia="ja-JP"/>
        </w:rPr>
        <w:t>P</w:t>
      </w:r>
      <w:r w:rsidRPr="00450F9A">
        <w:rPr>
          <w:lang w:eastAsia="ja-JP"/>
        </w:rPr>
        <w:t xml:space="preserve">hase </w:t>
      </w:r>
      <w:r w:rsidR="00150DD2">
        <w:rPr>
          <w:lang w:eastAsia="ja-JP"/>
        </w:rPr>
        <w:t>III</w:t>
      </w:r>
      <w:r w:rsidRPr="00450F9A">
        <w:rPr>
          <w:lang w:eastAsia="ja-JP"/>
        </w:rPr>
        <w:t xml:space="preserve"> data for T1DM (neither new nor ongoing patients). Of the </w:t>
      </w:r>
      <w:r w:rsidR="00150DD2">
        <w:rPr>
          <w:lang w:eastAsia="ja-JP"/>
        </w:rPr>
        <w:t>P</w:t>
      </w:r>
      <w:r w:rsidRPr="00450F9A">
        <w:rPr>
          <w:lang w:eastAsia="ja-JP"/>
        </w:rPr>
        <w:t xml:space="preserve">hase </w:t>
      </w:r>
      <w:r w:rsidR="00150DD2">
        <w:rPr>
          <w:lang w:eastAsia="ja-JP"/>
        </w:rPr>
        <w:t>III</w:t>
      </w:r>
      <w:r w:rsidRPr="00450F9A">
        <w:rPr>
          <w:lang w:eastAsia="ja-JP"/>
        </w:rPr>
        <w:t xml:space="preserve"> trials relating to T2DM, </w:t>
      </w:r>
      <w:r w:rsidR="0082696D">
        <w:rPr>
          <w:lang w:eastAsia="ja-JP"/>
        </w:rPr>
        <w:t>7</w:t>
      </w:r>
      <w:r w:rsidRPr="00450F9A">
        <w:rPr>
          <w:lang w:eastAsia="ja-JP"/>
        </w:rPr>
        <w:t xml:space="preserve"> were new trials and</w:t>
      </w:r>
      <w:r w:rsidR="00D44164">
        <w:rPr>
          <w:lang w:eastAsia="ja-JP"/>
        </w:rPr>
        <w:t xml:space="preserve"> 1</w:t>
      </w:r>
      <w:r w:rsidRPr="00450F9A">
        <w:rPr>
          <w:lang w:eastAsia="ja-JP"/>
        </w:rPr>
        <w:t xml:space="preserve"> (a paediatric trial) was ongoing. In total, 3139 subjects have been exposed to IDegAsp in completed clinical trials as of 30 September 2014. It is noted that there were a </w:t>
      </w:r>
      <w:r w:rsidRPr="00450F9A">
        <w:rPr>
          <w:lang w:eastAsia="ja-JP"/>
        </w:rPr>
        <w:lastRenderedPageBreak/>
        <w:t>variety of patient types included in this integrat</w:t>
      </w:r>
      <w:r w:rsidR="00150DD2">
        <w:rPr>
          <w:lang w:eastAsia="ja-JP"/>
        </w:rPr>
        <w:t xml:space="preserve">ed dataset; </w:t>
      </w:r>
      <w:r w:rsidRPr="00450F9A">
        <w:rPr>
          <w:lang w:eastAsia="ja-JP"/>
        </w:rPr>
        <w:t>subjects with T1DM and T2DM, and within the T2DM subset, subjects were either insulin naïve or insulin treated and received either a daily or twice daily dose. Similarly, the comparator group was an amalgamation of all comparators across a number of trials and patient populations. Therefore, as with all analyses of integrated data, data should be interpreted with some caution given that the population is a somewhat heterogeneous group. Nevertheless, this integrated data has the benefit of bringing together a large number of subjects who have received IDegAsp.</w:t>
      </w:r>
    </w:p>
    <w:p w14:paraId="5AEF6253" w14:textId="4C565E91" w:rsidR="00450F9A" w:rsidRPr="00450F9A" w:rsidRDefault="00450F9A" w:rsidP="00450F9A">
      <w:pPr>
        <w:rPr>
          <w:lang w:eastAsia="ja-JP"/>
        </w:rPr>
      </w:pPr>
      <w:r w:rsidRPr="00450F9A">
        <w:rPr>
          <w:lang w:eastAsia="ja-JP"/>
        </w:rPr>
        <w:t xml:space="preserve">Based on the updated data presented, there do not appear to be any new significant safety signals that have emerged since the </w:t>
      </w:r>
      <w:r w:rsidR="00FD4512">
        <w:rPr>
          <w:lang w:eastAsia="ja-JP"/>
        </w:rPr>
        <w:t xml:space="preserve">original withdrawn </w:t>
      </w:r>
      <w:r w:rsidRPr="00450F9A">
        <w:rPr>
          <w:lang w:eastAsia="ja-JP"/>
        </w:rPr>
        <w:t>submission in terms of integrated safety data. Hypoglycaemia related adverse events continue to be the most frequently occurring possibly or probably related to study drug adverse events, serious adverse events and adverse event (preferred term) leading to withdrawal on the IDegAsp arm. This is not surprising, given the therapeutic action of IDegAsp; prescriber and patient education is important to ensure appropriate use. In general, the rate of hypoglycaemic events tended to be relatively similar in the IDegAsp group compared to the comparator group although there were some exceptions:</w:t>
      </w:r>
    </w:p>
    <w:p w14:paraId="2C9BF8AC" w14:textId="7B23DBFA" w:rsidR="00450F9A" w:rsidRPr="00450F9A" w:rsidRDefault="009F4052" w:rsidP="00966EFA">
      <w:pPr>
        <w:pStyle w:val="ListBullet"/>
        <w:rPr>
          <w:lang w:eastAsia="ja-JP"/>
        </w:rPr>
      </w:pPr>
      <w:r w:rsidRPr="00450F9A">
        <w:rPr>
          <w:lang w:eastAsia="ja-JP"/>
        </w:rPr>
        <w:t>Preferred</w:t>
      </w:r>
      <w:r w:rsidR="00450F9A" w:rsidRPr="00450F9A">
        <w:rPr>
          <w:lang w:eastAsia="ja-JP"/>
        </w:rPr>
        <w:t xml:space="preserve"> term of hypoglycaemia leading to withdrawal (although the rates are low, therefore the significance is unclear) was higher in the IDegAsp group</w:t>
      </w:r>
      <w:r w:rsidR="00150DD2">
        <w:rPr>
          <w:lang w:eastAsia="ja-JP"/>
        </w:rPr>
        <w:t>.</w:t>
      </w:r>
    </w:p>
    <w:p w14:paraId="769FB540" w14:textId="162E43EC" w:rsidR="00450F9A" w:rsidRPr="00450F9A" w:rsidRDefault="00450F9A" w:rsidP="00966EFA">
      <w:pPr>
        <w:pStyle w:val="ListBullet"/>
        <w:rPr>
          <w:lang w:eastAsia="ja-JP"/>
        </w:rPr>
      </w:pPr>
      <w:r w:rsidRPr="00450F9A">
        <w:rPr>
          <w:lang w:eastAsia="ja-JP"/>
        </w:rPr>
        <w:t>in terms of the specific hypoglycaemic analysis, confirmed</w:t>
      </w:r>
      <w:r w:rsidR="00152FC6">
        <w:rPr>
          <w:lang w:eastAsia="ja-JP"/>
        </w:rPr>
        <w:t xml:space="preserve"> hypoglycaemia episodes over 24 </w:t>
      </w:r>
      <w:r w:rsidRPr="00450F9A">
        <w:rPr>
          <w:lang w:eastAsia="ja-JP"/>
        </w:rPr>
        <w:t>hours for T2DM insulin naïve, confirmed hypoglycaemia episodes over 24 hours in insulin treated subjects and documented symptomatic hypoglycaemic episodes over 24 hours for T2DM insulin naïve subjects were all higher in the IDegAsp group</w:t>
      </w:r>
      <w:r w:rsidR="00152FC6">
        <w:rPr>
          <w:lang w:eastAsia="ja-JP"/>
        </w:rPr>
        <w:t xml:space="preserve">, </w:t>
      </w:r>
      <w:r w:rsidRPr="00450F9A">
        <w:rPr>
          <w:lang w:eastAsia="ja-JP"/>
        </w:rPr>
        <w:t>all only in the group of subje</w:t>
      </w:r>
      <w:r w:rsidR="00150DD2">
        <w:rPr>
          <w:lang w:eastAsia="ja-JP"/>
        </w:rPr>
        <w:t>cts who received daily insulin.</w:t>
      </w:r>
    </w:p>
    <w:p w14:paraId="67F93F20" w14:textId="77777777" w:rsidR="00450F9A" w:rsidRPr="00450F9A" w:rsidRDefault="00450F9A" w:rsidP="00450F9A">
      <w:pPr>
        <w:rPr>
          <w:lang w:eastAsia="ja-JP"/>
        </w:rPr>
      </w:pPr>
      <w:r w:rsidRPr="00450F9A">
        <w:rPr>
          <w:lang w:eastAsia="ja-JP"/>
        </w:rPr>
        <w:t>In terms of nocturnal confirmed hypoglycaemia, IDegAsp had lower rates compared to the comparator group in all disease and dosing subgroups.</w:t>
      </w:r>
    </w:p>
    <w:p w14:paraId="5FF79799" w14:textId="555F654A" w:rsidR="00450F9A" w:rsidRPr="00450F9A" w:rsidRDefault="00450F9A" w:rsidP="00450F9A">
      <w:pPr>
        <w:rPr>
          <w:i/>
          <w:lang w:eastAsia="ja-JP"/>
        </w:rPr>
      </w:pPr>
      <w:r w:rsidRPr="00450F9A">
        <w:rPr>
          <w:lang w:eastAsia="ja-JP"/>
        </w:rPr>
        <w:t xml:space="preserve">Subset analyses for T2DM are reported, although the T1DM dataset has not been updated. Overall, the rates seen for AEs, overall SAEs, possibly/probably related SAEs and hypoglycaemic events were consistent with those seen in the overall population. It is noted that the proportion of subjects with the event of death was slightly higher on the T2DM IDegAsp arm compared to the IDegAsp arm in the overall </w:t>
      </w:r>
      <w:r w:rsidR="009F4052" w:rsidRPr="00450F9A">
        <w:rPr>
          <w:lang w:eastAsia="ja-JP"/>
        </w:rPr>
        <w:t>population</w:t>
      </w:r>
      <w:r w:rsidR="009F4052">
        <w:rPr>
          <w:lang w:eastAsia="ja-JP"/>
        </w:rPr>
        <w:t>;</w:t>
      </w:r>
      <w:r w:rsidRPr="00450F9A">
        <w:rPr>
          <w:lang w:eastAsia="ja-JP"/>
        </w:rPr>
        <w:t xml:space="preserve"> this is because all of the deaths that have occurred in IDegAsp trials have </w:t>
      </w:r>
      <w:r w:rsidR="00150DD2">
        <w:rPr>
          <w:lang w:eastAsia="ja-JP"/>
        </w:rPr>
        <w:t>occurred in the T2DM population.</w:t>
      </w:r>
    </w:p>
    <w:p w14:paraId="387FB4C7" w14:textId="02CCB6A3" w:rsidR="00450F9A" w:rsidRPr="00450F9A" w:rsidRDefault="00450F9A" w:rsidP="00450F9A">
      <w:pPr>
        <w:rPr>
          <w:i/>
          <w:lang w:eastAsia="ja-JP"/>
        </w:rPr>
      </w:pPr>
      <w:r w:rsidRPr="00450F9A">
        <w:rPr>
          <w:lang w:eastAsia="ja-JP"/>
        </w:rPr>
        <w:t xml:space="preserve">It is noted that in the updated data set, there is additional data </w:t>
      </w:r>
      <w:r w:rsidR="00150DD2">
        <w:rPr>
          <w:lang w:eastAsia="ja-JP"/>
        </w:rPr>
        <w:t>with longer follow up (up to 52 </w:t>
      </w:r>
      <w:r w:rsidRPr="00450F9A">
        <w:rPr>
          <w:lang w:eastAsia="ja-JP"/>
        </w:rPr>
        <w:t xml:space="preserve">weeks) than was available in the original </w:t>
      </w:r>
      <w:r w:rsidR="00FD4512">
        <w:rPr>
          <w:lang w:eastAsia="ja-JP"/>
        </w:rPr>
        <w:t xml:space="preserve">withdrawn </w:t>
      </w:r>
      <w:r w:rsidRPr="00450F9A">
        <w:rPr>
          <w:lang w:eastAsia="ja-JP"/>
        </w:rPr>
        <w:t>submission. However, the proportion of subjects with T2DM in particular with data for 12 months remains limited and</w:t>
      </w:r>
      <w:r w:rsidRPr="00450F9A">
        <w:rPr>
          <w:i/>
          <w:lang w:eastAsia="ja-JP"/>
        </w:rPr>
        <w:t xml:space="preserve"> </w:t>
      </w:r>
      <w:r w:rsidRPr="00450F9A">
        <w:rPr>
          <w:lang w:eastAsia="ja-JP"/>
        </w:rPr>
        <w:t>the majority of these are in the comparator group, although the reason for this discrepancy is not clear. More specifically, there are very few insulin treated subjects wi</w:t>
      </w:r>
      <w:r w:rsidR="00FD4512">
        <w:rPr>
          <w:lang w:eastAsia="ja-JP"/>
        </w:rPr>
        <w:t>th T2DM were followed up for 12 </w:t>
      </w:r>
      <w:r w:rsidRPr="00450F9A">
        <w:rPr>
          <w:lang w:eastAsia="ja-JP"/>
        </w:rPr>
        <w:t>months or more. Long term data is of relevance given that the use of IDegAsp in this population is expected to be administered for years rather than months in this population and highlights the importance of post marketing monitoring.</w:t>
      </w:r>
    </w:p>
    <w:p w14:paraId="16471B39" w14:textId="540E0895" w:rsidR="00450F9A" w:rsidRPr="00450F9A" w:rsidRDefault="00450F9A" w:rsidP="00450F9A">
      <w:pPr>
        <w:rPr>
          <w:lang w:eastAsia="ja-JP"/>
        </w:rPr>
      </w:pPr>
      <w:r w:rsidRPr="00450F9A">
        <w:rPr>
          <w:lang w:eastAsia="ja-JP"/>
        </w:rPr>
        <w:t xml:space="preserve">A number of specific analyses made by the </w:t>
      </w:r>
      <w:r w:rsidR="00150DD2">
        <w:rPr>
          <w:lang w:eastAsia="ja-JP"/>
        </w:rPr>
        <w:t>s</w:t>
      </w:r>
      <w:r w:rsidRPr="00450F9A">
        <w:rPr>
          <w:lang w:eastAsia="ja-JP"/>
        </w:rPr>
        <w:t>ponsor such as immunological, MACE and neoplastic related events have not been discussed in detail this CER as only pooled data (IDegAsp + IDeg) was presented and this is presented in the IDeg clinical evaluation report. Although reference was made to IDegAsp only data for MACE and neoplastic events, no data for IDegAsp relating to immunological events was presented for review.</w:t>
      </w:r>
    </w:p>
    <w:p w14:paraId="40EC26E2" w14:textId="3477706E" w:rsidR="00450F9A" w:rsidRPr="00450F9A" w:rsidRDefault="00450F9A" w:rsidP="00450F9A">
      <w:pPr>
        <w:rPr>
          <w:lang w:eastAsia="ja-JP"/>
        </w:rPr>
      </w:pPr>
      <w:r w:rsidRPr="00450F9A">
        <w:rPr>
          <w:lang w:eastAsia="ja-JP"/>
        </w:rPr>
        <w:t xml:space="preserve">Post marketing experience is somewhat limited; the majority of the cumulative post marketing reports have been submitted in the year of the PSUR report. The paediatric study is noted and would be of interest for Australia in view of the relatively high prevalence of T1DM in children. It is also noted that there are </w:t>
      </w:r>
      <w:r w:rsidR="00D44164">
        <w:rPr>
          <w:lang w:eastAsia="ja-JP"/>
        </w:rPr>
        <w:t>2</w:t>
      </w:r>
      <w:r w:rsidRPr="00450F9A">
        <w:rPr>
          <w:lang w:eastAsia="ja-JP"/>
        </w:rPr>
        <w:t xml:space="preserve"> ongoing safety signal evaluations as detailed in the PSUR:</w:t>
      </w:r>
    </w:p>
    <w:p w14:paraId="3E9C8963" w14:textId="4D9736AE" w:rsidR="00450F9A" w:rsidRPr="00450F9A" w:rsidRDefault="00450F9A" w:rsidP="00152FC6">
      <w:pPr>
        <w:pStyle w:val="Numberbullet0"/>
        <w:numPr>
          <w:ilvl w:val="0"/>
          <w:numId w:val="13"/>
        </w:numPr>
        <w:rPr>
          <w:lang w:eastAsia="ja-JP"/>
        </w:rPr>
      </w:pPr>
      <w:r w:rsidRPr="00450F9A">
        <w:rPr>
          <w:lang w:eastAsia="ja-JP"/>
        </w:rPr>
        <w:lastRenderedPageBreak/>
        <w:t xml:space="preserve">Neoplasms/colon cancer: </w:t>
      </w:r>
      <w:r w:rsidRPr="00152FC6">
        <w:rPr>
          <w:lang w:eastAsia="ja-JP"/>
        </w:rPr>
        <w:t xml:space="preserve">refer to </w:t>
      </w:r>
      <w:r w:rsidR="00152FC6">
        <w:rPr>
          <w:lang w:eastAsia="ja-JP"/>
        </w:rPr>
        <w:t xml:space="preserve">the Tresiba </w:t>
      </w:r>
      <w:r w:rsidRPr="00152FC6">
        <w:rPr>
          <w:lang w:eastAsia="ja-JP"/>
        </w:rPr>
        <w:t xml:space="preserve">IDeg </w:t>
      </w:r>
      <w:r w:rsidR="00152FC6">
        <w:rPr>
          <w:lang w:eastAsia="ja-JP"/>
        </w:rPr>
        <w:t xml:space="preserve">CER </w:t>
      </w:r>
      <w:r w:rsidRPr="00450F9A">
        <w:rPr>
          <w:lang w:eastAsia="ja-JP"/>
        </w:rPr>
        <w:t>for specific discussion relating to pooled data</w:t>
      </w:r>
      <w:r w:rsidR="00152FC6">
        <w:rPr>
          <w:lang w:eastAsia="ja-JP"/>
        </w:rPr>
        <w:t xml:space="preserve"> </w:t>
      </w:r>
      <w:r w:rsidR="00152FC6" w:rsidRPr="00152FC6">
        <w:rPr>
          <w:lang w:eastAsia="ja-JP"/>
        </w:rPr>
        <w:t>available as Attachment 2 of the Tresiba submission].</w:t>
      </w:r>
      <w:r w:rsidR="00152FC6" w:rsidRPr="00152FC6">
        <w:rPr>
          <w:vertAlign w:val="superscript"/>
          <w:lang w:eastAsia="ja-JP"/>
        </w:rPr>
        <w:fldChar w:fldCharType="begin"/>
      </w:r>
      <w:r w:rsidR="00152FC6" w:rsidRPr="00152FC6">
        <w:rPr>
          <w:vertAlign w:val="superscript"/>
          <w:lang w:eastAsia="ja-JP"/>
        </w:rPr>
        <w:instrText xml:space="preserve"> NOTEREF _Ref511595014 \h  \* MERGEFORMAT </w:instrText>
      </w:r>
      <w:r w:rsidR="00152FC6" w:rsidRPr="00152FC6">
        <w:rPr>
          <w:vertAlign w:val="superscript"/>
          <w:lang w:eastAsia="ja-JP"/>
        </w:rPr>
      </w:r>
      <w:r w:rsidR="00152FC6" w:rsidRPr="00152FC6">
        <w:rPr>
          <w:vertAlign w:val="superscript"/>
          <w:lang w:eastAsia="ja-JP"/>
        </w:rPr>
        <w:fldChar w:fldCharType="separate"/>
      </w:r>
      <w:r w:rsidR="00090E68">
        <w:rPr>
          <w:vertAlign w:val="superscript"/>
          <w:lang w:eastAsia="ja-JP"/>
        </w:rPr>
        <w:t>1</w:t>
      </w:r>
      <w:r w:rsidR="00152FC6" w:rsidRPr="00152FC6">
        <w:rPr>
          <w:lang w:eastAsia="ja-JP"/>
        </w:rPr>
        <w:fldChar w:fldCharType="end"/>
      </w:r>
      <w:r w:rsidR="00152FC6">
        <w:rPr>
          <w:lang w:eastAsia="ja-JP"/>
        </w:rPr>
        <w:t xml:space="preserve"> </w:t>
      </w:r>
      <w:r w:rsidRPr="00450F9A">
        <w:rPr>
          <w:lang w:eastAsia="ja-JP"/>
        </w:rPr>
        <w:t>Ongoing monitoring should be maintained.</w:t>
      </w:r>
    </w:p>
    <w:p w14:paraId="164F7A47" w14:textId="003D552B" w:rsidR="00450F9A" w:rsidRPr="00450F9A" w:rsidRDefault="00450F9A" w:rsidP="00150DD2">
      <w:pPr>
        <w:pStyle w:val="Numberbullet0"/>
        <w:rPr>
          <w:lang w:eastAsia="ja-JP"/>
        </w:rPr>
      </w:pPr>
      <w:r w:rsidRPr="00450F9A">
        <w:rPr>
          <w:lang w:eastAsia="ja-JP"/>
        </w:rPr>
        <w:t>Cardi</w:t>
      </w:r>
      <w:r w:rsidR="00150DD2">
        <w:rPr>
          <w:lang w:eastAsia="ja-JP"/>
        </w:rPr>
        <w:t>ovascular events: as previously discussed.</w:t>
      </w:r>
    </w:p>
    <w:p w14:paraId="53C5DC84" w14:textId="66FE4D09" w:rsidR="00C22678" w:rsidRPr="003442FE" w:rsidRDefault="00450F9A" w:rsidP="00C22678">
      <w:pPr>
        <w:rPr>
          <w:lang w:eastAsia="ja-JP"/>
        </w:rPr>
      </w:pPr>
      <w:r w:rsidRPr="00450F9A">
        <w:rPr>
          <w:lang w:eastAsia="ja-JP"/>
        </w:rPr>
        <w:t>It has also been noted that medication errors due to a mix up with IDegAsp and bolus insulin is an Important potential risk, however several related cases have been reported, esp</w:t>
      </w:r>
      <w:r w:rsidR="00150DD2">
        <w:rPr>
          <w:lang w:eastAsia="ja-JP"/>
        </w:rPr>
        <w:t>ecially in the T2DM population.</w:t>
      </w:r>
    </w:p>
    <w:p w14:paraId="68A98386" w14:textId="77777777" w:rsidR="00C22678" w:rsidRDefault="00C22678" w:rsidP="00C22678">
      <w:pPr>
        <w:pStyle w:val="Heading2"/>
      </w:pPr>
      <w:bookmarkStart w:id="327" w:name="_Toc517768433"/>
      <w:r w:rsidRPr="003442FE">
        <w:t>First round benefit-risk assessment</w:t>
      </w:r>
      <w:bookmarkEnd w:id="327"/>
    </w:p>
    <w:p w14:paraId="6DA8F458" w14:textId="05B2D2D4" w:rsidR="00493A99" w:rsidRPr="00493A99" w:rsidRDefault="00493A99" w:rsidP="00493A99">
      <w:pPr>
        <w:pStyle w:val="Heading3"/>
      </w:pPr>
      <w:bookmarkStart w:id="328" w:name="_Toc517768434"/>
      <w:r>
        <w:t>First round assessment of benefits</w:t>
      </w:r>
      <w:bookmarkEnd w:id="328"/>
    </w:p>
    <w:p w14:paraId="4A27A823" w14:textId="384EB00F" w:rsidR="00C22678" w:rsidRDefault="00493A99" w:rsidP="00C22678">
      <w:pPr>
        <w:rPr>
          <w:lang w:eastAsia="ja-JP"/>
        </w:rPr>
      </w:pPr>
      <w:r>
        <w:rPr>
          <w:lang w:eastAsia="ja-JP"/>
        </w:rPr>
        <w:t>Table 17 summarises the assessment of benefits at the first round.</w:t>
      </w:r>
    </w:p>
    <w:p w14:paraId="6D0CEEB1" w14:textId="061529C4" w:rsidR="00150DD2" w:rsidRPr="00150DD2" w:rsidRDefault="00150DD2" w:rsidP="009E4F37">
      <w:pPr>
        <w:pStyle w:val="Tabletitle"/>
        <w:rPr>
          <w:lang w:eastAsia="ja-JP"/>
        </w:rPr>
      </w:pPr>
      <w:bookmarkStart w:id="329" w:name="_Toc487195085"/>
      <w:r w:rsidRPr="00150DD2">
        <w:rPr>
          <w:lang w:eastAsia="ja-JP"/>
        </w:rPr>
        <w:t xml:space="preserve">Table </w:t>
      </w:r>
      <w:r w:rsidR="00493A99">
        <w:rPr>
          <w:lang w:eastAsia="ja-JP"/>
        </w:rPr>
        <w:t>17</w:t>
      </w:r>
      <w:r w:rsidR="00FA6FCA">
        <w:rPr>
          <w:lang w:eastAsia="ja-JP"/>
        </w:rPr>
        <w:t>:</w:t>
      </w:r>
      <w:r w:rsidRPr="00150DD2">
        <w:rPr>
          <w:lang w:eastAsia="ja-JP"/>
        </w:rPr>
        <w:t xml:space="preserve"> First round assessment of benefits</w:t>
      </w:r>
      <w:bookmarkEnd w:id="329"/>
    </w:p>
    <w:tbl>
      <w:tblPr>
        <w:tblStyle w:val="TableTGAblue"/>
        <w:tblW w:w="9198" w:type="dxa"/>
        <w:tblLook w:val="04A0" w:firstRow="1" w:lastRow="0" w:firstColumn="1" w:lastColumn="0" w:noHBand="0" w:noVBand="1"/>
        <w:tblDescription w:val="Table 17: First round assessment of benefits"/>
      </w:tblPr>
      <w:tblGrid>
        <w:gridCol w:w="4608"/>
        <w:gridCol w:w="4590"/>
      </w:tblGrid>
      <w:tr w:rsidR="009E4F37" w:rsidRPr="00493A99" w14:paraId="06934E10" w14:textId="77777777" w:rsidTr="00152F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08" w:type="dxa"/>
          </w:tcPr>
          <w:p w14:paraId="1AF7627B" w14:textId="77777777" w:rsidR="00150DD2" w:rsidRPr="00493A99" w:rsidRDefault="00150DD2" w:rsidP="00493A99">
            <w:r w:rsidRPr="00493A99">
              <w:t>Benefits</w:t>
            </w:r>
          </w:p>
        </w:tc>
        <w:tc>
          <w:tcPr>
            <w:tcW w:w="4590" w:type="dxa"/>
          </w:tcPr>
          <w:p w14:paraId="1F89DA95" w14:textId="77777777" w:rsidR="00150DD2" w:rsidRPr="00493A99" w:rsidRDefault="00150DD2" w:rsidP="00493A99">
            <w:pPr>
              <w:cnfStyle w:val="100000000000" w:firstRow="1" w:lastRow="0" w:firstColumn="0" w:lastColumn="0" w:oddVBand="0" w:evenVBand="0" w:oddHBand="0" w:evenHBand="0" w:firstRowFirstColumn="0" w:firstRowLastColumn="0" w:lastRowFirstColumn="0" w:lastRowLastColumn="0"/>
            </w:pPr>
            <w:r w:rsidRPr="00493A99">
              <w:t>Uncertainties</w:t>
            </w:r>
          </w:p>
        </w:tc>
      </w:tr>
      <w:tr w:rsidR="009E4F37" w:rsidRPr="00493A99" w14:paraId="3F30FAFC" w14:textId="77777777" w:rsidTr="009E4F37">
        <w:tc>
          <w:tcPr>
            <w:cnfStyle w:val="001000000000" w:firstRow="0" w:lastRow="0" w:firstColumn="1" w:lastColumn="0" w:oddVBand="0" w:evenVBand="0" w:oddHBand="0" w:evenHBand="0" w:firstRowFirstColumn="0" w:firstRowLastColumn="0" w:lastRowFirstColumn="0" w:lastRowLastColumn="0"/>
            <w:tcW w:w="4608" w:type="dxa"/>
          </w:tcPr>
          <w:p w14:paraId="5C267DAC" w14:textId="16F58F09" w:rsidR="00150DD2" w:rsidRPr="009E4F37" w:rsidRDefault="00150DD2" w:rsidP="00493A99">
            <w:pPr>
              <w:ind w:left="0"/>
              <w:rPr>
                <w:sz w:val="21"/>
              </w:rPr>
            </w:pPr>
            <w:r w:rsidRPr="009E4F37">
              <w:rPr>
                <w:sz w:val="21"/>
              </w:rPr>
              <w:t>Overall, non-inferior efficacy for glycaemic control compared to IDet, IGlar and BIAsp30</w:t>
            </w:r>
            <w:r w:rsidR="00152FC6">
              <w:rPr>
                <w:sz w:val="21"/>
              </w:rPr>
              <w:t>.</w:t>
            </w:r>
          </w:p>
        </w:tc>
        <w:tc>
          <w:tcPr>
            <w:tcW w:w="4590" w:type="dxa"/>
          </w:tcPr>
          <w:p w14:paraId="4BB022B9" w14:textId="7B4D3097" w:rsidR="00150DD2" w:rsidRPr="009E4F37" w:rsidRDefault="00150DD2" w:rsidP="00493A99">
            <w:pPr>
              <w:ind w:left="0"/>
              <w:cnfStyle w:val="000000000000" w:firstRow="0" w:lastRow="0" w:firstColumn="0" w:lastColumn="0" w:oddVBand="0" w:evenVBand="0" w:oddHBand="0" w:evenHBand="0" w:firstRowFirstColumn="0" w:firstRowLastColumn="0" w:lastRowFirstColumn="0" w:lastRowLastColumn="0"/>
              <w:rPr>
                <w:sz w:val="21"/>
              </w:rPr>
            </w:pPr>
            <w:r w:rsidRPr="009E4F37">
              <w:rPr>
                <w:sz w:val="21"/>
              </w:rPr>
              <w:t>The recommended dosing algorithm based on FPG only ignores the impact of the aspart component on post prandial BGLs. Although FPG is the most important parameter, dosing considerations for the prandial component should also be considered</w:t>
            </w:r>
            <w:r w:rsidR="009E4F37" w:rsidRPr="009E4F37">
              <w:rPr>
                <w:sz w:val="21"/>
              </w:rPr>
              <w:t>.</w:t>
            </w:r>
          </w:p>
        </w:tc>
      </w:tr>
      <w:tr w:rsidR="009E4F37" w:rsidRPr="00493A99" w14:paraId="21A9828D" w14:textId="77777777" w:rsidTr="009E4F37">
        <w:tc>
          <w:tcPr>
            <w:cnfStyle w:val="001000000000" w:firstRow="0" w:lastRow="0" w:firstColumn="1" w:lastColumn="0" w:oddVBand="0" w:evenVBand="0" w:oddHBand="0" w:evenHBand="0" w:firstRowFirstColumn="0" w:firstRowLastColumn="0" w:lastRowFirstColumn="0" w:lastRowLastColumn="0"/>
            <w:tcW w:w="4608" w:type="dxa"/>
          </w:tcPr>
          <w:p w14:paraId="55195EFA" w14:textId="18F01218" w:rsidR="00150DD2" w:rsidRPr="009E4F37" w:rsidRDefault="00150DD2" w:rsidP="00493A99">
            <w:pPr>
              <w:ind w:left="0"/>
              <w:rPr>
                <w:sz w:val="21"/>
              </w:rPr>
            </w:pPr>
            <w:r w:rsidRPr="009E4F37">
              <w:rPr>
                <w:sz w:val="21"/>
              </w:rPr>
              <w:t xml:space="preserve">The </w:t>
            </w:r>
            <w:r w:rsidR="00493A99" w:rsidRPr="009E4F37">
              <w:rPr>
                <w:sz w:val="21"/>
              </w:rPr>
              <w:t>s</w:t>
            </w:r>
            <w:r w:rsidRPr="009E4F37">
              <w:rPr>
                <w:sz w:val="21"/>
              </w:rPr>
              <w:t>ponsor has proposed flexible dosing as a benefit. Although the glycaemic control in a clinical trial setting is similar for such a dosing regimen, the ability to extrapolate this to real life setting is unknown (see also risks)</w:t>
            </w:r>
            <w:r w:rsidR="00493A99" w:rsidRPr="009E4F37">
              <w:rPr>
                <w:sz w:val="21"/>
              </w:rPr>
              <w:t>.</w:t>
            </w:r>
          </w:p>
        </w:tc>
        <w:tc>
          <w:tcPr>
            <w:tcW w:w="4590" w:type="dxa"/>
          </w:tcPr>
          <w:p w14:paraId="495D76F5" w14:textId="3D19844F" w:rsidR="00150DD2" w:rsidRPr="009E4F37" w:rsidRDefault="00150DD2" w:rsidP="00493A99">
            <w:pPr>
              <w:ind w:left="0"/>
              <w:cnfStyle w:val="000000000000" w:firstRow="0" w:lastRow="0" w:firstColumn="0" w:lastColumn="0" w:oddVBand="0" w:evenVBand="0" w:oddHBand="0" w:evenHBand="0" w:firstRowFirstColumn="0" w:firstRowLastColumn="0" w:lastRowFirstColumn="0" w:lastRowLastColumn="0"/>
              <w:rPr>
                <w:sz w:val="21"/>
              </w:rPr>
            </w:pPr>
            <w:r w:rsidRPr="009E4F37">
              <w:rPr>
                <w:sz w:val="21"/>
              </w:rPr>
              <w:t>Flexible dosing has potential to be of benefit if a dose is forgotten.</w:t>
            </w:r>
          </w:p>
        </w:tc>
      </w:tr>
      <w:tr w:rsidR="009E4F37" w:rsidRPr="00493A99" w14:paraId="3C838B26" w14:textId="77777777" w:rsidTr="009E4F37">
        <w:tc>
          <w:tcPr>
            <w:cnfStyle w:val="001000000000" w:firstRow="0" w:lastRow="0" w:firstColumn="1" w:lastColumn="0" w:oddVBand="0" w:evenVBand="0" w:oddHBand="0" w:evenHBand="0" w:firstRowFirstColumn="0" w:firstRowLastColumn="0" w:lastRowFirstColumn="0" w:lastRowLastColumn="0"/>
            <w:tcW w:w="4608" w:type="dxa"/>
          </w:tcPr>
          <w:p w14:paraId="7F022420" w14:textId="77777777" w:rsidR="00150DD2" w:rsidRPr="009E4F37" w:rsidRDefault="00150DD2" w:rsidP="00493A99">
            <w:pPr>
              <w:ind w:left="0"/>
              <w:rPr>
                <w:sz w:val="21"/>
              </w:rPr>
            </w:pPr>
            <w:r w:rsidRPr="009E4F37">
              <w:rPr>
                <w:sz w:val="21"/>
              </w:rPr>
              <w:t xml:space="preserve">Rate of nocturnal hypoglycaemia generally lower compared to comparators </w:t>
            </w:r>
          </w:p>
        </w:tc>
        <w:tc>
          <w:tcPr>
            <w:tcW w:w="4590" w:type="dxa"/>
          </w:tcPr>
          <w:p w14:paraId="1030D5B7" w14:textId="77777777" w:rsidR="00150DD2" w:rsidRPr="009E4F37" w:rsidRDefault="00150DD2" w:rsidP="00493A99">
            <w:pPr>
              <w:ind w:left="0"/>
              <w:cnfStyle w:val="000000000000" w:firstRow="0" w:lastRow="0" w:firstColumn="0" w:lastColumn="0" w:oddVBand="0" w:evenVBand="0" w:oddHBand="0" w:evenHBand="0" w:firstRowFirstColumn="0" w:firstRowLastColumn="0" w:lastRowFirstColumn="0" w:lastRowLastColumn="0"/>
              <w:rPr>
                <w:sz w:val="21"/>
              </w:rPr>
            </w:pPr>
          </w:p>
        </w:tc>
      </w:tr>
      <w:tr w:rsidR="009E4F37" w:rsidRPr="00493A99" w14:paraId="47F7C3F6" w14:textId="77777777" w:rsidTr="00152FC6">
        <w:trPr>
          <w:cantSplit/>
        </w:trPr>
        <w:tc>
          <w:tcPr>
            <w:cnfStyle w:val="001000000000" w:firstRow="0" w:lastRow="0" w:firstColumn="1" w:lastColumn="0" w:oddVBand="0" w:evenVBand="0" w:oddHBand="0" w:evenHBand="0" w:firstRowFirstColumn="0" w:firstRowLastColumn="0" w:lastRowFirstColumn="0" w:lastRowLastColumn="0"/>
            <w:tcW w:w="4608" w:type="dxa"/>
          </w:tcPr>
          <w:p w14:paraId="1D7DF717" w14:textId="619A4D31" w:rsidR="00150DD2" w:rsidRPr="009E4F37" w:rsidRDefault="00150DD2" w:rsidP="00493A99">
            <w:pPr>
              <w:ind w:left="0"/>
              <w:rPr>
                <w:sz w:val="21"/>
              </w:rPr>
            </w:pPr>
            <w:r w:rsidRPr="009E4F37">
              <w:rPr>
                <w:sz w:val="21"/>
              </w:rPr>
              <w:t xml:space="preserve">Interim analysis of the </w:t>
            </w:r>
            <w:r w:rsidR="00682C63">
              <w:rPr>
                <w:sz w:val="21"/>
              </w:rPr>
              <w:t>DEVOTE</w:t>
            </w:r>
            <w:r w:rsidRPr="009E4F37">
              <w:rPr>
                <w:sz w:val="21"/>
              </w:rPr>
              <w:t xml:space="preserve"> trial provided supportive evidence for non-inferiority of CV endpoints</w:t>
            </w:r>
          </w:p>
        </w:tc>
        <w:tc>
          <w:tcPr>
            <w:tcW w:w="4590" w:type="dxa"/>
          </w:tcPr>
          <w:p w14:paraId="047CEF5F" w14:textId="77777777" w:rsidR="00150DD2" w:rsidRPr="009E4F37" w:rsidRDefault="00150DD2" w:rsidP="00493A99">
            <w:pPr>
              <w:ind w:left="0"/>
              <w:cnfStyle w:val="000000000000" w:firstRow="0" w:lastRow="0" w:firstColumn="0" w:lastColumn="0" w:oddVBand="0" w:evenVBand="0" w:oddHBand="0" w:evenHBand="0" w:firstRowFirstColumn="0" w:firstRowLastColumn="0" w:lastRowFirstColumn="0" w:lastRowLastColumn="0"/>
              <w:rPr>
                <w:sz w:val="21"/>
              </w:rPr>
            </w:pPr>
          </w:p>
        </w:tc>
      </w:tr>
    </w:tbl>
    <w:p w14:paraId="47A7CF19" w14:textId="439CB4D5" w:rsidR="00150DD2" w:rsidRDefault="00150DD2" w:rsidP="00493A99">
      <w:pPr>
        <w:pStyle w:val="Heading3"/>
        <w:rPr>
          <w:rFonts w:eastAsia="Cambria"/>
        </w:rPr>
      </w:pPr>
      <w:bookmarkStart w:id="330" w:name="_Toc236802596"/>
      <w:bookmarkStart w:id="331" w:name="_Toc241374334"/>
      <w:bookmarkStart w:id="332" w:name="_Ref272160964"/>
      <w:bookmarkStart w:id="333" w:name="_Toc272414694"/>
      <w:bookmarkStart w:id="334" w:name="_Toc290888558"/>
      <w:bookmarkStart w:id="335" w:name="_Toc416353773"/>
      <w:bookmarkStart w:id="336" w:name="_Toc421005315"/>
      <w:bookmarkStart w:id="337" w:name="_Toc432079186"/>
      <w:bookmarkStart w:id="338" w:name="_Toc432080759"/>
      <w:bookmarkStart w:id="339" w:name="_Toc487202404"/>
      <w:bookmarkStart w:id="340" w:name="_Toc517768435"/>
      <w:r w:rsidRPr="00150DD2">
        <w:rPr>
          <w:rFonts w:eastAsia="Cambria"/>
        </w:rPr>
        <w:t>First round assessment of risks</w:t>
      </w:r>
      <w:bookmarkEnd w:id="330"/>
      <w:bookmarkEnd w:id="331"/>
      <w:bookmarkEnd w:id="332"/>
      <w:bookmarkEnd w:id="333"/>
      <w:bookmarkEnd w:id="334"/>
      <w:bookmarkEnd w:id="335"/>
      <w:bookmarkEnd w:id="336"/>
      <w:bookmarkEnd w:id="337"/>
      <w:bookmarkEnd w:id="338"/>
      <w:bookmarkEnd w:id="339"/>
      <w:bookmarkEnd w:id="340"/>
    </w:p>
    <w:p w14:paraId="3DC50D43" w14:textId="4B9A86B3" w:rsidR="00493A99" w:rsidRPr="00493A99" w:rsidRDefault="00493A99" w:rsidP="00493A99">
      <w:pPr>
        <w:rPr>
          <w:lang w:eastAsia="ja-JP"/>
        </w:rPr>
      </w:pPr>
      <w:r>
        <w:rPr>
          <w:lang w:eastAsia="ja-JP"/>
        </w:rPr>
        <w:t>Table 18 summarises the assessment of risks at the first round.</w:t>
      </w:r>
    </w:p>
    <w:p w14:paraId="0BC0C52E" w14:textId="74EFFF05" w:rsidR="00150DD2" w:rsidRPr="00150DD2" w:rsidRDefault="00150DD2" w:rsidP="009E4F37">
      <w:pPr>
        <w:pStyle w:val="Tabletitle"/>
        <w:rPr>
          <w:lang w:eastAsia="ja-JP"/>
        </w:rPr>
      </w:pPr>
      <w:bookmarkStart w:id="341" w:name="_Toc487195086"/>
      <w:r w:rsidRPr="00150DD2">
        <w:rPr>
          <w:lang w:eastAsia="ja-JP"/>
        </w:rPr>
        <w:lastRenderedPageBreak/>
        <w:t xml:space="preserve">Table </w:t>
      </w:r>
      <w:r w:rsidR="00493A99">
        <w:rPr>
          <w:lang w:eastAsia="ja-JP"/>
        </w:rPr>
        <w:t>18</w:t>
      </w:r>
      <w:r w:rsidR="00FA6FCA">
        <w:rPr>
          <w:lang w:eastAsia="ja-JP"/>
        </w:rPr>
        <w:t xml:space="preserve">: </w:t>
      </w:r>
      <w:r w:rsidRPr="00150DD2">
        <w:rPr>
          <w:lang w:eastAsia="ja-JP"/>
        </w:rPr>
        <w:t>First round assessment of risks</w:t>
      </w:r>
      <w:bookmarkEnd w:id="341"/>
    </w:p>
    <w:tbl>
      <w:tblPr>
        <w:tblStyle w:val="TableTGAblue"/>
        <w:tblW w:w="9198" w:type="dxa"/>
        <w:tblLook w:val="04A0" w:firstRow="1" w:lastRow="0" w:firstColumn="1" w:lastColumn="0" w:noHBand="0" w:noVBand="1"/>
        <w:tblDescription w:val="Table 18: First round assessment of risks"/>
      </w:tblPr>
      <w:tblGrid>
        <w:gridCol w:w="4698"/>
        <w:gridCol w:w="4500"/>
      </w:tblGrid>
      <w:tr w:rsidR="009E4F37" w:rsidRPr="00150DD2" w14:paraId="2AF16509" w14:textId="77777777" w:rsidTr="009E4F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98" w:type="dxa"/>
          </w:tcPr>
          <w:p w14:paraId="7D593A0B" w14:textId="77777777" w:rsidR="00150DD2" w:rsidRPr="00150DD2" w:rsidRDefault="00150DD2" w:rsidP="009E4F37">
            <w:pPr>
              <w:keepNext/>
              <w:rPr>
                <w:szCs w:val="22"/>
                <w:lang w:eastAsia="ja-JP"/>
              </w:rPr>
            </w:pPr>
            <w:r w:rsidRPr="00150DD2">
              <w:rPr>
                <w:szCs w:val="22"/>
                <w:lang w:eastAsia="ja-JP"/>
              </w:rPr>
              <w:t>Risks</w:t>
            </w:r>
          </w:p>
        </w:tc>
        <w:tc>
          <w:tcPr>
            <w:tcW w:w="4500" w:type="dxa"/>
          </w:tcPr>
          <w:p w14:paraId="6314AB02" w14:textId="77777777" w:rsidR="00150DD2" w:rsidRPr="00150DD2" w:rsidRDefault="00150DD2" w:rsidP="009E4F37">
            <w:pPr>
              <w:keepNext/>
              <w:cnfStyle w:val="100000000000" w:firstRow="1" w:lastRow="0" w:firstColumn="0" w:lastColumn="0" w:oddVBand="0" w:evenVBand="0" w:oddHBand="0" w:evenHBand="0" w:firstRowFirstColumn="0" w:firstRowLastColumn="0" w:lastRowFirstColumn="0" w:lastRowLastColumn="0"/>
              <w:rPr>
                <w:szCs w:val="22"/>
                <w:lang w:eastAsia="ja-JP"/>
              </w:rPr>
            </w:pPr>
            <w:r w:rsidRPr="00150DD2">
              <w:rPr>
                <w:szCs w:val="22"/>
                <w:lang w:eastAsia="ja-JP"/>
              </w:rPr>
              <w:t>Uncertainties</w:t>
            </w:r>
          </w:p>
        </w:tc>
      </w:tr>
      <w:tr w:rsidR="009E4F37" w:rsidRPr="00150DD2" w14:paraId="34CCC80E" w14:textId="77777777" w:rsidTr="009E4F37">
        <w:trPr>
          <w:cantSplit/>
        </w:trPr>
        <w:tc>
          <w:tcPr>
            <w:cnfStyle w:val="001000000000" w:firstRow="0" w:lastRow="0" w:firstColumn="1" w:lastColumn="0" w:oddVBand="0" w:evenVBand="0" w:oddHBand="0" w:evenHBand="0" w:firstRowFirstColumn="0" w:firstRowLastColumn="0" w:lastRowFirstColumn="0" w:lastRowLastColumn="0"/>
            <w:tcW w:w="4698" w:type="dxa"/>
          </w:tcPr>
          <w:p w14:paraId="325897BF" w14:textId="47BD9DFA" w:rsidR="009E4F37" w:rsidRDefault="00150DD2" w:rsidP="00493A99">
            <w:pPr>
              <w:ind w:left="0"/>
              <w:rPr>
                <w:sz w:val="21"/>
                <w:szCs w:val="22"/>
                <w:lang w:eastAsia="ja-JP"/>
              </w:rPr>
            </w:pPr>
            <w:r w:rsidRPr="009E4F37">
              <w:rPr>
                <w:sz w:val="21"/>
                <w:szCs w:val="22"/>
                <w:lang w:eastAsia="ja-JP"/>
              </w:rPr>
              <w:t>Hypoglycaemia</w:t>
            </w:r>
            <w:r w:rsidR="00493A99" w:rsidRPr="009E4F37">
              <w:rPr>
                <w:sz w:val="21"/>
                <w:szCs w:val="22"/>
                <w:lang w:eastAsia="ja-JP"/>
              </w:rPr>
              <w:t xml:space="preserve">: </w:t>
            </w:r>
            <w:r w:rsidRPr="009E4F37">
              <w:rPr>
                <w:sz w:val="21"/>
                <w:szCs w:val="22"/>
                <w:lang w:eastAsia="ja-JP"/>
              </w:rPr>
              <w:t>Hypoglycaemia and events related to hypoglycaemia, commonly occurred with the use of IDegAsp in the clinical trials. It is recognised that hypoglycaemia is an inherent risk associated with all insulins, however due to the ‘ultra long’ action, the period following a single dose in which hypoglycaemia may occur</w:t>
            </w:r>
            <w:r w:rsidR="009E4F37">
              <w:rPr>
                <w:sz w:val="21"/>
                <w:szCs w:val="22"/>
                <w:lang w:eastAsia="ja-JP"/>
              </w:rPr>
              <w:t xml:space="preserve"> is longer than other insulins.</w:t>
            </w:r>
          </w:p>
          <w:p w14:paraId="5554F2CD" w14:textId="3DC66563" w:rsidR="00150DD2" w:rsidRPr="009E4F37" w:rsidRDefault="00150DD2" w:rsidP="00493A99">
            <w:pPr>
              <w:ind w:left="0"/>
              <w:rPr>
                <w:sz w:val="21"/>
                <w:szCs w:val="22"/>
                <w:lang w:eastAsia="ja-JP"/>
              </w:rPr>
            </w:pPr>
            <w:r w:rsidRPr="009E4F37">
              <w:rPr>
                <w:sz w:val="21"/>
                <w:szCs w:val="22"/>
                <w:lang w:eastAsia="ja-JP"/>
              </w:rPr>
              <w:t>However, it is also acknowledged that the aetiology of hypoglycaemia is multifactorial and the type of insulin used is only</w:t>
            </w:r>
            <w:r w:rsidR="00D44164">
              <w:rPr>
                <w:sz w:val="21"/>
                <w:szCs w:val="22"/>
                <w:lang w:eastAsia="ja-JP"/>
              </w:rPr>
              <w:t xml:space="preserve"> 1</w:t>
            </w:r>
            <w:r w:rsidRPr="009E4F37">
              <w:rPr>
                <w:sz w:val="21"/>
                <w:szCs w:val="22"/>
                <w:lang w:eastAsia="ja-JP"/>
              </w:rPr>
              <w:t xml:space="preserve"> important component. Thus education of prescribers and patients again will play an important part in mitigating this risk.</w:t>
            </w:r>
          </w:p>
        </w:tc>
        <w:tc>
          <w:tcPr>
            <w:tcW w:w="4500" w:type="dxa"/>
          </w:tcPr>
          <w:p w14:paraId="36F37498" w14:textId="77777777" w:rsidR="00150DD2" w:rsidRPr="009E4F37" w:rsidRDefault="00150DD2" w:rsidP="00493A99">
            <w:pPr>
              <w:ind w:left="0"/>
              <w:cnfStyle w:val="000000000000" w:firstRow="0" w:lastRow="0" w:firstColumn="0" w:lastColumn="0" w:oddVBand="0" w:evenVBand="0" w:oddHBand="0" w:evenHBand="0" w:firstRowFirstColumn="0" w:firstRowLastColumn="0" w:lastRowFirstColumn="0" w:lastRowLastColumn="0"/>
              <w:rPr>
                <w:sz w:val="21"/>
                <w:szCs w:val="22"/>
                <w:lang w:eastAsia="ja-JP"/>
              </w:rPr>
            </w:pPr>
          </w:p>
        </w:tc>
      </w:tr>
      <w:tr w:rsidR="009E4F37" w:rsidRPr="00150DD2" w14:paraId="394BDFB4" w14:textId="77777777" w:rsidTr="009E4F37">
        <w:trPr>
          <w:cantSplit/>
        </w:trPr>
        <w:tc>
          <w:tcPr>
            <w:cnfStyle w:val="001000000000" w:firstRow="0" w:lastRow="0" w:firstColumn="1" w:lastColumn="0" w:oddVBand="0" w:evenVBand="0" w:oddHBand="0" w:evenHBand="0" w:firstRowFirstColumn="0" w:firstRowLastColumn="0" w:lastRowFirstColumn="0" w:lastRowLastColumn="0"/>
            <w:tcW w:w="4698" w:type="dxa"/>
          </w:tcPr>
          <w:p w14:paraId="2F239CF3" w14:textId="0B31E89C" w:rsidR="00150DD2" w:rsidRPr="009E4F37" w:rsidRDefault="00150DD2" w:rsidP="00493A99">
            <w:pPr>
              <w:ind w:left="0"/>
              <w:rPr>
                <w:sz w:val="21"/>
                <w:szCs w:val="22"/>
                <w:lang w:eastAsia="ja-JP"/>
              </w:rPr>
            </w:pPr>
            <w:r w:rsidRPr="009E4F37">
              <w:rPr>
                <w:sz w:val="21"/>
                <w:szCs w:val="22"/>
                <w:lang w:eastAsia="ja-JP"/>
              </w:rPr>
              <w:t xml:space="preserve">Exclusion of some oral anti-diabetic drugs in </w:t>
            </w:r>
            <w:r w:rsidR="00493A99" w:rsidRPr="009E4F37">
              <w:rPr>
                <w:sz w:val="21"/>
                <w:szCs w:val="22"/>
                <w:lang w:eastAsia="ja-JP"/>
              </w:rPr>
              <w:t>P</w:t>
            </w:r>
            <w:r w:rsidRPr="009E4F37">
              <w:rPr>
                <w:sz w:val="21"/>
                <w:szCs w:val="22"/>
                <w:lang w:eastAsia="ja-JP"/>
              </w:rPr>
              <w:t xml:space="preserve">hase </w:t>
            </w:r>
            <w:r w:rsidR="00493A99" w:rsidRPr="009E4F37">
              <w:rPr>
                <w:sz w:val="21"/>
                <w:szCs w:val="22"/>
                <w:lang w:eastAsia="ja-JP"/>
              </w:rPr>
              <w:t>III</w:t>
            </w:r>
            <w:r w:rsidRPr="009E4F37">
              <w:rPr>
                <w:sz w:val="21"/>
                <w:szCs w:val="22"/>
                <w:lang w:eastAsia="ja-JP"/>
              </w:rPr>
              <w:t xml:space="preserve"> trials</w:t>
            </w:r>
            <w:r w:rsidR="00152FC6">
              <w:rPr>
                <w:sz w:val="21"/>
                <w:szCs w:val="22"/>
                <w:lang w:eastAsia="ja-JP"/>
              </w:rPr>
              <w:t>.</w:t>
            </w:r>
          </w:p>
        </w:tc>
        <w:tc>
          <w:tcPr>
            <w:tcW w:w="4500" w:type="dxa"/>
          </w:tcPr>
          <w:p w14:paraId="0448E448" w14:textId="6C408FEF" w:rsidR="00150DD2" w:rsidRPr="009E4F37" w:rsidRDefault="00150DD2" w:rsidP="00493A99">
            <w:pPr>
              <w:ind w:lef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9E4F37">
              <w:rPr>
                <w:sz w:val="21"/>
                <w:szCs w:val="22"/>
                <w:lang w:eastAsia="ja-JP"/>
              </w:rPr>
              <w:t xml:space="preserve">There is uncertainty regarding the use of some oral anti-diabetic drugs in combination with IDegAsp since GLP-1 receptor agonists, sulfonylureas, glinides and alpha glucosidase inhibitors were excluded from the </w:t>
            </w:r>
            <w:r w:rsidR="00493A99" w:rsidRPr="009E4F37">
              <w:rPr>
                <w:sz w:val="21"/>
                <w:szCs w:val="22"/>
                <w:lang w:eastAsia="ja-JP"/>
              </w:rPr>
              <w:t>P</w:t>
            </w:r>
            <w:r w:rsidRPr="009E4F37">
              <w:rPr>
                <w:sz w:val="21"/>
                <w:szCs w:val="22"/>
                <w:lang w:eastAsia="ja-JP"/>
              </w:rPr>
              <w:t xml:space="preserve">hase </w:t>
            </w:r>
            <w:r w:rsidR="00493A99" w:rsidRPr="009E4F37">
              <w:rPr>
                <w:sz w:val="21"/>
                <w:szCs w:val="22"/>
                <w:lang w:eastAsia="ja-JP"/>
              </w:rPr>
              <w:t>III</w:t>
            </w:r>
            <w:r w:rsidRPr="009E4F37">
              <w:rPr>
                <w:sz w:val="21"/>
                <w:szCs w:val="22"/>
                <w:lang w:eastAsia="ja-JP"/>
              </w:rPr>
              <w:t xml:space="preserve"> trials. There were no </w:t>
            </w:r>
            <w:r w:rsidR="00493A99" w:rsidRPr="009E4F37">
              <w:rPr>
                <w:sz w:val="21"/>
                <w:szCs w:val="22"/>
                <w:lang w:eastAsia="ja-JP"/>
              </w:rPr>
              <w:t>studies with SGLT-2 inhibitors.</w:t>
            </w:r>
          </w:p>
          <w:p w14:paraId="7B6A5500" w14:textId="76EECD64" w:rsidR="00150DD2" w:rsidRPr="009E4F37" w:rsidRDefault="00150DD2" w:rsidP="00152FC6">
            <w:pPr>
              <w:ind w:lef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9E4F37">
              <w:rPr>
                <w:sz w:val="21"/>
                <w:szCs w:val="22"/>
                <w:lang w:eastAsia="ja-JP"/>
              </w:rPr>
              <w:t xml:space="preserve">This should be also noted in the </w:t>
            </w:r>
            <w:r w:rsidR="00152FC6">
              <w:rPr>
                <w:sz w:val="21"/>
                <w:szCs w:val="22"/>
                <w:lang w:eastAsia="ja-JP"/>
              </w:rPr>
              <w:t>P</w:t>
            </w:r>
            <w:r w:rsidRPr="009E4F37">
              <w:rPr>
                <w:sz w:val="21"/>
                <w:szCs w:val="22"/>
                <w:lang w:eastAsia="ja-JP"/>
              </w:rPr>
              <w:t xml:space="preserve">roduct </w:t>
            </w:r>
            <w:r w:rsidR="00152FC6">
              <w:rPr>
                <w:sz w:val="21"/>
                <w:szCs w:val="22"/>
                <w:lang w:eastAsia="ja-JP"/>
              </w:rPr>
              <w:t>I</w:t>
            </w:r>
            <w:r w:rsidRPr="009E4F37">
              <w:rPr>
                <w:sz w:val="21"/>
                <w:szCs w:val="22"/>
                <w:lang w:eastAsia="ja-JP"/>
              </w:rPr>
              <w:t>nformation</w:t>
            </w:r>
            <w:r w:rsidR="00493A99" w:rsidRPr="009E4F37">
              <w:rPr>
                <w:sz w:val="21"/>
                <w:szCs w:val="22"/>
                <w:lang w:eastAsia="ja-JP"/>
              </w:rPr>
              <w:t>.</w:t>
            </w:r>
          </w:p>
        </w:tc>
      </w:tr>
      <w:tr w:rsidR="009E4F37" w:rsidRPr="00150DD2" w14:paraId="76C56773" w14:textId="77777777" w:rsidTr="009E4F37">
        <w:trPr>
          <w:cantSplit/>
        </w:trPr>
        <w:tc>
          <w:tcPr>
            <w:cnfStyle w:val="001000000000" w:firstRow="0" w:lastRow="0" w:firstColumn="1" w:lastColumn="0" w:oddVBand="0" w:evenVBand="0" w:oddHBand="0" w:evenHBand="0" w:firstRowFirstColumn="0" w:firstRowLastColumn="0" w:lastRowFirstColumn="0" w:lastRowLastColumn="0"/>
            <w:tcW w:w="4698" w:type="dxa"/>
          </w:tcPr>
          <w:p w14:paraId="2ED1DC3A" w14:textId="77777777" w:rsidR="00150DD2" w:rsidRPr="009E4F37" w:rsidRDefault="00150DD2" w:rsidP="009E4F37">
            <w:pPr>
              <w:ind w:left="0"/>
              <w:rPr>
                <w:sz w:val="21"/>
                <w:szCs w:val="22"/>
                <w:lang w:eastAsia="ja-JP"/>
              </w:rPr>
            </w:pPr>
            <w:r w:rsidRPr="009E4F37">
              <w:rPr>
                <w:sz w:val="21"/>
                <w:szCs w:val="22"/>
                <w:lang w:eastAsia="ja-JP"/>
              </w:rPr>
              <w:t>Routine use of flexible dosing is not consistent to overall approach to diabetes management and applicability into the ‘real world’ setting in unclear (see also benefits above).</w:t>
            </w:r>
          </w:p>
        </w:tc>
        <w:tc>
          <w:tcPr>
            <w:tcW w:w="4500" w:type="dxa"/>
          </w:tcPr>
          <w:p w14:paraId="43FA5CC2" w14:textId="77777777" w:rsidR="00150DD2" w:rsidRPr="009E4F37" w:rsidRDefault="00150DD2" w:rsidP="009E4F37">
            <w:pPr>
              <w:ind w:left="0"/>
              <w:cnfStyle w:val="000000000000" w:firstRow="0" w:lastRow="0" w:firstColumn="0" w:lastColumn="0" w:oddVBand="0" w:evenVBand="0" w:oddHBand="0" w:evenHBand="0" w:firstRowFirstColumn="0" w:firstRowLastColumn="0" w:lastRowFirstColumn="0" w:lastRowLastColumn="0"/>
              <w:rPr>
                <w:sz w:val="21"/>
                <w:szCs w:val="22"/>
                <w:lang w:eastAsia="ja-JP"/>
              </w:rPr>
            </w:pPr>
          </w:p>
        </w:tc>
      </w:tr>
      <w:tr w:rsidR="009E4F37" w:rsidRPr="00150DD2" w14:paraId="294F175C" w14:textId="77777777" w:rsidTr="009E4F37">
        <w:trPr>
          <w:cantSplit/>
        </w:trPr>
        <w:tc>
          <w:tcPr>
            <w:cnfStyle w:val="001000000000" w:firstRow="0" w:lastRow="0" w:firstColumn="1" w:lastColumn="0" w:oddVBand="0" w:evenVBand="0" w:oddHBand="0" w:evenHBand="0" w:firstRowFirstColumn="0" w:firstRowLastColumn="0" w:lastRowFirstColumn="0" w:lastRowLastColumn="0"/>
            <w:tcW w:w="4698" w:type="dxa"/>
          </w:tcPr>
          <w:p w14:paraId="06018625" w14:textId="7CC39F70" w:rsidR="00150DD2" w:rsidRPr="009E4F37" w:rsidRDefault="009E4F37" w:rsidP="00152FC6">
            <w:pPr>
              <w:ind w:left="0"/>
              <w:rPr>
                <w:sz w:val="21"/>
                <w:szCs w:val="22"/>
                <w:lang w:eastAsia="ja-JP"/>
              </w:rPr>
            </w:pPr>
            <w:r w:rsidRPr="009E4F37">
              <w:rPr>
                <w:sz w:val="21"/>
                <w:szCs w:val="22"/>
                <w:lang w:eastAsia="ja-JP"/>
              </w:rPr>
              <w:t xml:space="preserve">Cardiovascular events (MACE): </w:t>
            </w:r>
            <w:r w:rsidR="00150DD2" w:rsidRPr="009E4F37">
              <w:rPr>
                <w:sz w:val="21"/>
                <w:szCs w:val="22"/>
                <w:lang w:eastAsia="ja-JP"/>
              </w:rPr>
              <w:t xml:space="preserve">Although the outcomes of the interim analysis for the </w:t>
            </w:r>
            <w:r w:rsidR="00682C63">
              <w:rPr>
                <w:sz w:val="21"/>
                <w:szCs w:val="22"/>
                <w:lang w:eastAsia="ja-JP"/>
              </w:rPr>
              <w:t>DEVOTE</w:t>
            </w:r>
            <w:r w:rsidR="00152FC6">
              <w:rPr>
                <w:sz w:val="21"/>
                <w:szCs w:val="22"/>
                <w:lang w:eastAsia="ja-JP"/>
              </w:rPr>
              <w:t xml:space="preserve"> trial</w:t>
            </w:r>
            <w:r w:rsidR="00150DD2" w:rsidRPr="009E4F37">
              <w:rPr>
                <w:sz w:val="21"/>
                <w:szCs w:val="22"/>
                <w:lang w:eastAsia="ja-JP"/>
              </w:rPr>
              <w:t xml:space="preserve"> are reassuring with respect to the signal detected in the original evaluation, the final results from this study will allow more robust conclusions and provide long term data. Further monitoring should be continued (including </w:t>
            </w:r>
            <w:r w:rsidR="00152FC6">
              <w:rPr>
                <w:sz w:val="21"/>
                <w:szCs w:val="22"/>
                <w:lang w:eastAsia="ja-JP"/>
              </w:rPr>
              <w:t xml:space="preserve">the </w:t>
            </w:r>
            <w:r w:rsidR="00682C63">
              <w:rPr>
                <w:sz w:val="21"/>
                <w:szCs w:val="22"/>
                <w:lang w:eastAsia="ja-JP"/>
              </w:rPr>
              <w:t>DEVOTE</w:t>
            </w:r>
            <w:r w:rsidRPr="009E4F37">
              <w:rPr>
                <w:sz w:val="21"/>
                <w:szCs w:val="22"/>
                <w:lang w:eastAsia="ja-JP"/>
              </w:rPr>
              <w:t xml:space="preserve"> </w:t>
            </w:r>
            <w:r w:rsidR="00152FC6">
              <w:rPr>
                <w:sz w:val="21"/>
                <w:szCs w:val="22"/>
                <w:lang w:eastAsia="ja-JP"/>
              </w:rPr>
              <w:t xml:space="preserve">trial </w:t>
            </w:r>
            <w:r w:rsidR="00150DD2" w:rsidRPr="009E4F37">
              <w:rPr>
                <w:sz w:val="21"/>
                <w:szCs w:val="22"/>
                <w:lang w:eastAsia="ja-JP"/>
              </w:rPr>
              <w:t xml:space="preserve">and the </w:t>
            </w:r>
            <w:r w:rsidRPr="009E4F37">
              <w:rPr>
                <w:sz w:val="21"/>
                <w:szCs w:val="22"/>
                <w:lang w:eastAsia="ja-JP"/>
              </w:rPr>
              <w:t>ongoing signal review).</w:t>
            </w:r>
          </w:p>
        </w:tc>
        <w:tc>
          <w:tcPr>
            <w:tcW w:w="4500" w:type="dxa"/>
          </w:tcPr>
          <w:p w14:paraId="0383F05E" w14:textId="18C5D7B9" w:rsidR="00150DD2" w:rsidRPr="009E4F37" w:rsidRDefault="00150DD2" w:rsidP="009E4F37">
            <w:pPr>
              <w:ind w:lef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9E4F37">
              <w:rPr>
                <w:sz w:val="21"/>
                <w:szCs w:val="22"/>
                <w:lang w:eastAsia="ja-JP"/>
              </w:rPr>
              <w:t xml:space="preserve">IDegAsp was not used in the </w:t>
            </w:r>
            <w:r w:rsidR="00682C63">
              <w:rPr>
                <w:sz w:val="21"/>
                <w:szCs w:val="22"/>
                <w:lang w:eastAsia="ja-JP"/>
              </w:rPr>
              <w:t>DEVOTE</w:t>
            </w:r>
            <w:r w:rsidRPr="009E4F37">
              <w:rPr>
                <w:sz w:val="21"/>
                <w:szCs w:val="22"/>
                <w:lang w:eastAsia="ja-JP"/>
              </w:rPr>
              <w:t xml:space="preserve"> trial and therefore the specific cardiovascular risk in patients receiving IDegAsp is unknown and can only be e</w:t>
            </w:r>
            <w:r w:rsidR="009E4F37" w:rsidRPr="009E4F37">
              <w:rPr>
                <w:sz w:val="21"/>
                <w:szCs w:val="22"/>
                <w:lang w:eastAsia="ja-JP"/>
              </w:rPr>
              <w:t>xtrapolated from the IDeg data.</w:t>
            </w:r>
          </w:p>
          <w:p w14:paraId="77A8FF17" w14:textId="642B9F0A" w:rsidR="00150DD2" w:rsidRPr="009E4F37" w:rsidRDefault="00150DD2" w:rsidP="009E4F37">
            <w:pPr>
              <w:ind w:lef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9E4F37">
              <w:rPr>
                <w:sz w:val="21"/>
                <w:szCs w:val="22"/>
                <w:lang w:eastAsia="ja-JP"/>
              </w:rPr>
              <w:t xml:space="preserve">The </w:t>
            </w:r>
            <w:r w:rsidR="00682C63">
              <w:rPr>
                <w:sz w:val="21"/>
                <w:szCs w:val="22"/>
                <w:lang w:eastAsia="ja-JP"/>
              </w:rPr>
              <w:t>DEVOTE</w:t>
            </w:r>
            <w:r w:rsidRPr="009E4F37">
              <w:rPr>
                <w:sz w:val="21"/>
                <w:szCs w:val="22"/>
                <w:lang w:eastAsia="ja-JP"/>
              </w:rPr>
              <w:t xml:space="preserve"> trial did not include patients with T1DM and therefore the specific cardiovascular risk in this disease subset is unknown and can only be extrapolated from the T2DM data.</w:t>
            </w:r>
          </w:p>
        </w:tc>
      </w:tr>
      <w:tr w:rsidR="009E4F37" w:rsidRPr="00150DD2" w14:paraId="2F51F281" w14:textId="77777777" w:rsidTr="009E4F37">
        <w:trPr>
          <w:cantSplit/>
        </w:trPr>
        <w:tc>
          <w:tcPr>
            <w:cnfStyle w:val="001000000000" w:firstRow="0" w:lastRow="0" w:firstColumn="1" w:lastColumn="0" w:oddVBand="0" w:evenVBand="0" w:oddHBand="0" w:evenHBand="0" w:firstRowFirstColumn="0" w:firstRowLastColumn="0" w:lastRowFirstColumn="0" w:lastRowLastColumn="0"/>
            <w:tcW w:w="4698" w:type="dxa"/>
          </w:tcPr>
          <w:p w14:paraId="5A3FDD97" w14:textId="73237BD4" w:rsidR="00150DD2" w:rsidRPr="009E4F37" w:rsidRDefault="00150DD2" w:rsidP="009E4F37">
            <w:pPr>
              <w:ind w:left="0"/>
              <w:rPr>
                <w:sz w:val="21"/>
                <w:szCs w:val="22"/>
                <w:lang w:eastAsia="ja-JP"/>
              </w:rPr>
            </w:pPr>
            <w:r w:rsidRPr="009E4F37">
              <w:rPr>
                <w:sz w:val="21"/>
                <w:szCs w:val="22"/>
                <w:lang w:eastAsia="ja-JP"/>
              </w:rPr>
              <w:t xml:space="preserve">Dosing errors related to mixing </w:t>
            </w:r>
            <w:r w:rsidR="009E4F37" w:rsidRPr="009E4F37">
              <w:rPr>
                <w:sz w:val="21"/>
                <w:szCs w:val="22"/>
                <w:lang w:eastAsia="ja-JP"/>
              </w:rPr>
              <w:t>basal and bolus insulin.</w:t>
            </w:r>
          </w:p>
          <w:p w14:paraId="5F24DA65" w14:textId="77777777" w:rsidR="00150DD2" w:rsidRPr="009E4F37" w:rsidRDefault="00150DD2" w:rsidP="009E4F37">
            <w:pPr>
              <w:ind w:left="0"/>
              <w:rPr>
                <w:sz w:val="21"/>
                <w:szCs w:val="22"/>
                <w:lang w:eastAsia="ja-JP"/>
              </w:rPr>
            </w:pPr>
            <w:r w:rsidRPr="009E4F37">
              <w:rPr>
                <w:sz w:val="21"/>
                <w:szCs w:val="22"/>
                <w:lang w:eastAsia="ja-JP"/>
              </w:rPr>
              <w:t xml:space="preserve">It is noted that the dosing errors due to mixing basal and bolus insulin is an important potential risk, however there are a number of adverse events that have been reported relating to this in clinical trials. </w:t>
            </w:r>
          </w:p>
        </w:tc>
        <w:tc>
          <w:tcPr>
            <w:tcW w:w="4500" w:type="dxa"/>
          </w:tcPr>
          <w:p w14:paraId="23DB4E27" w14:textId="77777777" w:rsidR="00150DD2" w:rsidRPr="009E4F37" w:rsidRDefault="00150DD2" w:rsidP="009E4F37">
            <w:pPr>
              <w:ind w:left="0"/>
              <w:cnfStyle w:val="000000000000" w:firstRow="0" w:lastRow="0" w:firstColumn="0" w:lastColumn="0" w:oddVBand="0" w:evenVBand="0" w:oddHBand="0" w:evenHBand="0" w:firstRowFirstColumn="0" w:firstRowLastColumn="0" w:lastRowFirstColumn="0" w:lastRowLastColumn="0"/>
              <w:rPr>
                <w:sz w:val="21"/>
                <w:szCs w:val="22"/>
                <w:lang w:eastAsia="ja-JP"/>
              </w:rPr>
            </w:pPr>
          </w:p>
        </w:tc>
      </w:tr>
      <w:tr w:rsidR="009E4F37" w:rsidRPr="00150DD2" w14:paraId="58210998" w14:textId="77777777" w:rsidTr="009E4F37">
        <w:trPr>
          <w:cantSplit/>
        </w:trPr>
        <w:tc>
          <w:tcPr>
            <w:cnfStyle w:val="001000000000" w:firstRow="0" w:lastRow="0" w:firstColumn="1" w:lastColumn="0" w:oddVBand="0" w:evenVBand="0" w:oddHBand="0" w:evenHBand="0" w:firstRowFirstColumn="0" w:firstRowLastColumn="0" w:lastRowFirstColumn="0" w:lastRowLastColumn="0"/>
            <w:tcW w:w="4698" w:type="dxa"/>
          </w:tcPr>
          <w:p w14:paraId="75D10B83" w14:textId="77777777" w:rsidR="00150DD2" w:rsidRPr="009E4F37" w:rsidRDefault="00150DD2" w:rsidP="009E4F37">
            <w:pPr>
              <w:ind w:left="0"/>
              <w:rPr>
                <w:sz w:val="21"/>
                <w:szCs w:val="22"/>
                <w:lang w:eastAsia="ja-JP"/>
              </w:rPr>
            </w:pPr>
          </w:p>
        </w:tc>
        <w:tc>
          <w:tcPr>
            <w:tcW w:w="4500" w:type="dxa"/>
          </w:tcPr>
          <w:p w14:paraId="6FB399D2" w14:textId="21362DFC" w:rsidR="00150DD2" w:rsidRPr="009E4F37" w:rsidRDefault="00150DD2" w:rsidP="000F24B5">
            <w:pPr>
              <w:ind w:left="0"/>
              <w:cnfStyle w:val="000000000000" w:firstRow="0" w:lastRow="0" w:firstColumn="0" w:lastColumn="0" w:oddVBand="0" w:evenVBand="0" w:oddHBand="0" w:evenHBand="0" w:firstRowFirstColumn="0" w:firstRowLastColumn="0" w:lastRowFirstColumn="0" w:lastRowLastColumn="0"/>
              <w:rPr>
                <w:sz w:val="21"/>
                <w:szCs w:val="22"/>
                <w:lang w:eastAsia="ja-JP"/>
              </w:rPr>
            </w:pPr>
            <w:r w:rsidRPr="009E4F37">
              <w:rPr>
                <w:sz w:val="21"/>
                <w:szCs w:val="22"/>
                <w:lang w:eastAsia="ja-JP"/>
              </w:rPr>
              <w:t xml:space="preserve">Neoplasms/colon cancer: Neoplasms and colon cancer </w:t>
            </w:r>
            <w:proofErr w:type="gramStart"/>
            <w:r w:rsidRPr="009E4F37">
              <w:rPr>
                <w:sz w:val="21"/>
                <w:szCs w:val="22"/>
                <w:lang w:eastAsia="ja-JP"/>
              </w:rPr>
              <w:t>are</w:t>
            </w:r>
            <w:proofErr w:type="gramEnd"/>
            <w:r w:rsidRPr="009E4F37">
              <w:rPr>
                <w:sz w:val="21"/>
                <w:szCs w:val="22"/>
                <w:lang w:eastAsia="ja-JP"/>
              </w:rPr>
              <w:t xml:space="preserve"> the subject of an ongoing review as requested by </w:t>
            </w:r>
            <w:r w:rsidR="000F24B5" w:rsidRPr="009E4F37">
              <w:rPr>
                <w:sz w:val="21"/>
                <w:szCs w:val="22"/>
                <w:lang w:eastAsia="ja-JP"/>
              </w:rPr>
              <w:t>Swiss</w:t>
            </w:r>
            <w:r w:rsidR="000F24B5">
              <w:rPr>
                <w:sz w:val="21"/>
                <w:szCs w:val="22"/>
                <w:lang w:eastAsia="ja-JP"/>
              </w:rPr>
              <w:t>M</w:t>
            </w:r>
            <w:r w:rsidR="000F24B5" w:rsidRPr="009E4F37">
              <w:rPr>
                <w:sz w:val="21"/>
                <w:szCs w:val="22"/>
                <w:lang w:eastAsia="ja-JP"/>
              </w:rPr>
              <w:t xml:space="preserve">edic </w:t>
            </w:r>
            <w:r w:rsidRPr="009E4F37">
              <w:rPr>
                <w:sz w:val="21"/>
                <w:szCs w:val="22"/>
                <w:lang w:eastAsia="ja-JP"/>
              </w:rPr>
              <w:t>and the EMA respectively. Further monitoring should be continued.</w:t>
            </w:r>
          </w:p>
        </w:tc>
      </w:tr>
    </w:tbl>
    <w:p w14:paraId="74734AFB" w14:textId="77777777" w:rsidR="009E4F37" w:rsidRPr="009E4F37" w:rsidRDefault="009E4F37" w:rsidP="009E4F37">
      <w:pPr>
        <w:pStyle w:val="Heading3"/>
        <w:rPr>
          <w:rFonts w:eastAsia="Cambria"/>
        </w:rPr>
      </w:pPr>
      <w:bookmarkStart w:id="342" w:name="_Toc236802597"/>
      <w:bookmarkStart w:id="343" w:name="_Toc241374335"/>
      <w:bookmarkStart w:id="344" w:name="_Toc272414695"/>
      <w:bookmarkStart w:id="345" w:name="_Toc290888559"/>
      <w:bookmarkStart w:id="346" w:name="_Toc416353775"/>
      <w:bookmarkStart w:id="347" w:name="_Toc421005316"/>
      <w:bookmarkStart w:id="348" w:name="_Toc432079187"/>
      <w:bookmarkStart w:id="349" w:name="_Toc432080760"/>
      <w:bookmarkStart w:id="350" w:name="_Toc487202405"/>
      <w:bookmarkStart w:id="351" w:name="_Toc517768436"/>
      <w:r w:rsidRPr="009E4F37">
        <w:rPr>
          <w:rFonts w:eastAsia="Cambria"/>
        </w:rPr>
        <w:t>First round assessment of benefit-risk</w:t>
      </w:r>
      <w:bookmarkEnd w:id="342"/>
      <w:bookmarkEnd w:id="343"/>
      <w:bookmarkEnd w:id="344"/>
      <w:bookmarkEnd w:id="345"/>
      <w:bookmarkEnd w:id="346"/>
      <w:bookmarkEnd w:id="347"/>
      <w:r w:rsidRPr="009E4F37">
        <w:rPr>
          <w:rFonts w:eastAsia="Cambria"/>
        </w:rPr>
        <w:t xml:space="preserve"> balance</w:t>
      </w:r>
      <w:bookmarkEnd w:id="348"/>
      <w:bookmarkEnd w:id="349"/>
      <w:bookmarkEnd w:id="350"/>
      <w:bookmarkEnd w:id="351"/>
    </w:p>
    <w:p w14:paraId="5B87667A" w14:textId="368EF38A" w:rsidR="009E4F37" w:rsidRPr="009E4F37" w:rsidRDefault="009E4F37" w:rsidP="009E4F37">
      <w:r w:rsidRPr="009E4F37">
        <w:t>Overall, the benefit-risk balance is positive for IDegAsp provided appropriate steps for education of prescribers and patients are undertaken</w:t>
      </w:r>
      <w:r w:rsidR="001B24E7">
        <w:t xml:space="preserve"> and</w:t>
      </w:r>
      <w:r w:rsidRPr="009E4F37">
        <w:t xml:space="preserve"> consideration of the upgrade from important potential risk to identified risk should be made for dosing errors related to mixing basal and bolus insulin, as well as active ongoing monitoring for detected signals.</w:t>
      </w:r>
    </w:p>
    <w:p w14:paraId="6E6A153D" w14:textId="77777777" w:rsidR="00C22678" w:rsidRPr="003442FE" w:rsidRDefault="00C22678" w:rsidP="009E4F37">
      <w:pPr>
        <w:pStyle w:val="Heading2"/>
      </w:pPr>
      <w:bookmarkStart w:id="352" w:name="_Toc517768437"/>
      <w:r w:rsidRPr="003442FE">
        <w:t>First round recommendation regarding authorisation</w:t>
      </w:r>
      <w:bookmarkEnd w:id="352"/>
    </w:p>
    <w:p w14:paraId="76BDACC8" w14:textId="0375E41A" w:rsidR="00C22678" w:rsidRPr="003442FE" w:rsidRDefault="002F0A28" w:rsidP="00C22678">
      <w:pPr>
        <w:rPr>
          <w:lang w:eastAsia="ja-JP"/>
        </w:rPr>
      </w:pPr>
      <w:r w:rsidRPr="002F0A28">
        <w:rPr>
          <w:lang w:eastAsia="ja-JP"/>
        </w:rPr>
        <w:t>At thi</w:t>
      </w:r>
      <w:r w:rsidR="00152FC6">
        <w:rPr>
          <w:lang w:eastAsia="ja-JP"/>
        </w:rPr>
        <w:t>s stage, the clinical evaluator</w:t>
      </w:r>
      <w:r w:rsidRPr="002F0A28">
        <w:rPr>
          <w:lang w:eastAsia="ja-JP"/>
        </w:rPr>
        <w:t xml:space="preserve"> ha</w:t>
      </w:r>
      <w:r w:rsidR="00152FC6">
        <w:rPr>
          <w:lang w:eastAsia="ja-JP"/>
        </w:rPr>
        <w:t>s</w:t>
      </w:r>
      <w:r w:rsidRPr="002F0A28">
        <w:rPr>
          <w:lang w:eastAsia="ja-JP"/>
        </w:rPr>
        <w:t xml:space="preserve"> no major concerns for the approval of the registration of IDegAsp for the treatment of diabetes, providing the sponsor provide a suitable response to the questions and comments regarding the PI and RMP.</w:t>
      </w:r>
    </w:p>
    <w:p w14:paraId="659A7CF3" w14:textId="77777777" w:rsidR="00C22678" w:rsidRPr="003442FE" w:rsidRDefault="00C22678" w:rsidP="00C22678">
      <w:pPr>
        <w:pStyle w:val="Heading2"/>
      </w:pPr>
      <w:bookmarkStart w:id="353" w:name="_Toc517768438"/>
      <w:r w:rsidRPr="003442FE">
        <w:t>Clinical questions</w:t>
      </w:r>
      <w:bookmarkEnd w:id="353"/>
    </w:p>
    <w:p w14:paraId="263C45AC" w14:textId="77777777" w:rsidR="00C22678" w:rsidRPr="003442FE" w:rsidRDefault="00C618F7" w:rsidP="00C618F7">
      <w:pPr>
        <w:pStyle w:val="Heading3"/>
      </w:pPr>
      <w:bookmarkStart w:id="354" w:name="_Toc517768439"/>
      <w:r w:rsidRPr="003442FE">
        <w:t>Pharmacokinetics</w:t>
      </w:r>
      <w:bookmarkEnd w:id="354"/>
    </w:p>
    <w:p w14:paraId="7149A3D5" w14:textId="268E17A9" w:rsidR="00C618F7" w:rsidRPr="003442FE" w:rsidRDefault="002F0A28" w:rsidP="00C618F7">
      <w:pPr>
        <w:rPr>
          <w:lang w:eastAsia="ja-JP"/>
        </w:rPr>
      </w:pPr>
      <w:r>
        <w:rPr>
          <w:lang w:eastAsia="ja-JP"/>
        </w:rPr>
        <w:t>No questions.</w:t>
      </w:r>
    </w:p>
    <w:p w14:paraId="311F261B" w14:textId="77777777" w:rsidR="00C618F7" w:rsidRPr="003442FE" w:rsidRDefault="00C618F7" w:rsidP="00C618F7">
      <w:pPr>
        <w:pStyle w:val="Heading3"/>
      </w:pPr>
      <w:bookmarkStart w:id="355" w:name="_Toc517768440"/>
      <w:r w:rsidRPr="003442FE">
        <w:t>Pharmacodynamics</w:t>
      </w:r>
      <w:bookmarkEnd w:id="355"/>
    </w:p>
    <w:p w14:paraId="130599E0" w14:textId="2C7884DF" w:rsidR="00C618F7" w:rsidRPr="003442FE" w:rsidRDefault="002F0A28" w:rsidP="00C618F7">
      <w:pPr>
        <w:rPr>
          <w:lang w:eastAsia="ja-JP"/>
        </w:rPr>
      </w:pPr>
      <w:r>
        <w:rPr>
          <w:lang w:eastAsia="ja-JP"/>
        </w:rPr>
        <w:t>No questions.</w:t>
      </w:r>
    </w:p>
    <w:p w14:paraId="58ECE577" w14:textId="77777777" w:rsidR="00C618F7" w:rsidRPr="003442FE" w:rsidRDefault="00C618F7" w:rsidP="00C618F7">
      <w:pPr>
        <w:pStyle w:val="Heading3"/>
      </w:pPr>
      <w:bookmarkStart w:id="356" w:name="_Toc517768441"/>
      <w:r w:rsidRPr="003442FE">
        <w:t>Efficacy</w:t>
      </w:r>
      <w:bookmarkEnd w:id="356"/>
    </w:p>
    <w:p w14:paraId="132BDDD3" w14:textId="7444E479" w:rsidR="00C618F7" w:rsidRPr="003442FE" w:rsidRDefault="002F0A28" w:rsidP="00C618F7">
      <w:pPr>
        <w:rPr>
          <w:lang w:eastAsia="ja-JP"/>
        </w:rPr>
      </w:pPr>
      <w:r>
        <w:rPr>
          <w:lang w:eastAsia="ja-JP"/>
        </w:rPr>
        <w:t>No questions.</w:t>
      </w:r>
    </w:p>
    <w:p w14:paraId="14E9A818" w14:textId="77777777" w:rsidR="00C618F7" w:rsidRDefault="00C618F7" w:rsidP="00C618F7">
      <w:pPr>
        <w:pStyle w:val="Heading3"/>
      </w:pPr>
      <w:bookmarkStart w:id="357" w:name="_Toc517768442"/>
      <w:r w:rsidRPr="003442FE">
        <w:t>Safety</w:t>
      </w:r>
      <w:bookmarkEnd w:id="357"/>
    </w:p>
    <w:p w14:paraId="11FDDE09" w14:textId="77777777" w:rsidR="002F0A28" w:rsidRDefault="002F0A28" w:rsidP="002F0A28">
      <w:pPr>
        <w:pStyle w:val="Heading4"/>
      </w:pPr>
      <w:r>
        <w:t>Question 1</w:t>
      </w:r>
    </w:p>
    <w:p w14:paraId="00E19AB3" w14:textId="699944AF" w:rsidR="002F0A28" w:rsidRDefault="002F0A28" w:rsidP="002F0A28">
      <w:pPr>
        <w:rPr>
          <w:lang w:eastAsia="ja-JP"/>
        </w:rPr>
      </w:pPr>
      <w:r>
        <w:rPr>
          <w:lang w:eastAsia="ja-JP"/>
        </w:rPr>
        <w:t>Regarding Study NN5401-3726, p</w:t>
      </w:r>
      <w:r w:rsidRPr="002F0A28">
        <w:rPr>
          <w:lang w:eastAsia="ja-JP"/>
        </w:rPr>
        <w:t>lease comment on the difference in rates of confirmed hypoglycaemic episodes.</w:t>
      </w:r>
    </w:p>
    <w:p w14:paraId="1B140527" w14:textId="6A16731F" w:rsidR="002F0A28" w:rsidRDefault="002F0A28" w:rsidP="002F0A28">
      <w:pPr>
        <w:pStyle w:val="Heading4"/>
      </w:pPr>
      <w:r>
        <w:t>Question 2</w:t>
      </w:r>
    </w:p>
    <w:p w14:paraId="69F86BFD" w14:textId="566AEFBA" w:rsidR="002F0A28" w:rsidRPr="002F0A28" w:rsidRDefault="002F0A28" w:rsidP="002F0A28">
      <w:pPr>
        <w:rPr>
          <w:lang w:eastAsia="ja-JP"/>
        </w:rPr>
      </w:pPr>
      <w:r w:rsidRPr="002F0A28">
        <w:rPr>
          <w:lang w:eastAsia="ja-JP"/>
        </w:rPr>
        <w:t>Please comment on the discrepancy in terms of T2DM subjects who were exposed to study drug for ≥</w:t>
      </w:r>
      <w:r>
        <w:rPr>
          <w:lang w:eastAsia="ja-JP"/>
        </w:rPr>
        <w:t xml:space="preserve"> </w:t>
      </w:r>
      <w:r w:rsidRPr="002F0A28">
        <w:rPr>
          <w:lang w:eastAsia="ja-JP"/>
        </w:rPr>
        <w:t>12 months (9.7% IDegAsp compared to 17.7% Comparator). This is not reflected as clearly in terms of completion of extension trials which showed that 92.4% of subjects completed the extension trials in the IDegAsp group compared to 93.9% of</w:t>
      </w:r>
      <w:r>
        <w:rPr>
          <w:lang w:eastAsia="ja-JP"/>
        </w:rPr>
        <w:t xml:space="preserve"> those in the comparator group.</w:t>
      </w:r>
    </w:p>
    <w:p w14:paraId="235BB795" w14:textId="109EA2E7" w:rsidR="002F0A28" w:rsidRDefault="002F0A28" w:rsidP="002F0A28">
      <w:pPr>
        <w:pStyle w:val="Heading4"/>
      </w:pPr>
      <w:r>
        <w:lastRenderedPageBreak/>
        <w:t>Question 3</w:t>
      </w:r>
    </w:p>
    <w:p w14:paraId="7A53B421" w14:textId="5F7B96F9" w:rsidR="002F0A28" w:rsidRPr="002F0A28" w:rsidRDefault="002F0A28" w:rsidP="002F0A28">
      <w:pPr>
        <w:rPr>
          <w:lang w:eastAsia="ja-JP"/>
        </w:rPr>
      </w:pPr>
      <w:r w:rsidRPr="002F0A28">
        <w:rPr>
          <w:lang w:eastAsia="ja-JP"/>
        </w:rPr>
        <w:t>For the insulin naïve subjects (daily and twice daily dosing), please provide data which indicates what proportion of the hypoglycaemic episodes that occurred were post meal for both groups.</w:t>
      </w:r>
    </w:p>
    <w:p w14:paraId="09E6CE74" w14:textId="768AE804" w:rsidR="002F0A28" w:rsidRDefault="002F0A28" w:rsidP="002F0A28">
      <w:pPr>
        <w:pStyle w:val="Heading4"/>
      </w:pPr>
      <w:r>
        <w:t>Question 4</w:t>
      </w:r>
    </w:p>
    <w:p w14:paraId="78325EE1" w14:textId="336E52D0" w:rsidR="002F0A28" w:rsidRDefault="002F0A28" w:rsidP="002F0A28">
      <w:pPr>
        <w:rPr>
          <w:lang w:eastAsia="ja-JP"/>
        </w:rPr>
      </w:pPr>
      <w:r w:rsidRPr="002F0A28">
        <w:rPr>
          <w:lang w:eastAsia="ja-JP"/>
        </w:rPr>
        <w:t>Please provide additional details specific to the 10 documented events of mix up between bolus and IDegAsp (</w:t>
      </w:r>
      <w:r>
        <w:rPr>
          <w:lang w:eastAsia="ja-JP"/>
        </w:rPr>
        <w:t xml:space="preserve">from a </w:t>
      </w:r>
      <w:r w:rsidRPr="002F0A28">
        <w:rPr>
          <w:lang w:eastAsia="ja-JP"/>
        </w:rPr>
        <w:t xml:space="preserve">table </w:t>
      </w:r>
      <w:r>
        <w:rPr>
          <w:lang w:eastAsia="ja-JP"/>
        </w:rPr>
        <w:t>of the</w:t>
      </w:r>
      <w:r w:rsidRPr="002F0A28">
        <w:rPr>
          <w:lang w:eastAsia="ja-JP"/>
        </w:rPr>
        <w:t xml:space="preserve"> PSUR</w:t>
      </w:r>
      <w:r>
        <w:rPr>
          <w:lang w:eastAsia="ja-JP"/>
        </w:rPr>
        <w:t xml:space="preserve"> [not included here]</w:t>
      </w:r>
      <w:r w:rsidRPr="002F0A28">
        <w:rPr>
          <w:lang w:eastAsia="ja-JP"/>
        </w:rPr>
        <w:t>). Please also explain why only the number of adult subjects at risk is so small in the table (n = 382 for IDegAsp and 180 for comparator) entitled ‘Overv</w:t>
      </w:r>
      <w:r>
        <w:rPr>
          <w:lang w:eastAsia="ja-JP"/>
        </w:rPr>
        <w:t xml:space="preserve">iew of all treatment-emergent, </w:t>
      </w:r>
      <w:r w:rsidRPr="002F0A28">
        <w:rPr>
          <w:lang w:eastAsia="ja-JP"/>
        </w:rPr>
        <w:t>mix-ups in t</w:t>
      </w:r>
      <w:r>
        <w:rPr>
          <w:lang w:eastAsia="ja-JP"/>
        </w:rPr>
        <w:t>herapeutic confirmatory trials,</w:t>
      </w:r>
      <w:r w:rsidRPr="002F0A28">
        <w:rPr>
          <w:lang w:eastAsia="ja-JP"/>
        </w:rPr>
        <w:t xml:space="preserve"> T1DM</w:t>
      </w:r>
      <w:r>
        <w:rPr>
          <w:lang w:eastAsia="ja-JP"/>
        </w:rPr>
        <w:t xml:space="preserve"> + T2DM, </w:t>
      </w:r>
      <w:r w:rsidRPr="002F0A28">
        <w:rPr>
          <w:lang w:eastAsia="ja-JP"/>
        </w:rPr>
        <w:t>adult population’.</w:t>
      </w:r>
    </w:p>
    <w:p w14:paraId="49F3E447" w14:textId="2C895754" w:rsidR="002F0A28" w:rsidRPr="002F0A28" w:rsidRDefault="002F0A28" w:rsidP="002F0A28">
      <w:pPr>
        <w:pStyle w:val="Heading4"/>
      </w:pPr>
      <w:r>
        <w:t>Question 5</w:t>
      </w:r>
    </w:p>
    <w:p w14:paraId="29140A73" w14:textId="7DAFAEC2" w:rsidR="002F0A28" w:rsidRPr="002F0A28" w:rsidRDefault="002F0A28" w:rsidP="002F0A28">
      <w:pPr>
        <w:rPr>
          <w:lang w:eastAsia="ja-JP"/>
        </w:rPr>
      </w:pPr>
      <w:r w:rsidRPr="002F0A28">
        <w:rPr>
          <w:lang w:eastAsia="ja-JP"/>
        </w:rPr>
        <w:t>In relation to the use of IDegAsp in T2DM, does the sponsor have any data on the use of insulin aspartate in patients with T2DM in Australia?</w:t>
      </w:r>
    </w:p>
    <w:p w14:paraId="20FB45DF" w14:textId="77777777" w:rsidR="00C618F7" w:rsidRPr="003442FE" w:rsidRDefault="00C618F7" w:rsidP="00C618F7">
      <w:pPr>
        <w:pStyle w:val="Heading2"/>
      </w:pPr>
      <w:bookmarkStart w:id="358" w:name="_Toc517768443"/>
      <w:r w:rsidRPr="003442FE">
        <w:t>Second round evaluation of clinical data submitted in response to questions</w:t>
      </w:r>
      <w:bookmarkEnd w:id="358"/>
    </w:p>
    <w:p w14:paraId="006E4E90" w14:textId="4112A292" w:rsidR="00ED59C6" w:rsidRPr="00ED59C6" w:rsidRDefault="00ED59C6" w:rsidP="00ED59C6">
      <w:pPr>
        <w:rPr>
          <w:lang w:eastAsia="ja-JP"/>
        </w:rPr>
      </w:pPr>
      <w:r w:rsidRPr="00ED59C6">
        <w:rPr>
          <w:lang w:eastAsia="ja-JP"/>
        </w:rPr>
        <w:t xml:space="preserve">The </w:t>
      </w:r>
      <w:r w:rsidR="006539B7">
        <w:rPr>
          <w:lang w:eastAsia="ja-JP"/>
        </w:rPr>
        <w:t>s</w:t>
      </w:r>
      <w:r w:rsidRPr="00ED59C6">
        <w:rPr>
          <w:lang w:eastAsia="ja-JP"/>
        </w:rPr>
        <w:t>ponsor’s response to the Clinical Questions was received and has been summarised below with evaluator comments.</w:t>
      </w:r>
    </w:p>
    <w:p w14:paraId="611F3AD4" w14:textId="77777777" w:rsidR="006539B7" w:rsidRDefault="00ED59C6" w:rsidP="006539B7">
      <w:pPr>
        <w:pStyle w:val="Heading3"/>
      </w:pPr>
      <w:bookmarkStart w:id="359" w:name="_Toc517768444"/>
      <w:r w:rsidRPr="00ED59C6">
        <w:t>Question</w:t>
      </w:r>
      <w:r w:rsidR="006539B7">
        <w:t xml:space="preserve"> 1</w:t>
      </w:r>
      <w:bookmarkEnd w:id="359"/>
    </w:p>
    <w:p w14:paraId="22C8AD13" w14:textId="352A5CA6" w:rsidR="00ED59C6" w:rsidRPr="006539B7" w:rsidRDefault="006539B7" w:rsidP="006539B7">
      <w:pPr>
        <w:ind w:left="720"/>
        <w:rPr>
          <w:i/>
          <w:u w:val="single"/>
          <w:lang w:eastAsia="ja-JP"/>
        </w:rPr>
      </w:pPr>
      <w:r>
        <w:rPr>
          <w:i/>
          <w:lang w:eastAsia="ja-JP"/>
        </w:rPr>
        <w:t>‘</w:t>
      </w:r>
      <w:r w:rsidRPr="006539B7">
        <w:rPr>
          <w:i/>
          <w:lang w:eastAsia="ja-JP"/>
        </w:rPr>
        <w:t>Regarding Study NN5401-3726, p</w:t>
      </w:r>
      <w:r w:rsidR="00ED59C6" w:rsidRPr="006539B7">
        <w:rPr>
          <w:i/>
          <w:lang w:eastAsia="ja-JP"/>
        </w:rPr>
        <w:t>lease comment on the difference in rates of confirmed hypoglycaemic episodes</w:t>
      </w:r>
      <w:r>
        <w:rPr>
          <w:i/>
          <w:lang w:eastAsia="ja-JP"/>
        </w:rPr>
        <w:t>.’</w:t>
      </w:r>
    </w:p>
    <w:p w14:paraId="07A485AD" w14:textId="371307D3" w:rsidR="00ED59C6" w:rsidRPr="00ED59C6" w:rsidRDefault="006539B7" w:rsidP="006539B7">
      <w:pPr>
        <w:pStyle w:val="Heading4"/>
      </w:pPr>
      <w:r>
        <w:t>Sponsor’s response</w:t>
      </w:r>
    </w:p>
    <w:p w14:paraId="4DA8FFAC" w14:textId="3D5D2BC5" w:rsidR="00ED59C6" w:rsidRPr="00ED59C6" w:rsidRDefault="00ED59C6" w:rsidP="00ED59C6">
      <w:pPr>
        <w:rPr>
          <w:lang w:eastAsia="ja-JP"/>
        </w:rPr>
      </w:pPr>
      <w:r w:rsidRPr="00ED59C6">
        <w:rPr>
          <w:lang w:eastAsia="ja-JP"/>
        </w:rPr>
        <w:t>During the main trial period, the IDegAsp treatment group received dosing at breakfast; this was independent of intake. In the extension study (</w:t>
      </w:r>
      <w:r w:rsidR="006539B7">
        <w:rPr>
          <w:lang w:eastAsia="ja-JP"/>
        </w:rPr>
        <w:t>that is, Study</w:t>
      </w:r>
      <w:r w:rsidRPr="00ED59C6">
        <w:rPr>
          <w:lang w:eastAsia="ja-JP"/>
        </w:rPr>
        <w:t xml:space="preserve"> NN5401-3726) IDegAsp could be taken either with breakfast or the largest meal. Subjects in the IGlar treatment group received dosing according to approved labelling throughout the trial </w:t>
      </w:r>
      <w:r w:rsidR="006539B7">
        <w:rPr>
          <w:lang w:eastAsia="ja-JP"/>
        </w:rPr>
        <w:t>(no further details provided).</w:t>
      </w:r>
    </w:p>
    <w:p w14:paraId="6765460E" w14:textId="2521CA8E" w:rsidR="00ED59C6" w:rsidRPr="00ED59C6" w:rsidRDefault="00ED59C6" w:rsidP="00ED59C6">
      <w:pPr>
        <w:rPr>
          <w:lang w:eastAsia="ja-JP"/>
        </w:rPr>
      </w:pPr>
      <w:r w:rsidRPr="00ED59C6">
        <w:rPr>
          <w:lang w:eastAsia="ja-JP"/>
        </w:rPr>
        <w:t>As seen in the following graph, the rate of confirmed hypoglycaemic episodes was similar in the initial 6 weeks of the combined trials, however thereafter a higher rate is seen in the IDegAsp group.</w:t>
      </w:r>
    </w:p>
    <w:p w14:paraId="333D8411" w14:textId="36175336" w:rsidR="00ED59C6" w:rsidRPr="00ED59C6" w:rsidRDefault="00ED59C6" w:rsidP="006539B7">
      <w:pPr>
        <w:pStyle w:val="FigureTitle"/>
        <w:keepNext/>
        <w:rPr>
          <w:lang w:eastAsia="ja-JP"/>
        </w:rPr>
      </w:pPr>
      <w:bookmarkStart w:id="360" w:name="_Ref485886044"/>
      <w:bookmarkStart w:id="361" w:name="_Toc487195109"/>
      <w:r w:rsidRPr="00ED59C6">
        <w:rPr>
          <w:lang w:eastAsia="ja-JP"/>
        </w:rPr>
        <w:lastRenderedPageBreak/>
        <w:t xml:space="preserve">Figure </w:t>
      </w:r>
      <w:bookmarkEnd w:id="360"/>
      <w:r w:rsidR="006539B7">
        <w:rPr>
          <w:lang w:eastAsia="ja-JP"/>
        </w:rPr>
        <w:t>5</w:t>
      </w:r>
      <w:r w:rsidR="00337B63">
        <w:rPr>
          <w:lang w:eastAsia="ja-JP"/>
        </w:rPr>
        <w:t>:</w:t>
      </w:r>
      <w:r w:rsidR="006539B7">
        <w:rPr>
          <w:lang w:eastAsia="ja-JP"/>
        </w:rPr>
        <w:t xml:space="preserve"> </w:t>
      </w:r>
      <w:r w:rsidRPr="00ED59C6">
        <w:rPr>
          <w:lang w:eastAsia="ja-JP"/>
        </w:rPr>
        <w:t>Con</w:t>
      </w:r>
      <w:r w:rsidR="006539B7">
        <w:rPr>
          <w:lang w:eastAsia="ja-JP"/>
        </w:rPr>
        <w:t>firmed hypoglycaemic episodes, treatment emergent; mean cumulative function (S</w:t>
      </w:r>
      <w:r w:rsidRPr="00ED59C6">
        <w:rPr>
          <w:lang w:eastAsia="ja-JP"/>
        </w:rPr>
        <w:t>afety analysis set</w:t>
      </w:r>
      <w:r w:rsidR="006539B7">
        <w:rPr>
          <w:lang w:eastAsia="ja-JP"/>
        </w:rPr>
        <w:t>,</w:t>
      </w:r>
      <w:r w:rsidRPr="00ED59C6">
        <w:rPr>
          <w:lang w:eastAsia="ja-JP"/>
        </w:rPr>
        <w:t xml:space="preserve"> </w:t>
      </w:r>
      <w:r w:rsidR="007E521A">
        <w:rPr>
          <w:lang w:eastAsia="ja-JP"/>
        </w:rPr>
        <w:t xml:space="preserve">Study </w:t>
      </w:r>
      <w:r w:rsidRPr="00ED59C6">
        <w:rPr>
          <w:lang w:eastAsia="ja-JP"/>
        </w:rPr>
        <w:t>NN5401-3726</w:t>
      </w:r>
      <w:bookmarkEnd w:id="361"/>
      <w:r w:rsidR="006539B7">
        <w:rPr>
          <w:lang w:eastAsia="ja-JP"/>
        </w:rPr>
        <w:t>)</w:t>
      </w:r>
    </w:p>
    <w:p w14:paraId="5A679EAD" w14:textId="699CD8B4" w:rsidR="00ED59C6" w:rsidRPr="006539B7" w:rsidRDefault="00ED59C6" w:rsidP="00ED59C6">
      <w:pPr>
        <w:rPr>
          <w:lang w:eastAsia="ja-JP"/>
        </w:rPr>
      </w:pPr>
      <w:r w:rsidRPr="00ED59C6">
        <w:rPr>
          <w:noProof/>
          <w:lang w:eastAsia="en-AU"/>
        </w:rPr>
        <w:drawing>
          <wp:inline distT="0" distB="0" distL="0" distR="0" wp14:anchorId="3D91D23F" wp14:editId="478F43FB">
            <wp:extent cx="4495800" cy="2698702"/>
            <wp:effectExtent l="0" t="0" r="0" b="6985"/>
            <wp:docPr id="8" name="Picture 8" descr="Figure 5 is an image of a line graph confirming  hypoglycaemic episodes, treatment emergent; mean cumulative function (Safety analysis set, Trial NN5401-3590-3726)" title="Confirmed hypoglycaemic episodes, treatment emergent; mean cumulative function (Safety analysis set, Trial NN5401-3590-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0" cy="2698702"/>
                    </a:xfrm>
                    <a:prstGeom prst="rect">
                      <a:avLst/>
                    </a:prstGeom>
                    <a:noFill/>
                    <a:ln>
                      <a:noFill/>
                    </a:ln>
                  </pic:spPr>
                </pic:pic>
              </a:graphicData>
            </a:graphic>
          </wp:inline>
        </w:drawing>
      </w:r>
    </w:p>
    <w:p w14:paraId="543F3753" w14:textId="7C4D2704" w:rsidR="00ED59C6" w:rsidRPr="00ED59C6" w:rsidRDefault="00ED59C6" w:rsidP="00ED59C6">
      <w:pPr>
        <w:rPr>
          <w:lang w:eastAsia="ja-JP"/>
        </w:rPr>
      </w:pPr>
      <w:r w:rsidRPr="00ED59C6">
        <w:rPr>
          <w:lang w:eastAsia="ja-JP"/>
        </w:rPr>
        <w:t>The difference in timing of hypoglycaemic episod</w:t>
      </w:r>
      <w:r w:rsidR="006539B7">
        <w:rPr>
          <w:lang w:eastAsia="ja-JP"/>
        </w:rPr>
        <w:t xml:space="preserve">es is seen in the graph below. </w:t>
      </w:r>
      <w:r w:rsidRPr="00ED59C6">
        <w:rPr>
          <w:lang w:eastAsia="ja-JP"/>
        </w:rPr>
        <w:t xml:space="preserve">The </w:t>
      </w:r>
      <w:r w:rsidR="006539B7">
        <w:rPr>
          <w:lang w:eastAsia="ja-JP"/>
        </w:rPr>
        <w:t>s</w:t>
      </w:r>
      <w:r w:rsidRPr="00ED59C6">
        <w:rPr>
          <w:lang w:eastAsia="ja-JP"/>
        </w:rPr>
        <w:t xml:space="preserve">ponsor notes that the timing of the confirmed hypoglycaemic episodes differed between the </w:t>
      </w:r>
      <w:r w:rsidR="006539B7">
        <w:rPr>
          <w:lang w:eastAsia="ja-JP"/>
        </w:rPr>
        <w:t>2</w:t>
      </w:r>
      <w:r w:rsidRPr="00ED59C6">
        <w:rPr>
          <w:lang w:eastAsia="ja-JP"/>
        </w:rPr>
        <w:t xml:space="preserve"> treatment groups</w:t>
      </w:r>
      <w:r w:rsidR="006539B7">
        <w:rPr>
          <w:lang w:eastAsia="ja-JP"/>
        </w:rPr>
        <w:t xml:space="preserve">; </w:t>
      </w:r>
      <w:r w:rsidRPr="00ED59C6">
        <w:rPr>
          <w:lang w:eastAsia="ja-JP"/>
        </w:rPr>
        <w:t xml:space="preserve">most hypoglycaemic episodes in the IDegAsp group occurred between 08:00 and 12:00, whereas on the IGlar arm, they tended to </w:t>
      </w:r>
      <w:r w:rsidR="006539B7">
        <w:rPr>
          <w:lang w:eastAsia="ja-JP"/>
        </w:rPr>
        <w:t xml:space="preserve">occur between 04:00 and 08:00. </w:t>
      </w:r>
      <w:r w:rsidRPr="00ED59C6">
        <w:rPr>
          <w:lang w:eastAsia="ja-JP"/>
        </w:rPr>
        <w:t xml:space="preserve">The </w:t>
      </w:r>
      <w:r w:rsidR="006539B7">
        <w:rPr>
          <w:lang w:eastAsia="ja-JP"/>
        </w:rPr>
        <w:t>s</w:t>
      </w:r>
      <w:r w:rsidRPr="00ED59C6">
        <w:rPr>
          <w:lang w:eastAsia="ja-JP"/>
        </w:rPr>
        <w:t>ponsor hypothesised that this may be because IDegAsp was predominantly administered at breakfast which may not have been the main meal and that the IAsp component of the IDegAsp i</w:t>
      </w:r>
      <w:r w:rsidR="006539B7">
        <w:rPr>
          <w:lang w:eastAsia="ja-JP"/>
        </w:rPr>
        <w:t xml:space="preserve">s likely to have caused this. </w:t>
      </w:r>
      <w:r w:rsidRPr="00ED59C6">
        <w:rPr>
          <w:lang w:eastAsia="ja-JP"/>
        </w:rPr>
        <w:t>This also gives an</w:t>
      </w:r>
      <w:r w:rsidR="006539B7">
        <w:rPr>
          <w:lang w:eastAsia="ja-JP"/>
        </w:rPr>
        <w:t xml:space="preserve"> indication as to why the IGlar</w:t>
      </w:r>
      <w:r w:rsidRPr="00ED59C6">
        <w:rPr>
          <w:lang w:eastAsia="ja-JP"/>
        </w:rPr>
        <w:t xml:space="preserve"> arm had a higher rate of nocturnal (defined as occurring between 00:01 and 05:59) confirmed hypoglycaemia episodes.</w:t>
      </w:r>
    </w:p>
    <w:p w14:paraId="183A5B3F" w14:textId="37E003C7" w:rsidR="00ED59C6" w:rsidRPr="00ED59C6" w:rsidRDefault="00ED59C6" w:rsidP="00ED59C6">
      <w:pPr>
        <w:rPr>
          <w:b/>
          <w:lang w:eastAsia="ja-JP"/>
        </w:rPr>
      </w:pPr>
      <w:bookmarkStart w:id="362" w:name="_Toc487195110"/>
      <w:r w:rsidRPr="00ED59C6">
        <w:rPr>
          <w:b/>
          <w:lang w:eastAsia="ja-JP"/>
        </w:rPr>
        <w:t xml:space="preserve">Figure </w:t>
      </w:r>
      <w:r w:rsidR="006539B7">
        <w:rPr>
          <w:b/>
          <w:lang w:eastAsia="ja-JP"/>
        </w:rPr>
        <w:t>6</w:t>
      </w:r>
      <w:r w:rsidR="00337B63">
        <w:rPr>
          <w:b/>
          <w:lang w:eastAsia="ja-JP"/>
        </w:rPr>
        <w:t>:</w:t>
      </w:r>
      <w:r w:rsidR="006539B7">
        <w:rPr>
          <w:b/>
          <w:lang w:eastAsia="ja-JP"/>
        </w:rPr>
        <w:t xml:space="preserve"> </w:t>
      </w:r>
      <w:r w:rsidRPr="00ED59C6">
        <w:rPr>
          <w:b/>
          <w:lang w:eastAsia="ja-JP"/>
        </w:rPr>
        <w:t>Confirmed hypoglycaemic episodes</w:t>
      </w:r>
      <w:r w:rsidR="00757C86">
        <w:rPr>
          <w:b/>
          <w:lang w:eastAsia="ja-JP"/>
        </w:rPr>
        <w:t xml:space="preserve">, </w:t>
      </w:r>
      <w:r w:rsidRPr="00ED59C6">
        <w:rPr>
          <w:b/>
          <w:lang w:eastAsia="ja-JP"/>
        </w:rPr>
        <w:t>treatment emergent</w:t>
      </w:r>
      <w:r w:rsidR="00730C84">
        <w:rPr>
          <w:b/>
          <w:lang w:eastAsia="ja-JP"/>
        </w:rPr>
        <w:t xml:space="preserve">; </w:t>
      </w:r>
      <w:r w:rsidRPr="00ED59C6">
        <w:rPr>
          <w:b/>
          <w:lang w:eastAsia="ja-JP"/>
        </w:rPr>
        <w:t xml:space="preserve">cumulative frequency over day </w:t>
      </w:r>
      <w:r w:rsidR="00730C84">
        <w:rPr>
          <w:b/>
          <w:lang w:eastAsia="ja-JP"/>
        </w:rPr>
        <w:t>(S</w:t>
      </w:r>
      <w:r w:rsidRPr="00ED59C6">
        <w:rPr>
          <w:b/>
          <w:lang w:eastAsia="ja-JP"/>
        </w:rPr>
        <w:t>afety analysis set</w:t>
      </w:r>
      <w:r w:rsidR="00730C84">
        <w:rPr>
          <w:b/>
          <w:lang w:eastAsia="ja-JP"/>
        </w:rPr>
        <w:t>,</w:t>
      </w:r>
      <w:r w:rsidRPr="00ED59C6">
        <w:rPr>
          <w:b/>
          <w:lang w:eastAsia="ja-JP"/>
        </w:rPr>
        <w:t xml:space="preserve"> </w:t>
      </w:r>
      <w:r w:rsidR="007E521A">
        <w:rPr>
          <w:b/>
          <w:lang w:eastAsia="ja-JP"/>
        </w:rPr>
        <w:t>Study NN5401</w:t>
      </w:r>
      <w:r w:rsidRPr="00ED59C6">
        <w:rPr>
          <w:b/>
          <w:lang w:eastAsia="ja-JP"/>
        </w:rPr>
        <w:t>-3726</w:t>
      </w:r>
      <w:bookmarkEnd w:id="362"/>
      <w:r w:rsidR="00730C84">
        <w:rPr>
          <w:b/>
          <w:lang w:eastAsia="ja-JP"/>
        </w:rPr>
        <w:t>)</w:t>
      </w:r>
    </w:p>
    <w:p w14:paraId="11CB4F8A" w14:textId="77777777" w:rsidR="00ED59C6" w:rsidRPr="00ED59C6" w:rsidRDefault="00ED59C6" w:rsidP="00ED59C6">
      <w:pPr>
        <w:rPr>
          <w:lang w:eastAsia="ja-JP"/>
        </w:rPr>
      </w:pPr>
      <w:r w:rsidRPr="00ED59C6">
        <w:rPr>
          <w:noProof/>
          <w:lang w:eastAsia="en-AU"/>
        </w:rPr>
        <w:drawing>
          <wp:inline distT="0" distB="0" distL="0" distR="0" wp14:anchorId="6BA65931" wp14:editId="317CF44E">
            <wp:extent cx="5069705" cy="3054985"/>
            <wp:effectExtent l="0" t="0" r="0" b="0"/>
            <wp:docPr id="10" name="Picture 10" descr="Figure 6 is an image of a line graph confirming hypoglycaemic episodes, treatment emergent; cumulative frequency over day (Safety analysis set, Trial NN5401-3590-3726)" title="Confirmed hypoglycaemic episodes, treatment emergent; cumulative frequency over day (Safety analysis set, Trial NN5401-3590-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8849" cy="3060495"/>
                    </a:xfrm>
                    <a:prstGeom prst="rect">
                      <a:avLst/>
                    </a:prstGeom>
                    <a:noFill/>
                    <a:ln>
                      <a:noFill/>
                    </a:ln>
                  </pic:spPr>
                </pic:pic>
              </a:graphicData>
            </a:graphic>
          </wp:inline>
        </w:drawing>
      </w:r>
    </w:p>
    <w:p w14:paraId="6E1A10C8" w14:textId="3AF4A3D9" w:rsidR="00ED59C6" w:rsidRPr="00ED59C6" w:rsidRDefault="00ED59C6" w:rsidP="00ED59C6">
      <w:pPr>
        <w:rPr>
          <w:lang w:eastAsia="ja-JP"/>
        </w:rPr>
      </w:pPr>
      <w:r w:rsidRPr="00ED59C6">
        <w:rPr>
          <w:lang w:eastAsia="ja-JP"/>
        </w:rPr>
        <w:t xml:space="preserve">The proposed product information will state that </w:t>
      </w:r>
      <w:r w:rsidRPr="007E521A">
        <w:rPr>
          <w:i/>
          <w:lang w:eastAsia="ja-JP"/>
        </w:rPr>
        <w:t>‘</w:t>
      </w:r>
      <w:r w:rsidR="00730C84" w:rsidRPr="007E521A">
        <w:rPr>
          <w:i/>
          <w:lang w:eastAsia="ja-JP"/>
        </w:rPr>
        <w:t>Ryzodeg can be administered once or twice</w:t>
      </w:r>
      <w:r w:rsidR="007E521A" w:rsidRPr="007E521A">
        <w:rPr>
          <w:i/>
          <w:lang w:eastAsia="ja-JP"/>
        </w:rPr>
        <w:t xml:space="preserve"> </w:t>
      </w:r>
      <w:r w:rsidRPr="007E521A">
        <w:rPr>
          <w:i/>
          <w:lang w:eastAsia="ja-JP"/>
        </w:rPr>
        <w:t xml:space="preserve">daily with the main meal(s). When needed, the patient can change the time of administration as long as </w:t>
      </w:r>
      <w:r w:rsidR="00730C84" w:rsidRPr="007E521A">
        <w:rPr>
          <w:i/>
          <w:lang w:eastAsia="ja-JP"/>
        </w:rPr>
        <w:t>Ryzodeg</w:t>
      </w:r>
      <w:r w:rsidRPr="007E521A">
        <w:rPr>
          <w:i/>
          <w:lang w:eastAsia="ja-JP"/>
        </w:rPr>
        <w:t xml:space="preserve"> is dosed with the largest meal when taken once daily.’</w:t>
      </w:r>
    </w:p>
    <w:p w14:paraId="7902B0A7" w14:textId="2C2E8667" w:rsidR="00ED59C6" w:rsidRPr="00ED59C6" w:rsidRDefault="00730C84" w:rsidP="00730C84">
      <w:pPr>
        <w:pStyle w:val="Heading4"/>
      </w:pPr>
      <w:r>
        <w:lastRenderedPageBreak/>
        <w:t>Evaluator’s comment</w:t>
      </w:r>
    </w:p>
    <w:p w14:paraId="773FFB5D" w14:textId="37B09F43" w:rsidR="00ED59C6" w:rsidRPr="00ED59C6" w:rsidRDefault="00ED59C6" w:rsidP="00ED59C6">
      <w:pPr>
        <w:rPr>
          <w:lang w:eastAsia="ja-JP"/>
        </w:rPr>
      </w:pPr>
      <w:r w:rsidRPr="00ED59C6">
        <w:rPr>
          <w:lang w:eastAsia="ja-JP"/>
        </w:rPr>
        <w:t>Cumulative data across the main and extension studies showed that the hypoglycaemic ep</w:t>
      </w:r>
      <w:r w:rsidR="007E521A">
        <w:rPr>
          <w:lang w:eastAsia="ja-JP"/>
        </w:rPr>
        <w:t xml:space="preserve">isodes associated with IDegAsp </w:t>
      </w:r>
      <w:r w:rsidRPr="00ED59C6">
        <w:rPr>
          <w:lang w:eastAsia="ja-JP"/>
        </w:rPr>
        <w:t>tend to be more common in the timeframe afte</w:t>
      </w:r>
      <w:r w:rsidR="00730C84">
        <w:rPr>
          <w:lang w:eastAsia="ja-JP"/>
        </w:rPr>
        <w:t>r breakfast compared to IGlar.</w:t>
      </w:r>
    </w:p>
    <w:p w14:paraId="6C9B12FF" w14:textId="30331E25" w:rsidR="00ED59C6" w:rsidRPr="00ED59C6" w:rsidRDefault="00ED59C6" w:rsidP="00ED59C6">
      <w:pPr>
        <w:rPr>
          <w:lang w:eastAsia="ja-JP"/>
        </w:rPr>
      </w:pPr>
      <w:r w:rsidRPr="00ED59C6">
        <w:rPr>
          <w:lang w:eastAsia="ja-JP"/>
        </w:rPr>
        <w:t xml:space="preserve">The </w:t>
      </w:r>
      <w:r w:rsidR="00730C84">
        <w:rPr>
          <w:lang w:eastAsia="ja-JP"/>
        </w:rPr>
        <w:t>s</w:t>
      </w:r>
      <w:r w:rsidRPr="00ED59C6">
        <w:rPr>
          <w:lang w:eastAsia="ja-JP"/>
        </w:rPr>
        <w:t>ponsor has suggested that the difference in hypoglycaemia seen between the IDegAsp and IGlar arms may be due to the dosing instructions in the main study, which were subsequently c</w:t>
      </w:r>
      <w:r w:rsidR="007E521A">
        <w:rPr>
          <w:lang w:eastAsia="ja-JP"/>
        </w:rPr>
        <w:t xml:space="preserve">hanged in the extension study. </w:t>
      </w:r>
      <w:r w:rsidRPr="00ED59C6">
        <w:rPr>
          <w:lang w:eastAsia="ja-JP"/>
        </w:rPr>
        <w:t xml:space="preserve">However, the </w:t>
      </w:r>
      <w:r w:rsidR="00730C84">
        <w:rPr>
          <w:lang w:eastAsia="ja-JP"/>
        </w:rPr>
        <w:t>s</w:t>
      </w:r>
      <w:r w:rsidRPr="00ED59C6">
        <w:rPr>
          <w:lang w:eastAsia="ja-JP"/>
        </w:rPr>
        <w:t xml:space="preserve">ponsor did not present hypoglycaemia data for </w:t>
      </w:r>
      <w:r w:rsidR="007E521A">
        <w:rPr>
          <w:lang w:eastAsia="ja-JP"/>
        </w:rPr>
        <w:t xml:space="preserve">Study </w:t>
      </w:r>
      <w:r w:rsidRPr="00ED59C6">
        <w:rPr>
          <w:lang w:eastAsia="ja-JP"/>
        </w:rPr>
        <w:t>NN5401-3726 only (extension); combined data for the main-extension trial only was presented.</w:t>
      </w:r>
      <w:r w:rsidR="005874E2">
        <w:rPr>
          <w:lang w:eastAsia="ja-JP"/>
        </w:rPr>
        <w:t xml:space="preserve"> </w:t>
      </w:r>
      <w:r w:rsidRPr="00ED59C6">
        <w:rPr>
          <w:lang w:eastAsia="ja-JP"/>
        </w:rPr>
        <w:t>Therefore, the impact of changed dosing instructions (if any) on the hypoglycaem</w:t>
      </w:r>
      <w:r w:rsidR="00730C84">
        <w:rPr>
          <w:lang w:eastAsia="ja-JP"/>
        </w:rPr>
        <w:t>ia pattern cannot be assessed.</w:t>
      </w:r>
    </w:p>
    <w:p w14:paraId="45445BF5" w14:textId="1819748E" w:rsidR="00ED59C6" w:rsidRPr="00ED59C6" w:rsidRDefault="00ED59C6" w:rsidP="00ED59C6">
      <w:pPr>
        <w:rPr>
          <w:lang w:eastAsia="ja-JP"/>
        </w:rPr>
      </w:pPr>
      <w:r w:rsidRPr="00ED59C6">
        <w:rPr>
          <w:lang w:eastAsia="ja-JP"/>
        </w:rPr>
        <w:t xml:space="preserve">It is noted in </w:t>
      </w:r>
      <w:r w:rsidR="00730C84">
        <w:rPr>
          <w:lang w:eastAsia="ja-JP"/>
        </w:rPr>
        <w:t>Figure 5</w:t>
      </w:r>
      <w:r w:rsidRPr="00ED59C6">
        <w:rPr>
          <w:lang w:eastAsia="ja-JP"/>
        </w:rPr>
        <w:t xml:space="preserve"> </w:t>
      </w:r>
      <w:r w:rsidR="007E521A">
        <w:rPr>
          <w:lang w:eastAsia="ja-JP"/>
        </w:rPr>
        <w:t xml:space="preserve">(see above) </w:t>
      </w:r>
      <w:r w:rsidRPr="00ED59C6">
        <w:rPr>
          <w:lang w:eastAsia="ja-JP"/>
        </w:rPr>
        <w:t xml:space="preserve">that the gradient for confirmed hypoglycaemic episodes on the IDegAsp arm is greatest in the first 26 weeks (timeframe of the main study) and this does seem to decrease slightly in the next 26 weeks, which coincides with the change in the protocol allowing dosing of IDegAsp to be dosed with the main meal </w:t>
      </w:r>
      <w:r w:rsidR="007E521A">
        <w:rPr>
          <w:lang w:eastAsia="ja-JP"/>
        </w:rPr>
        <w:t xml:space="preserve">in the extension study. </w:t>
      </w:r>
      <w:r w:rsidRPr="00ED59C6">
        <w:rPr>
          <w:lang w:eastAsia="ja-JP"/>
        </w:rPr>
        <w:t>However, the discrepancy in rates between the IDegAsp arm and IGlar arms does not appear to completely resolve in the latter 26 weeks (although exact gradient has not been calculated) and the timeframe of when these hypoglycaemia episodes occurr</w:t>
      </w:r>
      <w:r w:rsidR="00730C84">
        <w:rPr>
          <w:lang w:eastAsia="ja-JP"/>
        </w:rPr>
        <w:t>ed over the day is not clear.</w:t>
      </w:r>
    </w:p>
    <w:p w14:paraId="6A88A7DC" w14:textId="47D2F1BF" w:rsidR="00ED59C6" w:rsidRPr="00ED59C6" w:rsidRDefault="00ED59C6" w:rsidP="00ED59C6">
      <w:pPr>
        <w:rPr>
          <w:lang w:eastAsia="ja-JP"/>
        </w:rPr>
      </w:pPr>
      <w:r w:rsidRPr="00ED59C6">
        <w:rPr>
          <w:lang w:eastAsia="ja-JP"/>
        </w:rPr>
        <w:t>No</w:t>
      </w:r>
      <w:r w:rsidR="007E521A">
        <w:rPr>
          <w:lang w:eastAsia="ja-JP"/>
        </w:rPr>
        <w:t xml:space="preserve"> further information is sought.</w:t>
      </w:r>
    </w:p>
    <w:p w14:paraId="179C854E" w14:textId="1291E275" w:rsidR="00ED59C6" w:rsidRPr="00ED59C6" w:rsidRDefault="00730C84" w:rsidP="00730C84">
      <w:pPr>
        <w:pStyle w:val="Heading3"/>
      </w:pPr>
      <w:bookmarkStart w:id="363" w:name="_Toc517768445"/>
      <w:r>
        <w:t>Question 2</w:t>
      </w:r>
      <w:bookmarkEnd w:id="363"/>
    </w:p>
    <w:p w14:paraId="6AB2C7C4" w14:textId="5BEB7ED0" w:rsidR="00ED59C6" w:rsidRPr="00730C84" w:rsidRDefault="00730C84" w:rsidP="00730C84">
      <w:pPr>
        <w:ind w:left="720"/>
        <w:rPr>
          <w:i/>
          <w:lang w:eastAsia="ja-JP"/>
        </w:rPr>
      </w:pPr>
      <w:r w:rsidRPr="00730C84">
        <w:rPr>
          <w:i/>
        </w:rPr>
        <w:t>‘</w:t>
      </w:r>
      <w:r w:rsidR="00ED59C6" w:rsidRPr="00730C84">
        <w:rPr>
          <w:i/>
          <w:lang w:eastAsia="ja-JP"/>
        </w:rPr>
        <w:t>Please comment on the discrepancy in terms of T2DM subjects who were exposed to study drug for ≥</w:t>
      </w:r>
      <w:r w:rsidRPr="00730C84">
        <w:rPr>
          <w:i/>
          <w:lang w:eastAsia="ja-JP"/>
        </w:rPr>
        <w:t xml:space="preserve"> </w:t>
      </w:r>
      <w:r w:rsidR="00ED59C6" w:rsidRPr="00730C84">
        <w:rPr>
          <w:i/>
          <w:lang w:eastAsia="ja-JP"/>
        </w:rPr>
        <w:t xml:space="preserve">12 months (9.7% IDegAsp compared to 17.7% </w:t>
      </w:r>
      <w:r w:rsidR="009278EB">
        <w:rPr>
          <w:i/>
          <w:lang w:eastAsia="ja-JP"/>
        </w:rPr>
        <w:t>c</w:t>
      </w:r>
      <w:r w:rsidR="00ED59C6" w:rsidRPr="00730C84">
        <w:rPr>
          <w:i/>
          <w:lang w:eastAsia="ja-JP"/>
        </w:rPr>
        <w:t>omparator). This is not reflected as clearly in terms of completion of extension trials which showed that 92.4% of subjects completed the extension trials in the IDegAsp group compared to 93.9% of</w:t>
      </w:r>
      <w:r w:rsidRPr="00730C84">
        <w:rPr>
          <w:i/>
          <w:lang w:eastAsia="ja-JP"/>
        </w:rPr>
        <w:t xml:space="preserve"> those in the comparator group.’</w:t>
      </w:r>
    </w:p>
    <w:p w14:paraId="67A6A083" w14:textId="06474DD4" w:rsidR="00ED59C6" w:rsidRPr="00ED59C6" w:rsidRDefault="00730C84" w:rsidP="00730C84">
      <w:pPr>
        <w:pStyle w:val="Heading4"/>
      </w:pPr>
      <w:r>
        <w:t>Sponsor’s response</w:t>
      </w:r>
    </w:p>
    <w:p w14:paraId="7E68BA85" w14:textId="77777777" w:rsidR="00ED59C6" w:rsidRPr="00ED59C6" w:rsidRDefault="00ED59C6" w:rsidP="00ED59C6">
      <w:pPr>
        <w:rPr>
          <w:lang w:eastAsia="ja-JP"/>
        </w:rPr>
      </w:pPr>
      <w:r w:rsidRPr="00ED59C6">
        <w:rPr>
          <w:lang w:eastAsia="ja-JP"/>
        </w:rPr>
        <w:t>The percentage of T1DM and T2DM subjects completing the extension trials was calculated as a proportion of subjects included in the extensions.</w:t>
      </w:r>
    </w:p>
    <w:p w14:paraId="12C886F7" w14:textId="0EDD87E9" w:rsidR="00ED59C6" w:rsidRPr="00ED59C6" w:rsidRDefault="00ED59C6" w:rsidP="00ED59C6">
      <w:pPr>
        <w:rPr>
          <w:lang w:eastAsia="ja-JP"/>
        </w:rPr>
      </w:pPr>
      <w:r w:rsidRPr="00ED59C6">
        <w:rPr>
          <w:lang w:eastAsia="ja-JP"/>
        </w:rPr>
        <w:t>The percentage of T2DM subjects who were exposed to study drug for ≥</w:t>
      </w:r>
      <w:r w:rsidR="00730C84">
        <w:rPr>
          <w:lang w:eastAsia="ja-JP"/>
        </w:rPr>
        <w:t xml:space="preserve"> </w:t>
      </w:r>
      <w:r w:rsidRPr="00ED59C6">
        <w:rPr>
          <w:lang w:eastAsia="ja-JP"/>
        </w:rPr>
        <w:t>12 months was calculated as a proportion of all subjects exposed to study drug regardl</w:t>
      </w:r>
      <w:r w:rsidR="00730C84">
        <w:rPr>
          <w:lang w:eastAsia="ja-JP"/>
        </w:rPr>
        <w:t xml:space="preserve">ess of planned study duration. </w:t>
      </w:r>
      <w:r w:rsidRPr="00ED59C6">
        <w:rPr>
          <w:lang w:eastAsia="ja-JP"/>
        </w:rPr>
        <w:t>As the majority of the studies in T2DM were 6 months in duration (only</w:t>
      </w:r>
      <w:r w:rsidR="007E521A">
        <w:rPr>
          <w:lang w:eastAsia="ja-JP"/>
        </w:rPr>
        <w:t xml:space="preserve"> 2 were 12 </w:t>
      </w:r>
      <w:r w:rsidRPr="00ED59C6">
        <w:rPr>
          <w:lang w:eastAsia="ja-JP"/>
        </w:rPr>
        <w:t>months in duration) and due to 2:1 randomisation, more subjects were exposed t</w:t>
      </w:r>
      <w:r w:rsidR="009278EB">
        <w:rPr>
          <w:lang w:eastAsia="ja-JP"/>
        </w:rPr>
        <w:t xml:space="preserve">o IDegAsp than the comparator. </w:t>
      </w:r>
      <w:r w:rsidRPr="00ED59C6">
        <w:rPr>
          <w:lang w:eastAsia="ja-JP"/>
        </w:rPr>
        <w:t>This has resulted in a skewed distribution</w:t>
      </w:r>
      <w:r w:rsidR="00730C84">
        <w:rPr>
          <w:lang w:eastAsia="ja-JP"/>
        </w:rPr>
        <w:t xml:space="preserve"> across the treatment groups.</w:t>
      </w:r>
    </w:p>
    <w:p w14:paraId="31EE74F1" w14:textId="019E5BA4" w:rsidR="00ED59C6" w:rsidRPr="00ED59C6" w:rsidRDefault="00ED59C6" w:rsidP="00ED59C6">
      <w:pPr>
        <w:rPr>
          <w:lang w:eastAsia="ja-JP"/>
        </w:rPr>
      </w:pPr>
      <w:r w:rsidRPr="00ED59C6">
        <w:rPr>
          <w:lang w:eastAsia="ja-JP"/>
        </w:rPr>
        <w:t xml:space="preserve">When considering only the </w:t>
      </w:r>
      <w:r w:rsidR="00730C84">
        <w:rPr>
          <w:lang w:eastAsia="ja-JP"/>
        </w:rPr>
        <w:t>2</w:t>
      </w:r>
      <w:r w:rsidRPr="00ED59C6">
        <w:rPr>
          <w:lang w:eastAsia="ja-JP"/>
        </w:rPr>
        <w:t xml:space="preserve"> T2DM 12-month duration trials, the percentage of subjects with T2DM who were exposed for ≥ 12 months was 92% for IDegAsp and 96% for comparator (no comparator including in the pooled analysis from</w:t>
      </w:r>
      <w:r w:rsidR="00D44164">
        <w:rPr>
          <w:lang w:eastAsia="ja-JP"/>
        </w:rPr>
        <w:t xml:space="preserve"> 1</w:t>
      </w:r>
      <w:r w:rsidRPr="00ED59C6">
        <w:rPr>
          <w:lang w:eastAsia="ja-JP"/>
        </w:rPr>
        <w:t xml:space="preserve"> of these trials, </w:t>
      </w:r>
      <w:r w:rsidR="007E521A">
        <w:rPr>
          <w:lang w:eastAsia="ja-JP"/>
        </w:rPr>
        <w:t>Study</w:t>
      </w:r>
      <w:r w:rsidR="00730C84">
        <w:rPr>
          <w:lang w:eastAsia="ja-JP"/>
        </w:rPr>
        <w:t xml:space="preserve"> </w:t>
      </w:r>
      <w:r w:rsidRPr="00ED59C6">
        <w:rPr>
          <w:lang w:eastAsia="ja-JP"/>
        </w:rPr>
        <w:t>NN5401-4003).</w:t>
      </w:r>
    </w:p>
    <w:p w14:paraId="240918C5" w14:textId="295385BE" w:rsidR="00ED59C6" w:rsidRPr="00ED59C6" w:rsidRDefault="00730C84" w:rsidP="00730C84">
      <w:pPr>
        <w:pStyle w:val="Heading4"/>
      </w:pPr>
      <w:r>
        <w:t>Evaluator’s comment</w:t>
      </w:r>
    </w:p>
    <w:p w14:paraId="2A2F6838" w14:textId="043E8A77" w:rsidR="00ED59C6" w:rsidRPr="00ED59C6" w:rsidRDefault="00ED59C6" w:rsidP="00ED59C6">
      <w:pPr>
        <w:rPr>
          <w:lang w:eastAsia="ja-JP"/>
        </w:rPr>
      </w:pPr>
      <w:r w:rsidRPr="00ED59C6">
        <w:rPr>
          <w:lang w:eastAsia="ja-JP"/>
        </w:rPr>
        <w:t>No further information is sought.</w:t>
      </w:r>
    </w:p>
    <w:p w14:paraId="6883E254" w14:textId="77777777" w:rsidR="00730C84" w:rsidRDefault="00ED59C6" w:rsidP="00730C84">
      <w:pPr>
        <w:pStyle w:val="Heading3"/>
      </w:pPr>
      <w:bookmarkStart w:id="364" w:name="_Toc517768446"/>
      <w:r w:rsidRPr="00ED59C6">
        <w:t>Question</w:t>
      </w:r>
      <w:r w:rsidR="00730C84">
        <w:t xml:space="preserve"> 3</w:t>
      </w:r>
      <w:bookmarkEnd w:id="364"/>
    </w:p>
    <w:p w14:paraId="77BDED74" w14:textId="4A47E3E5" w:rsidR="00ED59C6" w:rsidRPr="00730C84" w:rsidRDefault="00730C84" w:rsidP="00730C84">
      <w:pPr>
        <w:ind w:left="720"/>
        <w:rPr>
          <w:i/>
          <w:lang w:eastAsia="ja-JP"/>
        </w:rPr>
      </w:pPr>
      <w:r w:rsidRPr="00730C84">
        <w:rPr>
          <w:i/>
          <w:lang w:eastAsia="ja-JP"/>
        </w:rPr>
        <w:t>‘</w:t>
      </w:r>
      <w:r w:rsidR="00ED59C6" w:rsidRPr="00730C84">
        <w:rPr>
          <w:i/>
          <w:lang w:eastAsia="ja-JP"/>
        </w:rPr>
        <w:t>For the insulin naïve subjects (daily and twice daily dosing), please provide data which indicates what proportion of the hypoglycaemic episodes that occurred</w:t>
      </w:r>
      <w:r w:rsidRPr="00730C84">
        <w:rPr>
          <w:i/>
          <w:lang w:eastAsia="ja-JP"/>
        </w:rPr>
        <w:t xml:space="preserve"> were post meal for both groups’.</w:t>
      </w:r>
    </w:p>
    <w:p w14:paraId="4C4B756C" w14:textId="6D168905" w:rsidR="00ED59C6" w:rsidRPr="00ED59C6" w:rsidRDefault="00730C84" w:rsidP="00730C84">
      <w:pPr>
        <w:pStyle w:val="Heading4"/>
      </w:pPr>
      <w:r>
        <w:t>Sponsor’s response</w:t>
      </w:r>
    </w:p>
    <w:p w14:paraId="2E15AF9B" w14:textId="4FC870A1" w:rsidR="00ED59C6" w:rsidRPr="00ED59C6" w:rsidRDefault="00ED59C6" w:rsidP="00ED59C6">
      <w:pPr>
        <w:rPr>
          <w:lang w:eastAsia="ja-JP"/>
        </w:rPr>
      </w:pPr>
      <w:r w:rsidRPr="00ED59C6">
        <w:rPr>
          <w:i/>
          <w:lang w:eastAsia="ja-JP"/>
        </w:rPr>
        <w:t>Once daily therapy:</w:t>
      </w:r>
      <w:r w:rsidR="00730C84">
        <w:rPr>
          <w:lang w:eastAsia="ja-JP"/>
        </w:rPr>
        <w:t xml:space="preserve"> 3</w:t>
      </w:r>
      <w:r w:rsidRPr="00ED59C6">
        <w:rPr>
          <w:lang w:eastAsia="ja-JP"/>
        </w:rPr>
        <w:t xml:space="preserve"> IDegAsp trials included insulin-naïve subjects with T2DM on daily dosing:</w:t>
      </w:r>
    </w:p>
    <w:p w14:paraId="10FEA44E" w14:textId="5C15CF02" w:rsidR="00ED59C6" w:rsidRPr="00ED59C6" w:rsidRDefault="007E430B" w:rsidP="00730C84">
      <w:pPr>
        <w:pStyle w:val="ListBullet"/>
        <w:rPr>
          <w:lang w:eastAsia="ja-JP"/>
        </w:rPr>
      </w:pPr>
      <w:r>
        <w:rPr>
          <w:lang w:eastAsia="ja-JP"/>
        </w:rPr>
        <w:lastRenderedPageBreak/>
        <w:t>Study NN5401</w:t>
      </w:r>
      <w:r w:rsidR="00ED59C6" w:rsidRPr="00ED59C6">
        <w:rPr>
          <w:lang w:eastAsia="ja-JP"/>
        </w:rPr>
        <w:t xml:space="preserve">-3726 (main and extension): see </w:t>
      </w:r>
      <w:r w:rsidR="00730C84">
        <w:rPr>
          <w:lang w:eastAsia="ja-JP"/>
        </w:rPr>
        <w:t>Figure 5</w:t>
      </w:r>
      <w:r w:rsidR="00ED59C6" w:rsidRPr="00ED59C6">
        <w:rPr>
          <w:lang w:eastAsia="ja-JP"/>
        </w:rPr>
        <w:t xml:space="preserve"> and question above</w:t>
      </w:r>
      <w:r w:rsidR="00730C84">
        <w:rPr>
          <w:lang w:eastAsia="ja-JP"/>
        </w:rPr>
        <w:t>.</w:t>
      </w:r>
    </w:p>
    <w:p w14:paraId="13F1F365" w14:textId="2D34CF01" w:rsidR="00ED59C6" w:rsidRPr="00ED59C6" w:rsidRDefault="007E430B" w:rsidP="00730C84">
      <w:pPr>
        <w:pStyle w:val="ListBullet"/>
        <w:rPr>
          <w:lang w:eastAsia="ja-JP"/>
        </w:rPr>
      </w:pPr>
      <w:r>
        <w:rPr>
          <w:lang w:eastAsia="ja-JP"/>
        </w:rPr>
        <w:t xml:space="preserve">Study </w:t>
      </w:r>
      <w:r w:rsidR="00ED59C6" w:rsidRPr="00ED59C6">
        <w:rPr>
          <w:lang w:eastAsia="ja-JP"/>
        </w:rPr>
        <w:t>NN5401-384</w:t>
      </w:r>
      <w:r>
        <w:rPr>
          <w:lang w:eastAsia="ja-JP"/>
        </w:rPr>
        <w:t>4: this trial compared simple versus stepwise titration IDegAsp,</w:t>
      </w:r>
      <w:r w:rsidR="00ED59C6" w:rsidRPr="00ED59C6">
        <w:rPr>
          <w:lang w:eastAsia="ja-JP"/>
        </w:rPr>
        <w:t xml:space="preserve"> episodes outside of nocturnal period did not appear to cluster around a specific meal time (see </w:t>
      </w:r>
      <w:r w:rsidR="00BC6772">
        <w:rPr>
          <w:lang w:eastAsia="ja-JP"/>
        </w:rPr>
        <w:t>Figure </w:t>
      </w:r>
      <w:r w:rsidR="00730C84">
        <w:rPr>
          <w:lang w:eastAsia="ja-JP"/>
        </w:rPr>
        <w:t>7, below).</w:t>
      </w:r>
    </w:p>
    <w:p w14:paraId="44131FDD" w14:textId="27FDB5DF" w:rsidR="00ED59C6" w:rsidRPr="00ED59C6" w:rsidRDefault="00ED59C6" w:rsidP="00ED59C6">
      <w:pPr>
        <w:rPr>
          <w:b/>
          <w:lang w:eastAsia="ja-JP"/>
        </w:rPr>
      </w:pPr>
      <w:bookmarkStart w:id="365" w:name="_Ref487183163"/>
      <w:bookmarkStart w:id="366" w:name="_Toc487195111"/>
      <w:r w:rsidRPr="00ED59C6">
        <w:rPr>
          <w:b/>
          <w:lang w:eastAsia="ja-JP"/>
        </w:rPr>
        <w:t xml:space="preserve">Figure </w:t>
      </w:r>
      <w:bookmarkEnd w:id="365"/>
      <w:r w:rsidR="00730C84">
        <w:rPr>
          <w:b/>
          <w:lang w:eastAsia="ja-JP"/>
        </w:rPr>
        <w:t>7</w:t>
      </w:r>
      <w:r w:rsidR="00337B63">
        <w:rPr>
          <w:b/>
          <w:lang w:eastAsia="ja-JP"/>
        </w:rPr>
        <w:t xml:space="preserve">: </w:t>
      </w:r>
      <w:r w:rsidRPr="00ED59C6">
        <w:rPr>
          <w:b/>
          <w:lang w:eastAsia="ja-JP"/>
        </w:rPr>
        <w:t>Con</w:t>
      </w:r>
      <w:r w:rsidR="00730C84">
        <w:rPr>
          <w:b/>
          <w:lang w:eastAsia="ja-JP"/>
        </w:rPr>
        <w:t>firmed hypoglycaemic episodes, treatment emergent; cumulative frequency over day (S</w:t>
      </w:r>
      <w:r w:rsidRPr="00ED59C6">
        <w:rPr>
          <w:b/>
          <w:lang w:eastAsia="ja-JP"/>
        </w:rPr>
        <w:t>ubjects with T</w:t>
      </w:r>
      <w:r w:rsidR="00730C84">
        <w:rPr>
          <w:b/>
          <w:lang w:eastAsia="ja-JP"/>
        </w:rPr>
        <w:t xml:space="preserve">2DM, insulin naïve, OD regimen; Safety analysis set, </w:t>
      </w:r>
      <w:r w:rsidR="00B27CF9">
        <w:rPr>
          <w:b/>
          <w:lang w:eastAsia="ja-JP"/>
        </w:rPr>
        <w:t>Study </w:t>
      </w:r>
      <w:r w:rsidRPr="00ED59C6">
        <w:rPr>
          <w:b/>
          <w:lang w:eastAsia="ja-JP"/>
        </w:rPr>
        <w:t>NN5401-3844</w:t>
      </w:r>
      <w:bookmarkEnd w:id="366"/>
      <w:r w:rsidR="003524E2">
        <w:rPr>
          <w:b/>
          <w:lang w:eastAsia="ja-JP"/>
        </w:rPr>
        <w:t>)</w:t>
      </w:r>
    </w:p>
    <w:p w14:paraId="2CBA47A4" w14:textId="77777777" w:rsidR="00ED59C6" w:rsidRPr="00ED59C6" w:rsidRDefault="00ED59C6" w:rsidP="00ED59C6">
      <w:pPr>
        <w:rPr>
          <w:lang w:eastAsia="ja-JP"/>
        </w:rPr>
      </w:pPr>
      <w:r w:rsidRPr="00ED59C6">
        <w:rPr>
          <w:noProof/>
          <w:lang w:eastAsia="en-AU"/>
        </w:rPr>
        <w:drawing>
          <wp:inline distT="0" distB="0" distL="0" distR="0" wp14:anchorId="31F75AF1" wp14:editId="095784FD">
            <wp:extent cx="4749800" cy="1828800"/>
            <wp:effectExtent l="0" t="0" r="0" b="0"/>
            <wp:docPr id="12" name="Picture 12" descr="Figure 7 is an image of a line graph confirming hypoglycaemic episodes, treatment emergent; cumulative frequency over day (Subjects with T2DM, insulin naïve, OD regimen; Safety analysis set, Trial NN5401-3844)" title="Confirmed hypoglycaemic episodes, treatment emergent; cumulative frequency over day (Subjects with T2DM, insulin naïve, OD regimen; Safety analysis set, Trial NN5401-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9800" cy="1828800"/>
                    </a:xfrm>
                    <a:prstGeom prst="rect">
                      <a:avLst/>
                    </a:prstGeom>
                    <a:noFill/>
                    <a:ln>
                      <a:noFill/>
                    </a:ln>
                  </pic:spPr>
                </pic:pic>
              </a:graphicData>
            </a:graphic>
          </wp:inline>
        </w:drawing>
      </w:r>
      <w:r w:rsidRPr="00ED59C6">
        <w:rPr>
          <w:lang w:eastAsia="ja-JP"/>
        </w:rPr>
        <w:t xml:space="preserve"> </w:t>
      </w:r>
    </w:p>
    <w:p w14:paraId="1E82ACBE" w14:textId="236E966F" w:rsidR="00ED59C6" w:rsidRPr="003524E2" w:rsidRDefault="00BC6772" w:rsidP="003524E2">
      <w:pPr>
        <w:pStyle w:val="ListBullet"/>
      </w:pPr>
      <w:r>
        <w:t xml:space="preserve">Study </w:t>
      </w:r>
      <w:r w:rsidR="00ED59C6" w:rsidRPr="003524E2">
        <w:t>NN5401-3896: this trial compared IDegAsp daily with IGlar daily; according to the study synopsis, IDegAsp was dosed prior to the largest meal of the day.</w:t>
      </w:r>
      <w:r w:rsidR="005874E2">
        <w:t xml:space="preserve"> </w:t>
      </w:r>
      <w:r w:rsidR="00ED59C6" w:rsidRPr="003524E2">
        <w:t>In both groups, confirmed hypoglycaemic episodes mainly occurred approximately between 04:00 and 08:00 (pre-breakfast/ breakfast period) and between 18:00 and 24:00 (evening meal/post-evening meal period)</w:t>
      </w:r>
      <w:r w:rsidR="003524E2">
        <w:t xml:space="preserve"> </w:t>
      </w:r>
      <w:r w:rsidR="00ED59C6" w:rsidRPr="003524E2">
        <w:t xml:space="preserve">(see </w:t>
      </w:r>
      <w:r w:rsidR="003524E2">
        <w:t>Figure 8, below).</w:t>
      </w:r>
    </w:p>
    <w:p w14:paraId="1629B517" w14:textId="4B36F7EA" w:rsidR="00ED59C6" w:rsidRPr="00ED59C6" w:rsidRDefault="00ED59C6" w:rsidP="00ED59C6">
      <w:pPr>
        <w:rPr>
          <w:b/>
          <w:lang w:eastAsia="ja-JP"/>
        </w:rPr>
      </w:pPr>
      <w:bookmarkStart w:id="367" w:name="_Ref487183176"/>
      <w:bookmarkStart w:id="368" w:name="_Toc487195112"/>
      <w:r w:rsidRPr="00ED59C6">
        <w:rPr>
          <w:b/>
          <w:lang w:eastAsia="ja-JP"/>
        </w:rPr>
        <w:t xml:space="preserve">Figure </w:t>
      </w:r>
      <w:bookmarkEnd w:id="367"/>
      <w:r w:rsidR="003524E2">
        <w:rPr>
          <w:b/>
          <w:lang w:eastAsia="ja-JP"/>
        </w:rPr>
        <w:t>8</w:t>
      </w:r>
      <w:r w:rsidR="00337B63">
        <w:rPr>
          <w:b/>
          <w:lang w:eastAsia="ja-JP"/>
        </w:rPr>
        <w:t>:</w:t>
      </w:r>
      <w:r w:rsidR="003524E2">
        <w:rPr>
          <w:b/>
          <w:lang w:eastAsia="ja-JP"/>
        </w:rPr>
        <w:t xml:space="preserve"> </w:t>
      </w:r>
      <w:r w:rsidRPr="00ED59C6">
        <w:rPr>
          <w:b/>
          <w:lang w:eastAsia="ja-JP"/>
        </w:rPr>
        <w:t>Confirmed hypoglycaemic episodes</w:t>
      </w:r>
      <w:r w:rsidR="003524E2">
        <w:rPr>
          <w:b/>
          <w:lang w:eastAsia="ja-JP"/>
        </w:rPr>
        <w:t>, treatment emergent; cumulative frequency over day (S</w:t>
      </w:r>
      <w:r w:rsidRPr="00ED59C6">
        <w:rPr>
          <w:b/>
          <w:lang w:eastAsia="ja-JP"/>
        </w:rPr>
        <w:t xml:space="preserve">ubjects with </w:t>
      </w:r>
      <w:r w:rsidR="003524E2">
        <w:rPr>
          <w:b/>
          <w:lang w:eastAsia="ja-JP"/>
        </w:rPr>
        <w:t>T</w:t>
      </w:r>
      <w:r w:rsidR="00E04E98">
        <w:rPr>
          <w:b/>
          <w:lang w:eastAsia="ja-JP"/>
        </w:rPr>
        <w:t xml:space="preserve">2DM, insulin </w:t>
      </w:r>
      <w:r w:rsidR="003524E2">
        <w:rPr>
          <w:b/>
          <w:lang w:eastAsia="ja-JP"/>
        </w:rPr>
        <w:t>naïve, OD regimen; S</w:t>
      </w:r>
      <w:r w:rsidRPr="00ED59C6">
        <w:rPr>
          <w:b/>
          <w:lang w:eastAsia="ja-JP"/>
        </w:rPr>
        <w:t>afety analysis set</w:t>
      </w:r>
      <w:r w:rsidR="003524E2">
        <w:rPr>
          <w:b/>
          <w:lang w:eastAsia="ja-JP"/>
        </w:rPr>
        <w:t xml:space="preserve">, </w:t>
      </w:r>
      <w:r w:rsidR="00BC6772">
        <w:rPr>
          <w:b/>
          <w:lang w:eastAsia="ja-JP"/>
        </w:rPr>
        <w:t>Study </w:t>
      </w:r>
      <w:r w:rsidRPr="00ED59C6">
        <w:rPr>
          <w:b/>
          <w:lang w:eastAsia="ja-JP"/>
        </w:rPr>
        <w:t>NN5401-3896</w:t>
      </w:r>
      <w:bookmarkEnd w:id="368"/>
      <w:r w:rsidR="003524E2">
        <w:rPr>
          <w:b/>
          <w:lang w:eastAsia="ja-JP"/>
        </w:rPr>
        <w:t>)</w:t>
      </w:r>
    </w:p>
    <w:p w14:paraId="5914FDF2" w14:textId="77777777" w:rsidR="00ED59C6" w:rsidRPr="00ED59C6" w:rsidRDefault="00ED59C6" w:rsidP="00ED59C6">
      <w:pPr>
        <w:rPr>
          <w:lang w:eastAsia="ja-JP"/>
        </w:rPr>
      </w:pPr>
      <w:r w:rsidRPr="00ED59C6">
        <w:rPr>
          <w:noProof/>
          <w:lang w:eastAsia="en-AU"/>
        </w:rPr>
        <w:drawing>
          <wp:inline distT="0" distB="0" distL="0" distR="0" wp14:anchorId="3B62FF1A" wp14:editId="117BD076">
            <wp:extent cx="4716145" cy="1845945"/>
            <wp:effectExtent l="0" t="0" r="8255" b="1905"/>
            <wp:docPr id="13" name="Picture 13" descr="Figure 8 is an image of a line graph confirming hypoglycaemic episodes, treatment emergent; cumulative frequency over day (Subjects with T2DM, insulin-naïve, OD regimen; Safety analysis set, Trial NN5401-3896)&#10;" title="Confirmed hypoglycaemic episodes, treatment emergent; cumulative frequency over day (Subjects with T2DM, insulin-naïve, OD regimen; Safety analysis set, Trial NN5401-38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6145" cy="1845945"/>
                    </a:xfrm>
                    <a:prstGeom prst="rect">
                      <a:avLst/>
                    </a:prstGeom>
                    <a:noFill/>
                    <a:ln>
                      <a:noFill/>
                    </a:ln>
                  </pic:spPr>
                </pic:pic>
              </a:graphicData>
            </a:graphic>
          </wp:inline>
        </w:drawing>
      </w:r>
    </w:p>
    <w:p w14:paraId="345B33F3" w14:textId="2306B096" w:rsidR="00ED59C6" w:rsidRPr="00ED59C6" w:rsidRDefault="00ED59C6" w:rsidP="00ED59C6">
      <w:pPr>
        <w:rPr>
          <w:lang w:eastAsia="ja-JP"/>
        </w:rPr>
      </w:pPr>
      <w:r w:rsidRPr="00ED59C6">
        <w:rPr>
          <w:i/>
          <w:lang w:eastAsia="ja-JP"/>
        </w:rPr>
        <w:t>Twice daily:</w:t>
      </w:r>
      <w:r w:rsidR="003524E2">
        <w:rPr>
          <w:lang w:eastAsia="ja-JP"/>
        </w:rPr>
        <w:t xml:space="preserve"> </w:t>
      </w:r>
      <w:r w:rsidRPr="00ED59C6">
        <w:rPr>
          <w:lang w:eastAsia="ja-JP"/>
        </w:rPr>
        <w:t>There was 1 IDegAsp trial which included insulin-naïve subjects with T2DM on twice dai</w:t>
      </w:r>
      <w:r w:rsidR="003524E2">
        <w:rPr>
          <w:lang w:eastAsia="ja-JP"/>
        </w:rPr>
        <w:t xml:space="preserve">ly dosing (Trial NN5401-3940). </w:t>
      </w:r>
      <w:r w:rsidRPr="00ED59C6">
        <w:rPr>
          <w:lang w:eastAsia="ja-JP"/>
        </w:rPr>
        <w:t>This trial compared IDegAsp twice d</w:t>
      </w:r>
      <w:r w:rsidR="00CE1394">
        <w:rPr>
          <w:lang w:eastAsia="ja-JP"/>
        </w:rPr>
        <w:t>aily with BIAsp 30 twice daily.</w:t>
      </w:r>
      <w:r w:rsidRPr="00ED59C6">
        <w:rPr>
          <w:lang w:eastAsia="ja-JP"/>
        </w:rPr>
        <w:t xml:space="preserve"> In both treatment groups, the confirmed hypoglycaemic episodes mainly occurred between approximately 08:00 and 12:00</w:t>
      </w:r>
      <w:r w:rsidR="003524E2">
        <w:rPr>
          <w:lang w:eastAsia="ja-JP"/>
        </w:rPr>
        <w:t xml:space="preserve"> </w:t>
      </w:r>
      <w:r w:rsidRPr="00ED59C6">
        <w:rPr>
          <w:lang w:eastAsia="ja-JP"/>
        </w:rPr>
        <w:t>(br</w:t>
      </w:r>
      <w:r w:rsidR="003524E2">
        <w:rPr>
          <w:lang w:eastAsia="ja-JP"/>
        </w:rPr>
        <w:t xml:space="preserve">eakfast/post-breakfast period) </w:t>
      </w:r>
      <w:r w:rsidRPr="00ED59C6">
        <w:rPr>
          <w:lang w:eastAsia="ja-JP"/>
        </w:rPr>
        <w:t xml:space="preserve">and between approximately 20:00 and 24:00 (evening meal/post-evening meal period) </w:t>
      </w:r>
      <w:r w:rsidR="003524E2">
        <w:rPr>
          <w:lang w:eastAsia="ja-JP"/>
        </w:rPr>
        <w:t>(see Figure 9, below).</w:t>
      </w:r>
    </w:p>
    <w:p w14:paraId="29E4BCCF" w14:textId="16D1A5ED" w:rsidR="00ED59C6" w:rsidRPr="00ED59C6" w:rsidRDefault="00ED59C6" w:rsidP="00284686">
      <w:pPr>
        <w:pStyle w:val="FigureTitle"/>
        <w:keepNext/>
        <w:rPr>
          <w:lang w:eastAsia="ja-JP"/>
        </w:rPr>
      </w:pPr>
      <w:bookmarkStart w:id="369" w:name="_Ref487183189"/>
      <w:bookmarkStart w:id="370" w:name="_Toc487195113"/>
      <w:r w:rsidRPr="00ED59C6">
        <w:rPr>
          <w:lang w:eastAsia="ja-JP"/>
        </w:rPr>
        <w:lastRenderedPageBreak/>
        <w:t xml:space="preserve">Figure </w:t>
      </w:r>
      <w:bookmarkEnd w:id="369"/>
      <w:r w:rsidR="003524E2">
        <w:rPr>
          <w:lang w:eastAsia="ja-JP"/>
        </w:rPr>
        <w:t>9</w:t>
      </w:r>
      <w:r w:rsidR="00337B63">
        <w:rPr>
          <w:lang w:eastAsia="ja-JP"/>
        </w:rPr>
        <w:t>:</w:t>
      </w:r>
      <w:r w:rsidR="003524E2">
        <w:rPr>
          <w:lang w:eastAsia="ja-JP"/>
        </w:rPr>
        <w:t xml:space="preserve"> </w:t>
      </w:r>
      <w:r w:rsidRPr="00ED59C6">
        <w:rPr>
          <w:lang w:eastAsia="ja-JP"/>
        </w:rPr>
        <w:t>Confirmed hypoglycaemic episodes</w:t>
      </w:r>
      <w:r w:rsidR="00191E4D">
        <w:rPr>
          <w:lang w:eastAsia="ja-JP"/>
        </w:rPr>
        <w:t>,</w:t>
      </w:r>
      <w:r w:rsidRPr="00ED59C6">
        <w:rPr>
          <w:lang w:eastAsia="ja-JP"/>
        </w:rPr>
        <w:t xml:space="preserve"> treatment emergent</w:t>
      </w:r>
      <w:r w:rsidR="00191E4D">
        <w:rPr>
          <w:lang w:eastAsia="ja-JP"/>
        </w:rPr>
        <w:t xml:space="preserve">; mean cumulative function (Subjects with T2DM, insulin </w:t>
      </w:r>
      <w:r w:rsidRPr="00ED59C6">
        <w:rPr>
          <w:lang w:eastAsia="ja-JP"/>
        </w:rPr>
        <w:t>naïve,</w:t>
      </w:r>
      <w:r w:rsidR="00C468E6">
        <w:rPr>
          <w:lang w:eastAsia="ja-JP"/>
        </w:rPr>
        <w:t xml:space="preserve"> BD</w:t>
      </w:r>
      <w:r w:rsidRPr="00ED59C6">
        <w:rPr>
          <w:lang w:eastAsia="ja-JP"/>
        </w:rPr>
        <w:t xml:space="preserve"> regimen</w:t>
      </w:r>
      <w:r w:rsidR="00191E4D">
        <w:rPr>
          <w:lang w:eastAsia="ja-JP"/>
        </w:rPr>
        <w:t>, S</w:t>
      </w:r>
      <w:r w:rsidRPr="00ED59C6">
        <w:rPr>
          <w:lang w:eastAsia="ja-JP"/>
        </w:rPr>
        <w:t>afety analysis set</w:t>
      </w:r>
      <w:r w:rsidR="00284686">
        <w:rPr>
          <w:lang w:eastAsia="ja-JP"/>
        </w:rPr>
        <w:t xml:space="preserve">; </w:t>
      </w:r>
      <w:r w:rsidR="007229B4">
        <w:rPr>
          <w:lang w:eastAsia="ja-JP"/>
        </w:rPr>
        <w:t>Study</w:t>
      </w:r>
      <w:r w:rsidR="00284686">
        <w:rPr>
          <w:lang w:eastAsia="ja-JP"/>
        </w:rPr>
        <w:t> </w:t>
      </w:r>
      <w:r w:rsidRPr="00ED59C6">
        <w:rPr>
          <w:lang w:eastAsia="ja-JP"/>
        </w:rPr>
        <w:t>NN5401-3940</w:t>
      </w:r>
      <w:bookmarkEnd w:id="370"/>
      <w:r w:rsidR="00284686">
        <w:rPr>
          <w:lang w:eastAsia="ja-JP"/>
        </w:rPr>
        <w:t>)</w:t>
      </w:r>
    </w:p>
    <w:p w14:paraId="472C0845" w14:textId="77777777" w:rsidR="00ED59C6" w:rsidRPr="00ED59C6" w:rsidRDefault="00ED59C6" w:rsidP="00ED59C6">
      <w:pPr>
        <w:rPr>
          <w:lang w:eastAsia="ja-JP"/>
        </w:rPr>
      </w:pPr>
      <w:r w:rsidRPr="00ED59C6">
        <w:rPr>
          <w:noProof/>
          <w:lang w:eastAsia="en-AU"/>
        </w:rPr>
        <w:drawing>
          <wp:inline distT="0" distB="0" distL="0" distR="0" wp14:anchorId="6256B547" wp14:editId="17CFAFE1">
            <wp:extent cx="4426585" cy="2682990"/>
            <wp:effectExtent l="0" t="0" r="0" b="3175"/>
            <wp:docPr id="16" name="Picture 16" descr="Figure 9 is an image of a line graph confirming the hypoglycaemic episodes, treatment emergent; mean cumulative function (Subjects with T2DM, insulin naïve, BID regimen, Safety analysis set; Trial NN5401-3940)" title="Confirmed hypoglycaemic episodes, treatment emergent; mean cumulative function (Subjects with T2DM, insulin naïve, BID regimen, Safety analysis set; Trial NN5401-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2936" cy="2686839"/>
                    </a:xfrm>
                    <a:prstGeom prst="rect">
                      <a:avLst/>
                    </a:prstGeom>
                    <a:noFill/>
                    <a:ln>
                      <a:noFill/>
                    </a:ln>
                  </pic:spPr>
                </pic:pic>
              </a:graphicData>
            </a:graphic>
          </wp:inline>
        </w:drawing>
      </w:r>
    </w:p>
    <w:p w14:paraId="329684CA" w14:textId="7CB47AAE" w:rsidR="00ED59C6" w:rsidRPr="00ED59C6" w:rsidRDefault="00ED59C6" w:rsidP="00284686">
      <w:pPr>
        <w:pStyle w:val="Heading4"/>
      </w:pPr>
      <w:r w:rsidRPr="00ED59C6">
        <w:t>Evaluator</w:t>
      </w:r>
      <w:r w:rsidR="00284686">
        <w:t>’s comment</w:t>
      </w:r>
    </w:p>
    <w:p w14:paraId="5370FC85" w14:textId="44498DAB" w:rsidR="00ED59C6" w:rsidRPr="00ED59C6" w:rsidRDefault="00ED59C6" w:rsidP="00ED59C6">
      <w:pPr>
        <w:rPr>
          <w:lang w:eastAsia="ja-JP"/>
        </w:rPr>
      </w:pPr>
      <w:r w:rsidRPr="00ED59C6">
        <w:rPr>
          <w:lang w:eastAsia="ja-JP"/>
        </w:rPr>
        <w:t xml:space="preserve">In </w:t>
      </w:r>
      <w:r w:rsidR="00284686">
        <w:rPr>
          <w:lang w:eastAsia="ja-JP"/>
        </w:rPr>
        <w:t>S</w:t>
      </w:r>
      <w:r w:rsidRPr="00ED59C6">
        <w:rPr>
          <w:lang w:eastAsia="ja-JP"/>
        </w:rPr>
        <w:t>tudy NN5401-3896, patients were dosed daily with IDegAsp prior to the largest meal of the day and may be receiving up t</w:t>
      </w:r>
      <w:r w:rsidR="00284686">
        <w:rPr>
          <w:lang w:eastAsia="ja-JP"/>
        </w:rPr>
        <w:t xml:space="preserve">o 2 oral antidiabetic drugs. </w:t>
      </w:r>
      <w:r w:rsidRPr="00ED59C6">
        <w:rPr>
          <w:lang w:eastAsia="ja-JP"/>
        </w:rPr>
        <w:t>Despite dosing prior to the largest meal, hypoglycaemia was seen around the time of breakfast and aft</w:t>
      </w:r>
      <w:r w:rsidR="00284686">
        <w:rPr>
          <w:lang w:eastAsia="ja-JP"/>
        </w:rPr>
        <w:t>er dinner for the IDegAsp arm.</w:t>
      </w:r>
    </w:p>
    <w:p w14:paraId="30944A91" w14:textId="109C476F" w:rsidR="00ED59C6" w:rsidRPr="00ED59C6" w:rsidRDefault="00ED59C6" w:rsidP="00ED59C6">
      <w:pPr>
        <w:rPr>
          <w:lang w:eastAsia="ja-JP"/>
        </w:rPr>
      </w:pPr>
      <w:r w:rsidRPr="00ED59C6">
        <w:rPr>
          <w:lang w:eastAsia="ja-JP"/>
        </w:rPr>
        <w:t xml:space="preserve">In </w:t>
      </w:r>
      <w:r w:rsidR="00284686">
        <w:rPr>
          <w:lang w:eastAsia="ja-JP"/>
        </w:rPr>
        <w:t>S</w:t>
      </w:r>
      <w:r w:rsidRPr="00ED59C6">
        <w:rPr>
          <w:lang w:eastAsia="ja-JP"/>
        </w:rPr>
        <w:t>tudy NN5401-3940, twice daily dosing of IDegAsp occurred at breakfast and the main evening meal and was given i</w:t>
      </w:r>
      <w:r w:rsidR="00284686">
        <w:rPr>
          <w:lang w:eastAsia="ja-JP"/>
        </w:rPr>
        <w:t xml:space="preserve">n combination with metformin. </w:t>
      </w:r>
      <w:r w:rsidRPr="00ED59C6">
        <w:rPr>
          <w:lang w:eastAsia="ja-JP"/>
        </w:rPr>
        <w:t>Hypoglycaemia episodes c</w:t>
      </w:r>
      <w:r w:rsidR="00284686">
        <w:rPr>
          <w:lang w:eastAsia="ja-JP"/>
        </w:rPr>
        <w:t>oincided with these timeframes.</w:t>
      </w:r>
    </w:p>
    <w:p w14:paraId="43FD64C2" w14:textId="7277AA6D" w:rsidR="00ED59C6" w:rsidRPr="00ED59C6" w:rsidRDefault="00ED59C6" w:rsidP="00ED59C6">
      <w:pPr>
        <w:rPr>
          <w:lang w:eastAsia="ja-JP"/>
        </w:rPr>
      </w:pPr>
      <w:r w:rsidRPr="00ED59C6">
        <w:rPr>
          <w:lang w:eastAsia="ja-JP"/>
        </w:rPr>
        <w:t xml:space="preserve">As noted previously, in </w:t>
      </w:r>
      <w:r w:rsidR="00284686">
        <w:rPr>
          <w:lang w:eastAsia="ja-JP"/>
        </w:rPr>
        <w:t>S</w:t>
      </w:r>
      <w:r w:rsidRPr="00ED59C6">
        <w:rPr>
          <w:lang w:eastAsia="ja-JP"/>
        </w:rPr>
        <w:t>tudy NN5401</w:t>
      </w:r>
      <w:r w:rsidR="007229B4">
        <w:rPr>
          <w:lang w:eastAsia="ja-JP"/>
        </w:rPr>
        <w:t>-</w:t>
      </w:r>
      <w:r w:rsidRPr="00ED59C6">
        <w:rPr>
          <w:lang w:eastAsia="ja-JP"/>
        </w:rPr>
        <w:t>3726 (main and extension) hypoglycaemia episodes occurred mostly in the breakf</w:t>
      </w:r>
      <w:r w:rsidR="00284686">
        <w:rPr>
          <w:lang w:eastAsia="ja-JP"/>
        </w:rPr>
        <w:t xml:space="preserve">ast/post breakfast timeframe. </w:t>
      </w:r>
      <w:r w:rsidRPr="00ED59C6">
        <w:rPr>
          <w:lang w:eastAsia="ja-JP"/>
        </w:rPr>
        <w:t>Although it is acknowledged that in the main study dosing occurred with breakfast which was not necessarily the largest meal of the day, this was c</w:t>
      </w:r>
      <w:r w:rsidR="00284686">
        <w:rPr>
          <w:lang w:eastAsia="ja-JP"/>
        </w:rPr>
        <w:t xml:space="preserve">hanged in the extension trial. </w:t>
      </w:r>
      <w:r w:rsidRPr="00ED59C6">
        <w:rPr>
          <w:lang w:eastAsia="ja-JP"/>
        </w:rPr>
        <w:t>However, data for the extension stud</w:t>
      </w:r>
      <w:r w:rsidR="00284686">
        <w:rPr>
          <w:lang w:eastAsia="ja-JP"/>
        </w:rPr>
        <w:t>y only was not provided by the s</w:t>
      </w:r>
      <w:r w:rsidRPr="00ED59C6">
        <w:rPr>
          <w:lang w:eastAsia="ja-JP"/>
        </w:rPr>
        <w:t>ponsor.</w:t>
      </w:r>
    </w:p>
    <w:p w14:paraId="6B0F3646" w14:textId="445CF43D" w:rsidR="00ED59C6" w:rsidRPr="00ED59C6" w:rsidRDefault="00ED59C6" w:rsidP="00ED59C6">
      <w:pPr>
        <w:rPr>
          <w:lang w:eastAsia="ja-JP"/>
        </w:rPr>
      </w:pPr>
      <w:r w:rsidRPr="00ED59C6">
        <w:rPr>
          <w:lang w:eastAsia="ja-JP"/>
        </w:rPr>
        <w:t>From these studies, it can be seen that post meal hypoglycaemia is seen with IDegAsp, both with daily dosing or twice daily dosing, even in a clinical trial setting and even when IDegAsp is gi</w:t>
      </w:r>
      <w:r w:rsidR="00284686">
        <w:rPr>
          <w:lang w:eastAsia="ja-JP"/>
        </w:rPr>
        <w:t xml:space="preserve">ven before the largest meal. </w:t>
      </w:r>
      <w:r w:rsidRPr="00ED59C6">
        <w:rPr>
          <w:lang w:eastAsia="ja-JP"/>
        </w:rPr>
        <w:t>Although it is acknowledged that there are other factors influencing hypoglycaemia occurrence, not just insulin administration, it is important that the PI and CMI contain adequate information to reduce the risk of hypoglycaemia in the ‘real world’ setting.</w:t>
      </w:r>
    </w:p>
    <w:p w14:paraId="7FDD6C1E" w14:textId="0F84642D" w:rsidR="00ED59C6" w:rsidRPr="00ED59C6" w:rsidRDefault="00ED59C6" w:rsidP="00ED59C6">
      <w:pPr>
        <w:rPr>
          <w:lang w:eastAsia="ja-JP"/>
        </w:rPr>
      </w:pPr>
      <w:r w:rsidRPr="00ED59C6">
        <w:rPr>
          <w:lang w:eastAsia="ja-JP"/>
        </w:rPr>
        <w:t>No</w:t>
      </w:r>
      <w:r w:rsidR="00284686">
        <w:rPr>
          <w:lang w:eastAsia="ja-JP"/>
        </w:rPr>
        <w:t xml:space="preserve"> further information is sought.</w:t>
      </w:r>
    </w:p>
    <w:p w14:paraId="5B64915C" w14:textId="52F86334" w:rsidR="00284686" w:rsidRDefault="00ED59C6" w:rsidP="00284686">
      <w:pPr>
        <w:pStyle w:val="Heading3"/>
      </w:pPr>
      <w:bookmarkStart w:id="371" w:name="_Toc517768447"/>
      <w:r w:rsidRPr="00ED59C6">
        <w:t>Question</w:t>
      </w:r>
      <w:r w:rsidR="00284686">
        <w:t xml:space="preserve"> 4</w:t>
      </w:r>
      <w:bookmarkEnd w:id="371"/>
    </w:p>
    <w:p w14:paraId="7D17AC87" w14:textId="260B7BE8" w:rsidR="00ED59C6" w:rsidRDefault="0080446C" w:rsidP="00902726">
      <w:pPr>
        <w:ind w:left="720"/>
        <w:rPr>
          <w:i/>
          <w:lang w:eastAsia="ja-JP"/>
        </w:rPr>
      </w:pPr>
      <w:r w:rsidRPr="00902726">
        <w:rPr>
          <w:i/>
          <w:lang w:eastAsia="ja-JP"/>
        </w:rPr>
        <w:t>‘</w:t>
      </w:r>
      <w:r w:rsidR="00ED59C6" w:rsidRPr="00902726">
        <w:rPr>
          <w:i/>
          <w:lang w:eastAsia="ja-JP"/>
        </w:rPr>
        <w:t>Please provide additional details specific to the 10 documented events of mix up between bolus and IDegAsp (</w:t>
      </w:r>
      <w:r w:rsidR="00902726" w:rsidRPr="00902726">
        <w:rPr>
          <w:i/>
          <w:lang w:eastAsia="ja-JP"/>
        </w:rPr>
        <w:t xml:space="preserve">from a table from the </w:t>
      </w:r>
      <w:r w:rsidR="00ED59C6" w:rsidRPr="00902726">
        <w:rPr>
          <w:i/>
          <w:lang w:eastAsia="ja-JP"/>
        </w:rPr>
        <w:t>PSUR). Please also explain why only the number of adult subjects at risk is so small in the table (n = 382 for IDegAsp and 180 for comparator) entitled ‘Overview of all treatment-emergen</w:t>
      </w:r>
      <w:r w:rsidR="00902726" w:rsidRPr="00902726">
        <w:rPr>
          <w:i/>
          <w:lang w:eastAsia="ja-JP"/>
        </w:rPr>
        <w:t xml:space="preserve">t, </w:t>
      </w:r>
      <w:r w:rsidR="00ED59C6" w:rsidRPr="00902726">
        <w:rPr>
          <w:i/>
          <w:lang w:eastAsia="ja-JP"/>
        </w:rPr>
        <w:t>mix-ups in therapeutic confirmatory trials</w:t>
      </w:r>
      <w:r w:rsidR="00902726" w:rsidRPr="00902726">
        <w:rPr>
          <w:i/>
          <w:lang w:eastAsia="ja-JP"/>
        </w:rPr>
        <w:t xml:space="preserve">, T1DM+ T2DM, </w:t>
      </w:r>
      <w:r w:rsidR="00902726">
        <w:rPr>
          <w:i/>
          <w:lang w:eastAsia="ja-JP"/>
        </w:rPr>
        <w:t>adult population’’.</w:t>
      </w:r>
    </w:p>
    <w:p w14:paraId="50541039" w14:textId="77777777" w:rsidR="00902726" w:rsidRDefault="00902726" w:rsidP="00902726">
      <w:pPr>
        <w:pStyle w:val="Heading4"/>
      </w:pPr>
      <w:r>
        <w:t>Sponsor’s response</w:t>
      </w:r>
    </w:p>
    <w:p w14:paraId="1042B659" w14:textId="104AD21E" w:rsidR="00ED59C6" w:rsidRPr="00ED59C6" w:rsidRDefault="00ED59C6" w:rsidP="00902726">
      <w:pPr>
        <w:pStyle w:val="ListBullet"/>
      </w:pPr>
      <w:r w:rsidRPr="00ED59C6">
        <w:t>Number of subjects included in the summary of mix</w:t>
      </w:r>
      <w:r w:rsidR="00902726">
        <w:t xml:space="preserve"> </w:t>
      </w:r>
      <w:r w:rsidRPr="00ED59C6">
        <w:t>ups</w:t>
      </w:r>
      <w:r w:rsidR="0009307E">
        <w:t>.</w:t>
      </w:r>
    </w:p>
    <w:p w14:paraId="6A5A3F2F" w14:textId="227E1B50" w:rsidR="00ED59C6" w:rsidRPr="00ED59C6" w:rsidRDefault="00902726" w:rsidP="00ED59C6">
      <w:pPr>
        <w:rPr>
          <w:lang w:eastAsia="ja-JP"/>
        </w:rPr>
      </w:pPr>
      <w:r>
        <w:rPr>
          <w:lang w:eastAsia="ja-JP"/>
        </w:rPr>
        <w:lastRenderedPageBreak/>
        <w:t>The table</w:t>
      </w:r>
      <w:r w:rsidR="00ED59C6" w:rsidRPr="00ED59C6">
        <w:rPr>
          <w:lang w:eastAsia="ja-JP"/>
        </w:rPr>
        <w:t xml:space="preserve"> in the PSUR includes data from </w:t>
      </w:r>
      <w:r>
        <w:rPr>
          <w:lang w:eastAsia="ja-JP"/>
        </w:rPr>
        <w:t>2</w:t>
      </w:r>
      <w:r w:rsidR="00ED59C6" w:rsidRPr="00ED59C6">
        <w:rPr>
          <w:lang w:eastAsia="ja-JP"/>
        </w:rPr>
        <w:t xml:space="preserve"> completed </w:t>
      </w:r>
      <w:r>
        <w:rPr>
          <w:lang w:eastAsia="ja-JP"/>
        </w:rPr>
        <w:t>P</w:t>
      </w:r>
      <w:r w:rsidR="00ED59C6" w:rsidRPr="00ED59C6">
        <w:rPr>
          <w:lang w:eastAsia="ja-JP"/>
        </w:rPr>
        <w:t xml:space="preserve">hase </w:t>
      </w:r>
      <w:r>
        <w:rPr>
          <w:lang w:eastAsia="ja-JP"/>
        </w:rPr>
        <w:t>III</w:t>
      </w:r>
      <w:r w:rsidR="00ED59C6" w:rsidRPr="00ED59C6">
        <w:rPr>
          <w:lang w:eastAsia="ja-JP"/>
        </w:rPr>
        <w:t xml:space="preserve"> trials (</w:t>
      </w:r>
      <w:r w:rsidR="004D6A44">
        <w:rPr>
          <w:lang w:eastAsia="ja-JP"/>
        </w:rPr>
        <w:t xml:space="preserve">Studies </w:t>
      </w:r>
      <w:r w:rsidR="00ED59C6" w:rsidRPr="00ED59C6">
        <w:rPr>
          <w:lang w:eastAsia="ja-JP"/>
        </w:rPr>
        <w:t>NN5401-3645 and NN5401-4003) which in</w:t>
      </w:r>
      <w:r>
        <w:rPr>
          <w:lang w:eastAsia="ja-JP"/>
        </w:rPr>
        <w:t xml:space="preserve">cluded a basal </w:t>
      </w:r>
      <w:r w:rsidR="00ED59C6" w:rsidRPr="00ED59C6">
        <w:rPr>
          <w:lang w:eastAsia="ja-JP"/>
        </w:rPr>
        <w:t>bolus regimen (IDegAsp + IAsp) in which there was th</w:t>
      </w:r>
      <w:r>
        <w:rPr>
          <w:lang w:eastAsia="ja-JP"/>
        </w:rPr>
        <w:t xml:space="preserve">erefore a potential risk of mix </w:t>
      </w:r>
      <w:r w:rsidR="00ED59C6" w:rsidRPr="00ED59C6">
        <w:rPr>
          <w:lang w:eastAsia="ja-JP"/>
        </w:rPr>
        <w:t>up bet</w:t>
      </w:r>
      <w:r>
        <w:rPr>
          <w:lang w:eastAsia="ja-JP"/>
        </w:rPr>
        <w:t>ween IDegAsp and bolus insulin.</w:t>
      </w:r>
    </w:p>
    <w:p w14:paraId="2336D986" w14:textId="2F83D593" w:rsidR="00ED59C6" w:rsidRPr="00ED59C6" w:rsidRDefault="00ED59C6" w:rsidP="00ED59C6">
      <w:pPr>
        <w:numPr>
          <w:ilvl w:val="0"/>
          <w:numId w:val="15"/>
        </w:numPr>
        <w:rPr>
          <w:lang w:eastAsia="ja-JP"/>
        </w:rPr>
      </w:pPr>
      <w:r w:rsidRPr="00ED59C6">
        <w:rPr>
          <w:lang w:eastAsia="ja-JP"/>
        </w:rPr>
        <w:t>Additional details on the 10 mix</w:t>
      </w:r>
      <w:r w:rsidR="00902726">
        <w:rPr>
          <w:lang w:eastAsia="ja-JP"/>
        </w:rPr>
        <w:t xml:space="preserve"> </w:t>
      </w:r>
      <w:r w:rsidRPr="00ED59C6">
        <w:rPr>
          <w:lang w:eastAsia="ja-JP"/>
        </w:rPr>
        <w:t>ups</w:t>
      </w:r>
    </w:p>
    <w:p w14:paraId="0A43AF4B" w14:textId="66646D98" w:rsidR="00ED59C6" w:rsidRPr="00ED59C6" w:rsidRDefault="00902726" w:rsidP="00ED59C6">
      <w:pPr>
        <w:rPr>
          <w:lang w:eastAsia="ja-JP"/>
        </w:rPr>
      </w:pPr>
      <w:r>
        <w:rPr>
          <w:lang w:eastAsia="ja-JP"/>
        </w:rPr>
        <w:t>10</w:t>
      </w:r>
      <w:r w:rsidR="00ED59C6" w:rsidRPr="00ED59C6">
        <w:rPr>
          <w:lang w:eastAsia="ja-JP"/>
        </w:rPr>
        <w:t xml:space="preserve"> events of mix ups (preferred term ‘wrong drug administered’) were reported in 9 subjects, </w:t>
      </w:r>
      <w:r>
        <w:rPr>
          <w:lang w:eastAsia="ja-JP"/>
        </w:rPr>
        <w:t xml:space="preserve">all in </w:t>
      </w:r>
      <w:r w:rsidR="004D6A44">
        <w:rPr>
          <w:lang w:eastAsia="ja-JP"/>
        </w:rPr>
        <w:t>Study</w:t>
      </w:r>
      <w:r>
        <w:rPr>
          <w:lang w:eastAsia="ja-JP"/>
        </w:rPr>
        <w:t xml:space="preserve"> NN5401-3645. </w:t>
      </w:r>
      <w:r w:rsidR="00ED59C6" w:rsidRPr="00ED59C6">
        <w:rPr>
          <w:lang w:eastAsia="ja-JP"/>
        </w:rPr>
        <w:t xml:space="preserve">Of these, 1 event was considered to </w:t>
      </w:r>
      <w:r>
        <w:rPr>
          <w:lang w:eastAsia="ja-JP"/>
        </w:rPr>
        <w:t>be serious by the investigator.</w:t>
      </w:r>
      <w:r w:rsidR="00ED59C6" w:rsidRPr="00ED59C6">
        <w:rPr>
          <w:lang w:eastAsia="ja-JP"/>
        </w:rPr>
        <w:t xml:space="preserve"> In 8 events, IAsp was injected instead of IDegAsp and in the other </w:t>
      </w:r>
      <w:r w:rsidR="00FB4BED">
        <w:rPr>
          <w:lang w:eastAsia="ja-JP"/>
        </w:rPr>
        <w:t>two</w:t>
      </w:r>
      <w:r w:rsidR="009F4052">
        <w:rPr>
          <w:lang w:eastAsia="ja-JP"/>
        </w:rPr>
        <w:t xml:space="preserve"> events</w:t>
      </w:r>
      <w:r w:rsidR="00ED59C6" w:rsidRPr="00ED59C6">
        <w:rPr>
          <w:lang w:eastAsia="ja-JP"/>
        </w:rPr>
        <w:t xml:space="preserve"> IDegAsp</w:t>
      </w:r>
      <w:r>
        <w:rPr>
          <w:lang w:eastAsia="ja-JP"/>
        </w:rPr>
        <w:t xml:space="preserve"> was injected instead of IAsp. </w:t>
      </w:r>
      <w:r w:rsidR="00ED59C6" w:rsidRPr="00ED59C6">
        <w:rPr>
          <w:lang w:eastAsia="ja-JP"/>
        </w:rPr>
        <w:t xml:space="preserve">In most cases, hypoglycaemia was avoided by subjects adjusting their oral intake and monitoring blood glucose more intensely; </w:t>
      </w:r>
      <w:r>
        <w:rPr>
          <w:lang w:eastAsia="ja-JP"/>
        </w:rPr>
        <w:t>4</w:t>
      </w:r>
      <w:r w:rsidR="00ED59C6" w:rsidRPr="00ED59C6">
        <w:rPr>
          <w:lang w:eastAsia="ja-JP"/>
        </w:rPr>
        <w:t xml:space="preserve"> mix ups (all IAsp administration instead of IDegAsp) resulted in non-serious symp</w:t>
      </w:r>
      <w:r>
        <w:rPr>
          <w:lang w:eastAsia="ja-JP"/>
        </w:rPr>
        <w:t>tomatic hypoglycaemic episodes.</w:t>
      </w:r>
    </w:p>
    <w:p w14:paraId="0668CB4C" w14:textId="3EA04EB0" w:rsidR="00902726" w:rsidRDefault="00ED59C6" w:rsidP="00902726">
      <w:pPr>
        <w:pStyle w:val="Heading4"/>
      </w:pPr>
      <w:r w:rsidRPr="00ED59C6">
        <w:t>Evaluator</w:t>
      </w:r>
      <w:r w:rsidR="00902726">
        <w:t>’s</w:t>
      </w:r>
      <w:r w:rsidRPr="00ED59C6">
        <w:t xml:space="preserve"> comment</w:t>
      </w:r>
    </w:p>
    <w:p w14:paraId="61A879E8" w14:textId="7C45532B" w:rsidR="00ED59C6" w:rsidRPr="00ED59C6" w:rsidRDefault="00ED59C6" w:rsidP="00ED59C6">
      <w:pPr>
        <w:rPr>
          <w:lang w:eastAsia="ja-JP"/>
        </w:rPr>
      </w:pPr>
      <w:r w:rsidRPr="00ED59C6">
        <w:rPr>
          <w:lang w:eastAsia="ja-JP"/>
        </w:rPr>
        <w:t xml:space="preserve">The </w:t>
      </w:r>
      <w:r w:rsidR="00902726">
        <w:rPr>
          <w:lang w:eastAsia="ja-JP"/>
        </w:rPr>
        <w:t>s</w:t>
      </w:r>
      <w:r w:rsidRPr="00ED59C6">
        <w:rPr>
          <w:lang w:eastAsia="ja-JP"/>
        </w:rPr>
        <w:t xml:space="preserve">ponsor has indicated that there are </w:t>
      </w:r>
      <w:r w:rsidR="00902726">
        <w:rPr>
          <w:lang w:eastAsia="ja-JP"/>
        </w:rPr>
        <w:t>2</w:t>
      </w:r>
      <w:r w:rsidRPr="00ED59C6">
        <w:rPr>
          <w:lang w:eastAsia="ja-JP"/>
        </w:rPr>
        <w:t xml:space="preserve"> trials in which there was potential risk of mix</w:t>
      </w:r>
      <w:r w:rsidR="00902726">
        <w:rPr>
          <w:lang w:eastAsia="ja-JP"/>
        </w:rPr>
        <w:t xml:space="preserve"> </w:t>
      </w:r>
      <w:r w:rsidRPr="00ED59C6">
        <w:rPr>
          <w:lang w:eastAsia="ja-JP"/>
        </w:rPr>
        <w:t>up; however</w:t>
      </w:r>
      <w:r w:rsidR="00902726">
        <w:rPr>
          <w:lang w:eastAsia="ja-JP"/>
        </w:rPr>
        <w:t>,</w:t>
      </w:r>
      <w:r w:rsidRPr="00ED59C6">
        <w:rPr>
          <w:lang w:eastAsia="ja-JP"/>
        </w:rPr>
        <w:t xml:space="preserve"> all of the </w:t>
      </w:r>
      <w:r w:rsidR="00902726">
        <w:rPr>
          <w:lang w:eastAsia="ja-JP"/>
        </w:rPr>
        <w:t xml:space="preserve">reported events occurred in </w:t>
      </w:r>
      <w:r w:rsidR="004D6A44">
        <w:rPr>
          <w:lang w:eastAsia="ja-JP"/>
        </w:rPr>
        <w:t xml:space="preserve">Study </w:t>
      </w:r>
      <w:r w:rsidR="00902726">
        <w:rPr>
          <w:lang w:eastAsia="ja-JP"/>
        </w:rPr>
        <w:t>NN5401-3645.</w:t>
      </w:r>
      <w:r w:rsidRPr="00ED59C6">
        <w:rPr>
          <w:lang w:eastAsia="ja-JP"/>
        </w:rPr>
        <w:t xml:space="preserve"> It is noted that the other trial, </w:t>
      </w:r>
      <w:r w:rsidR="004D6A44">
        <w:rPr>
          <w:lang w:eastAsia="ja-JP"/>
        </w:rPr>
        <w:t xml:space="preserve">Study </w:t>
      </w:r>
      <w:r w:rsidRPr="00ED59C6">
        <w:rPr>
          <w:lang w:eastAsia="ja-JP"/>
        </w:rPr>
        <w:t>NN5401-4003 was small with only 40</w:t>
      </w:r>
      <w:r w:rsidR="00902726">
        <w:rPr>
          <w:lang w:eastAsia="ja-JP"/>
        </w:rPr>
        <w:t xml:space="preserve"> subjects randomised in total. </w:t>
      </w:r>
      <w:r w:rsidRPr="00ED59C6">
        <w:rPr>
          <w:lang w:eastAsia="ja-JP"/>
        </w:rPr>
        <w:t xml:space="preserve">No further </w:t>
      </w:r>
      <w:r w:rsidR="00902726">
        <w:rPr>
          <w:lang w:eastAsia="ja-JP"/>
        </w:rPr>
        <w:t>information sought.</w:t>
      </w:r>
    </w:p>
    <w:p w14:paraId="62625E73" w14:textId="531EB4DF" w:rsidR="00ED59C6" w:rsidRPr="00ED59C6" w:rsidRDefault="00ED59C6" w:rsidP="00ED59C6">
      <w:pPr>
        <w:rPr>
          <w:lang w:eastAsia="ja-JP"/>
        </w:rPr>
      </w:pPr>
      <w:r w:rsidRPr="00ED59C6">
        <w:rPr>
          <w:lang w:eastAsia="ja-JP"/>
        </w:rPr>
        <w:t xml:space="preserve">See also comment regarding the </w:t>
      </w:r>
      <w:r w:rsidR="00902726">
        <w:rPr>
          <w:lang w:eastAsia="ja-JP"/>
        </w:rPr>
        <w:t>s</w:t>
      </w:r>
      <w:r w:rsidRPr="00ED59C6">
        <w:rPr>
          <w:lang w:eastAsia="ja-JP"/>
        </w:rPr>
        <w:t>ponsor’s response arising from the Summary of safety concerns comments below, whic</w:t>
      </w:r>
      <w:r w:rsidR="00902726">
        <w:rPr>
          <w:lang w:eastAsia="ja-JP"/>
        </w:rPr>
        <w:t>h is related to this question.</w:t>
      </w:r>
    </w:p>
    <w:p w14:paraId="17270CED" w14:textId="19406FDF" w:rsidR="00902726" w:rsidRDefault="00ED59C6" w:rsidP="00902726">
      <w:pPr>
        <w:pStyle w:val="Heading3"/>
      </w:pPr>
      <w:bookmarkStart w:id="372" w:name="_Toc517768448"/>
      <w:r w:rsidRPr="00ED59C6">
        <w:t>Question</w:t>
      </w:r>
      <w:r w:rsidR="00902726">
        <w:t xml:space="preserve"> 5</w:t>
      </w:r>
      <w:bookmarkEnd w:id="372"/>
    </w:p>
    <w:p w14:paraId="72CE4BA6" w14:textId="3F05F380" w:rsidR="00ED59C6" w:rsidRPr="00902726" w:rsidRDefault="00902726" w:rsidP="00902726">
      <w:pPr>
        <w:ind w:left="720"/>
        <w:rPr>
          <w:i/>
          <w:lang w:eastAsia="ja-JP"/>
        </w:rPr>
      </w:pPr>
      <w:r w:rsidRPr="00902726">
        <w:rPr>
          <w:i/>
          <w:lang w:eastAsia="ja-JP"/>
        </w:rPr>
        <w:t>‘</w:t>
      </w:r>
      <w:r w:rsidR="00ED59C6" w:rsidRPr="00902726">
        <w:rPr>
          <w:i/>
          <w:lang w:eastAsia="ja-JP"/>
        </w:rPr>
        <w:t>In relation to the use of IDegAsp in T2DM, does the sponsor have any data on the use of insulin aspartate in patients with T2DM in Australia?</w:t>
      </w:r>
      <w:r w:rsidRPr="00902726">
        <w:rPr>
          <w:i/>
          <w:lang w:eastAsia="ja-JP"/>
        </w:rPr>
        <w:t>’</w:t>
      </w:r>
    </w:p>
    <w:p w14:paraId="0CAA59E2" w14:textId="77777777" w:rsidR="00902726" w:rsidRDefault="00ED59C6" w:rsidP="00902726">
      <w:pPr>
        <w:pStyle w:val="Heading4"/>
      </w:pPr>
      <w:r w:rsidRPr="00ED59C6">
        <w:t>Sponsor’s response</w:t>
      </w:r>
    </w:p>
    <w:p w14:paraId="6F391264" w14:textId="134DF29F" w:rsidR="00ED59C6" w:rsidRPr="00ED59C6" w:rsidRDefault="00ED59C6" w:rsidP="00ED59C6">
      <w:pPr>
        <w:rPr>
          <w:lang w:eastAsia="ja-JP"/>
        </w:rPr>
      </w:pPr>
      <w:r w:rsidRPr="00ED59C6">
        <w:rPr>
          <w:lang w:eastAsia="ja-JP"/>
        </w:rPr>
        <w:t>Data from the Pharmaceutical Benefits Scheme (PBS) 10% dataset (a standardised dataset from the PBS) for Q4 2016 indicated that IAsp was the most frequently prescribed short acting insul</w:t>
      </w:r>
      <w:r w:rsidR="00902726">
        <w:rPr>
          <w:lang w:eastAsia="ja-JP"/>
        </w:rPr>
        <w:t>in for patients with T2DM (see T</w:t>
      </w:r>
      <w:r w:rsidRPr="00ED59C6">
        <w:rPr>
          <w:lang w:eastAsia="ja-JP"/>
        </w:rPr>
        <w:t xml:space="preserve">able </w:t>
      </w:r>
      <w:r w:rsidR="00902726">
        <w:rPr>
          <w:lang w:eastAsia="ja-JP"/>
        </w:rPr>
        <w:t xml:space="preserve">19, </w:t>
      </w:r>
      <w:r w:rsidRPr="00ED59C6">
        <w:rPr>
          <w:lang w:eastAsia="ja-JP"/>
        </w:rPr>
        <w:t>below), however there are a number of limitations associated with using this data as the patient population definitions are derived from demographic factors and prescribing patterns (not actual diagnoses) and the population of T1DM patients tends to be underestimated in comparison to reports from the Australian National Diabetes Services Scheme.</w:t>
      </w:r>
    </w:p>
    <w:p w14:paraId="7B838687" w14:textId="700E6324" w:rsidR="00ED59C6" w:rsidRPr="00ED59C6" w:rsidRDefault="00ED59C6" w:rsidP="003B0E43">
      <w:pPr>
        <w:pStyle w:val="Tabletitle"/>
        <w:rPr>
          <w:lang w:eastAsia="ja-JP"/>
        </w:rPr>
      </w:pPr>
      <w:bookmarkStart w:id="373" w:name="_Toc487195089"/>
      <w:r w:rsidRPr="00ED59C6">
        <w:rPr>
          <w:lang w:eastAsia="ja-JP"/>
        </w:rPr>
        <w:t xml:space="preserve">Table </w:t>
      </w:r>
      <w:r w:rsidR="009605C1">
        <w:rPr>
          <w:lang w:eastAsia="ja-JP"/>
        </w:rPr>
        <w:t>19</w:t>
      </w:r>
      <w:r w:rsidR="00FA6FCA">
        <w:rPr>
          <w:lang w:eastAsia="ja-JP"/>
        </w:rPr>
        <w:t>:</w:t>
      </w:r>
      <w:r w:rsidR="00FA6FCA" w:rsidRPr="00ED59C6">
        <w:rPr>
          <w:lang w:eastAsia="ja-JP"/>
        </w:rPr>
        <w:t xml:space="preserve"> </w:t>
      </w:r>
      <w:r w:rsidRPr="00ED59C6">
        <w:rPr>
          <w:lang w:eastAsia="ja-JP"/>
        </w:rPr>
        <w:t>Number of T1DM and T2DM patients in PBS 10% da</w:t>
      </w:r>
      <w:r w:rsidR="009605C1">
        <w:rPr>
          <w:lang w:eastAsia="ja-JP"/>
        </w:rPr>
        <w:t xml:space="preserve">taset who were prescribed short acting insulins by brand name; </w:t>
      </w:r>
      <w:r w:rsidRPr="00ED59C6">
        <w:rPr>
          <w:lang w:eastAsia="ja-JP"/>
        </w:rPr>
        <w:t>Q4 2016</w:t>
      </w:r>
      <w:bookmarkEnd w:id="373"/>
    </w:p>
    <w:p w14:paraId="313A6618" w14:textId="1873217B" w:rsidR="00ED59C6" w:rsidRPr="00ED59C6" w:rsidRDefault="00ED59C6" w:rsidP="00ED59C6">
      <w:pPr>
        <w:rPr>
          <w:lang w:eastAsia="ja-JP"/>
        </w:rPr>
      </w:pPr>
      <w:r w:rsidRPr="00ED59C6">
        <w:rPr>
          <w:noProof/>
          <w:lang w:eastAsia="en-AU"/>
        </w:rPr>
        <w:drawing>
          <wp:inline distT="0" distB="0" distL="0" distR="0" wp14:anchorId="38B367B1" wp14:editId="7E5281FF">
            <wp:extent cx="5630545" cy="1591945"/>
            <wp:effectExtent l="0" t="0" r="8255" b="8255"/>
            <wp:docPr id="17" name="Picture 17" descr="Number of T1DM and T2DM patients in PBS 10% dataset who were prescribed short-acting insulins by brand name; Q4 2016" title="Number of T1DM and T2DM patients in PBS 10% dataset who were prescribed short-acting insulins by brand name; Q4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630545" cy="1591945"/>
                    </a:xfrm>
                    <a:prstGeom prst="rect">
                      <a:avLst/>
                    </a:prstGeom>
                    <a:noFill/>
                    <a:ln>
                      <a:noFill/>
                    </a:ln>
                  </pic:spPr>
                </pic:pic>
              </a:graphicData>
            </a:graphic>
          </wp:inline>
        </w:drawing>
      </w:r>
    </w:p>
    <w:p w14:paraId="2C462A11" w14:textId="77777777" w:rsidR="009605C1" w:rsidRDefault="00ED59C6" w:rsidP="009605C1">
      <w:pPr>
        <w:pStyle w:val="Heading4"/>
      </w:pPr>
      <w:r w:rsidRPr="00ED59C6">
        <w:t>Evaluator</w:t>
      </w:r>
      <w:r w:rsidR="009605C1">
        <w:t>’s</w:t>
      </w:r>
      <w:r w:rsidRPr="00ED59C6">
        <w:t xml:space="preserve"> comment</w:t>
      </w:r>
    </w:p>
    <w:p w14:paraId="62B43E52" w14:textId="1AC8A9BE" w:rsidR="00C618F7" w:rsidRPr="003442FE" w:rsidRDefault="009605C1" w:rsidP="00C618F7">
      <w:pPr>
        <w:rPr>
          <w:lang w:eastAsia="ja-JP"/>
        </w:rPr>
      </w:pPr>
      <w:r>
        <w:rPr>
          <w:lang w:eastAsia="ja-JP"/>
        </w:rPr>
        <w:t>No further information sought.</w:t>
      </w:r>
    </w:p>
    <w:p w14:paraId="37C7C67A" w14:textId="77777777" w:rsidR="00C618F7" w:rsidRPr="003442FE" w:rsidRDefault="00C618F7" w:rsidP="00C618F7">
      <w:pPr>
        <w:pStyle w:val="Heading2"/>
      </w:pPr>
      <w:bookmarkStart w:id="374" w:name="_Toc517768449"/>
      <w:r w:rsidRPr="003442FE">
        <w:lastRenderedPageBreak/>
        <w:t>Second round benefit-risk assessment</w:t>
      </w:r>
      <w:bookmarkEnd w:id="374"/>
    </w:p>
    <w:p w14:paraId="007F5F9A" w14:textId="77777777" w:rsidR="003B0E43" w:rsidRPr="003B0E43" w:rsidRDefault="003B0E43" w:rsidP="003B0E43">
      <w:pPr>
        <w:pStyle w:val="Heading3"/>
        <w:rPr>
          <w:rFonts w:eastAsia="Cambria"/>
        </w:rPr>
      </w:pPr>
      <w:bookmarkStart w:id="375" w:name="_Toc272414709"/>
      <w:bookmarkStart w:id="376" w:name="_Toc290888575"/>
      <w:bookmarkStart w:id="377" w:name="_Toc416353792"/>
      <w:bookmarkStart w:id="378" w:name="_Toc421005334"/>
      <w:bookmarkStart w:id="379" w:name="_Toc432079207"/>
      <w:bookmarkStart w:id="380" w:name="_Toc432080780"/>
      <w:bookmarkStart w:id="381" w:name="_Toc478469718"/>
      <w:bookmarkStart w:id="382" w:name="_Toc487202417"/>
      <w:bookmarkStart w:id="383" w:name="_Toc517768450"/>
      <w:r w:rsidRPr="003B0E43">
        <w:rPr>
          <w:rFonts w:eastAsia="Cambria"/>
        </w:rPr>
        <w:t>Second round assessment of benefits</w:t>
      </w:r>
      <w:bookmarkEnd w:id="375"/>
      <w:bookmarkEnd w:id="376"/>
      <w:bookmarkEnd w:id="377"/>
      <w:bookmarkEnd w:id="378"/>
      <w:bookmarkEnd w:id="379"/>
      <w:bookmarkEnd w:id="380"/>
      <w:bookmarkEnd w:id="381"/>
      <w:bookmarkEnd w:id="382"/>
      <w:bookmarkEnd w:id="383"/>
    </w:p>
    <w:p w14:paraId="157D1AE4" w14:textId="71DA68DA" w:rsidR="003B0E43" w:rsidRPr="003B0E43" w:rsidRDefault="003B0E43" w:rsidP="003B0E43">
      <w:pPr>
        <w:rPr>
          <w:lang w:eastAsia="ja-JP"/>
        </w:rPr>
      </w:pPr>
      <w:r w:rsidRPr="003B0E43">
        <w:rPr>
          <w:lang w:eastAsia="ja-JP"/>
        </w:rPr>
        <w:t>No change to assessment of benefits.</w:t>
      </w:r>
    </w:p>
    <w:p w14:paraId="7B7D6864" w14:textId="77777777" w:rsidR="003B0E43" w:rsidRPr="003B0E43" w:rsidRDefault="003B0E43" w:rsidP="003B0E43">
      <w:pPr>
        <w:pStyle w:val="Heading3"/>
        <w:rPr>
          <w:rFonts w:eastAsia="Cambria"/>
        </w:rPr>
      </w:pPr>
      <w:bookmarkStart w:id="384" w:name="_Toc272414710"/>
      <w:bookmarkStart w:id="385" w:name="_Toc290888576"/>
      <w:bookmarkStart w:id="386" w:name="_Toc416353793"/>
      <w:bookmarkStart w:id="387" w:name="_Toc421005335"/>
      <w:bookmarkStart w:id="388" w:name="_Toc432079208"/>
      <w:bookmarkStart w:id="389" w:name="_Toc432080781"/>
      <w:bookmarkStart w:id="390" w:name="_Toc478469719"/>
      <w:bookmarkStart w:id="391" w:name="_Toc487202418"/>
      <w:bookmarkStart w:id="392" w:name="_Toc517768451"/>
      <w:r w:rsidRPr="003B0E43">
        <w:rPr>
          <w:rFonts w:eastAsia="Cambria"/>
        </w:rPr>
        <w:t>Second round assessment of risks</w:t>
      </w:r>
      <w:bookmarkEnd w:id="384"/>
      <w:bookmarkEnd w:id="385"/>
      <w:bookmarkEnd w:id="386"/>
      <w:bookmarkEnd w:id="387"/>
      <w:bookmarkEnd w:id="388"/>
      <w:bookmarkEnd w:id="389"/>
      <w:bookmarkEnd w:id="390"/>
      <w:bookmarkEnd w:id="391"/>
      <w:bookmarkEnd w:id="392"/>
    </w:p>
    <w:p w14:paraId="151AB86F" w14:textId="15D6C26E" w:rsidR="003B0E43" w:rsidRDefault="003B0E43" w:rsidP="003B0E43">
      <w:pPr>
        <w:rPr>
          <w:lang w:eastAsia="ja-JP"/>
        </w:rPr>
      </w:pPr>
      <w:r>
        <w:rPr>
          <w:lang w:eastAsia="ja-JP"/>
        </w:rPr>
        <w:t>In the first round report,</w:t>
      </w:r>
      <w:r w:rsidRPr="003B0E43">
        <w:rPr>
          <w:lang w:eastAsia="ja-JP"/>
        </w:rPr>
        <w:t xml:space="preserve"> hypoglyca</w:t>
      </w:r>
      <w:r>
        <w:rPr>
          <w:lang w:eastAsia="ja-JP"/>
        </w:rPr>
        <w:t xml:space="preserve">emia was identified as a risk. </w:t>
      </w:r>
      <w:r w:rsidRPr="003B0E43">
        <w:rPr>
          <w:lang w:eastAsia="ja-JP"/>
        </w:rPr>
        <w:t>Assessment of this risk is updated below</w:t>
      </w:r>
      <w:r>
        <w:rPr>
          <w:lang w:eastAsia="ja-JP"/>
        </w:rPr>
        <w:t xml:space="preserve"> in Table 20</w:t>
      </w:r>
      <w:r w:rsidRPr="003B0E43">
        <w:rPr>
          <w:lang w:eastAsia="ja-JP"/>
        </w:rPr>
        <w:t xml:space="preserve"> (new text in</w:t>
      </w:r>
      <w:r>
        <w:rPr>
          <w:b/>
          <w:lang w:eastAsia="ja-JP"/>
        </w:rPr>
        <w:t xml:space="preserve"> </w:t>
      </w:r>
      <w:r w:rsidRPr="003B0E43">
        <w:rPr>
          <w:i/>
          <w:lang w:eastAsia="ja-JP"/>
        </w:rPr>
        <w:t>italics</w:t>
      </w:r>
      <w:r w:rsidRPr="003B0E43">
        <w:rPr>
          <w:lang w:eastAsia="ja-JP"/>
        </w:rPr>
        <w:t>)</w:t>
      </w:r>
      <w:r w:rsidR="009F4052" w:rsidRPr="003B0E43">
        <w:rPr>
          <w:lang w:eastAsia="ja-JP"/>
        </w:rPr>
        <w:t>; assessment</w:t>
      </w:r>
      <w:r w:rsidRPr="003B0E43">
        <w:rPr>
          <w:lang w:eastAsia="ja-JP"/>
        </w:rPr>
        <w:t xml:space="preserve"> of other risks identified in the first round remain</w:t>
      </w:r>
      <w:r w:rsidR="009F4052">
        <w:rPr>
          <w:lang w:eastAsia="ja-JP"/>
        </w:rPr>
        <w:t>s</w:t>
      </w:r>
      <w:r w:rsidRPr="003B0E43">
        <w:rPr>
          <w:lang w:eastAsia="ja-JP"/>
        </w:rPr>
        <w:t xml:space="preserve"> unchanged.</w:t>
      </w:r>
    </w:p>
    <w:p w14:paraId="054F9385" w14:textId="72FE510A" w:rsidR="003B0E43" w:rsidRPr="003B0E43" w:rsidRDefault="003B0E43" w:rsidP="003B0E43">
      <w:pPr>
        <w:pStyle w:val="Tabletitle"/>
        <w:rPr>
          <w:lang w:eastAsia="ja-JP"/>
        </w:rPr>
      </w:pPr>
      <w:r>
        <w:rPr>
          <w:lang w:eastAsia="ja-JP"/>
        </w:rPr>
        <w:t>Table 20</w:t>
      </w:r>
      <w:r w:rsidR="00FA6FCA">
        <w:rPr>
          <w:lang w:eastAsia="ja-JP"/>
        </w:rPr>
        <w:t xml:space="preserve">: </w:t>
      </w:r>
      <w:r>
        <w:rPr>
          <w:lang w:eastAsia="ja-JP"/>
        </w:rPr>
        <w:t>Second round assessment of risks</w:t>
      </w:r>
    </w:p>
    <w:tbl>
      <w:tblPr>
        <w:tblStyle w:val="TableTGAblue"/>
        <w:tblW w:w="0" w:type="auto"/>
        <w:tblLook w:val="04A0" w:firstRow="1" w:lastRow="0" w:firstColumn="1" w:lastColumn="0" w:noHBand="0" w:noVBand="1"/>
        <w:tblDescription w:val="Table 20: Second round assessment of risks"/>
      </w:tblPr>
      <w:tblGrid>
        <w:gridCol w:w="4395"/>
        <w:gridCol w:w="4394"/>
      </w:tblGrid>
      <w:tr w:rsidR="003B0E43" w:rsidRPr="003B0E43" w14:paraId="67D3EE74" w14:textId="77777777" w:rsidTr="00842D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3D222C01" w14:textId="77777777" w:rsidR="003B0E43" w:rsidRPr="003B0E43" w:rsidRDefault="003B0E43" w:rsidP="003B0E43">
            <w:pPr>
              <w:rPr>
                <w:szCs w:val="22"/>
                <w:lang w:eastAsia="ja-JP"/>
              </w:rPr>
            </w:pPr>
            <w:r w:rsidRPr="003B0E43">
              <w:rPr>
                <w:szCs w:val="22"/>
                <w:lang w:eastAsia="ja-JP"/>
              </w:rPr>
              <w:t>Risks</w:t>
            </w:r>
          </w:p>
        </w:tc>
        <w:tc>
          <w:tcPr>
            <w:tcW w:w="4394" w:type="dxa"/>
          </w:tcPr>
          <w:p w14:paraId="62FEE63F" w14:textId="77777777" w:rsidR="003B0E43" w:rsidRPr="003B0E43" w:rsidRDefault="003B0E43" w:rsidP="003B0E43">
            <w:pPr>
              <w:cnfStyle w:val="100000000000" w:firstRow="1" w:lastRow="0" w:firstColumn="0" w:lastColumn="0" w:oddVBand="0" w:evenVBand="0" w:oddHBand="0" w:evenHBand="0" w:firstRowFirstColumn="0" w:firstRowLastColumn="0" w:lastRowFirstColumn="0" w:lastRowLastColumn="0"/>
              <w:rPr>
                <w:szCs w:val="22"/>
                <w:lang w:eastAsia="ja-JP"/>
              </w:rPr>
            </w:pPr>
            <w:r w:rsidRPr="003B0E43">
              <w:rPr>
                <w:szCs w:val="22"/>
                <w:lang w:eastAsia="ja-JP"/>
              </w:rPr>
              <w:t>Uncertainties</w:t>
            </w:r>
          </w:p>
        </w:tc>
      </w:tr>
      <w:tr w:rsidR="003B0E43" w:rsidRPr="003B0E43" w14:paraId="06EF0D90" w14:textId="77777777" w:rsidTr="003B0E43">
        <w:tc>
          <w:tcPr>
            <w:cnfStyle w:val="001000000000" w:firstRow="0" w:lastRow="0" w:firstColumn="1" w:lastColumn="0" w:oddVBand="0" w:evenVBand="0" w:oddHBand="0" w:evenHBand="0" w:firstRowFirstColumn="0" w:firstRowLastColumn="0" w:lastRowFirstColumn="0" w:lastRowLastColumn="0"/>
            <w:tcW w:w="4395" w:type="dxa"/>
          </w:tcPr>
          <w:p w14:paraId="32EDB0F3" w14:textId="6AEDAFE1" w:rsidR="003B0E43" w:rsidRDefault="003B0E43" w:rsidP="00A42804">
            <w:pPr>
              <w:ind w:left="0"/>
              <w:rPr>
                <w:szCs w:val="22"/>
                <w:lang w:eastAsia="ja-JP"/>
              </w:rPr>
            </w:pPr>
            <w:r w:rsidRPr="003B0E43">
              <w:rPr>
                <w:szCs w:val="22"/>
                <w:lang w:eastAsia="ja-JP"/>
              </w:rPr>
              <w:t>Hypoglycaemia</w:t>
            </w:r>
            <w:r w:rsidR="00A42804">
              <w:rPr>
                <w:szCs w:val="22"/>
                <w:lang w:eastAsia="ja-JP"/>
              </w:rPr>
              <w:t xml:space="preserve">: </w:t>
            </w:r>
            <w:r w:rsidRPr="003B0E43">
              <w:rPr>
                <w:szCs w:val="22"/>
                <w:lang w:eastAsia="ja-JP"/>
              </w:rPr>
              <w:t>Hypoglycaemia and events related to hypoglycaemia, commonly occurred with the use of IDegAsp in the clinical trials. It is recognised that hypoglycaemia is an inherent risk associated with all insulins, however due to the ‘ultra long’ action, the period following a single dose in which hypoglycaemia may occur is longer than other insulins.</w:t>
            </w:r>
          </w:p>
          <w:p w14:paraId="6C9F7DDC" w14:textId="77777777" w:rsidR="003B0E43" w:rsidRDefault="003B0E43" w:rsidP="00A42804">
            <w:pPr>
              <w:ind w:left="0"/>
              <w:rPr>
                <w:b/>
                <w:szCs w:val="22"/>
                <w:lang w:eastAsia="ja-JP"/>
              </w:rPr>
            </w:pPr>
            <w:r w:rsidRPr="003B0E43">
              <w:rPr>
                <w:i/>
                <w:szCs w:val="22"/>
                <w:lang w:eastAsia="ja-JP"/>
              </w:rPr>
              <w:t>It is also noted that hypoglycaemia episodes appear to occur around mealtimes in insulin naïve patients, even when IDegAsp is administered with the largest meal.</w:t>
            </w:r>
          </w:p>
          <w:p w14:paraId="02B4FD36" w14:textId="170F91CD" w:rsidR="003B0E43" w:rsidRPr="003B0E43" w:rsidRDefault="003B0E43" w:rsidP="00A42804">
            <w:pPr>
              <w:ind w:left="0"/>
              <w:rPr>
                <w:szCs w:val="22"/>
                <w:lang w:eastAsia="ja-JP"/>
              </w:rPr>
            </w:pPr>
            <w:r w:rsidRPr="003B0E43">
              <w:rPr>
                <w:szCs w:val="22"/>
                <w:lang w:eastAsia="ja-JP"/>
              </w:rPr>
              <w:t>However, it is also acknowledged that the aetiology of hypoglycaemia is multifactorial and the type of insulin used is only</w:t>
            </w:r>
            <w:r w:rsidR="00D44164">
              <w:rPr>
                <w:szCs w:val="22"/>
                <w:lang w:eastAsia="ja-JP"/>
              </w:rPr>
              <w:t xml:space="preserve"> 1</w:t>
            </w:r>
            <w:r w:rsidRPr="003B0E43">
              <w:rPr>
                <w:szCs w:val="22"/>
                <w:lang w:eastAsia="ja-JP"/>
              </w:rPr>
              <w:t xml:space="preserve"> important component. Thus education of prescribers and patients again will play an important part in mitigating this risk.</w:t>
            </w:r>
          </w:p>
        </w:tc>
        <w:tc>
          <w:tcPr>
            <w:tcW w:w="4394" w:type="dxa"/>
          </w:tcPr>
          <w:p w14:paraId="7462A208" w14:textId="77777777" w:rsidR="003B0E43" w:rsidRPr="003B0E43" w:rsidRDefault="003B0E43" w:rsidP="003B0E43">
            <w:pPr>
              <w:cnfStyle w:val="000000000000" w:firstRow="0" w:lastRow="0" w:firstColumn="0" w:lastColumn="0" w:oddVBand="0" w:evenVBand="0" w:oddHBand="0" w:evenHBand="0" w:firstRowFirstColumn="0" w:firstRowLastColumn="0" w:lastRowFirstColumn="0" w:lastRowLastColumn="0"/>
              <w:rPr>
                <w:szCs w:val="22"/>
                <w:lang w:eastAsia="ja-JP"/>
              </w:rPr>
            </w:pPr>
          </w:p>
        </w:tc>
      </w:tr>
    </w:tbl>
    <w:p w14:paraId="31307780" w14:textId="77777777" w:rsidR="003B0E43" w:rsidRPr="003B0E43" w:rsidRDefault="003B0E43" w:rsidP="003B0E43">
      <w:pPr>
        <w:pStyle w:val="Heading3"/>
        <w:rPr>
          <w:rFonts w:eastAsia="Cambria"/>
        </w:rPr>
      </w:pPr>
      <w:bookmarkStart w:id="393" w:name="_Toc272414711"/>
      <w:bookmarkStart w:id="394" w:name="_Toc290888577"/>
      <w:bookmarkStart w:id="395" w:name="_Toc416353794"/>
      <w:bookmarkStart w:id="396" w:name="_Toc421005336"/>
      <w:bookmarkStart w:id="397" w:name="_Toc432079209"/>
      <w:bookmarkStart w:id="398" w:name="_Toc432080782"/>
      <w:bookmarkStart w:id="399" w:name="_Toc478469720"/>
      <w:bookmarkStart w:id="400" w:name="_Toc487202419"/>
      <w:bookmarkStart w:id="401" w:name="_Toc517768452"/>
      <w:r w:rsidRPr="003B0E43">
        <w:rPr>
          <w:rFonts w:eastAsia="Cambria"/>
        </w:rPr>
        <w:t xml:space="preserve">Second round assessment of benefit-risk </w:t>
      </w:r>
      <w:bookmarkEnd w:id="393"/>
      <w:bookmarkEnd w:id="394"/>
      <w:bookmarkEnd w:id="395"/>
      <w:bookmarkEnd w:id="396"/>
      <w:r w:rsidRPr="003B0E43">
        <w:rPr>
          <w:rFonts w:eastAsia="Cambria"/>
        </w:rPr>
        <w:t>balance</w:t>
      </w:r>
      <w:bookmarkEnd w:id="397"/>
      <w:bookmarkEnd w:id="398"/>
      <w:bookmarkEnd w:id="399"/>
      <w:bookmarkEnd w:id="400"/>
      <w:bookmarkEnd w:id="401"/>
    </w:p>
    <w:p w14:paraId="06160560" w14:textId="63068A96" w:rsidR="00C618F7" w:rsidRPr="003442FE" w:rsidRDefault="003B0E43" w:rsidP="00C618F7">
      <w:pPr>
        <w:rPr>
          <w:lang w:eastAsia="ja-JP"/>
        </w:rPr>
      </w:pPr>
      <w:r w:rsidRPr="003B0E43">
        <w:rPr>
          <w:lang w:eastAsia="ja-JP"/>
        </w:rPr>
        <w:t>Overall, the benefit-risk balance is positive for IDegAsp provided appropriate steps for education of prescribers and patients are undertaken and active ongoing monitoring for detected signals is maintained</w:t>
      </w:r>
      <w:r>
        <w:rPr>
          <w:lang w:eastAsia="ja-JP"/>
        </w:rPr>
        <w:t>.</w:t>
      </w:r>
    </w:p>
    <w:p w14:paraId="15D8D931" w14:textId="77777777" w:rsidR="00C618F7" w:rsidRDefault="00C618F7" w:rsidP="00C618F7">
      <w:pPr>
        <w:pStyle w:val="Heading2"/>
      </w:pPr>
      <w:bookmarkStart w:id="402" w:name="_Toc517768453"/>
      <w:r w:rsidRPr="003442FE">
        <w:lastRenderedPageBreak/>
        <w:t>Second round recommendation regarding authorisation</w:t>
      </w:r>
      <w:bookmarkEnd w:id="402"/>
    </w:p>
    <w:p w14:paraId="3B10F1CF" w14:textId="181C0241" w:rsidR="00C618F7" w:rsidRPr="003442FE" w:rsidRDefault="003B0E43" w:rsidP="00C618F7">
      <w:pPr>
        <w:rPr>
          <w:lang w:eastAsia="ja-JP"/>
        </w:rPr>
      </w:pPr>
      <w:r w:rsidRPr="003B0E43">
        <w:rPr>
          <w:lang w:eastAsia="ja-JP"/>
        </w:rPr>
        <w:t xml:space="preserve">At this stage, the clinical evaluator has no major concerns for the approval of the registration of IDegAsp for the treatment of diabetes subject to PI comments </w:t>
      </w:r>
      <w:r>
        <w:rPr>
          <w:lang w:eastAsia="ja-JP"/>
        </w:rPr>
        <w:t>[discussed elsewhere and beyond the scope of this document].</w:t>
      </w:r>
    </w:p>
    <w:p w14:paraId="14197735" w14:textId="3CDD3412" w:rsidR="00C618F7" w:rsidRPr="003442FE" w:rsidRDefault="00C618F7" w:rsidP="00C618F7">
      <w:pPr>
        <w:pStyle w:val="Heading2"/>
      </w:pPr>
      <w:bookmarkStart w:id="403" w:name="_Toc517768454"/>
      <w:r w:rsidRPr="003442FE">
        <w:t>References</w:t>
      </w:r>
      <w:bookmarkEnd w:id="403"/>
    </w:p>
    <w:bookmarkEnd w:id="2"/>
    <w:bookmarkEnd w:id="1"/>
    <w:bookmarkEnd w:id="3"/>
    <w:p w14:paraId="38724B2B" w14:textId="77777777" w:rsidR="003A190C" w:rsidRPr="00FD4512" w:rsidRDefault="003A190C" w:rsidP="00FD4512">
      <w:pPr>
        <w:pStyle w:val="Reference"/>
        <w:rPr>
          <w:rStyle w:val="ref"/>
        </w:rPr>
      </w:pPr>
      <w:proofErr w:type="gramStart"/>
      <w:r w:rsidRPr="00FD4512">
        <w:rPr>
          <w:rStyle w:val="ref"/>
        </w:rPr>
        <w:t>Australian Institute of Health and Welfare (AIHW) website; aihw.gov.au.</w:t>
      </w:r>
      <w:proofErr w:type="gramEnd"/>
    </w:p>
    <w:p w14:paraId="3A1E5366" w14:textId="15F3E886" w:rsidR="003A190C" w:rsidRPr="00FD4512" w:rsidRDefault="003A190C" w:rsidP="00FD4512">
      <w:pPr>
        <w:pStyle w:val="Reference"/>
        <w:rPr>
          <w:rStyle w:val="ref"/>
        </w:rPr>
      </w:pPr>
      <w:r w:rsidRPr="00FD4512">
        <w:rPr>
          <w:rStyle w:val="ref"/>
        </w:rPr>
        <w:t>Diabetes: management (published November 2013). In eTG complete (internet) Melbourne: Therapeutic Guidelines Limited; July 2016.</w:t>
      </w:r>
    </w:p>
    <w:p w14:paraId="1B6FFEAB" w14:textId="77777777" w:rsidR="00380929" w:rsidRPr="00FD4512" w:rsidRDefault="00380929" w:rsidP="00FD4512">
      <w:pPr>
        <w:pStyle w:val="Reference"/>
        <w:rPr>
          <w:rStyle w:val="ref"/>
        </w:rPr>
      </w:pPr>
      <w:r w:rsidRPr="00FD4512">
        <w:rPr>
          <w:rStyle w:val="ref"/>
        </w:rPr>
        <w:t xml:space="preserve">European Public Assessment Report (EPAR) for Ryzodeg insulin degludec/insulin aspart, 18 October 2012 EMA/700472/2012. </w:t>
      </w:r>
      <w:proofErr w:type="gramStart"/>
      <w:r w:rsidRPr="00FD4512">
        <w:rPr>
          <w:rStyle w:val="ref"/>
        </w:rPr>
        <w:t>Committee for Medicinal Products for Human Use (CHMP) Procedure No.</w:t>
      </w:r>
      <w:proofErr w:type="gramEnd"/>
      <w:r w:rsidRPr="00FD4512">
        <w:rPr>
          <w:rStyle w:val="ref"/>
        </w:rPr>
        <w:t xml:space="preserve"> </w:t>
      </w:r>
      <w:proofErr w:type="gramStart"/>
      <w:r w:rsidRPr="00FD4512">
        <w:rPr>
          <w:rStyle w:val="ref"/>
        </w:rPr>
        <w:t>EMEA/H/C/002499; Product Information, as per EMA website, last updated on 30 August 2016.</w:t>
      </w:r>
      <w:proofErr w:type="gramEnd"/>
    </w:p>
    <w:p w14:paraId="6E6107AA" w14:textId="09B32974" w:rsidR="00380929" w:rsidRPr="00FD4512" w:rsidRDefault="003A190C" w:rsidP="00FD4512">
      <w:pPr>
        <w:pStyle w:val="Reference"/>
        <w:rPr>
          <w:rStyle w:val="ref"/>
        </w:rPr>
      </w:pPr>
      <w:r w:rsidRPr="00FD4512">
        <w:rPr>
          <w:rStyle w:val="ref"/>
        </w:rPr>
        <w:t>Incidence of insulin treated diabetes in Australia 2000 to 2011, Australian Institute of Health and Welfare (AIHW), Diabetes series number 22. 29 April 2014.</w:t>
      </w:r>
    </w:p>
    <w:p w14:paraId="3AE1DB4A" w14:textId="5EF4B416" w:rsidR="003A190C" w:rsidRPr="00FD4512" w:rsidRDefault="003A190C" w:rsidP="00FD4512">
      <w:pPr>
        <w:pStyle w:val="Reference"/>
        <w:rPr>
          <w:rStyle w:val="ref"/>
        </w:rPr>
      </w:pPr>
      <w:proofErr w:type="gramStart"/>
      <w:r w:rsidRPr="00FD4512">
        <w:rPr>
          <w:rStyle w:val="ref"/>
        </w:rPr>
        <w:t>The Royal Australian College of General Practitioners.</w:t>
      </w:r>
      <w:proofErr w:type="gramEnd"/>
      <w:r w:rsidRPr="00FD4512">
        <w:rPr>
          <w:rStyle w:val="ref"/>
        </w:rPr>
        <w:t xml:space="preserve"> General practice management of type 2 diabetes: 2016-18. East Melbourne, Vic: RACGP, 2016.</w:t>
      </w:r>
    </w:p>
    <w:p w14:paraId="5EFF646F" w14:textId="37C2D437" w:rsidR="003D1E62" w:rsidRPr="003442FE" w:rsidRDefault="003D1E62" w:rsidP="002666AC">
      <w:pPr>
        <w:sectPr w:rsidR="003D1E62" w:rsidRPr="003442FE" w:rsidSect="008D770F">
          <w:headerReference w:type="even" r:id="rId32"/>
          <w:headerReference w:type="default" r:id="rId33"/>
          <w:headerReference w:type="first" r:id="rId34"/>
          <w:footerReference w:type="first" r:id="rId35"/>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3442FE" w14:paraId="156AE2D8" w14:textId="77777777" w:rsidTr="001F1326">
        <w:trPr>
          <w:trHeight w:hRule="exact" w:val="564"/>
        </w:trPr>
        <w:tc>
          <w:tcPr>
            <w:tcW w:w="9175" w:type="dxa"/>
          </w:tcPr>
          <w:p w14:paraId="06BCD603" w14:textId="77777777" w:rsidR="00B3567E" w:rsidRPr="003442FE" w:rsidRDefault="00B3567E" w:rsidP="001F1326">
            <w:pPr>
              <w:pStyle w:val="TGASignoff"/>
            </w:pPr>
            <w:r w:rsidRPr="003442FE">
              <w:lastRenderedPageBreak/>
              <w:t>Therapeutic Goods Administration</w:t>
            </w:r>
          </w:p>
        </w:tc>
      </w:tr>
      <w:tr w:rsidR="00B3567E" w:rsidRPr="003442FE" w14:paraId="78BBE696" w14:textId="77777777" w:rsidTr="001F1326">
        <w:trPr>
          <w:trHeight w:val="1221"/>
        </w:trPr>
        <w:tc>
          <w:tcPr>
            <w:tcW w:w="9175" w:type="dxa"/>
            <w:tcMar>
              <w:top w:w="28" w:type="dxa"/>
            </w:tcMar>
          </w:tcPr>
          <w:p w14:paraId="408D4353" w14:textId="77777777" w:rsidR="00B3567E" w:rsidRPr="003442FE" w:rsidRDefault="00B3567E" w:rsidP="001F1326">
            <w:pPr>
              <w:pStyle w:val="Address"/>
            </w:pPr>
            <w:r w:rsidRPr="003442FE">
              <w:t>PO Box 100 Woden ACT 2606 Australia</w:t>
            </w:r>
          </w:p>
          <w:p w14:paraId="065C8C3D" w14:textId="77777777" w:rsidR="00B3567E" w:rsidRPr="003442FE" w:rsidRDefault="00B3567E" w:rsidP="001F1326">
            <w:pPr>
              <w:pStyle w:val="Address"/>
            </w:pPr>
            <w:r w:rsidRPr="003442FE">
              <w:t xml:space="preserve">Email: </w:t>
            </w:r>
            <w:hyperlink r:id="rId36" w:history="1">
              <w:r w:rsidRPr="003442FE">
                <w:rPr>
                  <w:rStyle w:val="Hyperlink"/>
                </w:rPr>
                <w:t>info@tga.gov.au</w:t>
              </w:r>
            </w:hyperlink>
            <w:r w:rsidRPr="003442FE">
              <w:t xml:space="preserve">  Phone: 1800 020 653  Fax: 02 6232 8605</w:t>
            </w:r>
          </w:p>
          <w:p w14:paraId="277CC5C5" w14:textId="77777777" w:rsidR="00B3567E" w:rsidRPr="003442FE" w:rsidRDefault="005553B7" w:rsidP="001F1326">
            <w:pPr>
              <w:pStyle w:val="Address"/>
              <w:spacing w:line="260" w:lineRule="atLeast"/>
              <w:rPr>
                <w:b/>
                <w:color w:val="0000FF"/>
                <w:u w:val="single"/>
              </w:rPr>
            </w:pPr>
            <w:hyperlink r:id="rId37" w:history="1">
              <w:r w:rsidR="00E979F4" w:rsidRPr="003442FE">
                <w:rPr>
                  <w:rStyle w:val="Hyperlink"/>
                  <w:b/>
                </w:rPr>
                <w:t>https://www.tga.gov.au</w:t>
              </w:r>
            </w:hyperlink>
          </w:p>
        </w:tc>
      </w:tr>
    </w:tbl>
    <w:p w14:paraId="5B8A0865" w14:textId="77777777" w:rsidR="00774E1D" w:rsidRPr="003442FE" w:rsidRDefault="00774E1D" w:rsidP="008A5E0B"/>
    <w:sectPr w:rsidR="00774E1D" w:rsidRPr="003442FE" w:rsidSect="00B3567E">
      <w:headerReference w:type="even" r:id="rId38"/>
      <w:headerReference w:type="default" r:id="rId39"/>
      <w:footerReference w:type="default" r:id="rId40"/>
      <w:headerReference w:type="first" r:id="rId41"/>
      <w:footerReference w:type="first" r:id="rId4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198FA" w14:textId="77777777" w:rsidR="00CC32F3" w:rsidRDefault="00CC32F3" w:rsidP="00C40A36">
      <w:pPr>
        <w:spacing w:after="0"/>
      </w:pPr>
      <w:r>
        <w:separator/>
      </w:r>
    </w:p>
  </w:endnote>
  <w:endnote w:type="continuationSeparator" w:id="0">
    <w:p w14:paraId="6734E52D" w14:textId="77777777" w:rsidR="00CC32F3" w:rsidRDefault="00CC32F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267A0" w14:textId="77777777" w:rsidR="00CC32F3" w:rsidRDefault="00CC32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68"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1230"/>
    </w:tblGrid>
    <w:tr w:rsidR="00CC32F3" w:rsidRPr="00487162" w14:paraId="3F3219DA" w14:textId="77777777" w:rsidTr="00BB64EA">
      <w:trPr>
        <w:trHeight w:val="192"/>
      </w:trPr>
      <w:tc>
        <w:tcPr>
          <w:tcW w:w="7938" w:type="dxa"/>
          <w:tcMar>
            <w:top w:w="142" w:type="dxa"/>
            <w:bottom w:w="0" w:type="dxa"/>
          </w:tcMar>
        </w:tcPr>
        <w:p w14:paraId="4D4A1D69" w14:textId="77777777" w:rsidR="00CC32F3" w:rsidRPr="00487162" w:rsidRDefault="00CC32F3" w:rsidP="00C137CE">
          <w:pPr>
            <w:pStyle w:val="Footer"/>
          </w:pPr>
          <w:r>
            <w:t>Submission</w:t>
          </w:r>
          <w:r w:rsidRPr="00487162">
            <w:t xml:space="preserve"> </w:t>
          </w:r>
          <w:r w:rsidRPr="001207E1">
            <w:t>PM-2016-02723-1-5</w:t>
          </w:r>
          <w:r>
            <w:t xml:space="preserve"> Extract from the Clinical Evaluation Report for R</w:t>
          </w:r>
          <w:r w:rsidRPr="001207E1">
            <w:t>yzodeg Flextouch, Ryzodeg Penfil</w:t>
          </w:r>
          <w:r>
            <w:t xml:space="preserve">l insulin </w:t>
          </w:r>
          <w:r w:rsidRPr="001207E1">
            <w:t>degludec (rys)/insulin aspart (rys)</w:t>
          </w:r>
          <w:r>
            <w:t xml:space="preserve"> Novo Nordisk Pharmaceuticals Pty Ltd</w:t>
          </w:r>
        </w:p>
      </w:tc>
      <w:tc>
        <w:tcPr>
          <w:tcW w:w="1230" w:type="dxa"/>
          <w:tcMar>
            <w:top w:w="142" w:type="dxa"/>
            <w:bottom w:w="0" w:type="dxa"/>
          </w:tcMar>
        </w:tcPr>
        <w:p w14:paraId="2F573251" w14:textId="77777777" w:rsidR="00CC32F3" w:rsidRPr="00981D66" w:rsidRDefault="00CC32F3"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5553B7">
            <w:rPr>
              <w:noProof/>
            </w:rPr>
            <w:t>2</w:t>
          </w:r>
          <w:r w:rsidRPr="00981D66">
            <w:fldChar w:fldCharType="end"/>
          </w:r>
          <w:r w:rsidRPr="00981D66">
            <w:t xml:space="preserve"> of </w:t>
          </w:r>
          <w:r w:rsidR="005553B7">
            <w:fldChar w:fldCharType="begin"/>
          </w:r>
          <w:r w:rsidR="005553B7">
            <w:instrText xml:space="preserve"> NUMPAGES  \* Arabic  \* M</w:instrText>
          </w:r>
          <w:r w:rsidR="005553B7">
            <w:instrText xml:space="preserve">ERGEFORMAT </w:instrText>
          </w:r>
          <w:r w:rsidR="005553B7">
            <w:fldChar w:fldCharType="separate"/>
          </w:r>
          <w:r w:rsidR="005553B7">
            <w:rPr>
              <w:noProof/>
            </w:rPr>
            <w:t>61</w:t>
          </w:r>
          <w:r w:rsidR="005553B7">
            <w:rPr>
              <w:noProof/>
            </w:rPr>
            <w:fldChar w:fldCharType="end"/>
          </w:r>
        </w:p>
      </w:tc>
    </w:tr>
  </w:tbl>
  <w:p w14:paraId="0016A487" w14:textId="77777777" w:rsidR="00CC32F3" w:rsidRDefault="00CC32F3"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C3A3E" w14:textId="77777777" w:rsidR="00CC32F3" w:rsidRDefault="00CC32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C32F3" w:rsidRPr="00487162" w14:paraId="0B9E8750" w14:textId="77777777" w:rsidTr="00E45619">
      <w:trPr>
        <w:trHeight w:val="269"/>
      </w:trPr>
      <w:tc>
        <w:tcPr>
          <w:tcW w:w="4519" w:type="dxa"/>
          <w:tcBorders>
            <w:top w:val="single" w:sz="4" w:space="0" w:color="auto"/>
          </w:tcBorders>
          <w:tcMar>
            <w:top w:w="142" w:type="dxa"/>
            <w:bottom w:w="0" w:type="dxa"/>
          </w:tcMar>
        </w:tcPr>
        <w:p w14:paraId="029CF365" w14:textId="77777777" w:rsidR="00CC32F3" w:rsidRPr="00487162" w:rsidRDefault="00CC32F3" w:rsidP="00FE1DEE">
          <w:pPr>
            <w:pStyle w:val="Footer"/>
          </w:pPr>
          <w:r w:rsidRPr="00487162">
            <w:t>Document title, Part #, Section # - Section title</w:t>
          </w:r>
        </w:p>
        <w:p w14:paraId="5A321D64" w14:textId="77777777" w:rsidR="00CC32F3" w:rsidRPr="00487162" w:rsidRDefault="00CC32F3" w:rsidP="00FE1DEE">
          <w:pPr>
            <w:pStyle w:val="Footer"/>
          </w:pPr>
          <w:r w:rsidRPr="00487162">
            <w:t>V1.0 October 2010</w:t>
          </w:r>
        </w:p>
      </w:tc>
      <w:tc>
        <w:tcPr>
          <w:tcW w:w="4342" w:type="dxa"/>
          <w:tcBorders>
            <w:top w:val="single" w:sz="4" w:space="0" w:color="auto"/>
          </w:tcBorders>
          <w:tcMar>
            <w:top w:w="142" w:type="dxa"/>
            <w:bottom w:w="0" w:type="dxa"/>
          </w:tcMar>
        </w:tcPr>
        <w:p w14:paraId="4F9E6BE8" w14:textId="77777777" w:rsidR="00CC32F3" w:rsidRPr="00487162" w:rsidRDefault="00CC32F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553B7">
            <w:fldChar w:fldCharType="begin"/>
          </w:r>
          <w:r w:rsidR="005553B7">
            <w:instrText xml:space="preserve"> NUMPAGES  </w:instrText>
          </w:r>
          <w:r w:rsidR="005553B7">
            <w:fldChar w:fldCharType="separate"/>
          </w:r>
          <w:r>
            <w:rPr>
              <w:noProof/>
            </w:rPr>
            <w:t>1</w:t>
          </w:r>
          <w:r w:rsidR="005553B7">
            <w:rPr>
              <w:noProof/>
            </w:rPr>
            <w:fldChar w:fldCharType="end"/>
          </w:r>
        </w:p>
      </w:tc>
    </w:tr>
  </w:tbl>
  <w:p w14:paraId="5BB9CE58" w14:textId="77777777" w:rsidR="00CC32F3" w:rsidRDefault="00CC32F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1F2ED" w14:textId="77777777" w:rsidR="00CC32F3" w:rsidRDefault="00CC32F3"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C32F3" w14:paraId="59AD2353" w14:textId="77777777" w:rsidTr="0010601F">
      <w:trPr>
        <w:trHeight w:val="108"/>
      </w:trPr>
      <w:tc>
        <w:tcPr>
          <w:tcW w:w="8875" w:type="dxa"/>
          <w:gridSpan w:val="2"/>
          <w:tcBorders>
            <w:bottom w:val="single" w:sz="4" w:space="0" w:color="auto"/>
          </w:tcBorders>
          <w:tcMar>
            <w:right w:w="284" w:type="dxa"/>
          </w:tcMar>
        </w:tcPr>
        <w:p w14:paraId="3425A29A" w14:textId="77777777" w:rsidR="00CC32F3" w:rsidRDefault="00CC32F3" w:rsidP="006E08B3">
          <w:pPr>
            <w:pStyle w:val="Heading3"/>
          </w:pPr>
          <w:r>
            <w:t>Copyright</w:t>
          </w:r>
        </w:p>
        <w:p w14:paraId="22DBBC2C" w14:textId="77777777" w:rsidR="00CC32F3" w:rsidRDefault="00CC32F3" w:rsidP="006E08B3">
          <w:r>
            <w:rPr>
              <w:rFonts w:cs="Arial"/>
            </w:rPr>
            <w:t>©</w:t>
          </w:r>
          <w:r>
            <w:t xml:space="preserve"> Commonwealth of Australia [add year]</w:t>
          </w:r>
        </w:p>
        <w:p w14:paraId="62CEAFBC" w14:textId="77777777" w:rsidR="00CC32F3" w:rsidRDefault="00CC32F3" w:rsidP="006E08B3"/>
        <w:p w14:paraId="2E38B1A4" w14:textId="77777777" w:rsidR="00CC32F3" w:rsidRDefault="00CC32F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0039B19" w14:textId="77777777" w:rsidR="00CC32F3" w:rsidRDefault="00CC32F3" w:rsidP="006E08B3"/>
        <w:p w14:paraId="3561E29A" w14:textId="77777777" w:rsidR="00CC32F3" w:rsidRDefault="00CC32F3" w:rsidP="006E08B3">
          <w:pPr>
            <w:pStyle w:val="Heading3"/>
          </w:pPr>
          <w:r>
            <w:t>Confidentiality</w:t>
          </w:r>
        </w:p>
        <w:p w14:paraId="073F0398" w14:textId="77777777" w:rsidR="00CC32F3" w:rsidRDefault="00CC32F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77982F0" w14:textId="77777777" w:rsidR="00CC32F3" w:rsidRDefault="00CC32F3" w:rsidP="006E08B3"/>
        <w:p w14:paraId="2BA0E4D1" w14:textId="77777777" w:rsidR="00CC32F3" w:rsidRDefault="00CC32F3" w:rsidP="006E08B3">
          <w:r>
            <w:t>For submission made by individuals, all personal details, other than your name, will be removed from your submission before it is published on the TGA’s Internet site.</w:t>
          </w:r>
        </w:p>
        <w:p w14:paraId="5676DF2C" w14:textId="77777777" w:rsidR="00CC32F3" w:rsidRDefault="00CC32F3" w:rsidP="006E08B3"/>
        <w:p w14:paraId="295C6C22" w14:textId="77777777" w:rsidR="00CC32F3" w:rsidRDefault="00CC32F3" w:rsidP="006E08B3">
          <w:r>
            <w:t>In addition, a list of parties making submissions will be published. If you do not wish to be identified with your submission you must specifically request this in the space provided ib the submission coversheet.</w:t>
          </w:r>
        </w:p>
      </w:tc>
    </w:tr>
    <w:tr w:rsidR="00CC32F3" w14:paraId="39D2BF33" w14:textId="77777777" w:rsidTr="0010601F">
      <w:trPr>
        <w:trHeight w:val="417"/>
      </w:trPr>
      <w:tc>
        <w:tcPr>
          <w:tcW w:w="4519" w:type="dxa"/>
          <w:tcBorders>
            <w:top w:val="single" w:sz="4" w:space="0" w:color="auto"/>
          </w:tcBorders>
          <w:tcMar>
            <w:top w:w="142" w:type="dxa"/>
            <w:bottom w:w="0" w:type="dxa"/>
          </w:tcMar>
        </w:tcPr>
        <w:p w14:paraId="62311239" w14:textId="77777777" w:rsidR="00CC32F3" w:rsidRDefault="00CC32F3" w:rsidP="006E08B3">
          <w:r>
            <w:t>Document title, Part #, Section # - Section title</w:t>
          </w:r>
        </w:p>
        <w:p w14:paraId="0F950434" w14:textId="77777777" w:rsidR="00CC32F3" w:rsidRDefault="00CC32F3" w:rsidP="006E08B3">
          <w:r>
            <w:t>V1.0 October 2010</w:t>
          </w:r>
        </w:p>
      </w:tc>
      <w:tc>
        <w:tcPr>
          <w:tcW w:w="4356" w:type="dxa"/>
          <w:tcBorders>
            <w:top w:val="single" w:sz="4" w:space="0" w:color="auto"/>
          </w:tcBorders>
          <w:tcMar>
            <w:top w:w="142" w:type="dxa"/>
            <w:bottom w:w="0" w:type="dxa"/>
          </w:tcMar>
        </w:tcPr>
        <w:p w14:paraId="62CEFD27" w14:textId="77777777" w:rsidR="00CC32F3" w:rsidRDefault="00CC32F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553B7">
            <w:fldChar w:fldCharType="begin"/>
          </w:r>
          <w:r w:rsidR="005553B7">
            <w:instrText xml:space="preserve"> NUMPAGES  \* Arabic </w:instrText>
          </w:r>
          <w:r w:rsidR="005553B7">
            <w:fldChar w:fldCharType="separate"/>
          </w:r>
          <w:r>
            <w:rPr>
              <w:noProof/>
            </w:rPr>
            <w:t>1</w:t>
          </w:r>
          <w:r w:rsidR="005553B7">
            <w:rPr>
              <w:noProof/>
            </w:rPr>
            <w:fldChar w:fldCharType="end"/>
          </w:r>
          <w:r>
            <w:t xml:space="preserve">  </w:t>
          </w:r>
        </w:p>
      </w:tc>
    </w:tr>
  </w:tbl>
  <w:p w14:paraId="64FDCEEF" w14:textId="77777777" w:rsidR="00CC32F3" w:rsidRDefault="00CC32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D4699" w14:textId="77777777" w:rsidR="00CC32F3" w:rsidRDefault="00CC32F3" w:rsidP="00C40A36">
      <w:pPr>
        <w:spacing w:after="0"/>
      </w:pPr>
      <w:r>
        <w:separator/>
      </w:r>
    </w:p>
  </w:footnote>
  <w:footnote w:type="continuationSeparator" w:id="0">
    <w:p w14:paraId="4AD60C0D" w14:textId="77777777" w:rsidR="00CC32F3" w:rsidRDefault="00CC32F3" w:rsidP="00C40A36">
      <w:pPr>
        <w:spacing w:after="0"/>
      </w:pPr>
      <w:r>
        <w:continuationSeparator/>
      </w:r>
    </w:p>
  </w:footnote>
  <w:footnote w:id="1">
    <w:p w14:paraId="0E55AD82" w14:textId="1CF5F9B1" w:rsidR="00CC32F3" w:rsidRPr="00584BC1" w:rsidRDefault="00CC32F3">
      <w:pPr>
        <w:pStyle w:val="FootnoteText"/>
        <w:rPr>
          <w:sz w:val="21"/>
          <w:lang w:val="en-GB"/>
        </w:rPr>
      </w:pPr>
      <w:r>
        <w:rPr>
          <w:rStyle w:val="FootnoteReference"/>
        </w:rPr>
        <w:footnoteRef/>
      </w:r>
      <w:r>
        <w:t xml:space="preserve"> </w:t>
      </w:r>
      <w:r w:rsidRPr="00584BC1">
        <w:rPr>
          <w:sz w:val="21"/>
        </w:rPr>
        <w:t xml:space="preserve">See </w:t>
      </w:r>
      <w:r>
        <w:rPr>
          <w:sz w:val="21"/>
        </w:rPr>
        <w:t xml:space="preserve">the following AusPAR for this submission: </w:t>
      </w:r>
      <w:r w:rsidRPr="00584BC1">
        <w:rPr>
          <w:sz w:val="21"/>
        </w:rPr>
        <w:t>AusPAR for Tresiba FlexTouch/Tresiba Penfill insulin degludec Novo Nordisk Pharmaceuticals Pty Ltd PM-</w:t>
      </w:r>
      <w:r w:rsidRPr="00584BC1">
        <w:rPr>
          <w:sz w:val="21"/>
          <w:lang w:eastAsia="en-AU"/>
        </w:rPr>
        <w:t>2016-02721-5</w:t>
      </w:r>
      <w:r>
        <w:rPr>
          <w:sz w:val="21"/>
          <w:lang w:eastAsia="en-AU"/>
        </w:rPr>
        <w:t>.</w:t>
      </w:r>
    </w:p>
  </w:footnote>
  <w:footnote w:id="2">
    <w:p w14:paraId="78D6528A" w14:textId="4F5824CD" w:rsidR="00CC32F3" w:rsidRPr="0033056D" w:rsidRDefault="00CC32F3" w:rsidP="00912111">
      <w:pPr>
        <w:pStyle w:val="FootnoteText"/>
        <w:rPr>
          <w:sz w:val="18"/>
          <w:szCs w:val="18"/>
        </w:rPr>
      </w:pPr>
      <w:r w:rsidRPr="0033056D">
        <w:rPr>
          <w:rStyle w:val="FootnoteReference"/>
          <w:sz w:val="18"/>
          <w:szCs w:val="18"/>
        </w:rPr>
        <w:footnoteRef/>
      </w:r>
      <w:r w:rsidRPr="0033056D">
        <w:rPr>
          <w:sz w:val="18"/>
          <w:szCs w:val="18"/>
        </w:rPr>
        <w:t xml:space="preserve"> </w:t>
      </w:r>
      <w:proofErr w:type="gramStart"/>
      <w:r w:rsidRPr="0033056D">
        <w:rPr>
          <w:sz w:val="18"/>
          <w:szCs w:val="18"/>
        </w:rPr>
        <w:t>Australian Institute of Health and Welfare (AIHW) website; aihw.gov.au.</w:t>
      </w:r>
      <w:proofErr w:type="gramEnd"/>
    </w:p>
  </w:footnote>
  <w:footnote w:id="3">
    <w:p w14:paraId="5129817A" w14:textId="648D31E4" w:rsidR="00CC32F3" w:rsidRPr="0033056D" w:rsidRDefault="00CC32F3" w:rsidP="00912111">
      <w:pPr>
        <w:pStyle w:val="FootnoteText"/>
        <w:rPr>
          <w:sz w:val="18"/>
          <w:szCs w:val="18"/>
        </w:rPr>
      </w:pPr>
      <w:r w:rsidRPr="0033056D">
        <w:rPr>
          <w:rStyle w:val="FootnoteReference"/>
          <w:sz w:val="18"/>
          <w:szCs w:val="18"/>
        </w:rPr>
        <w:footnoteRef/>
      </w:r>
      <w:r w:rsidRPr="0033056D">
        <w:rPr>
          <w:sz w:val="18"/>
          <w:szCs w:val="18"/>
        </w:rPr>
        <w:t xml:space="preserve"> Incidence of insulin treated diabetes in Australia 2000 to 2011, Australian Institute of Health and Welfare (AIHW), Diabetes series number 22. 29 April 2014.</w:t>
      </w:r>
    </w:p>
  </w:footnote>
  <w:footnote w:id="4">
    <w:p w14:paraId="718E633E" w14:textId="2C632650" w:rsidR="00CC32F3" w:rsidRPr="0033056D" w:rsidRDefault="00CC32F3" w:rsidP="00EF15D1">
      <w:pPr>
        <w:pStyle w:val="FootnoteText"/>
        <w:rPr>
          <w:sz w:val="18"/>
          <w:szCs w:val="18"/>
        </w:rPr>
      </w:pPr>
      <w:r w:rsidRPr="0033056D">
        <w:rPr>
          <w:rStyle w:val="FootnoteReference"/>
          <w:sz w:val="18"/>
          <w:szCs w:val="18"/>
        </w:rPr>
        <w:footnoteRef/>
      </w:r>
      <w:r w:rsidRPr="0033056D">
        <w:rPr>
          <w:sz w:val="18"/>
          <w:szCs w:val="18"/>
        </w:rPr>
        <w:t xml:space="preserve"> Diabetes: management (published November 2013). In eTG complete (internet) Melbourne: Therapeutic Guidelines Limited; July 2016.</w:t>
      </w:r>
    </w:p>
  </w:footnote>
  <w:footnote w:id="5">
    <w:p w14:paraId="1F54FF0F" w14:textId="590E4178" w:rsidR="00CC32F3" w:rsidRPr="00BB64EA" w:rsidRDefault="00CC32F3" w:rsidP="003B216D">
      <w:pPr>
        <w:pStyle w:val="FootnoteText"/>
        <w:rPr>
          <w:sz w:val="18"/>
          <w:szCs w:val="18"/>
        </w:rPr>
      </w:pPr>
      <w:r w:rsidRPr="00BB64EA">
        <w:rPr>
          <w:rStyle w:val="FootnoteReference"/>
          <w:sz w:val="18"/>
          <w:szCs w:val="18"/>
        </w:rPr>
        <w:footnoteRef/>
      </w:r>
      <w:r w:rsidRPr="00BB64EA">
        <w:rPr>
          <w:sz w:val="18"/>
          <w:szCs w:val="18"/>
        </w:rPr>
        <w:t xml:space="preserve"> </w:t>
      </w:r>
      <w:proofErr w:type="gramStart"/>
      <w:r w:rsidRPr="00BB64EA">
        <w:rPr>
          <w:sz w:val="18"/>
          <w:szCs w:val="18"/>
        </w:rPr>
        <w:t xml:space="preserve">Australian PI Mixtard 30/70 </w:t>
      </w:r>
      <w:r w:rsidRPr="00BB64EA">
        <w:rPr>
          <w:sz w:val="18"/>
          <w:szCs w:val="18"/>
          <w:lang w:val="en-GB"/>
        </w:rPr>
        <w:t xml:space="preserve">Biphasic isophane insulin injection </w:t>
      </w:r>
      <w:r w:rsidRPr="00BB64EA">
        <w:rPr>
          <w:sz w:val="18"/>
          <w:szCs w:val="18"/>
        </w:rPr>
        <w:t>neutral insulin (30%) and isophane insulin (70%).</w:t>
      </w:r>
      <w:proofErr w:type="gramEnd"/>
    </w:p>
  </w:footnote>
  <w:footnote w:id="6">
    <w:p w14:paraId="602FA8DC" w14:textId="1ACDB827" w:rsidR="00CC32F3" w:rsidRPr="00BB64EA" w:rsidRDefault="00CC32F3" w:rsidP="00607F38">
      <w:pPr>
        <w:pStyle w:val="FootnoteText"/>
        <w:rPr>
          <w:sz w:val="18"/>
          <w:szCs w:val="18"/>
        </w:rPr>
      </w:pPr>
      <w:r w:rsidRPr="00BB64EA">
        <w:rPr>
          <w:rStyle w:val="FootnoteReference"/>
          <w:sz w:val="18"/>
          <w:szCs w:val="18"/>
        </w:rPr>
        <w:footnoteRef/>
      </w:r>
      <w:r w:rsidRPr="00BB64EA">
        <w:rPr>
          <w:sz w:val="18"/>
          <w:szCs w:val="18"/>
        </w:rPr>
        <w:t xml:space="preserve"> </w:t>
      </w:r>
      <w:proofErr w:type="gramStart"/>
      <w:r w:rsidRPr="00BB64EA">
        <w:rPr>
          <w:sz w:val="18"/>
          <w:szCs w:val="18"/>
        </w:rPr>
        <w:t>The Royal Australian College of General Practitioners.</w:t>
      </w:r>
      <w:proofErr w:type="gramEnd"/>
      <w:r w:rsidRPr="00BB64EA">
        <w:rPr>
          <w:sz w:val="18"/>
          <w:szCs w:val="18"/>
        </w:rPr>
        <w:t xml:space="preserve"> General practice management of type 2 diabetes: 2016-18. East Melbourne, Vic: RACGP, 2016.</w:t>
      </w:r>
    </w:p>
  </w:footnote>
  <w:footnote w:id="7">
    <w:p w14:paraId="5FA2E1D0" w14:textId="23DA8D9A" w:rsidR="00CC32F3" w:rsidRPr="00BB64EA" w:rsidRDefault="00CC32F3" w:rsidP="001366C8">
      <w:pPr>
        <w:pStyle w:val="FootnoteText"/>
        <w:rPr>
          <w:sz w:val="18"/>
          <w:szCs w:val="18"/>
        </w:rPr>
      </w:pPr>
      <w:r w:rsidRPr="00BB64EA">
        <w:rPr>
          <w:rStyle w:val="FootnoteReference"/>
          <w:sz w:val="18"/>
          <w:szCs w:val="18"/>
        </w:rPr>
        <w:footnoteRef/>
      </w:r>
      <w:r w:rsidRPr="00BB64EA">
        <w:rPr>
          <w:sz w:val="18"/>
          <w:szCs w:val="18"/>
        </w:rPr>
        <w:t xml:space="preserve"> </w:t>
      </w:r>
      <w:proofErr w:type="gramStart"/>
      <w:r w:rsidRPr="00BB64EA">
        <w:rPr>
          <w:sz w:val="18"/>
          <w:szCs w:val="18"/>
        </w:rPr>
        <w:t>European Medicines Agency.</w:t>
      </w:r>
      <w:proofErr w:type="gramEnd"/>
      <w:r w:rsidRPr="00BB64EA">
        <w:rPr>
          <w:sz w:val="18"/>
          <w:szCs w:val="18"/>
        </w:rPr>
        <w:t xml:space="preserve"> 2012. Guideline on clinical investigation of medicinal products in the treatment or prevention of diabetes mellitus. </w:t>
      </w:r>
      <w:proofErr w:type="gramStart"/>
      <w:r w:rsidRPr="00BB64EA">
        <w:rPr>
          <w:sz w:val="18"/>
          <w:szCs w:val="18"/>
        </w:rPr>
        <w:t>CPMP/EWP/1080/00 Rev.1.</w:t>
      </w:r>
      <w:proofErr w:type="gramEnd"/>
    </w:p>
  </w:footnote>
  <w:footnote w:id="8">
    <w:p w14:paraId="04CF4B09" w14:textId="24D369BE" w:rsidR="00CC32F3" w:rsidRPr="00BB64EA" w:rsidRDefault="00CC32F3" w:rsidP="00966EFA">
      <w:pPr>
        <w:pStyle w:val="FootnoteText"/>
        <w:rPr>
          <w:sz w:val="18"/>
          <w:szCs w:val="18"/>
          <w:lang w:val="en-GB"/>
        </w:rPr>
      </w:pPr>
      <w:r w:rsidRPr="00BB64EA">
        <w:rPr>
          <w:rStyle w:val="FootnoteReference"/>
          <w:sz w:val="18"/>
          <w:szCs w:val="18"/>
        </w:rPr>
        <w:footnoteRef/>
      </w:r>
      <w:r w:rsidRPr="00BB64EA">
        <w:rPr>
          <w:sz w:val="18"/>
          <w:szCs w:val="18"/>
        </w:rPr>
        <w:t xml:space="preserve"> European Public Assessment Report (EPAR) for Ryzodeg insulin degludec/insulin aspart, </w:t>
      </w:r>
      <w:r w:rsidRPr="00BB64EA">
        <w:rPr>
          <w:sz w:val="18"/>
          <w:szCs w:val="18"/>
          <w:lang w:val="en-GB"/>
        </w:rPr>
        <w:t xml:space="preserve">18 October 2012 EMA/700472/2012. </w:t>
      </w:r>
      <w:proofErr w:type="gramStart"/>
      <w:r w:rsidRPr="00BB64EA">
        <w:rPr>
          <w:sz w:val="18"/>
          <w:szCs w:val="18"/>
          <w:lang w:val="en-GB"/>
        </w:rPr>
        <w:t>Committee for Medicinal Products for Human Use (CHMP) Procedure No.</w:t>
      </w:r>
      <w:proofErr w:type="gramEnd"/>
      <w:r w:rsidRPr="00BB64EA">
        <w:rPr>
          <w:sz w:val="18"/>
          <w:szCs w:val="18"/>
          <w:lang w:val="en-GB"/>
        </w:rPr>
        <w:t xml:space="preserve"> </w:t>
      </w:r>
      <w:proofErr w:type="gramStart"/>
      <w:r w:rsidRPr="00BB64EA">
        <w:rPr>
          <w:sz w:val="18"/>
          <w:szCs w:val="18"/>
          <w:lang w:val="en-GB"/>
        </w:rPr>
        <w:t>EMEA/H/C/002499</w:t>
      </w:r>
      <w:r w:rsidRPr="00BB64EA">
        <w:rPr>
          <w:sz w:val="18"/>
          <w:szCs w:val="18"/>
        </w:rPr>
        <w:t>; Product Information, as per EMA website, last updated on 30 August 2016.</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C047F" w14:textId="77777777" w:rsidR="00CC32F3" w:rsidRDefault="00CC32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68596" w14:textId="77777777" w:rsidR="00CC32F3" w:rsidRDefault="00CC32F3"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0BA2" w14:textId="77777777" w:rsidR="00CC32F3" w:rsidRDefault="00CC32F3">
    <w:pPr>
      <w:rPr>
        <w:noProof/>
        <w:lang w:eastAsia="en-AU"/>
      </w:rPr>
    </w:pPr>
    <w:r w:rsidRPr="002D545C">
      <w:rPr>
        <w:noProof/>
        <w:lang w:eastAsia="en-AU"/>
      </w:rPr>
      <w:drawing>
        <wp:anchor distT="0" distB="0" distL="114300" distR="114300" simplePos="0" relativeHeight="251659264" behindDoc="1" locked="0" layoutInCell="1" allowOverlap="1" wp14:anchorId="245900A2" wp14:editId="057A098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E1C2FE0" w14:textId="77777777" w:rsidR="00CC32F3" w:rsidRDefault="00CC32F3" w:rsidP="00593AD1">
    <w:pPr>
      <w:pStyle w:val="HeaderNoLine"/>
    </w:pPr>
    <w:r>
      <w:rPr>
        <w:noProof/>
        <w:lang w:eastAsia="en-AU"/>
      </w:rPr>
      <w:drawing>
        <wp:inline distT="0" distB="0" distL="0" distR="0" wp14:anchorId="35CCBFEF" wp14:editId="7C19403F">
          <wp:extent cx="5400675" cy="7639050"/>
          <wp:effectExtent l="0" t="0" r="9525" b="0"/>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C6D2F" w14:textId="77777777" w:rsidR="00CC32F3" w:rsidRDefault="00CC32F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5BEB1" w14:textId="77777777" w:rsidR="00CC32F3" w:rsidRDefault="00CC32F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3735C" w14:textId="77777777" w:rsidR="00CC32F3" w:rsidRDefault="00CC32F3">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D80C8" w14:textId="77777777" w:rsidR="00CC32F3" w:rsidRDefault="00CC32F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E30FB" w14:textId="77777777" w:rsidR="00CC32F3" w:rsidRDefault="00CC32F3"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8B82F" w14:textId="77777777" w:rsidR="00CC32F3" w:rsidRDefault="00CC32F3" w:rsidP="006E08B3">
    <w:r>
      <w:t>Therapeutic Goods Administration</w:t>
    </w:r>
  </w:p>
  <w:p w14:paraId="1F3EBCEA" w14:textId="77777777" w:rsidR="00CC32F3" w:rsidRDefault="00CC32F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E7A9A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CD20370"/>
    <w:lvl w:ilvl="0">
      <w:start w:val="1"/>
      <w:numFmt w:val="decimal"/>
      <w:lvlText w:val="%1."/>
      <w:lvlJc w:val="left"/>
      <w:pPr>
        <w:tabs>
          <w:tab w:val="num" w:pos="1800"/>
        </w:tabs>
        <w:ind w:left="1800" w:hanging="360"/>
      </w:pPr>
    </w:lvl>
  </w:abstractNum>
  <w:abstractNum w:abstractNumId="2">
    <w:nsid w:val="FFFFFF7D"/>
    <w:multiLevelType w:val="singleLevel"/>
    <w:tmpl w:val="5B3EB08C"/>
    <w:lvl w:ilvl="0">
      <w:start w:val="1"/>
      <w:numFmt w:val="decimal"/>
      <w:lvlText w:val="%1."/>
      <w:lvlJc w:val="left"/>
      <w:pPr>
        <w:tabs>
          <w:tab w:val="num" w:pos="1440"/>
        </w:tabs>
        <w:ind w:left="1440" w:hanging="360"/>
      </w:pPr>
    </w:lvl>
  </w:abstractNum>
  <w:abstractNum w:abstractNumId="3">
    <w:nsid w:val="FFFFFF7E"/>
    <w:multiLevelType w:val="singleLevel"/>
    <w:tmpl w:val="09D4662E"/>
    <w:lvl w:ilvl="0">
      <w:start w:val="1"/>
      <w:numFmt w:val="decimal"/>
      <w:lvlText w:val="%1."/>
      <w:lvlJc w:val="left"/>
      <w:pPr>
        <w:tabs>
          <w:tab w:val="num" w:pos="1080"/>
        </w:tabs>
        <w:ind w:left="1080" w:hanging="360"/>
      </w:pPr>
    </w:lvl>
  </w:abstractNum>
  <w:abstractNum w:abstractNumId="4">
    <w:nsid w:val="FFFFFF7F"/>
    <w:multiLevelType w:val="singleLevel"/>
    <w:tmpl w:val="92A42A68"/>
    <w:lvl w:ilvl="0">
      <w:start w:val="1"/>
      <w:numFmt w:val="decimal"/>
      <w:lvlText w:val="%1."/>
      <w:lvlJc w:val="left"/>
      <w:pPr>
        <w:tabs>
          <w:tab w:val="num" w:pos="720"/>
        </w:tabs>
        <w:ind w:left="720" w:hanging="360"/>
      </w:pPr>
    </w:lvl>
  </w:abstractNum>
  <w:abstractNum w:abstractNumId="5">
    <w:nsid w:val="FFFFFF80"/>
    <w:multiLevelType w:val="singleLevel"/>
    <w:tmpl w:val="26BA0CB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C829038"/>
    <w:lvl w:ilvl="0">
      <w:start w:val="1"/>
      <w:numFmt w:val="bullet"/>
      <w:lvlText w:val=""/>
      <w:lvlJc w:val="left"/>
      <w:pPr>
        <w:tabs>
          <w:tab w:val="num" w:pos="1440"/>
        </w:tabs>
        <w:ind w:left="1440" w:hanging="360"/>
      </w:pPr>
      <w:rPr>
        <w:rFonts w:ascii="Symbol" w:hAnsi="Symbol" w:hint="default"/>
      </w:rPr>
    </w:lvl>
  </w:abstractNum>
  <w:abstractNum w:abstractNumId="7">
    <w:nsid w:val="FFFFFF88"/>
    <w:multiLevelType w:val="singleLevel"/>
    <w:tmpl w:val="C7B4E096"/>
    <w:lvl w:ilvl="0">
      <w:start w:val="1"/>
      <w:numFmt w:val="decimal"/>
      <w:lvlText w:val="%1."/>
      <w:lvlJc w:val="left"/>
      <w:pPr>
        <w:tabs>
          <w:tab w:val="num" w:pos="360"/>
        </w:tabs>
        <w:ind w:left="360" w:hanging="360"/>
      </w:pPr>
    </w:lvl>
  </w:abstractNum>
  <w:abstractNum w:abstractNumId="8">
    <w:nsid w:val="07296140"/>
    <w:multiLevelType w:val="hybridMultilevel"/>
    <w:tmpl w:val="649C3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3066740A"/>
    <w:multiLevelType w:val="hybridMultilevel"/>
    <w:tmpl w:val="DD26A3C8"/>
    <w:lvl w:ilvl="0" w:tplc="AAAE3F22">
      <w:start w:val="1"/>
      <w:numFmt w:val="bullet"/>
      <w:pStyle w:val="Bullet1"/>
      <w:lvlText w:val="•"/>
      <w:lvlJc w:val="left"/>
      <w:pPr>
        <w:tabs>
          <w:tab w:val="num" w:pos="851"/>
        </w:tabs>
        <w:ind w:left="851" w:hanging="284"/>
      </w:pPr>
      <w:rPr>
        <w:rFonts w:ascii="Times New Roman" w:hAnsi="Times New Roman" w:cs="Times New Roman" w:hint="default"/>
      </w:rPr>
    </w:lvl>
    <w:lvl w:ilvl="1" w:tplc="0C090003">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5ADF59EA"/>
    <w:multiLevelType w:val="hybridMultilevel"/>
    <w:tmpl w:val="DB26FE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37D75AA"/>
    <w:multiLevelType w:val="hybridMultilevel"/>
    <w:tmpl w:val="76CCCA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1"/>
  </w:num>
  <w:num w:numId="4">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7"/>
  </w:num>
  <w:num w:numId="6">
    <w:abstractNumId w:val="18"/>
  </w:num>
  <w:num w:numId="7">
    <w:abstractNumId w:val="12"/>
  </w:num>
  <w:num w:numId="8">
    <w:abstractNumId w:val="13"/>
  </w:num>
  <w:num w:numId="9">
    <w:abstractNumId w:val="9"/>
  </w:num>
  <w:num w:numId="10">
    <w:abstractNumId w:val="16"/>
  </w:num>
  <w:num w:numId="11">
    <w:abstractNumId w:val="8"/>
  </w:num>
  <w:num w:numId="12">
    <w:abstractNumId w:val="15"/>
  </w:num>
  <w:num w:numId="13">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0"/>
  </w:num>
  <w:num w:numId="17">
    <w:abstractNumId w:val="1"/>
  </w:num>
  <w:num w:numId="18">
    <w:abstractNumId w:val="2"/>
  </w:num>
  <w:num w:numId="19">
    <w:abstractNumId w:val="3"/>
  </w:num>
  <w:num w:numId="20">
    <w:abstractNumId w:val="4"/>
  </w:num>
  <w:num w:numId="21">
    <w:abstractNumId w:val="7"/>
  </w:num>
  <w:num w:numId="22">
    <w:abstractNumId w:val="5"/>
  </w:num>
  <w:num w:numId="23">
    <w:abstractNumId w:val="6"/>
  </w:num>
  <w:numIdMacAtCleanup w:val="1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4E8"/>
    <w:rsid w:val="00002031"/>
    <w:rsid w:val="00004734"/>
    <w:rsid w:val="00006B22"/>
    <w:rsid w:val="00011817"/>
    <w:rsid w:val="0001276A"/>
    <w:rsid w:val="0001672C"/>
    <w:rsid w:val="000246AE"/>
    <w:rsid w:val="00025C67"/>
    <w:rsid w:val="00040ACB"/>
    <w:rsid w:val="00052A4F"/>
    <w:rsid w:val="0005559E"/>
    <w:rsid w:val="00065D6A"/>
    <w:rsid w:val="00073FD6"/>
    <w:rsid w:val="0007655B"/>
    <w:rsid w:val="00077775"/>
    <w:rsid w:val="000864B2"/>
    <w:rsid w:val="0008777F"/>
    <w:rsid w:val="00090471"/>
    <w:rsid w:val="00090E68"/>
    <w:rsid w:val="0009307E"/>
    <w:rsid w:val="00097B5E"/>
    <w:rsid w:val="000A3AED"/>
    <w:rsid w:val="000A5525"/>
    <w:rsid w:val="000A5967"/>
    <w:rsid w:val="000A63AF"/>
    <w:rsid w:val="000A7910"/>
    <w:rsid w:val="000B3532"/>
    <w:rsid w:val="000B3A75"/>
    <w:rsid w:val="000C690F"/>
    <w:rsid w:val="000D1295"/>
    <w:rsid w:val="000D391B"/>
    <w:rsid w:val="000D3D6D"/>
    <w:rsid w:val="000D4FC7"/>
    <w:rsid w:val="000F02F9"/>
    <w:rsid w:val="000F24B5"/>
    <w:rsid w:val="000F4869"/>
    <w:rsid w:val="000F5B42"/>
    <w:rsid w:val="000F6E6F"/>
    <w:rsid w:val="0010193C"/>
    <w:rsid w:val="00104613"/>
    <w:rsid w:val="0010601F"/>
    <w:rsid w:val="0010788A"/>
    <w:rsid w:val="00107A31"/>
    <w:rsid w:val="00110EA5"/>
    <w:rsid w:val="00112F56"/>
    <w:rsid w:val="001207E1"/>
    <w:rsid w:val="00125318"/>
    <w:rsid w:val="001305A2"/>
    <w:rsid w:val="00133238"/>
    <w:rsid w:val="001366C8"/>
    <w:rsid w:val="0014145D"/>
    <w:rsid w:val="0014197B"/>
    <w:rsid w:val="001447CD"/>
    <w:rsid w:val="00147860"/>
    <w:rsid w:val="001501AA"/>
    <w:rsid w:val="00150DD2"/>
    <w:rsid w:val="001516B1"/>
    <w:rsid w:val="00152FC6"/>
    <w:rsid w:val="00154EBB"/>
    <w:rsid w:val="00156316"/>
    <w:rsid w:val="00165389"/>
    <w:rsid w:val="0017078F"/>
    <w:rsid w:val="0017693F"/>
    <w:rsid w:val="0018110E"/>
    <w:rsid w:val="00181684"/>
    <w:rsid w:val="00181C3A"/>
    <w:rsid w:val="001839C3"/>
    <w:rsid w:val="001843C6"/>
    <w:rsid w:val="001850E0"/>
    <w:rsid w:val="00191E4D"/>
    <w:rsid w:val="001A2158"/>
    <w:rsid w:val="001A525F"/>
    <w:rsid w:val="001A79C4"/>
    <w:rsid w:val="001B09F9"/>
    <w:rsid w:val="001B24E7"/>
    <w:rsid w:val="001B2774"/>
    <w:rsid w:val="001B5D98"/>
    <w:rsid w:val="001B6448"/>
    <w:rsid w:val="001C657B"/>
    <w:rsid w:val="001C73D6"/>
    <w:rsid w:val="001D4399"/>
    <w:rsid w:val="001E07CF"/>
    <w:rsid w:val="001E59F1"/>
    <w:rsid w:val="001F1326"/>
    <w:rsid w:val="001F497A"/>
    <w:rsid w:val="001F49EB"/>
    <w:rsid w:val="001F6CBA"/>
    <w:rsid w:val="00201D4E"/>
    <w:rsid w:val="002076C9"/>
    <w:rsid w:val="00213545"/>
    <w:rsid w:val="00220B8A"/>
    <w:rsid w:val="002257F3"/>
    <w:rsid w:val="0022626B"/>
    <w:rsid w:val="00233456"/>
    <w:rsid w:val="002339A5"/>
    <w:rsid w:val="00250FA0"/>
    <w:rsid w:val="00254EAE"/>
    <w:rsid w:val="00257848"/>
    <w:rsid w:val="002666AC"/>
    <w:rsid w:val="0027084A"/>
    <w:rsid w:val="00284686"/>
    <w:rsid w:val="00286434"/>
    <w:rsid w:val="00286C59"/>
    <w:rsid w:val="00292113"/>
    <w:rsid w:val="00292776"/>
    <w:rsid w:val="002942D1"/>
    <w:rsid w:val="0029501A"/>
    <w:rsid w:val="002B1638"/>
    <w:rsid w:val="002C36E9"/>
    <w:rsid w:val="002C63ED"/>
    <w:rsid w:val="002C6EC8"/>
    <w:rsid w:val="002D545C"/>
    <w:rsid w:val="002D6161"/>
    <w:rsid w:val="002E2E35"/>
    <w:rsid w:val="002E4C9A"/>
    <w:rsid w:val="002E6E3E"/>
    <w:rsid w:val="002F0A28"/>
    <w:rsid w:val="002F11F8"/>
    <w:rsid w:val="002F3F56"/>
    <w:rsid w:val="002F44B5"/>
    <w:rsid w:val="00311AC0"/>
    <w:rsid w:val="00311DA1"/>
    <w:rsid w:val="0032583B"/>
    <w:rsid w:val="00327883"/>
    <w:rsid w:val="003278F2"/>
    <w:rsid w:val="0033056D"/>
    <w:rsid w:val="00335504"/>
    <w:rsid w:val="00337B63"/>
    <w:rsid w:val="003442FE"/>
    <w:rsid w:val="00350055"/>
    <w:rsid w:val="003521E8"/>
    <w:rsid w:val="003524E2"/>
    <w:rsid w:val="003728F3"/>
    <w:rsid w:val="0037496E"/>
    <w:rsid w:val="0037623D"/>
    <w:rsid w:val="00380929"/>
    <w:rsid w:val="00383CF3"/>
    <w:rsid w:val="00386150"/>
    <w:rsid w:val="00386BEF"/>
    <w:rsid w:val="003874CE"/>
    <w:rsid w:val="00390900"/>
    <w:rsid w:val="00396C92"/>
    <w:rsid w:val="003A190C"/>
    <w:rsid w:val="003A7F6C"/>
    <w:rsid w:val="003B0E43"/>
    <w:rsid w:val="003B1113"/>
    <w:rsid w:val="003B216D"/>
    <w:rsid w:val="003B4D60"/>
    <w:rsid w:val="003B634F"/>
    <w:rsid w:val="003B7E39"/>
    <w:rsid w:val="003C58DC"/>
    <w:rsid w:val="003D0128"/>
    <w:rsid w:val="003D0A3B"/>
    <w:rsid w:val="003D1E62"/>
    <w:rsid w:val="003D7B9C"/>
    <w:rsid w:val="003E2486"/>
    <w:rsid w:val="003E3208"/>
    <w:rsid w:val="003E7221"/>
    <w:rsid w:val="003F0B04"/>
    <w:rsid w:val="003F62D9"/>
    <w:rsid w:val="0040134E"/>
    <w:rsid w:val="00403F0E"/>
    <w:rsid w:val="00415D59"/>
    <w:rsid w:val="00423072"/>
    <w:rsid w:val="00425634"/>
    <w:rsid w:val="00431C33"/>
    <w:rsid w:val="0043797D"/>
    <w:rsid w:val="00440A2D"/>
    <w:rsid w:val="004416C6"/>
    <w:rsid w:val="00446BE7"/>
    <w:rsid w:val="00450F9A"/>
    <w:rsid w:val="004564A7"/>
    <w:rsid w:val="004617BF"/>
    <w:rsid w:val="00463658"/>
    <w:rsid w:val="004722CC"/>
    <w:rsid w:val="004846EE"/>
    <w:rsid w:val="004936E4"/>
    <w:rsid w:val="00493A99"/>
    <w:rsid w:val="00494E60"/>
    <w:rsid w:val="00497487"/>
    <w:rsid w:val="004A367C"/>
    <w:rsid w:val="004A7E13"/>
    <w:rsid w:val="004B7B76"/>
    <w:rsid w:val="004C2DCA"/>
    <w:rsid w:val="004D297A"/>
    <w:rsid w:val="004D6A44"/>
    <w:rsid w:val="004F0F38"/>
    <w:rsid w:val="004F4AF5"/>
    <w:rsid w:val="00501921"/>
    <w:rsid w:val="00522675"/>
    <w:rsid w:val="00530354"/>
    <w:rsid w:val="0053625B"/>
    <w:rsid w:val="005434C6"/>
    <w:rsid w:val="00543B39"/>
    <w:rsid w:val="00544EA6"/>
    <w:rsid w:val="00550096"/>
    <w:rsid w:val="00553203"/>
    <w:rsid w:val="00554F6A"/>
    <w:rsid w:val="005553B7"/>
    <w:rsid w:val="00557FF9"/>
    <w:rsid w:val="00576378"/>
    <w:rsid w:val="00577945"/>
    <w:rsid w:val="00577E38"/>
    <w:rsid w:val="00584BC1"/>
    <w:rsid w:val="00585322"/>
    <w:rsid w:val="005857C6"/>
    <w:rsid w:val="00586F98"/>
    <w:rsid w:val="005874E2"/>
    <w:rsid w:val="00592F6E"/>
    <w:rsid w:val="00593AD1"/>
    <w:rsid w:val="0059506E"/>
    <w:rsid w:val="005A41C2"/>
    <w:rsid w:val="005A44E3"/>
    <w:rsid w:val="005A68B6"/>
    <w:rsid w:val="005B25F6"/>
    <w:rsid w:val="005B765C"/>
    <w:rsid w:val="005C3B74"/>
    <w:rsid w:val="005C5570"/>
    <w:rsid w:val="005C79A4"/>
    <w:rsid w:val="005D5442"/>
    <w:rsid w:val="00603F32"/>
    <w:rsid w:val="00607F38"/>
    <w:rsid w:val="00611FB6"/>
    <w:rsid w:val="0061377F"/>
    <w:rsid w:val="006170F0"/>
    <w:rsid w:val="00620406"/>
    <w:rsid w:val="00632398"/>
    <w:rsid w:val="00640FC3"/>
    <w:rsid w:val="00642020"/>
    <w:rsid w:val="00646206"/>
    <w:rsid w:val="00652CFC"/>
    <w:rsid w:val="0065337B"/>
    <w:rsid w:val="006539B7"/>
    <w:rsid w:val="0065419D"/>
    <w:rsid w:val="00656251"/>
    <w:rsid w:val="006604D8"/>
    <w:rsid w:val="00660E55"/>
    <w:rsid w:val="00664A5B"/>
    <w:rsid w:val="006763D2"/>
    <w:rsid w:val="00680C08"/>
    <w:rsid w:val="00682C63"/>
    <w:rsid w:val="0068662E"/>
    <w:rsid w:val="006931B1"/>
    <w:rsid w:val="006A15C0"/>
    <w:rsid w:val="006B10A3"/>
    <w:rsid w:val="006B4C50"/>
    <w:rsid w:val="006C130C"/>
    <w:rsid w:val="006C3E2A"/>
    <w:rsid w:val="006C642F"/>
    <w:rsid w:val="006D03E5"/>
    <w:rsid w:val="006D0C09"/>
    <w:rsid w:val="006D2393"/>
    <w:rsid w:val="006D5D3E"/>
    <w:rsid w:val="006D7721"/>
    <w:rsid w:val="006E08B3"/>
    <w:rsid w:val="006F17AC"/>
    <w:rsid w:val="006F1D37"/>
    <w:rsid w:val="006F26D0"/>
    <w:rsid w:val="006F2796"/>
    <w:rsid w:val="006F572E"/>
    <w:rsid w:val="007046D6"/>
    <w:rsid w:val="00705DB0"/>
    <w:rsid w:val="00707EC7"/>
    <w:rsid w:val="007229B4"/>
    <w:rsid w:val="00722B57"/>
    <w:rsid w:val="00726BBD"/>
    <w:rsid w:val="00730C84"/>
    <w:rsid w:val="0074253D"/>
    <w:rsid w:val="0074429B"/>
    <w:rsid w:val="007513B4"/>
    <w:rsid w:val="00757C86"/>
    <w:rsid w:val="007615BC"/>
    <w:rsid w:val="00762291"/>
    <w:rsid w:val="00762F05"/>
    <w:rsid w:val="007652FF"/>
    <w:rsid w:val="007677A0"/>
    <w:rsid w:val="007704E6"/>
    <w:rsid w:val="00770EF1"/>
    <w:rsid w:val="00773EF7"/>
    <w:rsid w:val="00774E1D"/>
    <w:rsid w:val="0077675A"/>
    <w:rsid w:val="00780355"/>
    <w:rsid w:val="00785721"/>
    <w:rsid w:val="00790C7B"/>
    <w:rsid w:val="00793A59"/>
    <w:rsid w:val="007A517F"/>
    <w:rsid w:val="007B30C5"/>
    <w:rsid w:val="007B6E9F"/>
    <w:rsid w:val="007C1216"/>
    <w:rsid w:val="007C1AF7"/>
    <w:rsid w:val="007D5745"/>
    <w:rsid w:val="007E430B"/>
    <w:rsid w:val="007E521A"/>
    <w:rsid w:val="007E6E27"/>
    <w:rsid w:val="007F0E50"/>
    <w:rsid w:val="007F105E"/>
    <w:rsid w:val="007F30CD"/>
    <w:rsid w:val="007F3E00"/>
    <w:rsid w:val="0080446C"/>
    <w:rsid w:val="00805D27"/>
    <w:rsid w:val="00807AAB"/>
    <w:rsid w:val="00821776"/>
    <w:rsid w:val="0082696D"/>
    <w:rsid w:val="00827B57"/>
    <w:rsid w:val="008321F5"/>
    <w:rsid w:val="00832369"/>
    <w:rsid w:val="00832370"/>
    <w:rsid w:val="00833BF4"/>
    <w:rsid w:val="00834660"/>
    <w:rsid w:val="00834B3C"/>
    <w:rsid w:val="00836BC2"/>
    <w:rsid w:val="00840A32"/>
    <w:rsid w:val="008414A0"/>
    <w:rsid w:val="008420D0"/>
    <w:rsid w:val="00842D51"/>
    <w:rsid w:val="0085641B"/>
    <w:rsid w:val="00857136"/>
    <w:rsid w:val="008806D3"/>
    <w:rsid w:val="00886D15"/>
    <w:rsid w:val="00887DD8"/>
    <w:rsid w:val="00896018"/>
    <w:rsid w:val="008960DD"/>
    <w:rsid w:val="0089635C"/>
    <w:rsid w:val="008A2B9D"/>
    <w:rsid w:val="008A3C13"/>
    <w:rsid w:val="008A5E0B"/>
    <w:rsid w:val="008A6D59"/>
    <w:rsid w:val="008A70F2"/>
    <w:rsid w:val="008B3E05"/>
    <w:rsid w:val="008B4B03"/>
    <w:rsid w:val="008B596F"/>
    <w:rsid w:val="008B5A3E"/>
    <w:rsid w:val="008C159F"/>
    <w:rsid w:val="008C1623"/>
    <w:rsid w:val="008C1850"/>
    <w:rsid w:val="008C5107"/>
    <w:rsid w:val="008C51A9"/>
    <w:rsid w:val="008D770F"/>
    <w:rsid w:val="008E4E7C"/>
    <w:rsid w:val="008E7846"/>
    <w:rsid w:val="008F1CCC"/>
    <w:rsid w:val="008F2967"/>
    <w:rsid w:val="008F6943"/>
    <w:rsid w:val="008F69AF"/>
    <w:rsid w:val="00902726"/>
    <w:rsid w:val="00902A21"/>
    <w:rsid w:val="00906445"/>
    <w:rsid w:val="00906BB3"/>
    <w:rsid w:val="00910A26"/>
    <w:rsid w:val="00912111"/>
    <w:rsid w:val="00920330"/>
    <w:rsid w:val="009219D7"/>
    <w:rsid w:val="00922D53"/>
    <w:rsid w:val="00923B70"/>
    <w:rsid w:val="00924482"/>
    <w:rsid w:val="009278EB"/>
    <w:rsid w:val="00930237"/>
    <w:rsid w:val="00931AE2"/>
    <w:rsid w:val="009438E8"/>
    <w:rsid w:val="00944138"/>
    <w:rsid w:val="00945178"/>
    <w:rsid w:val="0094614A"/>
    <w:rsid w:val="00946EA5"/>
    <w:rsid w:val="0095160F"/>
    <w:rsid w:val="00952796"/>
    <w:rsid w:val="009605C1"/>
    <w:rsid w:val="00963C08"/>
    <w:rsid w:val="00966EFA"/>
    <w:rsid w:val="00981D66"/>
    <w:rsid w:val="0098560D"/>
    <w:rsid w:val="0098585A"/>
    <w:rsid w:val="0098669D"/>
    <w:rsid w:val="00994C95"/>
    <w:rsid w:val="009A4CED"/>
    <w:rsid w:val="009A690D"/>
    <w:rsid w:val="009B0FB9"/>
    <w:rsid w:val="009B1D12"/>
    <w:rsid w:val="009B416B"/>
    <w:rsid w:val="009C2058"/>
    <w:rsid w:val="009C4BD5"/>
    <w:rsid w:val="009C5BF5"/>
    <w:rsid w:val="009D7B77"/>
    <w:rsid w:val="009E06E4"/>
    <w:rsid w:val="009E0BB0"/>
    <w:rsid w:val="009E3FBB"/>
    <w:rsid w:val="009E4F37"/>
    <w:rsid w:val="009F4052"/>
    <w:rsid w:val="00A03498"/>
    <w:rsid w:val="00A102E4"/>
    <w:rsid w:val="00A128C1"/>
    <w:rsid w:val="00A12C42"/>
    <w:rsid w:val="00A14DF7"/>
    <w:rsid w:val="00A21900"/>
    <w:rsid w:val="00A235D9"/>
    <w:rsid w:val="00A30E49"/>
    <w:rsid w:val="00A3246D"/>
    <w:rsid w:val="00A36FA7"/>
    <w:rsid w:val="00A42804"/>
    <w:rsid w:val="00A475B7"/>
    <w:rsid w:val="00A47AF7"/>
    <w:rsid w:val="00A47C3E"/>
    <w:rsid w:val="00A50226"/>
    <w:rsid w:val="00A53DEC"/>
    <w:rsid w:val="00A60BAD"/>
    <w:rsid w:val="00A964D1"/>
    <w:rsid w:val="00AA0ED0"/>
    <w:rsid w:val="00AA1313"/>
    <w:rsid w:val="00AA3499"/>
    <w:rsid w:val="00AA6791"/>
    <w:rsid w:val="00AA746D"/>
    <w:rsid w:val="00AB05F0"/>
    <w:rsid w:val="00AC2B40"/>
    <w:rsid w:val="00AC2BB2"/>
    <w:rsid w:val="00AC2C3C"/>
    <w:rsid w:val="00AC512D"/>
    <w:rsid w:val="00AE01C2"/>
    <w:rsid w:val="00AE65EB"/>
    <w:rsid w:val="00AE67A7"/>
    <w:rsid w:val="00AF1D94"/>
    <w:rsid w:val="00AF315E"/>
    <w:rsid w:val="00AF5382"/>
    <w:rsid w:val="00AF60C5"/>
    <w:rsid w:val="00B009C6"/>
    <w:rsid w:val="00B01548"/>
    <w:rsid w:val="00B02208"/>
    <w:rsid w:val="00B1425E"/>
    <w:rsid w:val="00B17FC1"/>
    <w:rsid w:val="00B21D29"/>
    <w:rsid w:val="00B25034"/>
    <w:rsid w:val="00B275F4"/>
    <w:rsid w:val="00B27CF9"/>
    <w:rsid w:val="00B33588"/>
    <w:rsid w:val="00B33863"/>
    <w:rsid w:val="00B3567E"/>
    <w:rsid w:val="00B37D17"/>
    <w:rsid w:val="00B4175E"/>
    <w:rsid w:val="00B452CE"/>
    <w:rsid w:val="00B54C25"/>
    <w:rsid w:val="00B76B91"/>
    <w:rsid w:val="00B77EB1"/>
    <w:rsid w:val="00B8085E"/>
    <w:rsid w:val="00B811C6"/>
    <w:rsid w:val="00B85A87"/>
    <w:rsid w:val="00B92E08"/>
    <w:rsid w:val="00B94145"/>
    <w:rsid w:val="00B96EBE"/>
    <w:rsid w:val="00BA232A"/>
    <w:rsid w:val="00BB64EA"/>
    <w:rsid w:val="00BC622A"/>
    <w:rsid w:val="00BC6772"/>
    <w:rsid w:val="00BD0D21"/>
    <w:rsid w:val="00BD45E3"/>
    <w:rsid w:val="00BD46CF"/>
    <w:rsid w:val="00BE0A78"/>
    <w:rsid w:val="00BE1EDE"/>
    <w:rsid w:val="00BE32A6"/>
    <w:rsid w:val="00BE6252"/>
    <w:rsid w:val="00BE79F0"/>
    <w:rsid w:val="00BF046D"/>
    <w:rsid w:val="00BF1190"/>
    <w:rsid w:val="00BF5D04"/>
    <w:rsid w:val="00C015B8"/>
    <w:rsid w:val="00C1164D"/>
    <w:rsid w:val="00C137CE"/>
    <w:rsid w:val="00C16861"/>
    <w:rsid w:val="00C22678"/>
    <w:rsid w:val="00C404A6"/>
    <w:rsid w:val="00C40A36"/>
    <w:rsid w:val="00C44419"/>
    <w:rsid w:val="00C45E7B"/>
    <w:rsid w:val="00C4625F"/>
    <w:rsid w:val="00C468E6"/>
    <w:rsid w:val="00C471B1"/>
    <w:rsid w:val="00C479E8"/>
    <w:rsid w:val="00C618F7"/>
    <w:rsid w:val="00C622F2"/>
    <w:rsid w:val="00C6316B"/>
    <w:rsid w:val="00C634A9"/>
    <w:rsid w:val="00C64586"/>
    <w:rsid w:val="00C656DC"/>
    <w:rsid w:val="00C70D53"/>
    <w:rsid w:val="00C73D0B"/>
    <w:rsid w:val="00C74E53"/>
    <w:rsid w:val="00C772FF"/>
    <w:rsid w:val="00C801AF"/>
    <w:rsid w:val="00C80256"/>
    <w:rsid w:val="00C811C0"/>
    <w:rsid w:val="00C955E3"/>
    <w:rsid w:val="00CB346A"/>
    <w:rsid w:val="00CB6BC0"/>
    <w:rsid w:val="00CC1B7C"/>
    <w:rsid w:val="00CC32F3"/>
    <w:rsid w:val="00CC727F"/>
    <w:rsid w:val="00CD02DA"/>
    <w:rsid w:val="00CD1DF2"/>
    <w:rsid w:val="00CD2E42"/>
    <w:rsid w:val="00CD325F"/>
    <w:rsid w:val="00CD670C"/>
    <w:rsid w:val="00CE1394"/>
    <w:rsid w:val="00CE2B5D"/>
    <w:rsid w:val="00CE7FEE"/>
    <w:rsid w:val="00CF15C3"/>
    <w:rsid w:val="00CF1CCA"/>
    <w:rsid w:val="00CF2B6F"/>
    <w:rsid w:val="00CF58B6"/>
    <w:rsid w:val="00D0034E"/>
    <w:rsid w:val="00D017ED"/>
    <w:rsid w:val="00D040D3"/>
    <w:rsid w:val="00D04C65"/>
    <w:rsid w:val="00D224FE"/>
    <w:rsid w:val="00D30E87"/>
    <w:rsid w:val="00D44164"/>
    <w:rsid w:val="00D45512"/>
    <w:rsid w:val="00D53A31"/>
    <w:rsid w:val="00D548E5"/>
    <w:rsid w:val="00D63BE8"/>
    <w:rsid w:val="00D6493E"/>
    <w:rsid w:val="00D7301E"/>
    <w:rsid w:val="00D83AE1"/>
    <w:rsid w:val="00D855D4"/>
    <w:rsid w:val="00D87961"/>
    <w:rsid w:val="00D93466"/>
    <w:rsid w:val="00DA1124"/>
    <w:rsid w:val="00DA7A84"/>
    <w:rsid w:val="00DB4AD4"/>
    <w:rsid w:val="00DB75B7"/>
    <w:rsid w:val="00DC156B"/>
    <w:rsid w:val="00DC2A7E"/>
    <w:rsid w:val="00DC6E02"/>
    <w:rsid w:val="00DE02AE"/>
    <w:rsid w:val="00DE0EC8"/>
    <w:rsid w:val="00DF1D7F"/>
    <w:rsid w:val="00DF4BE4"/>
    <w:rsid w:val="00E02FB4"/>
    <w:rsid w:val="00E04E98"/>
    <w:rsid w:val="00E07F15"/>
    <w:rsid w:val="00E20571"/>
    <w:rsid w:val="00E235F7"/>
    <w:rsid w:val="00E23659"/>
    <w:rsid w:val="00E239D4"/>
    <w:rsid w:val="00E26130"/>
    <w:rsid w:val="00E2741C"/>
    <w:rsid w:val="00E31B2E"/>
    <w:rsid w:val="00E40B22"/>
    <w:rsid w:val="00E41BBC"/>
    <w:rsid w:val="00E45619"/>
    <w:rsid w:val="00E4588F"/>
    <w:rsid w:val="00E46DA3"/>
    <w:rsid w:val="00E47929"/>
    <w:rsid w:val="00E51BB1"/>
    <w:rsid w:val="00E624A5"/>
    <w:rsid w:val="00E7344E"/>
    <w:rsid w:val="00E77B22"/>
    <w:rsid w:val="00E83682"/>
    <w:rsid w:val="00E936E3"/>
    <w:rsid w:val="00E979F4"/>
    <w:rsid w:val="00EA3DD5"/>
    <w:rsid w:val="00EB0798"/>
    <w:rsid w:val="00EB3F58"/>
    <w:rsid w:val="00EB40AD"/>
    <w:rsid w:val="00EB586E"/>
    <w:rsid w:val="00EB5FC8"/>
    <w:rsid w:val="00ED3CAD"/>
    <w:rsid w:val="00ED59C6"/>
    <w:rsid w:val="00ED5A41"/>
    <w:rsid w:val="00EE1DE8"/>
    <w:rsid w:val="00EF15D1"/>
    <w:rsid w:val="00EF2F75"/>
    <w:rsid w:val="00F005BA"/>
    <w:rsid w:val="00F033EC"/>
    <w:rsid w:val="00F04F68"/>
    <w:rsid w:val="00F12670"/>
    <w:rsid w:val="00F14B27"/>
    <w:rsid w:val="00F20A74"/>
    <w:rsid w:val="00F3148D"/>
    <w:rsid w:val="00F325C5"/>
    <w:rsid w:val="00F32FE0"/>
    <w:rsid w:val="00F35298"/>
    <w:rsid w:val="00F40EE6"/>
    <w:rsid w:val="00F47333"/>
    <w:rsid w:val="00F47E37"/>
    <w:rsid w:val="00F53C07"/>
    <w:rsid w:val="00F54B65"/>
    <w:rsid w:val="00F632C2"/>
    <w:rsid w:val="00F63A04"/>
    <w:rsid w:val="00F640B6"/>
    <w:rsid w:val="00F664E8"/>
    <w:rsid w:val="00F80E40"/>
    <w:rsid w:val="00F848D9"/>
    <w:rsid w:val="00FA5B82"/>
    <w:rsid w:val="00FA639E"/>
    <w:rsid w:val="00FA6FCA"/>
    <w:rsid w:val="00FB1B7B"/>
    <w:rsid w:val="00FB4BED"/>
    <w:rsid w:val="00FC25E4"/>
    <w:rsid w:val="00FC4EF7"/>
    <w:rsid w:val="00FC61BD"/>
    <w:rsid w:val="00FD4512"/>
    <w:rsid w:val="00FE1DEE"/>
    <w:rsid w:val="00FE30F0"/>
    <w:rsid w:val="00FE3705"/>
    <w:rsid w:val="00FE5FE3"/>
    <w:rsid w:val="00FE7349"/>
    <w:rsid w:val="00FF16C9"/>
    <w:rsid w:val="00FF2126"/>
    <w:rsid w:val="00FF49F5"/>
    <w:rsid w:val="00FF5755"/>
    <w:rsid w:val="00FF69BE"/>
    <w:rsid w:val="00FF7B4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2AC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842D51"/>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iPriority w:val="99"/>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D0D21"/>
    <w:rPr>
      <w:rFonts w:ascii="Cambria" w:eastAsia="Cambria" w:hAnsi="Cambria" w:cs="Times New Roman"/>
      <w:sz w:val="24"/>
      <w:szCs w:val="24"/>
    </w:rPr>
  </w:style>
  <w:style w:type="character" w:styleId="FootnoteReference">
    <w:name w:val="footnote reference"/>
    <w:basedOn w:val="DefaultParagraphFont"/>
    <w:uiPriority w:val="99"/>
    <w:unhideWhenUsed/>
    <w:rsid w:val="00BD0D21"/>
    <w:rPr>
      <w:vertAlign w:val="superscript"/>
    </w:rPr>
  </w:style>
  <w:style w:type="paragraph" w:styleId="ListParagraph">
    <w:name w:val="List Paragraph"/>
    <w:basedOn w:val="Normal"/>
    <w:uiPriority w:val="34"/>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paragraph" w:customStyle="1" w:styleId="Instructions">
    <w:name w:val="Instructions"/>
    <w:basedOn w:val="Normal"/>
    <w:next w:val="Normal"/>
    <w:uiPriority w:val="1"/>
    <w:qFormat/>
    <w:rsid w:val="00450F9A"/>
    <w:rPr>
      <w:i/>
      <w:color w:val="007099"/>
    </w:rPr>
  </w:style>
  <w:style w:type="table" w:customStyle="1" w:styleId="TableGrid1">
    <w:name w:val="Table Grid1"/>
    <w:basedOn w:val="TableNormal"/>
    <w:next w:val="TableGrid"/>
    <w:uiPriority w:val="59"/>
    <w:rsid w:val="00450F9A"/>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50F9A"/>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790C7B"/>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790C7B"/>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842D51"/>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iPriority w:val="99"/>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D0D21"/>
    <w:rPr>
      <w:rFonts w:ascii="Cambria" w:eastAsia="Cambria" w:hAnsi="Cambria" w:cs="Times New Roman"/>
      <w:sz w:val="24"/>
      <w:szCs w:val="24"/>
    </w:rPr>
  </w:style>
  <w:style w:type="character" w:styleId="FootnoteReference">
    <w:name w:val="footnote reference"/>
    <w:basedOn w:val="DefaultParagraphFont"/>
    <w:uiPriority w:val="99"/>
    <w:unhideWhenUsed/>
    <w:rsid w:val="00BD0D21"/>
    <w:rPr>
      <w:vertAlign w:val="superscript"/>
    </w:rPr>
  </w:style>
  <w:style w:type="paragraph" w:styleId="ListParagraph">
    <w:name w:val="List Paragraph"/>
    <w:basedOn w:val="Normal"/>
    <w:uiPriority w:val="34"/>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paragraph" w:customStyle="1" w:styleId="Instructions">
    <w:name w:val="Instructions"/>
    <w:basedOn w:val="Normal"/>
    <w:next w:val="Normal"/>
    <w:uiPriority w:val="1"/>
    <w:qFormat/>
    <w:rsid w:val="00450F9A"/>
    <w:rPr>
      <w:i/>
      <w:color w:val="007099"/>
    </w:rPr>
  </w:style>
  <w:style w:type="table" w:customStyle="1" w:styleId="TableGrid1">
    <w:name w:val="Table Grid1"/>
    <w:basedOn w:val="TableNormal"/>
    <w:next w:val="TableGrid"/>
    <w:uiPriority w:val="59"/>
    <w:rsid w:val="00450F9A"/>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50F9A"/>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790C7B"/>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790C7B"/>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05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768">
          <w:marLeft w:val="0"/>
          <w:marRight w:val="0"/>
          <w:marTop w:val="0"/>
          <w:marBottom w:val="0"/>
          <w:divBdr>
            <w:top w:val="none" w:sz="0" w:space="0" w:color="auto"/>
            <w:left w:val="none" w:sz="0" w:space="0" w:color="auto"/>
            <w:bottom w:val="none" w:sz="0" w:space="0" w:color="auto"/>
            <w:right w:val="none" w:sz="0" w:space="0" w:color="auto"/>
          </w:divBdr>
          <w:divsChild>
            <w:div w:id="1080372763">
              <w:marLeft w:val="0"/>
              <w:marRight w:val="0"/>
              <w:marTop w:val="0"/>
              <w:marBottom w:val="0"/>
              <w:divBdr>
                <w:top w:val="none" w:sz="0" w:space="0" w:color="auto"/>
                <w:left w:val="none" w:sz="0" w:space="0" w:color="auto"/>
                <w:bottom w:val="none" w:sz="0" w:space="0" w:color="auto"/>
                <w:right w:val="none" w:sz="0" w:space="0" w:color="auto"/>
              </w:divBdr>
              <w:divsChild>
                <w:div w:id="2113550761">
                  <w:marLeft w:val="0"/>
                  <w:marRight w:val="0"/>
                  <w:marTop w:val="0"/>
                  <w:marBottom w:val="0"/>
                  <w:divBdr>
                    <w:top w:val="none" w:sz="0" w:space="0" w:color="auto"/>
                    <w:left w:val="none" w:sz="0" w:space="0" w:color="auto"/>
                    <w:bottom w:val="none" w:sz="0" w:space="0" w:color="auto"/>
                    <w:right w:val="none" w:sz="0" w:space="0" w:color="auto"/>
                  </w:divBdr>
                </w:div>
                <w:div w:id="780304315">
                  <w:marLeft w:val="0"/>
                  <w:marRight w:val="0"/>
                  <w:marTop w:val="0"/>
                  <w:marBottom w:val="0"/>
                  <w:divBdr>
                    <w:top w:val="none" w:sz="0" w:space="0" w:color="auto"/>
                    <w:left w:val="none" w:sz="0" w:space="0" w:color="auto"/>
                    <w:bottom w:val="none" w:sz="0" w:space="0" w:color="auto"/>
                    <w:right w:val="none" w:sz="0" w:space="0" w:color="auto"/>
                  </w:divBdr>
                </w:div>
                <w:div w:id="1320229794">
                  <w:marLeft w:val="0"/>
                  <w:marRight w:val="0"/>
                  <w:marTop w:val="0"/>
                  <w:marBottom w:val="0"/>
                  <w:divBdr>
                    <w:top w:val="none" w:sz="0" w:space="0" w:color="auto"/>
                    <w:left w:val="none" w:sz="0" w:space="0" w:color="auto"/>
                    <w:bottom w:val="none" w:sz="0" w:space="0" w:color="auto"/>
                    <w:right w:val="none" w:sz="0" w:space="0" w:color="auto"/>
                  </w:divBdr>
                </w:div>
                <w:div w:id="6773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5208">
      <w:bodyDiv w:val="1"/>
      <w:marLeft w:val="0"/>
      <w:marRight w:val="0"/>
      <w:marTop w:val="0"/>
      <w:marBottom w:val="0"/>
      <w:divBdr>
        <w:top w:val="none" w:sz="0" w:space="0" w:color="auto"/>
        <w:left w:val="none" w:sz="0" w:space="0" w:color="auto"/>
        <w:bottom w:val="none" w:sz="0" w:space="0" w:color="auto"/>
        <w:right w:val="none" w:sz="0" w:space="0" w:color="auto"/>
      </w:divBdr>
      <w:divsChild>
        <w:div w:id="155536419">
          <w:marLeft w:val="0"/>
          <w:marRight w:val="0"/>
          <w:marTop w:val="0"/>
          <w:marBottom w:val="0"/>
          <w:divBdr>
            <w:top w:val="none" w:sz="0" w:space="0" w:color="auto"/>
            <w:left w:val="none" w:sz="0" w:space="0" w:color="auto"/>
            <w:bottom w:val="none" w:sz="0" w:space="0" w:color="auto"/>
            <w:right w:val="none" w:sz="0" w:space="0" w:color="auto"/>
          </w:divBdr>
          <w:divsChild>
            <w:div w:id="255940347">
              <w:marLeft w:val="0"/>
              <w:marRight w:val="0"/>
              <w:marTop w:val="0"/>
              <w:marBottom w:val="0"/>
              <w:divBdr>
                <w:top w:val="none" w:sz="0" w:space="0" w:color="auto"/>
                <w:left w:val="none" w:sz="0" w:space="0" w:color="auto"/>
                <w:bottom w:val="none" w:sz="0" w:space="0" w:color="auto"/>
                <w:right w:val="none" w:sz="0" w:space="0" w:color="auto"/>
              </w:divBdr>
              <w:divsChild>
                <w:div w:id="20607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88190">
      <w:bodyDiv w:val="1"/>
      <w:marLeft w:val="0"/>
      <w:marRight w:val="0"/>
      <w:marTop w:val="0"/>
      <w:marBottom w:val="0"/>
      <w:divBdr>
        <w:top w:val="none" w:sz="0" w:space="0" w:color="auto"/>
        <w:left w:val="none" w:sz="0" w:space="0" w:color="auto"/>
        <w:bottom w:val="none" w:sz="0" w:space="0" w:color="auto"/>
        <w:right w:val="none" w:sz="0" w:space="0" w:color="auto"/>
      </w:divBdr>
      <w:divsChild>
        <w:div w:id="1458449158">
          <w:marLeft w:val="0"/>
          <w:marRight w:val="0"/>
          <w:marTop w:val="0"/>
          <w:marBottom w:val="0"/>
          <w:divBdr>
            <w:top w:val="none" w:sz="0" w:space="0" w:color="auto"/>
            <w:left w:val="none" w:sz="0" w:space="0" w:color="auto"/>
            <w:bottom w:val="none" w:sz="0" w:space="0" w:color="auto"/>
            <w:right w:val="none" w:sz="0" w:space="0" w:color="auto"/>
          </w:divBdr>
          <w:divsChild>
            <w:div w:id="2110422884">
              <w:marLeft w:val="0"/>
              <w:marRight w:val="0"/>
              <w:marTop w:val="0"/>
              <w:marBottom w:val="0"/>
              <w:divBdr>
                <w:top w:val="none" w:sz="0" w:space="0" w:color="auto"/>
                <w:left w:val="none" w:sz="0" w:space="0" w:color="auto"/>
                <w:bottom w:val="none" w:sz="0" w:space="0" w:color="auto"/>
                <w:right w:val="none" w:sz="0" w:space="0" w:color="auto"/>
              </w:divBdr>
              <w:divsChild>
                <w:div w:id="15122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1432">
      <w:bodyDiv w:val="1"/>
      <w:marLeft w:val="0"/>
      <w:marRight w:val="0"/>
      <w:marTop w:val="0"/>
      <w:marBottom w:val="0"/>
      <w:divBdr>
        <w:top w:val="none" w:sz="0" w:space="0" w:color="auto"/>
        <w:left w:val="none" w:sz="0" w:space="0" w:color="auto"/>
        <w:bottom w:val="none" w:sz="0" w:space="0" w:color="auto"/>
        <w:right w:val="none" w:sz="0" w:space="0" w:color="auto"/>
      </w:divBdr>
      <w:divsChild>
        <w:div w:id="265043756">
          <w:marLeft w:val="0"/>
          <w:marRight w:val="0"/>
          <w:marTop w:val="0"/>
          <w:marBottom w:val="0"/>
          <w:divBdr>
            <w:top w:val="none" w:sz="0" w:space="0" w:color="auto"/>
            <w:left w:val="none" w:sz="0" w:space="0" w:color="auto"/>
            <w:bottom w:val="none" w:sz="0" w:space="0" w:color="auto"/>
            <w:right w:val="none" w:sz="0" w:space="0" w:color="auto"/>
          </w:divBdr>
          <w:divsChild>
            <w:div w:id="141120215">
              <w:marLeft w:val="0"/>
              <w:marRight w:val="0"/>
              <w:marTop w:val="0"/>
              <w:marBottom w:val="0"/>
              <w:divBdr>
                <w:top w:val="none" w:sz="0" w:space="0" w:color="auto"/>
                <w:left w:val="none" w:sz="0" w:space="0" w:color="auto"/>
                <w:bottom w:val="none" w:sz="0" w:space="0" w:color="auto"/>
                <w:right w:val="none" w:sz="0" w:space="0" w:color="auto"/>
              </w:divBdr>
              <w:divsChild>
                <w:div w:id="2885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7903">
      <w:bodyDiv w:val="1"/>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0"/>
          <w:divBdr>
            <w:top w:val="none" w:sz="0" w:space="0" w:color="auto"/>
            <w:left w:val="none" w:sz="0" w:space="0" w:color="auto"/>
            <w:bottom w:val="none" w:sz="0" w:space="0" w:color="auto"/>
            <w:right w:val="none" w:sz="0" w:space="0" w:color="auto"/>
          </w:divBdr>
          <w:divsChild>
            <w:div w:id="1084649581">
              <w:marLeft w:val="0"/>
              <w:marRight w:val="0"/>
              <w:marTop w:val="0"/>
              <w:marBottom w:val="0"/>
              <w:divBdr>
                <w:top w:val="none" w:sz="0" w:space="0" w:color="auto"/>
                <w:left w:val="none" w:sz="0" w:space="0" w:color="auto"/>
                <w:bottom w:val="none" w:sz="0" w:space="0" w:color="auto"/>
                <w:right w:val="none" w:sz="0" w:space="0" w:color="auto"/>
              </w:divBdr>
              <w:divsChild>
                <w:div w:id="15078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16979">
      <w:bodyDiv w:val="1"/>
      <w:marLeft w:val="0"/>
      <w:marRight w:val="0"/>
      <w:marTop w:val="0"/>
      <w:marBottom w:val="0"/>
      <w:divBdr>
        <w:top w:val="none" w:sz="0" w:space="0" w:color="auto"/>
        <w:left w:val="none" w:sz="0" w:space="0" w:color="auto"/>
        <w:bottom w:val="none" w:sz="0" w:space="0" w:color="auto"/>
        <w:right w:val="none" w:sz="0" w:space="0" w:color="auto"/>
      </w:divBdr>
      <w:divsChild>
        <w:div w:id="943420592">
          <w:marLeft w:val="0"/>
          <w:marRight w:val="0"/>
          <w:marTop w:val="0"/>
          <w:marBottom w:val="0"/>
          <w:divBdr>
            <w:top w:val="none" w:sz="0" w:space="0" w:color="auto"/>
            <w:left w:val="none" w:sz="0" w:space="0" w:color="auto"/>
            <w:bottom w:val="none" w:sz="0" w:space="0" w:color="auto"/>
            <w:right w:val="none" w:sz="0" w:space="0" w:color="auto"/>
          </w:divBdr>
          <w:divsChild>
            <w:div w:id="501897240">
              <w:marLeft w:val="0"/>
              <w:marRight w:val="0"/>
              <w:marTop w:val="0"/>
              <w:marBottom w:val="0"/>
              <w:divBdr>
                <w:top w:val="none" w:sz="0" w:space="0" w:color="auto"/>
                <w:left w:val="none" w:sz="0" w:space="0" w:color="auto"/>
                <w:bottom w:val="none" w:sz="0" w:space="0" w:color="auto"/>
                <w:right w:val="none" w:sz="0" w:space="0" w:color="auto"/>
              </w:divBdr>
              <w:divsChild>
                <w:div w:id="272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6985">
      <w:bodyDiv w:val="1"/>
      <w:marLeft w:val="0"/>
      <w:marRight w:val="0"/>
      <w:marTop w:val="0"/>
      <w:marBottom w:val="0"/>
      <w:divBdr>
        <w:top w:val="none" w:sz="0" w:space="0" w:color="auto"/>
        <w:left w:val="none" w:sz="0" w:space="0" w:color="auto"/>
        <w:bottom w:val="none" w:sz="0" w:space="0" w:color="auto"/>
        <w:right w:val="none" w:sz="0" w:space="0" w:color="auto"/>
      </w:divBdr>
      <w:divsChild>
        <w:div w:id="1325813006">
          <w:marLeft w:val="0"/>
          <w:marRight w:val="0"/>
          <w:marTop w:val="0"/>
          <w:marBottom w:val="0"/>
          <w:divBdr>
            <w:top w:val="none" w:sz="0" w:space="0" w:color="auto"/>
            <w:left w:val="none" w:sz="0" w:space="0" w:color="auto"/>
            <w:bottom w:val="none" w:sz="0" w:space="0" w:color="auto"/>
            <w:right w:val="none" w:sz="0" w:space="0" w:color="auto"/>
          </w:divBdr>
          <w:divsChild>
            <w:div w:id="1689873121">
              <w:marLeft w:val="0"/>
              <w:marRight w:val="0"/>
              <w:marTop w:val="0"/>
              <w:marBottom w:val="0"/>
              <w:divBdr>
                <w:top w:val="none" w:sz="0" w:space="0" w:color="auto"/>
                <w:left w:val="none" w:sz="0" w:space="0" w:color="auto"/>
                <w:bottom w:val="none" w:sz="0" w:space="0" w:color="auto"/>
                <w:right w:val="none" w:sz="0" w:space="0" w:color="auto"/>
              </w:divBdr>
              <w:divsChild>
                <w:div w:id="19240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83807">
      <w:bodyDiv w:val="1"/>
      <w:marLeft w:val="0"/>
      <w:marRight w:val="0"/>
      <w:marTop w:val="0"/>
      <w:marBottom w:val="0"/>
      <w:divBdr>
        <w:top w:val="none" w:sz="0" w:space="0" w:color="auto"/>
        <w:left w:val="none" w:sz="0" w:space="0" w:color="auto"/>
        <w:bottom w:val="none" w:sz="0" w:space="0" w:color="auto"/>
        <w:right w:val="none" w:sz="0" w:space="0" w:color="auto"/>
      </w:divBdr>
      <w:divsChild>
        <w:div w:id="1357266463">
          <w:marLeft w:val="0"/>
          <w:marRight w:val="0"/>
          <w:marTop w:val="0"/>
          <w:marBottom w:val="0"/>
          <w:divBdr>
            <w:top w:val="none" w:sz="0" w:space="0" w:color="auto"/>
            <w:left w:val="none" w:sz="0" w:space="0" w:color="auto"/>
            <w:bottom w:val="none" w:sz="0" w:space="0" w:color="auto"/>
            <w:right w:val="none" w:sz="0" w:space="0" w:color="auto"/>
          </w:divBdr>
          <w:divsChild>
            <w:div w:id="1441219150">
              <w:marLeft w:val="0"/>
              <w:marRight w:val="0"/>
              <w:marTop w:val="0"/>
              <w:marBottom w:val="0"/>
              <w:divBdr>
                <w:top w:val="none" w:sz="0" w:space="0" w:color="auto"/>
                <w:left w:val="none" w:sz="0" w:space="0" w:color="auto"/>
                <w:bottom w:val="none" w:sz="0" w:space="0" w:color="auto"/>
                <w:right w:val="none" w:sz="0" w:space="0" w:color="auto"/>
              </w:divBdr>
              <w:divsChild>
                <w:div w:id="458377907">
                  <w:marLeft w:val="0"/>
                  <w:marRight w:val="0"/>
                  <w:marTop w:val="0"/>
                  <w:marBottom w:val="0"/>
                  <w:divBdr>
                    <w:top w:val="none" w:sz="0" w:space="0" w:color="auto"/>
                    <w:left w:val="none" w:sz="0" w:space="0" w:color="auto"/>
                    <w:bottom w:val="none" w:sz="0" w:space="0" w:color="auto"/>
                    <w:right w:val="none" w:sz="0" w:space="0" w:color="auto"/>
                  </w:divBdr>
                </w:div>
                <w:div w:id="1380131162">
                  <w:marLeft w:val="0"/>
                  <w:marRight w:val="0"/>
                  <w:marTop w:val="0"/>
                  <w:marBottom w:val="0"/>
                  <w:divBdr>
                    <w:top w:val="none" w:sz="0" w:space="0" w:color="auto"/>
                    <w:left w:val="none" w:sz="0" w:space="0" w:color="auto"/>
                    <w:bottom w:val="none" w:sz="0" w:space="0" w:color="auto"/>
                    <w:right w:val="none" w:sz="0" w:space="0" w:color="auto"/>
                  </w:divBdr>
                </w:div>
                <w:div w:id="490295392">
                  <w:marLeft w:val="0"/>
                  <w:marRight w:val="0"/>
                  <w:marTop w:val="0"/>
                  <w:marBottom w:val="0"/>
                  <w:divBdr>
                    <w:top w:val="none" w:sz="0" w:space="0" w:color="auto"/>
                    <w:left w:val="none" w:sz="0" w:space="0" w:color="auto"/>
                    <w:bottom w:val="none" w:sz="0" w:space="0" w:color="auto"/>
                    <w:right w:val="none" w:sz="0" w:space="0" w:color="auto"/>
                  </w:divBdr>
                </w:div>
                <w:div w:id="1953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3717">
      <w:bodyDiv w:val="1"/>
      <w:marLeft w:val="0"/>
      <w:marRight w:val="0"/>
      <w:marTop w:val="0"/>
      <w:marBottom w:val="0"/>
      <w:divBdr>
        <w:top w:val="none" w:sz="0" w:space="0" w:color="auto"/>
        <w:left w:val="none" w:sz="0" w:space="0" w:color="auto"/>
        <w:bottom w:val="none" w:sz="0" w:space="0" w:color="auto"/>
        <w:right w:val="none" w:sz="0" w:space="0" w:color="auto"/>
      </w:divBdr>
      <w:divsChild>
        <w:div w:id="1439637521">
          <w:marLeft w:val="0"/>
          <w:marRight w:val="0"/>
          <w:marTop w:val="0"/>
          <w:marBottom w:val="0"/>
          <w:divBdr>
            <w:top w:val="none" w:sz="0" w:space="0" w:color="auto"/>
            <w:left w:val="none" w:sz="0" w:space="0" w:color="auto"/>
            <w:bottom w:val="none" w:sz="0" w:space="0" w:color="auto"/>
            <w:right w:val="none" w:sz="0" w:space="0" w:color="auto"/>
          </w:divBdr>
          <w:divsChild>
            <w:div w:id="419065529">
              <w:marLeft w:val="0"/>
              <w:marRight w:val="0"/>
              <w:marTop w:val="0"/>
              <w:marBottom w:val="0"/>
              <w:divBdr>
                <w:top w:val="none" w:sz="0" w:space="0" w:color="auto"/>
                <w:left w:val="none" w:sz="0" w:space="0" w:color="auto"/>
                <w:bottom w:val="none" w:sz="0" w:space="0" w:color="auto"/>
                <w:right w:val="none" w:sz="0" w:space="0" w:color="auto"/>
              </w:divBdr>
              <w:divsChild>
                <w:div w:id="67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5459">
      <w:bodyDiv w:val="1"/>
      <w:marLeft w:val="0"/>
      <w:marRight w:val="0"/>
      <w:marTop w:val="0"/>
      <w:marBottom w:val="0"/>
      <w:divBdr>
        <w:top w:val="none" w:sz="0" w:space="0" w:color="auto"/>
        <w:left w:val="none" w:sz="0" w:space="0" w:color="auto"/>
        <w:bottom w:val="none" w:sz="0" w:space="0" w:color="auto"/>
        <w:right w:val="none" w:sz="0" w:space="0" w:color="auto"/>
      </w:divBdr>
      <w:divsChild>
        <w:div w:id="1528447836">
          <w:marLeft w:val="0"/>
          <w:marRight w:val="0"/>
          <w:marTop w:val="0"/>
          <w:marBottom w:val="0"/>
          <w:divBdr>
            <w:top w:val="none" w:sz="0" w:space="0" w:color="auto"/>
            <w:left w:val="none" w:sz="0" w:space="0" w:color="auto"/>
            <w:bottom w:val="none" w:sz="0" w:space="0" w:color="auto"/>
            <w:right w:val="none" w:sz="0" w:space="0" w:color="auto"/>
          </w:divBdr>
          <w:divsChild>
            <w:div w:id="1497726764">
              <w:marLeft w:val="0"/>
              <w:marRight w:val="0"/>
              <w:marTop w:val="0"/>
              <w:marBottom w:val="0"/>
              <w:divBdr>
                <w:top w:val="none" w:sz="0" w:space="0" w:color="auto"/>
                <w:left w:val="none" w:sz="0" w:space="0" w:color="auto"/>
                <w:bottom w:val="none" w:sz="0" w:space="0" w:color="auto"/>
                <w:right w:val="none" w:sz="0" w:space="0" w:color="auto"/>
              </w:divBdr>
              <w:divsChild>
                <w:div w:id="2006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7042">
      <w:bodyDiv w:val="1"/>
      <w:marLeft w:val="0"/>
      <w:marRight w:val="0"/>
      <w:marTop w:val="0"/>
      <w:marBottom w:val="0"/>
      <w:divBdr>
        <w:top w:val="none" w:sz="0" w:space="0" w:color="auto"/>
        <w:left w:val="none" w:sz="0" w:space="0" w:color="auto"/>
        <w:bottom w:val="none" w:sz="0" w:space="0" w:color="auto"/>
        <w:right w:val="none" w:sz="0" w:space="0" w:color="auto"/>
      </w:divBdr>
      <w:divsChild>
        <w:div w:id="251279910">
          <w:marLeft w:val="0"/>
          <w:marRight w:val="0"/>
          <w:marTop w:val="0"/>
          <w:marBottom w:val="0"/>
          <w:divBdr>
            <w:top w:val="none" w:sz="0" w:space="0" w:color="auto"/>
            <w:left w:val="none" w:sz="0" w:space="0" w:color="auto"/>
            <w:bottom w:val="none" w:sz="0" w:space="0" w:color="auto"/>
            <w:right w:val="none" w:sz="0" w:space="0" w:color="auto"/>
          </w:divBdr>
          <w:divsChild>
            <w:div w:id="1265456504">
              <w:marLeft w:val="0"/>
              <w:marRight w:val="0"/>
              <w:marTop w:val="0"/>
              <w:marBottom w:val="0"/>
              <w:divBdr>
                <w:top w:val="none" w:sz="0" w:space="0" w:color="auto"/>
                <w:left w:val="none" w:sz="0" w:space="0" w:color="auto"/>
                <w:bottom w:val="none" w:sz="0" w:space="0" w:color="auto"/>
                <w:right w:val="none" w:sz="0" w:space="0" w:color="auto"/>
              </w:divBdr>
              <w:divsChild>
                <w:div w:id="1722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66076">
      <w:bodyDiv w:val="1"/>
      <w:marLeft w:val="0"/>
      <w:marRight w:val="0"/>
      <w:marTop w:val="0"/>
      <w:marBottom w:val="0"/>
      <w:divBdr>
        <w:top w:val="none" w:sz="0" w:space="0" w:color="auto"/>
        <w:left w:val="none" w:sz="0" w:space="0" w:color="auto"/>
        <w:bottom w:val="none" w:sz="0" w:space="0" w:color="auto"/>
        <w:right w:val="none" w:sz="0" w:space="0" w:color="auto"/>
      </w:divBdr>
      <w:divsChild>
        <w:div w:id="453063766">
          <w:marLeft w:val="0"/>
          <w:marRight w:val="0"/>
          <w:marTop w:val="0"/>
          <w:marBottom w:val="0"/>
          <w:divBdr>
            <w:top w:val="none" w:sz="0" w:space="0" w:color="auto"/>
            <w:left w:val="none" w:sz="0" w:space="0" w:color="auto"/>
            <w:bottom w:val="none" w:sz="0" w:space="0" w:color="auto"/>
            <w:right w:val="none" w:sz="0" w:space="0" w:color="auto"/>
          </w:divBdr>
          <w:divsChild>
            <w:div w:id="573319402">
              <w:marLeft w:val="0"/>
              <w:marRight w:val="0"/>
              <w:marTop w:val="0"/>
              <w:marBottom w:val="0"/>
              <w:divBdr>
                <w:top w:val="none" w:sz="0" w:space="0" w:color="auto"/>
                <w:left w:val="none" w:sz="0" w:space="0" w:color="auto"/>
                <w:bottom w:val="none" w:sz="0" w:space="0" w:color="auto"/>
                <w:right w:val="none" w:sz="0" w:space="0" w:color="auto"/>
              </w:divBdr>
              <w:divsChild>
                <w:div w:id="185919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6.xm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emf"/><Relationship Id="rId32" Type="http://schemas.openxmlformats.org/officeDocument/2006/relationships/header" Target="header4.xml"/><Relationship Id="rId37" Type="http://schemas.openxmlformats.org/officeDocument/2006/relationships/hyperlink" Target="https://www.tga.gov.au" TargetMode="External"/><Relationship Id="rId40" Type="http://schemas.openxmlformats.org/officeDocument/2006/relationships/footer" Target="footer5.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mailto:info@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oter" Target="footer4.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4A1EC-D9B0-4310-8CA1-FB378E1DF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61</Pages>
  <Words>22589</Words>
  <Characters>121305</Characters>
  <Application>Microsoft Office Word</Application>
  <DocSecurity>0</DocSecurity>
  <Lines>3032</Lines>
  <Paragraphs>1453</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142441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Ryzodeg 70/30 FlexTouch, Ryzodeg 70/30 Penfill insulin degludec (rys)/insulin aspart (rys) </dc:title>
  <dc:subject>prescription medicines</dc:subject>
  <dc:creator>Therapeutic Goods Administration</dc:creator>
  <cp:keywords>ausPARs</cp:keywords>
  <cp:lastModifiedBy>Therapeutic Goods Administration</cp:lastModifiedBy>
  <cp:revision>13</cp:revision>
  <cp:lastPrinted>2018-04-18T01:48:00Z</cp:lastPrinted>
  <dcterms:created xsi:type="dcterms:W3CDTF">2018-05-22T05:25:00Z</dcterms:created>
  <dcterms:modified xsi:type="dcterms:W3CDTF">2018-06-25T23:46:00Z</dcterms:modified>
</cp:coreProperties>
</file>