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14:paraId="54C6CC69" w14:textId="77777777" w:rsidTr="00BF1190">
        <w:trPr>
          <w:trHeight w:val="1863"/>
        </w:trPr>
        <w:tc>
          <w:tcPr>
            <w:tcW w:w="3652" w:type="dxa"/>
            <w:tcBorders>
              <w:top w:val="nil"/>
              <w:left w:val="nil"/>
              <w:bottom w:val="nil"/>
              <w:right w:val="nil"/>
            </w:tcBorders>
          </w:tcPr>
          <w:p w14:paraId="2B82D234" w14:textId="6A6CE4F8" w:rsidR="008E7846" w:rsidRPr="00096AA7" w:rsidRDefault="00917D67" w:rsidP="00096AA7">
            <w:pPr>
              <w:rPr>
                <w:rFonts w:ascii="Arial" w:hAnsi="Arial" w:cs="Arial"/>
                <w:b/>
                <w:color w:val="002C47"/>
                <w:sz w:val="36"/>
                <w:szCs w:val="36"/>
              </w:rPr>
            </w:pPr>
            <w:r>
              <w:rPr>
                <w:rFonts w:ascii="Arial" w:hAnsi="Arial" w:cs="Arial"/>
                <w:b/>
                <w:color w:val="002C47"/>
                <w:sz w:val="36"/>
                <w:szCs w:val="36"/>
              </w:rPr>
              <w:t>March</w:t>
            </w:r>
            <w:r w:rsidR="00E51154">
              <w:rPr>
                <w:rFonts w:ascii="Arial" w:hAnsi="Arial" w:cs="Arial"/>
                <w:b/>
                <w:color w:val="002C47"/>
                <w:sz w:val="36"/>
                <w:szCs w:val="36"/>
              </w:rPr>
              <w:t xml:space="preserve"> </w:t>
            </w:r>
            <w:r w:rsidR="000B123E">
              <w:rPr>
                <w:rFonts w:ascii="Arial" w:hAnsi="Arial" w:cs="Arial"/>
                <w:b/>
                <w:color w:val="002C47"/>
                <w:sz w:val="36"/>
                <w:szCs w:val="36"/>
              </w:rPr>
              <w:t>2022</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3ED19AC6" w14:textId="77777777" w:rsidTr="0032583B">
        <w:trPr>
          <w:trHeight w:val="868"/>
        </w:trPr>
        <w:tc>
          <w:tcPr>
            <w:tcW w:w="9079" w:type="dxa"/>
          </w:tcPr>
          <w:p w14:paraId="699CC8D6" w14:textId="4E1FF681" w:rsidR="0032583B" w:rsidRPr="00A964D1" w:rsidRDefault="0032583B" w:rsidP="00460036">
            <w:pPr>
              <w:pStyle w:val="Title"/>
              <w:rPr>
                <w:color w:val="FFFFFF" w:themeColor="background1"/>
              </w:rPr>
            </w:pPr>
            <w:r w:rsidRPr="00A964D1">
              <w:rPr>
                <w:color w:val="FFFFFF" w:themeColor="background1"/>
              </w:rPr>
              <w:t xml:space="preserve">Australian Public Assessment Report for </w:t>
            </w:r>
            <w:r w:rsidR="000F4CDE">
              <w:rPr>
                <w:color w:val="FFFFFF" w:themeColor="background1"/>
              </w:rPr>
              <w:t xml:space="preserve">Sacituzumab </w:t>
            </w:r>
            <w:proofErr w:type="spellStart"/>
            <w:r w:rsidR="000F4CDE">
              <w:rPr>
                <w:color w:val="FFFFFF" w:themeColor="background1"/>
              </w:rPr>
              <w:t>govitecan</w:t>
            </w:r>
            <w:proofErr w:type="spellEnd"/>
          </w:p>
        </w:tc>
      </w:tr>
      <w:tr w:rsidR="0032583B" w:rsidRPr="00B64760" w14:paraId="41E9235E" w14:textId="77777777" w:rsidTr="0032583B">
        <w:tc>
          <w:tcPr>
            <w:tcW w:w="9079" w:type="dxa"/>
          </w:tcPr>
          <w:p w14:paraId="0A2B8064" w14:textId="4A59D773" w:rsidR="0032583B" w:rsidRPr="008E7846" w:rsidRDefault="0032583B" w:rsidP="00460036">
            <w:pPr>
              <w:pStyle w:val="Subtitle"/>
              <w:rPr>
                <w:color w:val="FFFFFF" w:themeColor="background1"/>
              </w:rPr>
            </w:pPr>
            <w:r w:rsidRPr="008E7846">
              <w:rPr>
                <w:color w:val="FFFFFF" w:themeColor="background1"/>
              </w:rPr>
              <w:t xml:space="preserve">Proprietary Product Name: </w:t>
            </w:r>
            <w:proofErr w:type="spellStart"/>
            <w:r w:rsidR="000F4CDE">
              <w:rPr>
                <w:color w:val="FFFFFF" w:themeColor="background1"/>
              </w:rPr>
              <w:t>Trodelvy</w:t>
            </w:r>
            <w:proofErr w:type="spellEnd"/>
          </w:p>
        </w:tc>
      </w:tr>
      <w:tr w:rsidR="0032583B" w:rsidRPr="00B64760" w14:paraId="6D3F81C3" w14:textId="77777777" w:rsidTr="0032583B">
        <w:trPr>
          <w:trHeight w:val="486"/>
        </w:trPr>
        <w:tc>
          <w:tcPr>
            <w:tcW w:w="9079" w:type="dxa"/>
          </w:tcPr>
          <w:p w14:paraId="27FE98FA" w14:textId="61E99AA8" w:rsidR="0032583B" w:rsidRPr="008E7846" w:rsidRDefault="00460036" w:rsidP="0032583B">
            <w:pPr>
              <w:pStyle w:val="Subtitle"/>
              <w:rPr>
                <w:color w:val="FFFFFF" w:themeColor="background1"/>
              </w:rPr>
            </w:pPr>
            <w:r>
              <w:rPr>
                <w:color w:val="FFFFFF" w:themeColor="background1"/>
              </w:rPr>
              <w:t xml:space="preserve">Sponsor: </w:t>
            </w:r>
            <w:r w:rsidR="000F4CDE">
              <w:rPr>
                <w:color w:val="FFFFFF" w:themeColor="background1"/>
              </w:rPr>
              <w:t>Gilead Sciences Pty Ltd</w:t>
            </w:r>
          </w:p>
        </w:tc>
      </w:tr>
    </w:tbl>
    <w:p w14:paraId="386218F7" w14:textId="77777777" w:rsidR="008E7846" w:rsidRPr="0085156D" w:rsidRDefault="008E7846" w:rsidP="0085156D">
      <w:r w:rsidRPr="0085156D">
        <w:br w:type="page"/>
      </w:r>
    </w:p>
    <w:p w14:paraId="266490C7" w14:textId="77777777" w:rsidR="008E7846" w:rsidRPr="001F6CBA" w:rsidRDefault="008E7846" w:rsidP="008E7846">
      <w:pPr>
        <w:pStyle w:val="NonTOCHeading2"/>
      </w:pPr>
      <w:r w:rsidRPr="001F6CBA">
        <w:lastRenderedPageBreak/>
        <w:t>About the Therapeutic Goods Administration (TGA)</w:t>
      </w:r>
    </w:p>
    <w:p w14:paraId="7B12DBFC" w14:textId="77777777"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14:paraId="1D8E4D82" w14:textId="77777777"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w:t>
      </w:r>
      <w:proofErr w:type="gramStart"/>
      <w:r w:rsidR="008E7846">
        <w:t>safety</w:t>
      </w:r>
      <w:proofErr w:type="gramEnd"/>
      <w:r w:rsidR="008E7846">
        <w:t xml:space="preserve"> and efficacy (performance) when necessary.</w:t>
      </w:r>
    </w:p>
    <w:p w14:paraId="77402A8C" w14:textId="77777777"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14:paraId="73AD3125" w14:textId="77777777"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14:paraId="5643550C" w14:textId="77777777" w:rsidR="00441C3F" w:rsidRDefault="008E7846" w:rsidP="00441C3F">
      <w:pPr>
        <w:pStyle w:val="ListBullet"/>
        <w:numPr>
          <w:ilvl w:val="0"/>
          <w:numId w:val="3"/>
        </w:numPr>
        <w:ind w:left="357" w:hanging="357"/>
      </w:pPr>
      <w:r>
        <w:t xml:space="preserve">To report a problem with a medicine or medical device, please see the information on </w:t>
      </w:r>
      <w:r w:rsidR="00441C3F">
        <w:t>the TGA website &lt;</w:t>
      </w:r>
      <w:hyperlink r:id="rId11" w:history="1">
        <w:r w:rsidR="00441C3F">
          <w:rPr>
            <w:rStyle w:val="Hyperlink"/>
          </w:rPr>
          <w:t>https://www.tga.gov.au</w:t>
        </w:r>
      </w:hyperlink>
      <w:r w:rsidR="00441C3F">
        <w:t>&gt;.</w:t>
      </w:r>
    </w:p>
    <w:p w14:paraId="702289E5" w14:textId="77777777" w:rsidR="008E7846" w:rsidRDefault="008E7846" w:rsidP="00875A6B">
      <w:pPr>
        <w:pStyle w:val="NonTOCHeading2"/>
      </w:pPr>
      <w:r>
        <w:t xml:space="preserve">About </w:t>
      </w:r>
      <w:proofErr w:type="spellStart"/>
      <w:r>
        <w:t>AusPARs</w:t>
      </w:r>
      <w:proofErr w:type="spellEnd"/>
    </w:p>
    <w:p w14:paraId="7810FC8A" w14:textId="77777777" w:rsidR="008E7846" w:rsidRDefault="008E7846" w:rsidP="008E7846">
      <w:pPr>
        <w:pStyle w:val="ListBullet"/>
        <w:numPr>
          <w:ilvl w:val="0"/>
          <w:numId w:val="3"/>
        </w:numPr>
        <w:ind w:left="357" w:hanging="357"/>
      </w:pPr>
      <w:r>
        <w:t>An Australian Public Assessment Re</w:t>
      </w:r>
      <w:r w:rsidR="00133A1B">
        <w:t>port</w:t>
      </w:r>
      <w:r>
        <w:t xml:space="preserve"> (AusPAR) provides information about the evaluation of a prescription medicine and the considerations that led the TGA to approve or not approve a pr</w:t>
      </w:r>
      <w:r w:rsidR="00441C3F">
        <w:t>escription medicine submission.</w:t>
      </w:r>
    </w:p>
    <w:p w14:paraId="3EB53F22" w14:textId="77777777" w:rsidR="008E7846" w:rsidRDefault="008E7846" w:rsidP="008E7846">
      <w:pPr>
        <w:pStyle w:val="ListBullet"/>
        <w:numPr>
          <w:ilvl w:val="0"/>
          <w:numId w:val="3"/>
        </w:numPr>
        <w:ind w:left="357" w:hanging="357"/>
      </w:pPr>
      <w:proofErr w:type="spellStart"/>
      <w:r>
        <w:t>AusPARs</w:t>
      </w:r>
      <w:proofErr w:type="spellEnd"/>
      <w:r>
        <w:t xml:space="preserve"> are prepared and published by the TGA.</w:t>
      </w:r>
    </w:p>
    <w:p w14:paraId="4A43BEB6" w14:textId="77777777" w:rsidR="008E7846" w:rsidRDefault="008E7846" w:rsidP="008E7846">
      <w:pPr>
        <w:pStyle w:val="ListBullet"/>
        <w:numPr>
          <w:ilvl w:val="0"/>
          <w:numId w:val="3"/>
        </w:numPr>
        <w:ind w:left="357" w:hanging="357"/>
      </w:pPr>
      <w:r>
        <w:t xml:space="preserve">An AusPAR is prepared for submissions that relate to new chemical entities, generic medicines, major </w:t>
      </w:r>
      <w:proofErr w:type="gramStart"/>
      <w:r>
        <w:t>variations</w:t>
      </w:r>
      <w:proofErr w:type="gramEnd"/>
      <w:r>
        <w:t xml:space="preserve"> and extensions of indications.</w:t>
      </w:r>
    </w:p>
    <w:p w14:paraId="23F83146" w14:textId="77777777" w:rsidR="008E7846" w:rsidRDefault="008E7846" w:rsidP="008E7846">
      <w:pPr>
        <w:pStyle w:val="ListBullet"/>
        <w:numPr>
          <w:ilvl w:val="0"/>
          <w:numId w:val="3"/>
        </w:numPr>
        <w:ind w:left="357" w:hanging="357"/>
      </w:pPr>
      <w:r>
        <w:t>An AusPAR is a static document</w:t>
      </w:r>
      <w:r w:rsidR="00133A1B">
        <w:t>;</w:t>
      </w:r>
      <w:r>
        <w:t xml:space="preserve"> it provide</w:t>
      </w:r>
      <w:r w:rsidR="00133A1B">
        <w:t>s</w:t>
      </w:r>
      <w:r>
        <w:t xml:space="preserve"> information that relates to a submission at a particular point in time.</w:t>
      </w:r>
    </w:p>
    <w:p w14:paraId="03870627" w14:textId="77777777"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14:paraId="6E03B0BA" w14:textId="77777777" w:rsidR="00924482" w:rsidRPr="00DF1D7F" w:rsidRDefault="00924482" w:rsidP="00F54B65">
      <w:pPr>
        <w:pStyle w:val="LegalSubheading"/>
        <w:spacing w:before="3120"/>
      </w:pPr>
      <w:r w:rsidRPr="00DF1D7F">
        <w:t>Copyright</w:t>
      </w:r>
    </w:p>
    <w:p w14:paraId="1E9FB001" w14:textId="6E98F54D" w:rsidR="00924482" w:rsidRDefault="00924482" w:rsidP="00924482">
      <w:pPr>
        <w:pStyle w:val="LegalCopy"/>
      </w:pPr>
      <w:r w:rsidRPr="00191B3B">
        <w:rPr>
          <w:rFonts w:cs="Arial"/>
          <w:lang w:val="en-GB"/>
        </w:rPr>
        <w:t>© Comm</w:t>
      </w:r>
      <w:r>
        <w:rPr>
          <w:rFonts w:cs="Arial"/>
          <w:lang w:val="en-GB"/>
        </w:rPr>
        <w:t>onwealth of Australia 20</w:t>
      </w:r>
      <w:r w:rsidR="00460036">
        <w:rPr>
          <w:rFonts w:cs="Arial"/>
          <w:lang w:val="en-GB"/>
        </w:rPr>
        <w:t>2</w:t>
      </w:r>
      <w:r w:rsidR="00E51154">
        <w:rPr>
          <w:rFonts w:cs="Arial"/>
          <w:lang w:val="en-GB"/>
        </w:rPr>
        <w:t>2</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w:t>
      </w:r>
      <w:proofErr w:type="gramStart"/>
      <w:r w:rsidRPr="00191B3B">
        <w:rPr>
          <w:rFonts w:cs="Arial"/>
          <w:lang w:val="en-GB"/>
        </w:rPr>
        <w:t>reserved</w:t>
      </w:r>
      <w:proofErr w:type="gramEnd"/>
      <w:r w:rsidRPr="00191B3B">
        <w:rPr>
          <w:rFonts w:cs="Arial"/>
          <w:lang w:val="en-GB"/>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2" w:history="1">
        <w:r w:rsidRPr="00191B3B">
          <w:rPr>
            <w:rStyle w:val="Hyperlink"/>
            <w:rFonts w:cs="Arial"/>
            <w:lang w:val="en-GB"/>
          </w:rPr>
          <w:t>tga.copyright@tga.gov.au</w:t>
        </w:r>
      </w:hyperlink>
      <w:r w:rsidRPr="00191B3B">
        <w:rPr>
          <w:rFonts w:cs="Arial"/>
        </w:rPr>
        <w:t>&gt;.</w:t>
      </w:r>
    </w:p>
    <w:p w14:paraId="6F2FE782" w14:textId="77777777" w:rsidR="00924482" w:rsidRDefault="00924482" w:rsidP="00924482">
      <w:pPr>
        <w:pStyle w:val="LegalCopy"/>
        <w:sectPr w:rsidR="00924482" w:rsidSect="003D1E62">
          <w:headerReference w:type="default" r:id="rId13"/>
          <w:footerReference w:type="default" r:id="rId14"/>
          <w:headerReference w:type="first" r:id="rId15"/>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1BD15B91" w14:textId="77777777" w:rsidR="0089635C" w:rsidRPr="0089635C" w:rsidRDefault="0089635C" w:rsidP="0010788A">
          <w:pPr>
            <w:pStyle w:val="Contents"/>
          </w:pPr>
          <w:r w:rsidRPr="0010788A">
            <w:t>Contents</w:t>
          </w:r>
        </w:p>
        <w:p w14:paraId="02546704" w14:textId="3F33CBE9" w:rsidR="008A2940" w:rsidRDefault="00C525A2">
          <w:pPr>
            <w:pStyle w:val="TOC1"/>
            <w:rPr>
              <w:rFonts w:asciiTheme="minorHAnsi" w:eastAsiaTheme="minorEastAsia" w:hAnsiTheme="minorHAnsi" w:cstheme="minorBidi"/>
              <w:b w:val="0"/>
              <w:noProof/>
              <w:sz w:val="22"/>
              <w:lang w:eastAsia="en-AU"/>
            </w:rPr>
          </w:pPr>
          <w:r>
            <w:fldChar w:fldCharType="begin"/>
          </w:r>
          <w:r>
            <w:instrText xml:space="preserve"> TOC \h \z \t "Heading 2,1,Heading 3,2" </w:instrText>
          </w:r>
          <w:r>
            <w:fldChar w:fldCharType="separate"/>
          </w:r>
          <w:hyperlink w:anchor="_Toc91147288" w:history="1">
            <w:r w:rsidR="008A2940" w:rsidRPr="00282BE1">
              <w:rPr>
                <w:rStyle w:val="Hyperlink"/>
                <w:noProof/>
              </w:rPr>
              <w:t>List of abbreviations</w:t>
            </w:r>
            <w:r w:rsidR="008A2940">
              <w:rPr>
                <w:noProof/>
                <w:webHidden/>
              </w:rPr>
              <w:tab/>
            </w:r>
            <w:r w:rsidR="008A2940">
              <w:rPr>
                <w:noProof/>
                <w:webHidden/>
              </w:rPr>
              <w:fldChar w:fldCharType="begin"/>
            </w:r>
            <w:r w:rsidR="008A2940">
              <w:rPr>
                <w:noProof/>
                <w:webHidden/>
              </w:rPr>
              <w:instrText xml:space="preserve"> PAGEREF _Toc91147288 \h </w:instrText>
            </w:r>
            <w:r w:rsidR="008A2940">
              <w:rPr>
                <w:noProof/>
                <w:webHidden/>
              </w:rPr>
            </w:r>
            <w:r w:rsidR="008A2940">
              <w:rPr>
                <w:noProof/>
                <w:webHidden/>
              </w:rPr>
              <w:fldChar w:fldCharType="separate"/>
            </w:r>
            <w:r w:rsidR="008A2940">
              <w:rPr>
                <w:noProof/>
                <w:webHidden/>
              </w:rPr>
              <w:t>4</w:t>
            </w:r>
            <w:r w:rsidR="008A2940">
              <w:rPr>
                <w:noProof/>
                <w:webHidden/>
              </w:rPr>
              <w:fldChar w:fldCharType="end"/>
            </w:r>
          </w:hyperlink>
        </w:p>
        <w:p w14:paraId="7B00B1C8" w14:textId="0337002D" w:rsidR="008A2940" w:rsidRDefault="003240F5">
          <w:pPr>
            <w:pStyle w:val="TOC1"/>
            <w:rPr>
              <w:rFonts w:asciiTheme="minorHAnsi" w:eastAsiaTheme="minorEastAsia" w:hAnsiTheme="minorHAnsi" w:cstheme="minorBidi"/>
              <w:b w:val="0"/>
              <w:noProof/>
              <w:sz w:val="22"/>
              <w:lang w:eastAsia="en-AU"/>
            </w:rPr>
          </w:pPr>
          <w:hyperlink w:anchor="_Toc91147289" w:history="1">
            <w:r w:rsidR="008A2940" w:rsidRPr="00282BE1">
              <w:rPr>
                <w:rStyle w:val="Hyperlink"/>
                <w:noProof/>
              </w:rPr>
              <w:t>I. Introduction to product submission</w:t>
            </w:r>
            <w:r w:rsidR="008A2940">
              <w:rPr>
                <w:noProof/>
                <w:webHidden/>
              </w:rPr>
              <w:tab/>
            </w:r>
            <w:r w:rsidR="008A2940">
              <w:rPr>
                <w:noProof/>
                <w:webHidden/>
              </w:rPr>
              <w:fldChar w:fldCharType="begin"/>
            </w:r>
            <w:r w:rsidR="008A2940">
              <w:rPr>
                <w:noProof/>
                <w:webHidden/>
              </w:rPr>
              <w:instrText xml:space="preserve"> PAGEREF _Toc91147289 \h </w:instrText>
            </w:r>
            <w:r w:rsidR="008A2940">
              <w:rPr>
                <w:noProof/>
                <w:webHidden/>
              </w:rPr>
            </w:r>
            <w:r w:rsidR="008A2940">
              <w:rPr>
                <w:noProof/>
                <w:webHidden/>
              </w:rPr>
              <w:fldChar w:fldCharType="separate"/>
            </w:r>
            <w:r w:rsidR="008A2940">
              <w:rPr>
                <w:noProof/>
                <w:webHidden/>
              </w:rPr>
              <w:t>6</w:t>
            </w:r>
            <w:r w:rsidR="008A2940">
              <w:rPr>
                <w:noProof/>
                <w:webHidden/>
              </w:rPr>
              <w:fldChar w:fldCharType="end"/>
            </w:r>
          </w:hyperlink>
        </w:p>
        <w:p w14:paraId="64B141BD" w14:textId="24AF1930" w:rsidR="008A2940" w:rsidRDefault="003240F5">
          <w:pPr>
            <w:pStyle w:val="TOC2"/>
            <w:rPr>
              <w:rFonts w:asciiTheme="minorHAnsi" w:eastAsiaTheme="minorEastAsia" w:hAnsiTheme="minorHAnsi" w:cstheme="minorBidi"/>
              <w:b w:val="0"/>
              <w:noProof/>
              <w:sz w:val="22"/>
              <w:lang w:eastAsia="en-AU"/>
            </w:rPr>
          </w:pPr>
          <w:hyperlink w:anchor="_Toc91147290" w:history="1">
            <w:r w:rsidR="008A2940" w:rsidRPr="00282BE1">
              <w:rPr>
                <w:rStyle w:val="Hyperlink"/>
                <w:noProof/>
                <w:lang w:eastAsia="en-AU"/>
              </w:rPr>
              <w:t>Submission details</w:t>
            </w:r>
            <w:r w:rsidR="008A2940">
              <w:rPr>
                <w:noProof/>
                <w:webHidden/>
              </w:rPr>
              <w:tab/>
            </w:r>
            <w:r w:rsidR="008A2940">
              <w:rPr>
                <w:noProof/>
                <w:webHidden/>
              </w:rPr>
              <w:fldChar w:fldCharType="begin"/>
            </w:r>
            <w:r w:rsidR="008A2940">
              <w:rPr>
                <w:noProof/>
                <w:webHidden/>
              </w:rPr>
              <w:instrText xml:space="preserve"> PAGEREF _Toc91147290 \h </w:instrText>
            </w:r>
            <w:r w:rsidR="008A2940">
              <w:rPr>
                <w:noProof/>
                <w:webHidden/>
              </w:rPr>
            </w:r>
            <w:r w:rsidR="008A2940">
              <w:rPr>
                <w:noProof/>
                <w:webHidden/>
              </w:rPr>
              <w:fldChar w:fldCharType="separate"/>
            </w:r>
            <w:r w:rsidR="008A2940">
              <w:rPr>
                <w:noProof/>
                <w:webHidden/>
              </w:rPr>
              <w:t>6</w:t>
            </w:r>
            <w:r w:rsidR="008A2940">
              <w:rPr>
                <w:noProof/>
                <w:webHidden/>
              </w:rPr>
              <w:fldChar w:fldCharType="end"/>
            </w:r>
          </w:hyperlink>
        </w:p>
        <w:p w14:paraId="7F33D8C8" w14:textId="13C21506" w:rsidR="008A2940" w:rsidRDefault="003240F5">
          <w:pPr>
            <w:pStyle w:val="TOC2"/>
            <w:rPr>
              <w:rFonts w:asciiTheme="minorHAnsi" w:eastAsiaTheme="minorEastAsia" w:hAnsiTheme="minorHAnsi" w:cstheme="minorBidi"/>
              <w:b w:val="0"/>
              <w:noProof/>
              <w:sz w:val="22"/>
              <w:lang w:eastAsia="en-AU"/>
            </w:rPr>
          </w:pPr>
          <w:hyperlink w:anchor="_Toc91147291" w:history="1">
            <w:r w:rsidR="008A2940" w:rsidRPr="00282BE1">
              <w:rPr>
                <w:rStyle w:val="Hyperlink"/>
                <w:noProof/>
              </w:rPr>
              <w:t>Product background</w:t>
            </w:r>
            <w:r w:rsidR="008A2940">
              <w:rPr>
                <w:noProof/>
                <w:webHidden/>
              </w:rPr>
              <w:tab/>
            </w:r>
            <w:r w:rsidR="008A2940">
              <w:rPr>
                <w:noProof/>
                <w:webHidden/>
              </w:rPr>
              <w:fldChar w:fldCharType="begin"/>
            </w:r>
            <w:r w:rsidR="008A2940">
              <w:rPr>
                <w:noProof/>
                <w:webHidden/>
              </w:rPr>
              <w:instrText xml:space="preserve"> PAGEREF _Toc91147291 \h </w:instrText>
            </w:r>
            <w:r w:rsidR="008A2940">
              <w:rPr>
                <w:noProof/>
                <w:webHidden/>
              </w:rPr>
            </w:r>
            <w:r w:rsidR="008A2940">
              <w:rPr>
                <w:noProof/>
                <w:webHidden/>
              </w:rPr>
              <w:fldChar w:fldCharType="separate"/>
            </w:r>
            <w:r w:rsidR="008A2940">
              <w:rPr>
                <w:noProof/>
                <w:webHidden/>
              </w:rPr>
              <w:t>7</w:t>
            </w:r>
            <w:r w:rsidR="008A2940">
              <w:rPr>
                <w:noProof/>
                <w:webHidden/>
              </w:rPr>
              <w:fldChar w:fldCharType="end"/>
            </w:r>
          </w:hyperlink>
        </w:p>
        <w:p w14:paraId="03106ACB" w14:textId="27A2961A" w:rsidR="008A2940" w:rsidRDefault="003240F5">
          <w:pPr>
            <w:pStyle w:val="TOC2"/>
            <w:rPr>
              <w:rFonts w:asciiTheme="minorHAnsi" w:eastAsiaTheme="minorEastAsia" w:hAnsiTheme="minorHAnsi" w:cstheme="minorBidi"/>
              <w:b w:val="0"/>
              <w:noProof/>
              <w:sz w:val="22"/>
              <w:lang w:eastAsia="en-AU"/>
            </w:rPr>
          </w:pPr>
          <w:hyperlink w:anchor="_Toc91147292" w:history="1">
            <w:r w:rsidR="008A2940" w:rsidRPr="00282BE1">
              <w:rPr>
                <w:rStyle w:val="Hyperlink"/>
                <w:noProof/>
              </w:rPr>
              <w:t>Regulatory status</w:t>
            </w:r>
            <w:r w:rsidR="008A2940">
              <w:rPr>
                <w:noProof/>
                <w:webHidden/>
              </w:rPr>
              <w:tab/>
            </w:r>
            <w:r w:rsidR="008A2940">
              <w:rPr>
                <w:noProof/>
                <w:webHidden/>
              </w:rPr>
              <w:fldChar w:fldCharType="begin"/>
            </w:r>
            <w:r w:rsidR="008A2940">
              <w:rPr>
                <w:noProof/>
                <w:webHidden/>
              </w:rPr>
              <w:instrText xml:space="preserve"> PAGEREF _Toc91147292 \h </w:instrText>
            </w:r>
            <w:r w:rsidR="008A2940">
              <w:rPr>
                <w:noProof/>
                <w:webHidden/>
              </w:rPr>
            </w:r>
            <w:r w:rsidR="008A2940">
              <w:rPr>
                <w:noProof/>
                <w:webHidden/>
              </w:rPr>
              <w:fldChar w:fldCharType="separate"/>
            </w:r>
            <w:r w:rsidR="008A2940">
              <w:rPr>
                <w:noProof/>
                <w:webHidden/>
              </w:rPr>
              <w:t>10</w:t>
            </w:r>
            <w:r w:rsidR="008A2940">
              <w:rPr>
                <w:noProof/>
                <w:webHidden/>
              </w:rPr>
              <w:fldChar w:fldCharType="end"/>
            </w:r>
          </w:hyperlink>
        </w:p>
        <w:p w14:paraId="27DDA439" w14:textId="68E2EEE1" w:rsidR="008A2940" w:rsidRDefault="003240F5">
          <w:pPr>
            <w:pStyle w:val="TOC2"/>
            <w:rPr>
              <w:rFonts w:asciiTheme="minorHAnsi" w:eastAsiaTheme="minorEastAsia" w:hAnsiTheme="minorHAnsi" w:cstheme="minorBidi"/>
              <w:b w:val="0"/>
              <w:noProof/>
              <w:sz w:val="22"/>
              <w:lang w:eastAsia="en-AU"/>
            </w:rPr>
          </w:pPr>
          <w:hyperlink w:anchor="_Toc91147293" w:history="1">
            <w:r w:rsidR="008A2940" w:rsidRPr="00282BE1">
              <w:rPr>
                <w:rStyle w:val="Hyperlink"/>
                <w:noProof/>
              </w:rPr>
              <w:t>Product Information</w:t>
            </w:r>
            <w:r w:rsidR="008A2940">
              <w:rPr>
                <w:noProof/>
                <w:webHidden/>
              </w:rPr>
              <w:tab/>
            </w:r>
            <w:r w:rsidR="008A2940">
              <w:rPr>
                <w:noProof/>
                <w:webHidden/>
              </w:rPr>
              <w:fldChar w:fldCharType="begin"/>
            </w:r>
            <w:r w:rsidR="008A2940">
              <w:rPr>
                <w:noProof/>
                <w:webHidden/>
              </w:rPr>
              <w:instrText xml:space="preserve"> PAGEREF _Toc91147293 \h </w:instrText>
            </w:r>
            <w:r w:rsidR="008A2940">
              <w:rPr>
                <w:noProof/>
                <w:webHidden/>
              </w:rPr>
            </w:r>
            <w:r w:rsidR="008A2940">
              <w:rPr>
                <w:noProof/>
                <w:webHidden/>
              </w:rPr>
              <w:fldChar w:fldCharType="separate"/>
            </w:r>
            <w:r w:rsidR="008A2940">
              <w:rPr>
                <w:noProof/>
                <w:webHidden/>
              </w:rPr>
              <w:t>11</w:t>
            </w:r>
            <w:r w:rsidR="008A2940">
              <w:rPr>
                <w:noProof/>
                <w:webHidden/>
              </w:rPr>
              <w:fldChar w:fldCharType="end"/>
            </w:r>
          </w:hyperlink>
        </w:p>
        <w:p w14:paraId="7CF1D434" w14:textId="23B718B7" w:rsidR="008A2940" w:rsidRDefault="003240F5">
          <w:pPr>
            <w:pStyle w:val="TOC1"/>
            <w:rPr>
              <w:rFonts w:asciiTheme="minorHAnsi" w:eastAsiaTheme="minorEastAsia" w:hAnsiTheme="minorHAnsi" w:cstheme="minorBidi"/>
              <w:b w:val="0"/>
              <w:noProof/>
              <w:sz w:val="22"/>
              <w:lang w:eastAsia="en-AU"/>
            </w:rPr>
          </w:pPr>
          <w:hyperlink w:anchor="_Toc91147294" w:history="1">
            <w:r w:rsidR="008A2940" w:rsidRPr="00282BE1">
              <w:rPr>
                <w:rStyle w:val="Hyperlink"/>
                <w:noProof/>
              </w:rPr>
              <w:t>II. Registration timeline</w:t>
            </w:r>
            <w:r w:rsidR="008A2940">
              <w:rPr>
                <w:noProof/>
                <w:webHidden/>
              </w:rPr>
              <w:tab/>
            </w:r>
            <w:r w:rsidR="008A2940">
              <w:rPr>
                <w:noProof/>
                <w:webHidden/>
              </w:rPr>
              <w:fldChar w:fldCharType="begin"/>
            </w:r>
            <w:r w:rsidR="008A2940">
              <w:rPr>
                <w:noProof/>
                <w:webHidden/>
              </w:rPr>
              <w:instrText xml:space="preserve"> PAGEREF _Toc91147294 \h </w:instrText>
            </w:r>
            <w:r w:rsidR="008A2940">
              <w:rPr>
                <w:noProof/>
                <w:webHidden/>
              </w:rPr>
            </w:r>
            <w:r w:rsidR="008A2940">
              <w:rPr>
                <w:noProof/>
                <w:webHidden/>
              </w:rPr>
              <w:fldChar w:fldCharType="separate"/>
            </w:r>
            <w:r w:rsidR="008A2940">
              <w:rPr>
                <w:noProof/>
                <w:webHidden/>
              </w:rPr>
              <w:t>11</w:t>
            </w:r>
            <w:r w:rsidR="008A2940">
              <w:rPr>
                <w:noProof/>
                <w:webHidden/>
              </w:rPr>
              <w:fldChar w:fldCharType="end"/>
            </w:r>
          </w:hyperlink>
        </w:p>
        <w:p w14:paraId="6466DA41" w14:textId="322719C5" w:rsidR="008A2940" w:rsidRDefault="003240F5">
          <w:pPr>
            <w:pStyle w:val="TOC1"/>
            <w:rPr>
              <w:rFonts w:asciiTheme="minorHAnsi" w:eastAsiaTheme="minorEastAsia" w:hAnsiTheme="minorHAnsi" w:cstheme="minorBidi"/>
              <w:b w:val="0"/>
              <w:noProof/>
              <w:sz w:val="22"/>
              <w:lang w:eastAsia="en-AU"/>
            </w:rPr>
          </w:pPr>
          <w:hyperlink w:anchor="_Toc91147295" w:history="1">
            <w:r w:rsidR="008A2940" w:rsidRPr="00282BE1">
              <w:rPr>
                <w:rStyle w:val="Hyperlink"/>
                <w:noProof/>
              </w:rPr>
              <w:t>III. Submission overview and risk/benefit assessment</w:t>
            </w:r>
            <w:r w:rsidR="008A2940">
              <w:rPr>
                <w:noProof/>
                <w:webHidden/>
              </w:rPr>
              <w:tab/>
            </w:r>
            <w:r w:rsidR="008A2940">
              <w:rPr>
                <w:noProof/>
                <w:webHidden/>
              </w:rPr>
              <w:fldChar w:fldCharType="begin"/>
            </w:r>
            <w:r w:rsidR="008A2940">
              <w:rPr>
                <w:noProof/>
                <w:webHidden/>
              </w:rPr>
              <w:instrText xml:space="preserve"> PAGEREF _Toc91147295 \h </w:instrText>
            </w:r>
            <w:r w:rsidR="008A2940">
              <w:rPr>
                <w:noProof/>
                <w:webHidden/>
              </w:rPr>
            </w:r>
            <w:r w:rsidR="008A2940">
              <w:rPr>
                <w:noProof/>
                <w:webHidden/>
              </w:rPr>
              <w:fldChar w:fldCharType="separate"/>
            </w:r>
            <w:r w:rsidR="008A2940">
              <w:rPr>
                <w:noProof/>
                <w:webHidden/>
              </w:rPr>
              <w:t>12</w:t>
            </w:r>
            <w:r w:rsidR="008A2940">
              <w:rPr>
                <w:noProof/>
                <w:webHidden/>
              </w:rPr>
              <w:fldChar w:fldCharType="end"/>
            </w:r>
          </w:hyperlink>
        </w:p>
        <w:p w14:paraId="58CFEA1F" w14:textId="1E15954F" w:rsidR="008A2940" w:rsidRDefault="003240F5">
          <w:pPr>
            <w:pStyle w:val="TOC2"/>
            <w:rPr>
              <w:rFonts w:asciiTheme="minorHAnsi" w:eastAsiaTheme="minorEastAsia" w:hAnsiTheme="minorHAnsi" w:cstheme="minorBidi"/>
              <w:b w:val="0"/>
              <w:noProof/>
              <w:sz w:val="22"/>
              <w:lang w:eastAsia="en-AU"/>
            </w:rPr>
          </w:pPr>
          <w:hyperlink w:anchor="_Toc91147296" w:history="1">
            <w:r w:rsidR="008A2940" w:rsidRPr="00282BE1">
              <w:rPr>
                <w:rStyle w:val="Hyperlink"/>
                <w:noProof/>
              </w:rPr>
              <w:t>Quality</w:t>
            </w:r>
            <w:r w:rsidR="008A2940">
              <w:rPr>
                <w:noProof/>
                <w:webHidden/>
              </w:rPr>
              <w:tab/>
            </w:r>
            <w:r w:rsidR="008A2940">
              <w:rPr>
                <w:noProof/>
                <w:webHidden/>
              </w:rPr>
              <w:fldChar w:fldCharType="begin"/>
            </w:r>
            <w:r w:rsidR="008A2940">
              <w:rPr>
                <w:noProof/>
                <w:webHidden/>
              </w:rPr>
              <w:instrText xml:space="preserve"> PAGEREF _Toc91147296 \h </w:instrText>
            </w:r>
            <w:r w:rsidR="008A2940">
              <w:rPr>
                <w:noProof/>
                <w:webHidden/>
              </w:rPr>
            </w:r>
            <w:r w:rsidR="008A2940">
              <w:rPr>
                <w:noProof/>
                <w:webHidden/>
              </w:rPr>
              <w:fldChar w:fldCharType="separate"/>
            </w:r>
            <w:r w:rsidR="008A2940">
              <w:rPr>
                <w:noProof/>
                <w:webHidden/>
              </w:rPr>
              <w:t>12</w:t>
            </w:r>
            <w:r w:rsidR="008A2940">
              <w:rPr>
                <w:noProof/>
                <w:webHidden/>
              </w:rPr>
              <w:fldChar w:fldCharType="end"/>
            </w:r>
          </w:hyperlink>
        </w:p>
        <w:p w14:paraId="3B55806D" w14:textId="00971540" w:rsidR="008A2940" w:rsidRDefault="003240F5">
          <w:pPr>
            <w:pStyle w:val="TOC2"/>
            <w:rPr>
              <w:rFonts w:asciiTheme="minorHAnsi" w:eastAsiaTheme="minorEastAsia" w:hAnsiTheme="minorHAnsi" w:cstheme="minorBidi"/>
              <w:b w:val="0"/>
              <w:noProof/>
              <w:sz w:val="22"/>
              <w:lang w:eastAsia="en-AU"/>
            </w:rPr>
          </w:pPr>
          <w:hyperlink w:anchor="_Toc91147297" w:history="1">
            <w:r w:rsidR="008A2940" w:rsidRPr="00282BE1">
              <w:rPr>
                <w:rStyle w:val="Hyperlink"/>
                <w:noProof/>
              </w:rPr>
              <w:t>Nonclinical</w:t>
            </w:r>
            <w:r w:rsidR="008A2940">
              <w:rPr>
                <w:noProof/>
                <w:webHidden/>
              </w:rPr>
              <w:tab/>
            </w:r>
            <w:r w:rsidR="008A2940">
              <w:rPr>
                <w:noProof/>
                <w:webHidden/>
              </w:rPr>
              <w:fldChar w:fldCharType="begin"/>
            </w:r>
            <w:r w:rsidR="008A2940">
              <w:rPr>
                <w:noProof/>
                <w:webHidden/>
              </w:rPr>
              <w:instrText xml:space="preserve"> PAGEREF _Toc91147297 \h </w:instrText>
            </w:r>
            <w:r w:rsidR="008A2940">
              <w:rPr>
                <w:noProof/>
                <w:webHidden/>
              </w:rPr>
            </w:r>
            <w:r w:rsidR="008A2940">
              <w:rPr>
                <w:noProof/>
                <w:webHidden/>
              </w:rPr>
              <w:fldChar w:fldCharType="separate"/>
            </w:r>
            <w:r w:rsidR="008A2940">
              <w:rPr>
                <w:noProof/>
                <w:webHidden/>
              </w:rPr>
              <w:t>14</w:t>
            </w:r>
            <w:r w:rsidR="008A2940">
              <w:rPr>
                <w:noProof/>
                <w:webHidden/>
              </w:rPr>
              <w:fldChar w:fldCharType="end"/>
            </w:r>
          </w:hyperlink>
        </w:p>
        <w:p w14:paraId="5A2CB548" w14:textId="40AB7A22" w:rsidR="008A2940" w:rsidRDefault="003240F5">
          <w:pPr>
            <w:pStyle w:val="TOC2"/>
            <w:rPr>
              <w:rFonts w:asciiTheme="minorHAnsi" w:eastAsiaTheme="minorEastAsia" w:hAnsiTheme="minorHAnsi" w:cstheme="minorBidi"/>
              <w:b w:val="0"/>
              <w:noProof/>
              <w:sz w:val="22"/>
              <w:lang w:eastAsia="en-AU"/>
            </w:rPr>
          </w:pPr>
          <w:hyperlink w:anchor="_Toc91147298" w:history="1">
            <w:r w:rsidR="008A2940" w:rsidRPr="00282BE1">
              <w:rPr>
                <w:rStyle w:val="Hyperlink"/>
                <w:noProof/>
              </w:rPr>
              <w:t>Clinical</w:t>
            </w:r>
            <w:r w:rsidR="008A2940">
              <w:rPr>
                <w:noProof/>
                <w:webHidden/>
              </w:rPr>
              <w:tab/>
            </w:r>
            <w:r w:rsidR="008A2940">
              <w:rPr>
                <w:noProof/>
                <w:webHidden/>
              </w:rPr>
              <w:fldChar w:fldCharType="begin"/>
            </w:r>
            <w:r w:rsidR="008A2940">
              <w:rPr>
                <w:noProof/>
                <w:webHidden/>
              </w:rPr>
              <w:instrText xml:space="preserve"> PAGEREF _Toc91147298 \h </w:instrText>
            </w:r>
            <w:r w:rsidR="008A2940">
              <w:rPr>
                <w:noProof/>
                <w:webHidden/>
              </w:rPr>
            </w:r>
            <w:r w:rsidR="008A2940">
              <w:rPr>
                <w:noProof/>
                <w:webHidden/>
              </w:rPr>
              <w:fldChar w:fldCharType="separate"/>
            </w:r>
            <w:r w:rsidR="008A2940">
              <w:rPr>
                <w:noProof/>
                <w:webHidden/>
              </w:rPr>
              <w:t>14</w:t>
            </w:r>
            <w:r w:rsidR="008A2940">
              <w:rPr>
                <w:noProof/>
                <w:webHidden/>
              </w:rPr>
              <w:fldChar w:fldCharType="end"/>
            </w:r>
          </w:hyperlink>
        </w:p>
        <w:p w14:paraId="00336347" w14:textId="6EDED1A4" w:rsidR="008A2940" w:rsidRDefault="003240F5">
          <w:pPr>
            <w:pStyle w:val="TOC2"/>
            <w:rPr>
              <w:rFonts w:asciiTheme="minorHAnsi" w:eastAsiaTheme="minorEastAsia" w:hAnsiTheme="minorHAnsi" w:cstheme="minorBidi"/>
              <w:b w:val="0"/>
              <w:noProof/>
              <w:sz w:val="22"/>
              <w:lang w:eastAsia="en-AU"/>
            </w:rPr>
          </w:pPr>
          <w:hyperlink w:anchor="_Toc91147299" w:history="1">
            <w:r w:rsidR="008A2940" w:rsidRPr="00282BE1">
              <w:rPr>
                <w:rStyle w:val="Hyperlink"/>
                <w:noProof/>
                <w:lang w:eastAsia="en-AU"/>
              </w:rPr>
              <w:t>Risk management plan</w:t>
            </w:r>
            <w:r w:rsidR="008A2940">
              <w:rPr>
                <w:noProof/>
                <w:webHidden/>
              </w:rPr>
              <w:tab/>
            </w:r>
            <w:r w:rsidR="008A2940">
              <w:rPr>
                <w:noProof/>
                <w:webHidden/>
              </w:rPr>
              <w:fldChar w:fldCharType="begin"/>
            </w:r>
            <w:r w:rsidR="008A2940">
              <w:rPr>
                <w:noProof/>
                <w:webHidden/>
              </w:rPr>
              <w:instrText xml:space="preserve"> PAGEREF _Toc91147299 \h </w:instrText>
            </w:r>
            <w:r w:rsidR="008A2940">
              <w:rPr>
                <w:noProof/>
                <w:webHidden/>
              </w:rPr>
            </w:r>
            <w:r w:rsidR="008A2940">
              <w:rPr>
                <w:noProof/>
                <w:webHidden/>
              </w:rPr>
              <w:fldChar w:fldCharType="separate"/>
            </w:r>
            <w:r w:rsidR="008A2940">
              <w:rPr>
                <w:noProof/>
                <w:webHidden/>
              </w:rPr>
              <w:t>29</w:t>
            </w:r>
            <w:r w:rsidR="008A2940">
              <w:rPr>
                <w:noProof/>
                <w:webHidden/>
              </w:rPr>
              <w:fldChar w:fldCharType="end"/>
            </w:r>
          </w:hyperlink>
        </w:p>
        <w:p w14:paraId="4E743F48" w14:textId="6A9197D5" w:rsidR="008A2940" w:rsidRDefault="003240F5">
          <w:pPr>
            <w:pStyle w:val="TOC2"/>
            <w:rPr>
              <w:rFonts w:asciiTheme="minorHAnsi" w:eastAsiaTheme="minorEastAsia" w:hAnsiTheme="minorHAnsi" w:cstheme="minorBidi"/>
              <w:b w:val="0"/>
              <w:noProof/>
              <w:sz w:val="22"/>
              <w:lang w:eastAsia="en-AU"/>
            </w:rPr>
          </w:pPr>
          <w:hyperlink w:anchor="_Toc91147300" w:history="1">
            <w:r w:rsidR="008A2940" w:rsidRPr="00282BE1">
              <w:rPr>
                <w:rStyle w:val="Hyperlink"/>
                <w:noProof/>
              </w:rPr>
              <w:t>Risk-benefit analysis</w:t>
            </w:r>
            <w:r w:rsidR="008A2940">
              <w:rPr>
                <w:noProof/>
                <w:webHidden/>
              </w:rPr>
              <w:tab/>
            </w:r>
            <w:r w:rsidR="008A2940">
              <w:rPr>
                <w:noProof/>
                <w:webHidden/>
              </w:rPr>
              <w:fldChar w:fldCharType="begin"/>
            </w:r>
            <w:r w:rsidR="008A2940">
              <w:rPr>
                <w:noProof/>
                <w:webHidden/>
              </w:rPr>
              <w:instrText xml:space="preserve"> PAGEREF _Toc91147300 \h </w:instrText>
            </w:r>
            <w:r w:rsidR="008A2940">
              <w:rPr>
                <w:noProof/>
                <w:webHidden/>
              </w:rPr>
            </w:r>
            <w:r w:rsidR="008A2940">
              <w:rPr>
                <w:noProof/>
                <w:webHidden/>
              </w:rPr>
              <w:fldChar w:fldCharType="separate"/>
            </w:r>
            <w:r w:rsidR="008A2940">
              <w:rPr>
                <w:noProof/>
                <w:webHidden/>
              </w:rPr>
              <w:t>30</w:t>
            </w:r>
            <w:r w:rsidR="008A2940">
              <w:rPr>
                <w:noProof/>
                <w:webHidden/>
              </w:rPr>
              <w:fldChar w:fldCharType="end"/>
            </w:r>
          </w:hyperlink>
        </w:p>
        <w:p w14:paraId="5CAC989A" w14:textId="14677546" w:rsidR="008A2940" w:rsidRDefault="003240F5">
          <w:pPr>
            <w:pStyle w:val="TOC2"/>
            <w:rPr>
              <w:rFonts w:asciiTheme="minorHAnsi" w:eastAsiaTheme="minorEastAsia" w:hAnsiTheme="minorHAnsi" w:cstheme="minorBidi"/>
              <w:b w:val="0"/>
              <w:noProof/>
              <w:sz w:val="22"/>
              <w:lang w:eastAsia="en-AU"/>
            </w:rPr>
          </w:pPr>
          <w:hyperlink w:anchor="_Toc91147301" w:history="1">
            <w:r w:rsidR="008A2940" w:rsidRPr="00282BE1">
              <w:rPr>
                <w:rStyle w:val="Hyperlink"/>
                <w:noProof/>
              </w:rPr>
              <w:t>Outcome</w:t>
            </w:r>
            <w:r w:rsidR="008A2940">
              <w:rPr>
                <w:noProof/>
                <w:webHidden/>
              </w:rPr>
              <w:tab/>
            </w:r>
            <w:r w:rsidR="008A2940">
              <w:rPr>
                <w:noProof/>
                <w:webHidden/>
              </w:rPr>
              <w:fldChar w:fldCharType="begin"/>
            </w:r>
            <w:r w:rsidR="008A2940">
              <w:rPr>
                <w:noProof/>
                <w:webHidden/>
              </w:rPr>
              <w:instrText xml:space="preserve"> PAGEREF _Toc91147301 \h </w:instrText>
            </w:r>
            <w:r w:rsidR="008A2940">
              <w:rPr>
                <w:noProof/>
                <w:webHidden/>
              </w:rPr>
            </w:r>
            <w:r w:rsidR="008A2940">
              <w:rPr>
                <w:noProof/>
                <w:webHidden/>
              </w:rPr>
              <w:fldChar w:fldCharType="separate"/>
            </w:r>
            <w:r w:rsidR="008A2940">
              <w:rPr>
                <w:noProof/>
                <w:webHidden/>
              </w:rPr>
              <w:t>38</w:t>
            </w:r>
            <w:r w:rsidR="008A2940">
              <w:rPr>
                <w:noProof/>
                <w:webHidden/>
              </w:rPr>
              <w:fldChar w:fldCharType="end"/>
            </w:r>
          </w:hyperlink>
        </w:p>
        <w:p w14:paraId="6467464D" w14:textId="719CEA53" w:rsidR="008A2940" w:rsidRDefault="003240F5">
          <w:pPr>
            <w:pStyle w:val="TOC1"/>
            <w:rPr>
              <w:rFonts w:asciiTheme="minorHAnsi" w:eastAsiaTheme="minorEastAsia" w:hAnsiTheme="minorHAnsi" w:cstheme="minorBidi"/>
              <w:b w:val="0"/>
              <w:noProof/>
              <w:sz w:val="22"/>
              <w:lang w:eastAsia="en-AU"/>
            </w:rPr>
          </w:pPr>
          <w:hyperlink w:anchor="_Toc91147302" w:history="1">
            <w:r w:rsidR="008A2940" w:rsidRPr="00282BE1">
              <w:rPr>
                <w:rStyle w:val="Hyperlink"/>
                <w:noProof/>
              </w:rPr>
              <w:t>Attachment 1. Product Information</w:t>
            </w:r>
            <w:r w:rsidR="008A2940">
              <w:rPr>
                <w:noProof/>
                <w:webHidden/>
              </w:rPr>
              <w:tab/>
            </w:r>
            <w:r w:rsidR="008A2940">
              <w:rPr>
                <w:noProof/>
                <w:webHidden/>
              </w:rPr>
              <w:fldChar w:fldCharType="begin"/>
            </w:r>
            <w:r w:rsidR="008A2940">
              <w:rPr>
                <w:noProof/>
                <w:webHidden/>
              </w:rPr>
              <w:instrText xml:space="preserve"> PAGEREF _Toc91147302 \h </w:instrText>
            </w:r>
            <w:r w:rsidR="008A2940">
              <w:rPr>
                <w:noProof/>
                <w:webHidden/>
              </w:rPr>
            </w:r>
            <w:r w:rsidR="008A2940">
              <w:rPr>
                <w:noProof/>
                <w:webHidden/>
              </w:rPr>
              <w:fldChar w:fldCharType="separate"/>
            </w:r>
            <w:r w:rsidR="008A2940">
              <w:rPr>
                <w:noProof/>
                <w:webHidden/>
              </w:rPr>
              <w:t>40</w:t>
            </w:r>
            <w:r w:rsidR="008A2940">
              <w:rPr>
                <w:noProof/>
                <w:webHidden/>
              </w:rPr>
              <w:fldChar w:fldCharType="end"/>
            </w:r>
          </w:hyperlink>
        </w:p>
        <w:p w14:paraId="7B75C9F0" w14:textId="6900E990" w:rsidR="003A7F6C" w:rsidRPr="00B811C6" w:rsidRDefault="00C525A2" w:rsidP="00B811C6">
          <w:pPr>
            <w:pStyle w:val="TOC2"/>
          </w:pPr>
          <w:r>
            <w:fldChar w:fldCharType="end"/>
          </w:r>
        </w:p>
      </w:sdtContent>
    </w:sdt>
    <w:bookmarkStart w:id="2" w:name="_Toc314842482" w:displacedByCustomXml="prev"/>
    <w:p w14:paraId="70D0F4BF" w14:textId="77777777" w:rsidR="00FD119B" w:rsidRDefault="00FD119B">
      <w:pPr>
        <w:spacing w:before="0" w:after="200" w:line="0" w:lineRule="auto"/>
      </w:pPr>
      <w:r>
        <w:br w:type="page"/>
      </w:r>
    </w:p>
    <w:p w14:paraId="06D13A7E" w14:textId="2E874075" w:rsidR="00C52E24" w:rsidRPr="00C52E24" w:rsidRDefault="00324E45" w:rsidP="00B54A5A">
      <w:pPr>
        <w:pStyle w:val="Heading2"/>
      </w:pPr>
      <w:bookmarkStart w:id="3" w:name="_Toc351716269"/>
      <w:bookmarkStart w:id="4" w:name="_Toc351718881"/>
      <w:bookmarkStart w:id="5" w:name="_Toc355338616"/>
      <w:bookmarkStart w:id="6" w:name="_Toc356306144"/>
      <w:bookmarkStart w:id="7" w:name="_Toc91147288"/>
      <w:r>
        <w:lastRenderedPageBreak/>
        <w:t>List of</w:t>
      </w:r>
      <w:r w:rsidR="00FD119B" w:rsidRPr="00FD119B">
        <w:t xml:space="preserve"> abbreviations</w:t>
      </w:r>
      <w:bookmarkEnd w:id="3"/>
      <w:bookmarkEnd w:id="4"/>
      <w:bookmarkEnd w:id="5"/>
      <w:bookmarkEnd w:id="6"/>
      <w:bookmarkEnd w:id="7"/>
    </w:p>
    <w:tbl>
      <w:tblPr>
        <w:tblStyle w:val="TableTGAblue"/>
        <w:tblW w:w="0" w:type="auto"/>
        <w:tblLook w:val="04A0" w:firstRow="1" w:lastRow="0" w:firstColumn="1" w:lastColumn="0" w:noHBand="0" w:noVBand="1"/>
      </w:tblPr>
      <w:tblGrid>
        <w:gridCol w:w="1798"/>
        <w:gridCol w:w="6696"/>
      </w:tblGrid>
      <w:tr w:rsidR="00FD119B" w:rsidRPr="00FD119B" w14:paraId="69558CB2" w14:textId="77777777" w:rsidTr="0047344C">
        <w:trPr>
          <w:cnfStyle w:val="100000000000" w:firstRow="1" w:lastRow="0" w:firstColumn="0" w:lastColumn="0" w:oddVBand="0" w:evenVBand="0" w:oddHBand="0" w:evenHBand="0" w:firstRowFirstColumn="0" w:firstRowLastColumn="0" w:lastRowFirstColumn="0" w:lastRowLastColumn="0"/>
        </w:trPr>
        <w:tc>
          <w:tcPr>
            <w:tcW w:w="1798" w:type="dxa"/>
            <w:tcBorders>
              <w:top w:val="single" w:sz="4" w:space="0" w:color="auto"/>
              <w:left w:val="single" w:sz="4" w:space="0" w:color="auto"/>
              <w:bottom w:val="single" w:sz="4" w:space="0" w:color="auto"/>
              <w:right w:val="single" w:sz="4" w:space="0" w:color="auto"/>
            </w:tcBorders>
          </w:tcPr>
          <w:p w14:paraId="23BD9EA2" w14:textId="77777777" w:rsidR="00FD119B" w:rsidRPr="00FD119B" w:rsidRDefault="00FD119B" w:rsidP="00CF5DAD">
            <w:pPr>
              <w:keepNext w:val="0"/>
              <w:ind w:left="0" w:right="0"/>
              <w:rPr>
                <w:szCs w:val="22"/>
                <w:lang w:eastAsia="en-US"/>
              </w:rPr>
            </w:pPr>
            <w:r w:rsidRPr="00FD119B">
              <w:rPr>
                <w:szCs w:val="22"/>
                <w:lang w:eastAsia="en-US"/>
              </w:rPr>
              <w:t>Abbreviation</w:t>
            </w:r>
          </w:p>
        </w:tc>
        <w:tc>
          <w:tcPr>
            <w:tcW w:w="6696" w:type="dxa"/>
            <w:tcBorders>
              <w:top w:val="single" w:sz="4" w:space="0" w:color="auto"/>
              <w:left w:val="single" w:sz="4" w:space="0" w:color="auto"/>
              <w:bottom w:val="single" w:sz="4" w:space="0" w:color="auto"/>
              <w:right w:val="single" w:sz="4" w:space="0" w:color="auto"/>
            </w:tcBorders>
          </w:tcPr>
          <w:p w14:paraId="3C7B82CB" w14:textId="77777777" w:rsidR="00FD119B" w:rsidRPr="00FD119B" w:rsidRDefault="00FD119B" w:rsidP="00CF5DAD">
            <w:pPr>
              <w:keepNext w:val="0"/>
              <w:ind w:left="0" w:right="0"/>
              <w:rPr>
                <w:szCs w:val="22"/>
                <w:lang w:eastAsia="en-US"/>
              </w:rPr>
            </w:pPr>
            <w:r w:rsidRPr="00FD119B">
              <w:rPr>
                <w:szCs w:val="22"/>
                <w:lang w:eastAsia="en-US"/>
              </w:rPr>
              <w:t>Meaning</w:t>
            </w:r>
          </w:p>
        </w:tc>
      </w:tr>
      <w:tr w:rsidR="00460036" w:rsidRPr="00FD119B" w14:paraId="2252BD04" w14:textId="77777777" w:rsidTr="0047344C">
        <w:tc>
          <w:tcPr>
            <w:tcW w:w="1798" w:type="dxa"/>
            <w:tcBorders>
              <w:top w:val="single" w:sz="4" w:space="0" w:color="auto"/>
            </w:tcBorders>
          </w:tcPr>
          <w:p w14:paraId="12037889" w14:textId="77777777" w:rsidR="00460036" w:rsidRPr="00FD119B" w:rsidRDefault="00460036" w:rsidP="00CF5DAD">
            <w:pPr>
              <w:ind w:left="0" w:right="0"/>
            </w:pPr>
            <w:r>
              <w:t>ACM</w:t>
            </w:r>
          </w:p>
        </w:tc>
        <w:tc>
          <w:tcPr>
            <w:tcW w:w="6696" w:type="dxa"/>
            <w:tcBorders>
              <w:top w:val="single" w:sz="4" w:space="0" w:color="auto"/>
            </w:tcBorders>
          </w:tcPr>
          <w:p w14:paraId="2A33DA84" w14:textId="77777777" w:rsidR="00460036" w:rsidRPr="00FD119B" w:rsidRDefault="00460036" w:rsidP="00CF5DAD">
            <w:pPr>
              <w:ind w:left="0" w:right="0"/>
            </w:pPr>
            <w:r w:rsidRPr="00460036">
              <w:t>Advisory Committee on Medicines</w:t>
            </w:r>
          </w:p>
        </w:tc>
      </w:tr>
      <w:tr w:rsidR="00460036" w:rsidRPr="00FD119B" w14:paraId="60F3B8EC" w14:textId="77777777" w:rsidTr="0047344C">
        <w:tc>
          <w:tcPr>
            <w:tcW w:w="1798" w:type="dxa"/>
          </w:tcPr>
          <w:p w14:paraId="5B2A0BBB" w14:textId="77777777" w:rsidR="00460036" w:rsidRPr="00FD119B" w:rsidRDefault="00460036" w:rsidP="00CF5DAD">
            <w:pPr>
              <w:ind w:left="0" w:right="0"/>
            </w:pPr>
            <w:r>
              <w:t>ARTG</w:t>
            </w:r>
          </w:p>
        </w:tc>
        <w:tc>
          <w:tcPr>
            <w:tcW w:w="6696" w:type="dxa"/>
          </w:tcPr>
          <w:p w14:paraId="7710F77F" w14:textId="77777777" w:rsidR="00460036" w:rsidRPr="00FD119B" w:rsidRDefault="00460036" w:rsidP="00CF5DAD">
            <w:pPr>
              <w:ind w:left="0" w:right="0"/>
            </w:pPr>
            <w:r w:rsidRPr="00460036">
              <w:t>Australian Register of Therapeutic Goods</w:t>
            </w:r>
          </w:p>
        </w:tc>
      </w:tr>
      <w:tr w:rsidR="002B4D49" w:rsidRPr="00FD119B" w14:paraId="256DA2CA" w14:textId="77777777" w:rsidTr="0047344C">
        <w:tc>
          <w:tcPr>
            <w:tcW w:w="1798" w:type="dxa"/>
          </w:tcPr>
          <w:p w14:paraId="510CBF21" w14:textId="605E8F83" w:rsidR="002B4D49" w:rsidRDefault="002B4D49" w:rsidP="002B4D49">
            <w:pPr>
              <w:ind w:left="0"/>
            </w:pPr>
            <w:r>
              <w:t>ARGPM</w:t>
            </w:r>
          </w:p>
        </w:tc>
        <w:tc>
          <w:tcPr>
            <w:tcW w:w="6696" w:type="dxa"/>
          </w:tcPr>
          <w:p w14:paraId="710D471A" w14:textId="7F6540F3" w:rsidR="002B4D49" w:rsidRPr="00460036" w:rsidRDefault="002B4D49" w:rsidP="002B4D49">
            <w:pPr>
              <w:ind w:left="0"/>
            </w:pPr>
            <w:r>
              <w:t>Australian Regulatory Guidelines for Prescription Medicines</w:t>
            </w:r>
          </w:p>
        </w:tc>
      </w:tr>
      <w:tr w:rsidR="00957845" w:rsidRPr="00FD119B" w14:paraId="0A95C0C3" w14:textId="77777777" w:rsidTr="0047344C">
        <w:tc>
          <w:tcPr>
            <w:tcW w:w="1798" w:type="dxa"/>
          </w:tcPr>
          <w:p w14:paraId="74D2EAA3" w14:textId="09331FA6" w:rsidR="00957845" w:rsidRDefault="00957845" w:rsidP="00957845">
            <w:pPr>
              <w:ind w:left="0"/>
            </w:pPr>
            <w:r>
              <w:t>ADA</w:t>
            </w:r>
          </w:p>
        </w:tc>
        <w:tc>
          <w:tcPr>
            <w:tcW w:w="6696" w:type="dxa"/>
          </w:tcPr>
          <w:p w14:paraId="5A806454" w14:textId="024AD8E2" w:rsidR="00957845" w:rsidRPr="00460036" w:rsidRDefault="00957845" w:rsidP="00957845">
            <w:pPr>
              <w:ind w:left="0"/>
            </w:pPr>
            <w:r>
              <w:t>Anti-drug antibody</w:t>
            </w:r>
          </w:p>
        </w:tc>
      </w:tr>
      <w:tr w:rsidR="00CE41BA" w:rsidRPr="00FD119B" w14:paraId="088F5F76" w14:textId="77777777" w:rsidTr="0047344C">
        <w:tc>
          <w:tcPr>
            <w:tcW w:w="1798" w:type="dxa"/>
          </w:tcPr>
          <w:p w14:paraId="7F8FE061" w14:textId="2564AFD1" w:rsidR="00CE41BA" w:rsidRDefault="00CE41BA" w:rsidP="00441379">
            <w:pPr>
              <w:ind w:left="0"/>
            </w:pPr>
            <w:r>
              <w:t>AE</w:t>
            </w:r>
          </w:p>
        </w:tc>
        <w:tc>
          <w:tcPr>
            <w:tcW w:w="6696" w:type="dxa"/>
          </w:tcPr>
          <w:p w14:paraId="4D9FDA88" w14:textId="22B9BA92" w:rsidR="00CE41BA" w:rsidRDefault="00CE41BA" w:rsidP="00CE41BA">
            <w:pPr>
              <w:ind w:left="0"/>
            </w:pPr>
            <w:r>
              <w:t>Adverse event</w:t>
            </w:r>
          </w:p>
        </w:tc>
      </w:tr>
      <w:tr w:rsidR="00957845" w:rsidRPr="00FD119B" w14:paraId="3614EE6B" w14:textId="77777777" w:rsidTr="0047344C">
        <w:tc>
          <w:tcPr>
            <w:tcW w:w="1798" w:type="dxa"/>
          </w:tcPr>
          <w:p w14:paraId="4F2249B0" w14:textId="586CBBA6" w:rsidR="00957845" w:rsidRDefault="00957845" w:rsidP="00957845">
            <w:pPr>
              <w:ind w:left="0"/>
            </w:pPr>
            <w:r>
              <w:t>ASA</w:t>
            </w:r>
          </w:p>
        </w:tc>
        <w:tc>
          <w:tcPr>
            <w:tcW w:w="6696" w:type="dxa"/>
          </w:tcPr>
          <w:p w14:paraId="7171CEBC" w14:textId="04EB2299" w:rsidR="00957845" w:rsidRDefault="00957845" w:rsidP="00957845">
            <w:pPr>
              <w:ind w:left="0"/>
            </w:pPr>
            <w:r>
              <w:t>Australian Specific Annex</w:t>
            </w:r>
          </w:p>
        </w:tc>
      </w:tr>
      <w:tr w:rsidR="0047344C" w:rsidRPr="00FD119B" w14:paraId="543EF0D2" w14:textId="77777777" w:rsidTr="0047344C">
        <w:tc>
          <w:tcPr>
            <w:tcW w:w="1798" w:type="dxa"/>
          </w:tcPr>
          <w:p w14:paraId="5738BF47" w14:textId="08D7077D" w:rsidR="0047344C" w:rsidRDefault="00A93AFF" w:rsidP="0047344C">
            <w:pPr>
              <w:ind w:left="0"/>
            </w:pPr>
            <w:r>
              <w:t>AST</w:t>
            </w:r>
          </w:p>
        </w:tc>
        <w:tc>
          <w:tcPr>
            <w:tcW w:w="6696" w:type="dxa"/>
          </w:tcPr>
          <w:p w14:paraId="370EF7A3" w14:textId="258D4E3C" w:rsidR="0047344C" w:rsidRDefault="00CE41BA" w:rsidP="00A93AFF">
            <w:pPr>
              <w:ind w:left="0"/>
            </w:pPr>
            <w:r>
              <w:t xml:space="preserve">Aspartate </w:t>
            </w:r>
            <w:r w:rsidR="00DA00C2">
              <w:t>a</w:t>
            </w:r>
            <w:r>
              <w:t>minotransferase</w:t>
            </w:r>
          </w:p>
        </w:tc>
      </w:tr>
      <w:tr w:rsidR="00CE41BA" w:rsidRPr="00FD119B" w14:paraId="2EC7D89C" w14:textId="77777777" w:rsidTr="0047344C">
        <w:tc>
          <w:tcPr>
            <w:tcW w:w="1798" w:type="dxa"/>
          </w:tcPr>
          <w:p w14:paraId="173D95B1" w14:textId="051D7700" w:rsidR="00CE41BA" w:rsidRDefault="00CE41BA" w:rsidP="00CE41BA">
            <w:pPr>
              <w:ind w:left="0"/>
            </w:pPr>
            <w:r>
              <w:t>BICR</w:t>
            </w:r>
          </w:p>
        </w:tc>
        <w:tc>
          <w:tcPr>
            <w:tcW w:w="6696" w:type="dxa"/>
          </w:tcPr>
          <w:p w14:paraId="30A46BC9" w14:textId="0F6CDF1E" w:rsidR="00CE41BA" w:rsidRDefault="00CE41BA" w:rsidP="00CE41BA">
            <w:pPr>
              <w:ind w:left="0"/>
            </w:pPr>
            <w:r>
              <w:t>Blinded independent central review</w:t>
            </w:r>
          </w:p>
        </w:tc>
      </w:tr>
      <w:tr w:rsidR="0047344C" w:rsidRPr="00FD119B" w14:paraId="2A32D2DE" w14:textId="77777777" w:rsidTr="0047344C">
        <w:tc>
          <w:tcPr>
            <w:tcW w:w="1798" w:type="dxa"/>
          </w:tcPr>
          <w:p w14:paraId="49C5237A" w14:textId="2EA654A5" w:rsidR="0047344C" w:rsidRDefault="0047344C" w:rsidP="0047344C">
            <w:pPr>
              <w:ind w:left="0"/>
            </w:pPr>
            <w:r>
              <w:t>BRCA1</w:t>
            </w:r>
          </w:p>
        </w:tc>
        <w:tc>
          <w:tcPr>
            <w:tcW w:w="6696" w:type="dxa"/>
          </w:tcPr>
          <w:p w14:paraId="2AEEE779" w14:textId="4A373E1E" w:rsidR="0047344C" w:rsidRDefault="00441379" w:rsidP="00441379">
            <w:pPr>
              <w:ind w:left="0"/>
            </w:pPr>
            <w:r w:rsidRPr="00441379">
              <w:t>Breast cancer type 1 susceptibility protein</w:t>
            </w:r>
          </w:p>
        </w:tc>
      </w:tr>
      <w:tr w:rsidR="0047344C" w:rsidRPr="00FD119B" w14:paraId="64845BB5" w14:textId="77777777" w:rsidTr="0047344C">
        <w:tc>
          <w:tcPr>
            <w:tcW w:w="1798" w:type="dxa"/>
          </w:tcPr>
          <w:p w14:paraId="6DC99FEF" w14:textId="5A4240AC" w:rsidR="0047344C" w:rsidRDefault="0047344C" w:rsidP="0047344C">
            <w:pPr>
              <w:ind w:left="0"/>
            </w:pPr>
            <w:proofErr w:type="spellStart"/>
            <w:r>
              <w:t>C</w:t>
            </w:r>
            <w:r w:rsidRPr="0047344C">
              <w:rPr>
                <w:vertAlign w:val="subscript"/>
              </w:rPr>
              <w:t>max</w:t>
            </w:r>
            <w:proofErr w:type="spellEnd"/>
          </w:p>
        </w:tc>
        <w:tc>
          <w:tcPr>
            <w:tcW w:w="6696" w:type="dxa"/>
          </w:tcPr>
          <w:p w14:paraId="6B0972C2" w14:textId="4456DEE3" w:rsidR="0047344C" w:rsidRDefault="0047344C" w:rsidP="0047344C">
            <w:pPr>
              <w:ind w:left="0"/>
            </w:pPr>
            <w:r>
              <w:t xml:space="preserve">Peak </w:t>
            </w:r>
            <w:r w:rsidR="00BC4453">
              <w:t>serum</w:t>
            </w:r>
            <w:r>
              <w:t xml:space="preserve"> concentration</w:t>
            </w:r>
          </w:p>
        </w:tc>
      </w:tr>
      <w:tr w:rsidR="002C78AD" w:rsidRPr="00FD119B" w14:paraId="03A29EA1" w14:textId="77777777" w:rsidTr="0047344C">
        <w:tc>
          <w:tcPr>
            <w:tcW w:w="1798" w:type="dxa"/>
          </w:tcPr>
          <w:p w14:paraId="69A6C826" w14:textId="39191756" w:rsidR="002C78AD" w:rsidRDefault="002C78AD" w:rsidP="002C78AD">
            <w:pPr>
              <w:ind w:left="0"/>
            </w:pPr>
            <w:r>
              <w:t>CV</w:t>
            </w:r>
          </w:p>
        </w:tc>
        <w:tc>
          <w:tcPr>
            <w:tcW w:w="6696" w:type="dxa"/>
          </w:tcPr>
          <w:p w14:paraId="3E5951C4" w14:textId="0A5D63B2" w:rsidR="002C78AD" w:rsidRDefault="002C78AD" w:rsidP="002C78AD">
            <w:pPr>
              <w:ind w:left="0"/>
            </w:pPr>
            <w:r>
              <w:t xml:space="preserve">Coefficient of </w:t>
            </w:r>
            <w:r w:rsidR="00124AFA">
              <w:t>v</w:t>
            </w:r>
            <w:r>
              <w:t>ariation</w:t>
            </w:r>
          </w:p>
        </w:tc>
      </w:tr>
      <w:tr w:rsidR="00E304F9" w:rsidRPr="00FD119B" w14:paraId="36068DAA" w14:textId="77777777" w:rsidTr="0047344C">
        <w:tc>
          <w:tcPr>
            <w:tcW w:w="1798" w:type="dxa"/>
          </w:tcPr>
          <w:p w14:paraId="593FFC5B" w14:textId="4C61F539" w:rsidR="00E304F9" w:rsidRDefault="00E304F9" w:rsidP="00E304F9">
            <w:pPr>
              <w:ind w:left="0"/>
            </w:pPr>
            <w:r>
              <w:t>CMI</w:t>
            </w:r>
          </w:p>
        </w:tc>
        <w:tc>
          <w:tcPr>
            <w:tcW w:w="6696" w:type="dxa"/>
          </w:tcPr>
          <w:p w14:paraId="06C105C2" w14:textId="230A1394" w:rsidR="00E304F9" w:rsidRDefault="00E304F9" w:rsidP="00E304F9">
            <w:pPr>
              <w:ind w:left="0"/>
            </w:pPr>
            <w:r>
              <w:t>Consumer Medicines Information</w:t>
            </w:r>
          </w:p>
        </w:tc>
      </w:tr>
      <w:tr w:rsidR="002B4D49" w:rsidRPr="00FD119B" w14:paraId="4CEA09B9" w14:textId="77777777" w:rsidTr="0047344C">
        <w:tc>
          <w:tcPr>
            <w:tcW w:w="1798" w:type="dxa"/>
          </w:tcPr>
          <w:p w14:paraId="27BB347B" w14:textId="5F7B9E10" w:rsidR="002B4D49" w:rsidRDefault="002B4D49" w:rsidP="002B4D49">
            <w:pPr>
              <w:ind w:left="0"/>
            </w:pPr>
            <w:r>
              <w:t>CPD</w:t>
            </w:r>
          </w:p>
        </w:tc>
        <w:tc>
          <w:tcPr>
            <w:tcW w:w="6696" w:type="dxa"/>
          </w:tcPr>
          <w:p w14:paraId="53D92840" w14:textId="5AF5E6A4" w:rsidR="002B4D49" w:rsidRDefault="002B4D49" w:rsidP="002B4D49">
            <w:pPr>
              <w:ind w:left="0"/>
            </w:pPr>
            <w:r>
              <w:t>Certified Product Details</w:t>
            </w:r>
          </w:p>
        </w:tc>
      </w:tr>
      <w:tr w:rsidR="005C5F52" w:rsidRPr="00FD119B" w14:paraId="3A55D3AC" w14:textId="77777777" w:rsidTr="0047344C">
        <w:tc>
          <w:tcPr>
            <w:tcW w:w="1798" w:type="dxa"/>
          </w:tcPr>
          <w:p w14:paraId="18585281" w14:textId="4B2AAB67" w:rsidR="005C5F52" w:rsidRDefault="005C5F52" w:rsidP="005C5F52">
            <w:pPr>
              <w:ind w:left="0"/>
            </w:pPr>
            <w:r>
              <w:t>CT</w:t>
            </w:r>
          </w:p>
        </w:tc>
        <w:tc>
          <w:tcPr>
            <w:tcW w:w="6696" w:type="dxa"/>
          </w:tcPr>
          <w:p w14:paraId="0F61E9DF" w14:textId="211919FE" w:rsidR="005C5F52" w:rsidRDefault="005C5F52" w:rsidP="005C5F52">
            <w:pPr>
              <w:ind w:left="0"/>
            </w:pPr>
            <w:r>
              <w:t>Computed tomography</w:t>
            </w:r>
          </w:p>
        </w:tc>
      </w:tr>
      <w:tr w:rsidR="0047344C" w:rsidRPr="00FD119B" w14:paraId="15E756B3" w14:textId="77777777" w:rsidTr="0047344C">
        <w:tc>
          <w:tcPr>
            <w:tcW w:w="1798" w:type="dxa"/>
          </w:tcPr>
          <w:p w14:paraId="3A266781" w14:textId="78A0044B" w:rsidR="0047344C" w:rsidRDefault="0047344C" w:rsidP="0047344C">
            <w:pPr>
              <w:ind w:left="0"/>
            </w:pPr>
            <w:proofErr w:type="spellStart"/>
            <w:r>
              <w:t>CLcr</w:t>
            </w:r>
            <w:proofErr w:type="spellEnd"/>
          </w:p>
        </w:tc>
        <w:tc>
          <w:tcPr>
            <w:tcW w:w="6696" w:type="dxa"/>
          </w:tcPr>
          <w:p w14:paraId="6E5D8C96" w14:textId="3E9B4D47" w:rsidR="0047344C" w:rsidRDefault="0047344C" w:rsidP="0047344C">
            <w:pPr>
              <w:ind w:left="0"/>
            </w:pPr>
            <w:r>
              <w:t>Creatin</w:t>
            </w:r>
            <w:r w:rsidR="00DA00C2">
              <w:t>ine</w:t>
            </w:r>
            <w:r>
              <w:t xml:space="preserve"> </w:t>
            </w:r>
            <w:r w:rsidR="00DA00C2">
              <w:t>c</w:t>
            </w:r>
            <w:r>
              <w:t>learance</w:t>
            </w:r>
          </w:p>
        </w:tc>
      </w:tr>
      <w:tr w:rsidR="00957845" w:rsidRPr="00FD119B" w14:paraId="03EFD28B" w14:textId="77777777" w:rsidTr="0047344C">
        <w:tc>
          <w:tcPr>
            <w:tcW w:w="1798" w:type="dxa"/>
          </w:tcPr>
          <w:p w14:paraId="652F8C77" w14:textId="3A8DB2CE" w:rsidR="00957845" w:rsidRDefault="00957845" w:rsidP="00957845">
            <w:pPr>
              <w:ind w:left="0"/>
            </w:pPr>
            <w:r>
              <w:t>DLP</w:t>
            </w:r>
          </w:p>
        </w:tc>
        <w:tc>
          <w:tcPr>
            <w:tcW w:w="6696" w:type="dxa"/>
          </w:tcPr>
          <w:p w14:paraId="6C2C8B7B" w14:textId="00384798" w:rsidR="00957845" w:rsidRDefault="00957845" w:rsidP="00957845">
            <w:pPr>
              <w:ind w:left="0"/>
            </w:pPr>
            <w:r>
              <w:t>Data lock point</w:t>
            </w:r>
          </w:p>
        </w:tc>
      </w:tr>
      <w:tr w:rsidR="00CE41BA" w:rsidRPr="00FD119B" w14:paraId="744369F6" w14:textId="77777777" w:rsidTr="0047344C">
        <w:tc>
          <w:tcPr>
            <w:tcW w:w="1798" w:type="dxa"/>
          </w:tcPr>
          <w:p w14:paraId="4E9B5A02" w14:textId="1FADD5A6" w:rsidR="00CE41BA" w:rsidRDefault="00CE41BA" w:rsidP="00CE41BA">
            <w:pPr>
              <w:ind w:left="0"/>
            </w:pPr>
            <w:r>
              <w:t>ECG</w:t>
            </w:r>
          </w:p>
        </w:tc>
        <w:tc>
          <w:tcPr>
            <w:tcW w:w="6696" w:type="dxa"/>
          </w:tcPr>
          <w:p w14:paraId="38D8E7DA" w14:textId="429603D0" w:rsidR="00CE41BA" w:rsidRDefault="00CE41BA" w:rsidP="00CE41BA">
            <w:pPr>
              <w:ind w:left="0"/>
            </w:pPr>
            <w:r>
              <w:t>Electrocardiogram</w:t>
            </w:r>
          </w:p>
        </w:tc>
      </w:tr>
      <w:tr w:rsidR="005C5F52" w:rsidRPr="00FD119B" w14:paraId="6F9B110D" w14:textId="77777777" w:rsidTr="0047344C">
        <w:tc>
          <w:tcPr>
            <w:tcW w:w="1798" w:type="dxa"/>
          </w:tcPr>
          <w:p w14:paraId="73DB4DEA" w14:textId="2FC83C6A" w:rsidR="005C5F52" w:rsidRDefault="005C5F52" w:rsidP="005C5F52">
            <w:pPr>
              <w:ind w:left="0"/>
            </w:pPr>
            <w:r>
              <w:t>ECOG</w:t>
            </w:r>
          </w:p>
        </w:tc>
        <w:tc>
          <w:tcPr>
            <w:tcW w:w="6696" w:type="dxa"/>
          </w:tcPr>
          <w:p w14:paraId="3F4906EA" w14:textId="53B18A13" w:rsidR="005C5F52" w:rsidRDefault="005C5F52" w:rsidP="005C5F52">
            <w:pPr>
              <w:ind w:left="0"/>
            </w:pPr>
            <w:r>
              <w:t>Eastern Cooperative Oncology Grou</w:t>
            </w:r>
            <w:r w:rsidR="00441379">
              <w:t>p (United States of America)</w:t>
            </w:r>
          </w:p>
        </w:tc>
      </w:tr>
      <w:tr w:rsidR="002B4D49" w:rsidRPr="00FD119B" w14:paraId="5342D520" w14:textId="77777777" w:rsidTr="0047344C">
        <w:tc>
          <w:tcPr>
            <w:tcW w:w="1798" w:type="dxa"/>
          </w:tcPr>
          <w:p w14:paraId="5AF37B9E" w14:textId="1324B7D0" w:rsidR="002B4D49" w:rsidRDefault="002B4D49" w:rsidP="002B4D49">
            <w:pPr>
              <w:ind w:left="0"/>
            </w:pPr>
            <w:r>
              <w:t>EMA</w:t>
            </w:r>
          </w:p>
        </w:tc>
        <w:tc>
          <w:tcPr>
            <w:tcW w:w="6696" w:type="dxa"/>
          </w:tcPr>
          <w:p w14:paraId="49DA357D" w14:textId="0333B2EF" w:rsidR="002B4D49" w:rsidRDefault="002B4D49" w:rsidP="002B4D49">
            <w:pPr>
              <w:ind w:left="0"/>
            </w:pPr>
            <w:r>
              <w:t>European Medicines Agency</w:t>
            </w:r>
            <w:r w:rsidR="00441379">
              <w:t xml:space="preserve"> (European Union)</w:t>
            </w:r>
          </w:p>
        </w:tc>
      </w:tr>
      <w:tr w:rsidR="005C5F52" w:rsidRPr="00FD119B" w14:paraId="21DBFD12" w14:textId="77777777" w:rsidTr="0047344C">
        <w:tc>
          <w:tcPr>
            <w:tcW w:w="1798" w:type="dxa"/>
          </w:tcPr>
          <w:p w14:paraId="33309146" w14:textId="0025E643" w:rsidR="005C5F52" w:rsidRDefault="005C5F52" w:rsidP="005C5F52">
            <w:pPr>
              <w:ind w:left="0"/>
            </w:pPr>
            <w:r>
              <w:t>ER</w:t>
            </w:r>
          </w:p>
        </w:tc>
        <w:tc>
          <w:tcPr>
            <w:tcW w:w="6696" w:type="dxa"/>
          </w:tcPr>
          <w:p w14:paraId="6941F189" w14:textId="5D0ACC0C" w:rsidR="005C5F52" w:rsidRDefault="00441379" w:rsidP="005C5F52">
            <w:pPr>
              <w:ind w:left="0"/>
            </w:pPr>
            <w:r>
              <w:t>Oe</w:t>
            </w:r>
            <w:r w:rsidR="005C5F52">
              <w:t>strogen receptor</w:t>
            </w:r>
          </w:p>
        </w:tc>
      </w:tr>
      <w:tr w:rsidR="002B4D49" w:rsidRPr="00FD119B" w14:paraId="1F8E7756" w14:textId="77777777" w:rsidTr="0047344C">
        <w:tc>
          <w:tcPr>
            <w:tcW w:w="1798" w:type="dxa"/>
          </w:tcPr>
          <w:p w14:paraId="76F3EF84" w14:textId="7E4BA78E" w:rsidR="002B4D49" w:rsidRDefault="002B4D49" w:rsidP="002B4D49">
            <w:pPr>
              <w:ind w:left="0"/>
            </w:pPr>
            <w:r>
              <w:t>EU</w:t>
            </w:r>
          </w:p>
        </w:tc>
        <w:tc>
          <w:tcPr>
            <w:tcW w:w="6696" w:type="dxa"/>
          </w:tcPr>
          <w:p w14:paraId="07388D39" w14:textId="5E6D0FBC" w:rsidR="002B4D49" w:rsidRDefault="002B4D49" w:rsidP="002B4D49">
            <w:pPr>
              <w:ind w:left="0"/>
            </w:pPr>
            <w:r>
              <w:t>European Union</w:t>
            </w:r>
          </w:p>
        </w:tc>
      </w:tr>
      <w:tr w:rsidR="002C78AD" w:rsidRPr="00FD119B" w14:paraId="7DBB5778" w14:textId="77777777" w:rsidTr="0047344C">
        <w:tc>
          <w:tcPr>
            <w:tcW w:w="1798" w:type="dxa"/>
          </w:tcPr>
          <w:p w14:paraId="721E63FF" w14:textId="1D46E2E4" w:rsidR="002C78AD" w:rsidRDefault="002C78AD" w:rsidP="002C78AD">
            <w:pPr>
              <w:ind w:left="0"/>
            </w:pPr>
            <w:r>
              <w:t>FDA</w:t>
            </w:r>
          </w:p>
        </w:tc>
        <w:tc>
          <w:tcPr>
            <w:tcW w:w="6696" w:type="dxa"/>
          </w:tcPr>
          <w:p w14:paraId="12EF3470" w14:textId="0242DDB3" w:rsidR="002C78AD" w:rsidRDefault="002C78AD" w:rsidP="002C78AD">
            <w:pPr>
              <w:ind w:left="0"/>
            </w:pPr>
            <w:r>
              <w:t>Food and Drug Administration</w:t>
            </w:r>
            <w:r w:rsidR="00CB3B8C">
              <w:t xml:space="preserve"> (United States of America)</w:t>
            </w:r>
          </w:p>
        </w:tc>
      </w:tr>
      <w:tr w:rsidR="002B4D49" w:rsidRPr="00FD119B" w14:paraId="3E6FFA04" w14:textId="77777777" w:rsidTr="0047344C">
        <w:tc>
          <w:tcPr>
            <w:tcW w:w="1798" w:type="dxa"/>
          </w:tcPr>
          <w:p w14:paraId="15663E80" w14:textId="687C837D" w:rsidR="002B4D49" w:rsidRDefault="002B4D49" w:rsidP="002B4D49">
            <w:pPr>
              <w:ind w:left="0"/>
            </w:pPr>
            <w:r>
              <w:t>GVP</w:t>
            </w:r>
          </w:p>
        </w:tc>
        <w:tc>
          <w:tcPr>
            <w:tcW w:w="6696" w:type="dxa"/>
          </w:tcPr>
          <w:p w14:paraId="0E7876BD" w14:textId="0C41902B" w:rsidR="002B4D49" w:rsidRDefault="002B4D49" w:rsidP="002B4D49">
            <w:pPr>
              <w:ind w:left="0"/>
            </w:pPr>
            <w:r>
              <w:t>Good Pharmacovigilance Practices</w:t>
            </w:r>
          </w:p>
        </w:tc>
      </w:tr>
      <w:tr w:rsidR="0047344C" w:rsidRPr="00FD119B" w14:paraId="089F83A5" w14:textId="77777777" w:rsidTr="0047344C">
        <w:tc>
          <w:tcPr>
            <w:tcW w:w="1798" w:type="dxa"/>
          </w:tcPr>
          <w:p w14:paraId="307D04AB" w14:textId="5A3FE0BC" w:rsidR="0047344C" w:rsidRDefault="0047344C" w:rsidP="0047344C">
            <w:pPr>
              <w:ind w:left="0"/>
            </w:pPr>
            <w:r>
              <w:t>HR</w:t>
            </w:r>
          </w:p>
        </w:tc>
        <w:tc>
          <w:tcPr>
            <w:tcW w:w="6696" w:type="dxa"/>
          </w:tcPr>
          <w:p w14:paraId="4728F082" w14:textId="2D96DD8E" w:rsidR="0047344C" w:rsidRDefault="0047344C" w:rsidP="0047344C">
            <w:pPr>
              <w:ind w:left="0"/>
            </w:pPr>
            <w:r>
              <w:t>Hormone receptor</w:t>
            </w:r>
          </w:p>
        </w:tc>
      </w:tr>
      <w:tr w:rsidR="00003E02" w:rsidRPr="00FD119B" w14:paraId="5EC3823D" w14:textId="77777777" w:rsidTr="0047344C">
        <w:tc>
          <w:tcPr>
            <w:tcW w:w="1798" w:type="dxa"/>
          </w:tcPr>
          <w:p w14:paraId="5A06BF7F" w14:textId="73447DA4" w:rsidR="00003E02" w:rsidRDefault="00003E02" w:rsidP="00003E02">
            <w:pPr>
              <w:ind w:left="0"/>
            </w:pPr>
            <w:r>
              <w:t>HR</w:t>
            </w:r>
          </w:p>
        </w:tc>
        <w:tc>
          <w:tcPr>
            <w:tcW w:w="6696" w:type="dxa"/>
          </w:tcPr>
          <w:p w14:paraId="4FED542F" w14:textId="2E90AF42" w:rsidR="00003E02" w:rsidRDefault="00003E02" w:rsidP="00003E02">
            <w:pPr>
              <w:ind w:left="0"/>
            </w:pPr>
            <w:r>
              <w:t>Hazard ratio</w:t>
            </w:r>
          </w:p>
        </w:tc>
      </w:tr>
      <w:tr w:rsidR="008F1298" w:rsidRPr="00FD119B" w14:paraId="612C2FFA" w14:textId="77777777" w:rsidTr="0047344C">
        <w:tc>
          <w:tcPr>
            <w:tcW w:w="1798" w:type="dxa"/>
          </w:tcPr>
          <w:p w14:paraId="6DB2097A" w14:textId="5C1B6424" w:rsidR="008F1298" w:rsidRDefault="008F1298" w:rsidP="008F1298">
            <w:pPr>
              <w:ind w:left="0"/>
            </w:pPr>
            <w:r>
              <w:lastRenderedPageBreak/>
              <w:t>ITT</w:t>
            </w:r>
          </w:p>
        </w:tc>
        <w:tc>
          <w:tcPr>
            <w:tcW w:w="6696" w:type="dxa"/>
          </w:tcPr>
          <w:p w14:paraId="622283EE" w14:textId="25ACC0EE" w:rsidR="008F1298" w:rsidRDefault="008F1298" w:rsidP="008F1298">
            <w:pPr>
              <w:ind w:left="0"/>
            </w:pPr>
            <w:r>
              <w:t>Intent</w:t>
            </w:r>
            <w:r w:rsidR="00C74E49">
              <w:t xml:space="preserve">ion </w:t>
            </w:r>
            <w:r>
              <w:t>to</w:t>
            </w:r>
            <w:r w:rsidR="00C74E49">
              <w:t xml:space="preserve"> </w:t>
            </w:r>
            <w:r>
              <w:t>treat</w:t>
            </w:r>
          </w:p>
        </w:tc>
      </w:tr>
      <w:tr w:rsidR="00CE41BA" w:rsidRPr="00FD119B" w14:paraId="1585C2E4" w14:textId="77777777" w:rsidTr="0047344C">
        <w:tc>
          <w:tcPr>
            <w:tcW w:w="1798" w:type="dxa"/>
          </w:tcPr>
          <w:p w14:paraId="0030D2F0" w14:textId="5401FDA1" w:rsidR="00CE41BA" w:rsidRDefault="00CE41BA" w:rsidP="00CE41BA">
            <w:pPr>
              <w:ind w:left="0"/>
            </w:pPr>
            <w:r>
              <w:t>IV</w:t>
            </w:r>
          </w:p>
        </w:tc>
        <w:tc>
          <w:tcPr>
            <w:tcW w:w="6696" w:type="dxa"/>
          </w:tcPr>
          <w:p w14:paraId="6C18FBEE" w14:textId="473FBD64" w:rsidR="00CE41BA" w:rsidRDefault="00CE41BA" w:rsidP="00CE41BA">
            <w:pPr>
              <w:ind w:left="0"/>
            </w:pPr>
            <w:r>
              <w:t>Intravenous</w:t>
            </w:r>
          </w:p>
        </w:tc>
      </w:tr>
      <w:tr w:rsidR="005C5F52" w:rsidRPr="00FD119B" w14:paraId="4EA71E7D" w14:textId="77777777" w:rsidTr="0047344C">
        <w:tc>
          <w:tcPr>
            <w:tcW w:w="1798" w:type="dxa"/>
          </w:tcPr>
          <w:p w14:paraId="3F7CAA21" w14:textId="782F48ED" w:rsidR="005C5F52" w:rsidRDefault="005C5F52" w:rsidP="005C5F52">
            <w:pPr>
              <w:ind w:left="0"/>
            </w:pPr>
            <w:r>
              <w:t>MRI</w:t>
            </w:r>
          </w:p>
        </w:tc>
        <w:tc>
          <w:tcPr>
            <w:tcW w:w="6696" w:type="dxa"/>
          </w:tcPr>
          <w:p w14:paraId="2C9797CB" w14:textId="7FC43D47" w:rsidR="005C5F52" w:rsidRDefault="005C5F52" w:rsidP="005C5F52">
            <w:pPr>
              <w:ind w:left="0"/>
            </w:pPr>
            <w:r>
              <w:t>Magnetic resonance imaging</w:t>
            </w:r>
          </w:p>
        </w:tc>
      </w:tr>
      <w:tr w:rsidR="00003E02" w:rsidRPr="00FD119B" w14:paraId="6F1284EC" w14:textId="77777777" w:rsidTr="0047344C">
        <w:tc>
          <w:tcPr>
            <w:tcW w:w="1798" w:type="dxa"/>
          </w:tcPr>
          <w:p w14:paraId="162C8E10" w14:textId="01E54B89" w:rsidR="00003E02" w:rsidRDefault="00003E02" w:rsidP="00003E02">
            <w:pPr>
              <w:ind w:left="0"/>
            </w:pPr>
            <w:r>
              <w:t>OS</w:t>
            </w:r>
          </w:p>
        </w:tc>
        <w:tc>
          <w:tcPr>
            <w:tcW w:w="6696" w:type="dxa"/>
          </w:tcPr>
          <w:p w14:paraId="4652BC67" w14:textId="71597DAA" w:rsidR="00003E02" w:rsidRDefault="00003E02" w:rsidP="00003E02">
            <w:pPr>
              <w:ind w:left="0"/>
            </w:pPr>
            <w:r>
              <w:t>Overall survival</w:t>
            </w:r>
          </w:p>
        </w:tc>
      </w:tr>
      <w:tr w:rsidR="0047344C" w:rsidRPr="00FD119B" w14:paraId="4E70697C" w14:textId="77777777" w:rsidTr="0047344C">
        <w:tc>
          <w:tcPr>
            <w:tcW w:w="1798" w:type="dxa"/>
          </w:tcPr>
          <w:p w14:paraId="769CB91A" w14:textId="57E0163E" w:rsidR="0047344C" w:rsidRDefault="0047344C" w:rsidP="0047344C">
            <w:pPr>
              <w:ind w:left="0"/>
            </w:pPr>
            <w:r>
              <w:t>PD-L1</w:t>
            </w:r>
          </w:p>
        </w:tc>
        <w:tc>
          <w:tcPr>
            <w:tcW w:w="6696" w:type="dxa"/>
          </w:tcPr>
          <w:p w14:paraId="7576177F" w14:textId="3949434D" w:rsidR="0047344C" w:rsidRDefault="0047344C" w:rsidP="0047344C">
            <w:pPr>
              <w:ind w:left="0"/>
            </w:pPr>
            <w:r>
              <w:t>Programmed death ligand 1</w:t>
            </w:r>
          </w:p>
        </w:tc>
      </w:tr>
      <w:tr w:rsidR="0047344C" w:rsidRPr="00FD119B" w14:paraId="6E912B0D" w14:textId="77777777" w:rsidTr="0047344C">
        <w:tc>
          <w:tcPr>
            <w:tcW w:w="1798" w:type="dxa"/>
          </w:tcPr>
          <w:p w14:paraId="04C160B2" w14:textId="760DBE05" w:rsidR="0047344C" w:rsidRDefault="0047344C" w:rsidP="0047344C">
            <w:pPr>
              <w:ind w:left="0"/>
            </w:pPr>
            <w:r>
              <w:t>PARP</w:t>
            </w:r>
          </w:p>
        </w:tc>
        <w:tc>
          <w:tcPr>
            <w:tcW w:w="6696" w:type="dxa"/>
          </w:tcPr>
          <w:p w14:paraId="09A73461" w14:textId="258E585B" w:rsidR="0047344C" w:rsidRDefault="0047344C" w:rsidP="0047344C">
            <w:pPr>
              <w:ind w:left="0"/>
            </w:pPr>
            <w:r>
              <w:t>Poly (ADP-ribose) polymerase</w:t>
            </w:r>
          </w:p>
        </w:tc>
      </w:tr>
      <w:tr w:rsidR="00957845" w:rsidRPr="00FD119B" w14:paraId="21F0199C" w14:textId="77777777" w:rsidTr="0047344C">
        <w:tc>
          <w:tcPr>
            <w:tcW w:w="1798" w:type="dxa"/>
          </w:tcPr>
          <w:p w14:paraId="4B068EF9" w14:textId="669AE9B5" w:rsidR="00957845" w:rsidRDefault="00957845" w:rsidP="00957845">
            <w:pPr>
              <w:ind w:left="0"/>
            </w:pPr>
            <w:r>
              <w:t>PFS</w:t>
            </w:r>
          </w:p>
        </w:tc>
        <w:tc>
          <w:tcPr>
            <w:tcW w:w="6696" w:type="dxa"/>
          </w:tcPr>
          <w:p w14:paraId="55A7D054" w14:textId="28ABC4CD" w:rsidR="00957845" w:rsidRDefault="00957845" w:rsidP="00957845">
            <w:pPr>
              <w:ind w:left="0"/>
            </w:pPr>
            <w:r>
              <w:t>Progression-free survival</w:t>
            </w:r>
          </w:p>
        </w:tc>
      </w:tr>
      <w:tr w:rsidR="002B4D49" w:rsidRPr="00FD119B" w14:paraId="1B5D68C7" w14:textId="77777777" w:rsidTr="0047344C">
        <w:tc>
          <w:tcPr>
            <w:tcW w:w="1798" w:type="dxa"/>
          </w:tcPr>
          <w:p w14:paraId="7AFB5D90" w14:textId="5F9D7BCA" w:rsidR="002B4D49" w:rsidRDefault="002B4D49" w:rsidP="002B4D49">
            <w:pPr>
              <w:ind w:left="0"/>
            </w:pPr>
            <w:r>
              <w:t>PSUR</w:t>
            </w:r>
          </w:p>
        </w:tc>
        <w:tc>
          <w:tcPr>
            <w:tcW w:w="6696" w:type="dxa"/>
          </w:tcPr>
          <w:p w14:paraId="1841476A" w14:textId="4E71491B" w:rsidR="002B4D49" w:rsidRDefault="002B4D49" w:rsidP="002B4D49">
            <w:pPr>
              <w:ind w:left="0"/>
            </w:pPr>
            <w:r>
              <w:t>Periodic safety update reports</w:t>
            </w:r>
          </w:p>
        </w:tc>
      </w:tr>
      <w:tr w:rsidR="00E304F9" w:rsidRPr="00FD119B" w14:paraId="0DD977BA" w14:textId="77777777" w:rsidTr="0047344C">
        <w:tc>
          <w:tcPr>
            <w:tcW w:w="1798" w:type="dxa"/>
          </w:tcPr>
          <w:p w14:paraId="5CEA9755" w14:textId="350C2A76" w:rsidR="00E304F9" w:rsidRDefault="00E304F9" w:rsidP="00E304F9">
            <w:pPr>
              <w:ind w:left="0"/>
            </w:pPr>
            <w:r>
              <w:t>PI</w:t>
            </w:r>
          </w:p>
        </w:tc>
        <w:tc>
          <w:tcPr>
            <w:tcW w:w="6696" w:type="dxa"/>
          </w:tcPr>
          <w:p w14:paraId="2EBC6E1F" w14:textId="7067DFAB" w:rsidR="00E304F9" w:rsidRDefault="00E304F9" w:rsidP="00E304F9">
            <w:pPr>
              <w:ind w:left="0"/>
            </w:pPr>
            <w:r>
              <w:t>Product Information</w:t>
            </w:r>
          </w:p>
        </w:tc>
      </w:tr>
      <w:tr w:rsidR="00CE41BA" w:rsidRPr="00FD119B" w14:paraId="5D94B119" w14:textId="77777777" w:rsidTr="0047344C">
        <w:tc>
          <w:tcPr>
            <w:tcW w:w="1798" w:type="dxa"/>
          </w:tcPr>
          <w:p w14:paraId="760DDF78" w14:textId="0269DC7A" w:rsidR="00CE41BA" w:rsidRDefault="00CE41BA" w:rsidP="00CE41BA">
            <w:pPr>
              <w:ind w:left="0"/>
            </w:pPr>
            <w:r>
              <w:t>PK</w:t>
            </w:r>
          </w:p>
        </w:tc>
        <w:tc>
          <w:tcPr>
            <w:tcW w:w="6696" w:type="dxa"/>
          </w:tcPr>
          <w:p w14:paraId="0D42FA9A" w14:textId="1F0B1E24" w:rsidR="00CE41BA" w:rsidRDefault="00CE41BA" w:rsidP="00CE41BA">
            <w:pPr>
              <w:ind w:left="0"/>
            </w:pPr>
            <w:r>
              <w:t>Pharmacokinetic</w:t>
            </w:r>
            <w:r w:rsidR="00CB3B8C">
              <w:t>(</w:t>
            </w:r>
            <w:r>
              <w:t>s</w:t>
            </w:r>
            <w:r w:rsidR="00CB3B8C">
              <w:t>)</w:t>
            </w:r>
          </w:p>
        </w:tc>
      </w:tr>
      <w:tr w:rsidR="005C5F52" w:rsidRPr="00FD119B" w14:paraId="33A8D721" w14:textId="77777777" w:rsidTr="0047344C">
        <w:tc>
          <w:tcPr>
            <w:tcW w:w="1798" w:type="dxa"/>
          </w:tcPr>
          <w:p w14:paraId="51D62AA3" w14:textId="34B4FD51" w:rsidR="005C5F52" w:rsidRDefault="005C5F52" w:rsidP="005C5F52">
            <w:pPr>
              <w:ind w:left="0"/>
            </w:pPr>
            <w:r>
              <w:t>PR</w:t>
            </w:r>
          </w:p>
        </w:tc>
        <w:tc>
          <w:tcPr>
            <w:tcW w:w="6696" w:type="dxa"/>
          </w:tcPr>
          <w:p w14:paraId="202E84C9" w14:textId="764004B6" w:rsidR="005C5F52" w:rsidRDefault="005C5F52" w:rsidP="005C5F52">
            <w:pPr>
              <w:ind w:left="0"/>
            </w:pPr>
            <w:r>
              <w:t>Progesterone receptor</w:t>
            </w:r>
          </w:p>
        </w:tc>
      </w:tr>
      <w:tr w:rsidR="00022AD7" w:rsidRPr="00FD119B" w14:paraId="516221C1" w14:textId="77777777" w:rsidTr="0047344C">
        <w:tc>
          <w:tcPr>
            <w:tcW w:w="1798" w:type="dxa"/>
          </w:tcPr>
          <w:p w14:paraId="0D11A331" w14:textId="1DAD2015" w:rsidR="00022AD7" w:rsidRDefault="00022AD7" w:rsidP="00022AD7">
            <w:pPr>
              <w:ind w:left="0"/>
            </w:pPr>
            <w:r>
              <w:t>RECIST</w:t>
            </w:r>
          </w:p>
        </w:tc>
        <w:tc>
          <w:tcPr>
            <w:tcW w:w="6696" w:type="dxa"/>
          </w:tcPr>
          <w:p w14:paraId="78AE4A37" w14:textId="24BE6351" w:rsidR="00022AD7" w:rsidRDefault="00022AD7" w:rsidP="00022AD7">
            <w:pPr>
              <w:ind w:left="0"/>
            </w:pPr>
            <w:r>
              <w:t>Response Evaluation Criteria in Solid Tumours</w:t>
            </w:r>
          </w:p>
        </w:tc>
      </w:tr>
      <w:tr w:rsidR="0047344C" w:rsidRPr="00FD119B" w14:paraId="7A0668E0" w14:textId="77777777" w:rsidTr="0047344C">
        <w:tc>
          <w:tcPr>
            <w:tcW w:w="1798" w:type="dxa"/>
          </w:tcPr>
          <w:p w14:paraId="1ED1624E" w14:textId="041BCEB2" w:rsidR="0047344C" w:rsidRDefault="0047344C" w:rsidP="0047344C">
            <w:pPr>
              <w:ind w:left="0"/>
            </w:pPr>
            <w:r>
              <w:t>SG</w:t>
            </w:r>
          </w:p>
        </w:tc>
        <w:tc>
          <w:tcPr>
            <w:tcW w:w="6696" w:type="dxa"/>
          </w:tcPr>
          <w:p w14:paraId="61B50ED2" w14:textId="18C34E78" w:rsidR="0047344C" w:rsidRDefault="0047344C" w:rsidP="0047344C">
            <w:pPr>
              <w:ind w:left="0"/>
            </w:pPr>
            <w:r>
              <w:t xml:space="preserve">Sacituzumab </w:t>
            </w:r>
            <w:proofErr w:type="spellStart"/>
            <w:r>
              <w:t>govitecan</w:t>
            </w:r>
            <w:proofErr w:type="spellEnd"/>
          </w:p>
        </w:tc>
      </w:tr>
      <w:tr w:rsidR="00010394" w:rsidRPr="00FD119B" w14:paraId="35EFC948" w14:textId="77777777" w:rsidTr="0047344C">
        <w:tc>
          <w:tcPr>
            <w:tcW w:w="1798" w:type="dxa"/>
          </w:tcPr>
          <w:p w14:paraId="1D026AE9" w14:textId="731600F2" w:rsidR="00010394" w:rsidRDefault="00010394" w:rsidP="00010394">
            <w:pPr>
              <w:ind w:left="0"/>
            </w:pPr>
            <w:r>
              <w:t>TNBC</w:t>
            </w:r>
          </w:p>
        </w:tc>
        <w:tc>
          <w:tcPr>
            <w:tcW w:w="6696" w:type="dxa"/>
          </w:tcPr>
          <w:p w14:paraId="00CC3A93" w14:textId="7D1858E8" w:rsidR="00010394" w:rsidRDefault="00841433" w:rsidP="00841433">
            <w:pPr>
              <w:ind w:left="0"/>
            </w:pPr>
            <w:r>
              <w:t>Triple-negative breast cancer</w:t>
            </w:r>
          </w:p>
        </w:tc>
      </w:tr>
      <w:tr w:rsidR="00CC5E8D" w:rsidRPr="00FD119B" w14:paraId="66638191" w14:textId="77777777" w:rsidTr="0047344C">
        <w:tc>
          <w:tcPr>
            <w:tcW w:w="1798" w:type="dxa"/>
          </w:tcPr>
          <w:p w14:paraId="0B64ACF4" w14:textId="6C19CFFE" w:rsidR="00CC5E8D" w:rsidRDefault="00CC5E8D" w:rsidP="00CC5E8D">
            <w:pPr>
              <w:ind w:left="0"/>
            </w:pPr>
            <w:r>
              <w:t>TPC</w:t>
            </w:r>
          </w:p>
        </w:tc>
        <w:tc>
          <w:tcPr>
            <w:tcW w:w="6696" w:type="dxa"/>
          </w:tcPr>
          <w:p w14:paraId="304BC8CF" w14:textId="6E7EF7F5" w:rsidR="00CC5E8D" w:rsidRDefault="00CC5E8D" w:rsidP="00CC5E8D">
            <w:pPr>
              <w:ind w:left="0"/>
            </w:pPr>
            <w:r>
              <w:t>Treatment of physician’s choice</w:t>
            </w:r>
          </w:p>
        </w:tc>
      </w:tr>
      <w:tr w:rsidR="0047344C" w:rsidRPr="00FD119B" w14:paraId="099D35E5" w14:textId="77777777" w:rsidTr="0047344C">
        <w:tc>
          <w:tcPr>
            <w:tcW w:w="1798" w:type="dxa"/>
          </w:tcPr>
          <w:p w14:paraId="6CD6ADD0" w14:textId="029D524E" w:rsidR="0047344C" w:rsidRDefault="0047344C" w:rsidP="0047344C">
            <w:pPr>
              <w:ind w:left="0"/>
            </w:pPr>
            <w:r>
              <w:t>ULN</w:t>
            </w:r>
          </w:p>
        </w:tc>
        <w:tc>
          <w:tcPr>
            <w:tcW w:w="6696" w:type="dxa"/>
          </w:tcPr>
          <w:p w14:paraId="02D6E85F" w14:textId="67059FDA" w:rsidR="0047344C" w:rsidRDefault="0047344C" w:rsidP="0047344C">
            <w:pPr>
              <w:ind w:left="0"/>
            </w:pPr>
            <w:r>
              <w:t xml:space="preserve">Upper </w:t>
            </w:r>
            <w:r w:rsidR="000549FE">
              <w:t>l</w:t>
            </w:r>
            <w:r>
              <w:t xml:space="preserve">imit of </w:t>
            </w:r>
            <w:r w:rsidR="000549FE">
              <w:t>n</w:t>
            </w:r>
            <w:r>
              <w:t>ormal</w:t>
            </w:r>
          </w:p>
        </w:tc>
      </w:tr>
    </w:tbl>
    <w:p w14:paraId="40ED60AE" w14:textId="77777777" w:rsidR="00FD119B" w:rsidRPr="00FD119B" w:rsidRDefault="00FD119B" w:rsidP="00FD119B">
      <w:pPr>
        <w:spacing w:before="0" w:after="200" w:line="0" w:lineRule="auto"/>
        <w:rPr>
          <w:b/>
          <w:i/>
          <w:sz w:val="24"/>
          <w:szCs w:val="24"/>
        </w:rPr>
      </w:pPr>
      <w:r w:rsidRPr="00FD119B">
        <w:rPr>
          <w:b/>
          <w:i/>
          <w:sz w:val="24"/>
          <w:szCs w:val="24"/>
        </w:rPr>
        <w:br w:type="page"/>
      </w:r>
    </w:p>
    <w:p w14:paraId="17F4F0AB" w14:textId="77777777" w:rsidR="008E7846" w:rsidRDefault="00F53C07" w:rsidP="008E7846">
      <w:pPr>
        <w:pStyle w:val="Heading2"/>
      </w:pPr>
      <w:bookmarkStart w:id="8" w:name="_Toc91147289"/>
      <w:r>
        <w:lastRenderedPageBreak/>
        <w:t>I.</w:t>
      </w:r>
      <w:r w:rsidR="008E7846">
        <w:t xml:space="preserve"> Introduction to product submission</w:t>
      </w:r>
      <w:bookmarkEnd w:id="0"/>
      <w:bookmarkEnd w:id="2"/>
      <w:bookmarkEnd w:id="8"/>
    </w:p>
    <w:p w14:paraId="2AC18373" w14:textId="77777777" w:rsidR="008E7846" w:rsidRDefault="008E7846" w:rsidP="008E7846">
      <w:pPr>
        <w:pStyle w:val="Heading3"/>
        <w:rPr>
          <w:lang w:eastAsia="en-AU"/>
        </w:rPr>
      </w:pPr>
      <w:bookmarkStart w:id="9" w:name="_Toc247691502"/>
      <w:bookmarkStart w:id="10" w:name="_Toc314842483"/>
      <w:bookmarkStart w:id="11" w:name="_Toc91147290"/>
      <w:r>
        <w:rPr>
          <w:lang w:eastAsia="en-AU"/>
        </w:rPr>
        <w:t>Submission details</w:t>
      </w:r>
      <w:bookmarkEnd w:id="9"/>
      <w:bookmarkEnd w:id="10"/>
      <w:bookmarkEnd w:id="11"/>
    </w:p>
    <w:tbl>
      <w:tblPr>
        <w:tblW w:w="9214" w:type="dxa"/>
        <w:tblInd w:w="108" w:type="dxa"/>
        <w:tblLook w:val="01E0" w:firstRow="1" w:lastRow="1" w:firstColumn="1" w:lastColumn="1" w:noHBand="0" w:noVBand="0"/>
      </w:tblPr>
      <w:tblGrid>
        <w:gridCol w:w="2907"/>
        <w:gridCol w:w="6307"/>
      </w:tblGrid>
      <w:tr w:rsidR="008E7846" w:rsidRPr="003D1E62" w14:paraId="7746B52E" w14:textId="77777777" w:rsidTr="003735BC">
        <w:tc>
          <w:tcPr>
            <w:tcW w:w="2907" w:type="dxa"/>
          </w:tcPr>
          <w:p w14:paraId="5CDC9683" w14:textId="77777777" w:rsidR="008E7846" w:rsidRPr="003D1E62" w:rsidRDefault="001B5C90" w:rsidP="001B5C90">
            <w:pPr>
              <w:rPr>
                <w:i/>
              </w:rPr>
            </w:pPr>
            <w:r>
              <w:rPr>
                <w:i/>
              </w:rPr>
              <w:t>Type of s</w:t>
            </w:r>
            <w:r w:rsidR="008E7846" w:rsidRPr="003D1E62">
              <w:rPr>
                <w:i/>
              </w:rPr>
              <w:t>ubmission</w:t>
            </w:r>
            <w:r>
              <w:rPr>
                <w:i/>
              </w:rPr>
              <w:t>:</w:t>
            </w:r>
          </w:p>
        </w:tc>
        <w:tc>
          <w:tcPr>
            <w:tcW w:w="6307" w:type="dxa"/>
          </w:tcPr>
          <w:p w14:paraId="15870139" w14:textId="33512734" w:rsidR="008E7846" w:rsidRPr="003D1E62" w:rsidRDefault="002E4D16" w:rsidP="002E4D16">
            <w:r>
              <w:t>New biological entity</w:t>
            </w:r>
          </w:p>
        </w:tc>
      </w:tr>
      <w:tr w:rsidR="00460036" w:rsidRPr="003D1E62" w14:paraId="67FB91D2" w14:textId="77777777" w:rsidTr="003735BC">
        <w:tc>
          <w:tcPr>
            <w:tcW w:w="2907" w:type="dxa"/>
          </w:tcPr>
          <w:p w14:paraId="6EA19EDE" w14:textId="2924AC3C" w:rsidR="00460036" w:rsidRPr="003D1E62" w:rsidRDefault="00460036" w:rsidP="003D1E62">
            <w:pPr>
              <w:rPr>
                <w:i/>
              </w:rPr>
            </w:pPr>
            <w:r w:rsidRPr="00460036">
              <w:rPr>
                <w:i/>
              </w:rPr>
              <w:t>Product name:</w:t>
            </w:r>
          </w:p>
        </w:tc>
        <w:tc>
          <w:tcPr>
            <w:tcW w:w="6307" w:type="dxa"/>
          </w:tcPr>
          <w:p w14:paraId="49589FE9" w14:textId="00DE980F" w:rsidR="00460036" w:rsidRPr="0002293D" w:rsidRDefault="002E4D16" w:rsidP="0002293D">
            <w:pPr>
              <w:spacing w:before="0" w:after="0" w:line="240" w:lineRule="auto"/>
              <w:rPr>
                <w:rFonts w:ascii="Times New Roman" w:eastAsiaTheme="minorHAnsi" w:hAnsi="Times New Roman"/>
                <w:sz w:val="24"/>
                <w:szCs w:val="24"/>
                <w:lang w:eastAsia="en-AU"/>
              </w:rPr>
            </w:pPr>
            <w:proofErr w:type="spellStart"/>
            <w:r>
              <w:t>Trodelvy</w:t>
            </w:r>
            <w:proofErr w:type="spellEnd"/>
            <w:r w:rsidR="0002293D">
              <w:rPr>
                <w:rFonts w:ascii="Times New Roman" w:eastAsiaTheme="minorHAnsi" w:hAnsi="Times New Roman"/>
                <w:sz w:val="24"/>
                <w:szCs w:val="24"/>
                <w:lang w:eastAsia="en-AU"/>
              </w:rPr>
              <w:t xml:space="preserve"> </w:t>
            </w:r>
          </w:p>
        </w:tc>
      </w:tr>
      <w:tr w:rsidR="00460036" w:rsidRPr="003D1E62" w14:paraId="2246FD02" w14:textId="77777777" w:rsidTr="003735BC">
        <w:tc>
          <w:tcPr>
            <w:tcW w:w="2907" w:type="dxa"/>
          </w:tcPr>
          <w:p w14:paraId="39161FDF" w14:textId="2F8CDCF0" w:rsidR="00460036" w:rsidRPr="003D1E62" w:rsidRDefault="00460036" w:rsidP="003D1E62">
            <w:pPr>
              <w:rPr>
                <w:i/>
              </w:rPr>
            </w:pPr>
            <w:r w:rsidRPr="00460036">
              <w:rPr>
                <w:i/>
              </w:rPr>
              <w:t>Active ingredient:</w:t>
            </w:r>
          </w:p>
        </w:tc>
        <w:tc>
          <w:tcPr>
            <w:tcW w:w="6307" w:type="dxa"/>
          </w:tcPr>
          <w:p w14:paraId="20D18E26" w14:textId="503F1078" w:rsidR="00460036" w:rsidRPr="003D1E62" w:rsidRDefault="002E4D16" w:rsidP="002E4D16">
            <w:r>
              <w:t xml:space="preserve">Sacituzumab </w:t>
            </w:r>
            <w:proofErr w:type="spellStart"/>
            <w:r>
              <w:t>govitecan</w:t>
            </w:r>
            <w:proofErr w:type="spellEnd"/>
          </w:p>
        </w:tc>
      </w:tr>
      <w:tr w:rsidR="008E7846" w:rsidRPr="003D1E62" w14:paraId="3E1398AC" w14:textId="77777777" w:rsidTr="003735BC">
        <w:tc>
          <w:tcPr>
            <w:tcW w:w="2907" w:type="dxa"/>
          </w:tcPr>
          <w:p w14:paraId="1864E7DB" w14:textId="77777777" w:rsidR="008E7846" w:rsidRPr="003D1E62" w:rsidRDefault="008E7846" w:rsidP="003D1E62">
            <w:r w:rsidRPr="003D1E62">
              <w:rPr>
                <w:i/>
              </w:rPr>
              <w:t>Decision</w:t>
            </w:r>
            <w:r w:rsidRPr="003D1E62">
              <w:t>:</w:t>
            </w:r>
          </w:p>
        </w:tc>
        <w:tc>
          <w:tcPr>
            <w:tcW w:w="6307" w:type="dxa"/>
          </w:tcPr>
          <w:p w14:paraId="721F83E3" w14:textId="0162EE91" w:rsidR="008E7846" w:rsidRPr="003D1E62" w:rsidRDefault="00460036" w:rsidP="002E4D16">
            <w:r w:rsidRPr="00460036">
              <w:t>Approved</w:t>
            </w:r>
          </w:p>
        </w:tc>
      </w:tr>
      <w:tr w:rsidR="008E7846" w:rsidRPr="003D1E62" w14:paraId="1A77BFB9" w14:textId="77777777" w:rsidTr="003735BC">
        <w:tc>
          <w:tcPr>
            <w:tcW w:w="2907" w:type="dxa"/>
          </w:tcPr>
          <w:p w14:paraId="10D4C60B" w14:textId="77777777" w:rsidR="008E7846" w:rsidRPr="003D1E62" w:rsidRDefault="008E7846" w:rsidP="001B5C90">
            <w:pPr>
              <w:rPr>
                <w:i/>
              </w:rPr>
            </w:pPr>
            <w:r w:rsidRPr="003D1E62">
              <w:rPr>
                <w:i/>
              </w:rPr>
              <w:t xml:space="preserve">Date of </w:t>
            </w:r>
            <w:r w:rsidR="001B5C90">
              <w:rPr>
                <w:i/>
              </w:rPr>
              <w:t>d</w:t>
            </w:r>
            <w:r w:rsidRPr="003D1E62">
              <w:rPr>
                <w:i/>
              </w:rPr>
              <w:t>ecision:</w:t>
            </w:r>
          </w:p>
        </w:tc>
        <w:tc>
          <w:tcPr>
            <w:tcW w:w="6307" w:type="dxa"/>
          </w:tcPr>
          <w:p w14:paraId="4DBE5961" w14:textId="4A85F1AB" w:rsidR="008E7846" w:rsidRPr="003D1E62" w:rsidRDefault="002E4D16" w:rsidP="002E4D16">
            <w:r>
              <w:t>3 September 2021</w:t>
            </w:r>
          </w:p>
        </w:tc>
      </w:tr>
      <w:tr w:rsidR="00ED2922" w:rsidRPr="003D1E62" w14:paraId="5B3768BF" w14:textId="77777777" w:rsidTr="003735BC">
        <w:tc>
          <w:tcPr>
            <w:tcW w:w="2907" w:type="dxa"/>
          </w:tcPr>
          <w:p w14:paraId="7F02DBBE" w14:textId="77777777" w:rsidR="00ED2922" w:rsidRPr="00441C3F" w:rsidRDefault="00ED2922" w:rsidP="001B5C90">
            <w:pPr>
              <w:rPr>
                <w:i/>
              </w:rPr>
            </w:pPr>
            <w:r w:rsidRPr="00441C3F">
              <w:rPr>
                <w:i/>
              </w:rPr>
              <w:t>Date of entry onto ARTG</w:t>
            </w:r>
            <w:r w:rsidR="00500337">
              <w:rPr>
                <w:i/>
              </w:rPr>
              <w:t>:</w:t>
            </w:r>
          </w:p>
        </w:tc>
        <w:tc>
          <w:tcPr>
            <w:tcW w:w="6307" w:type="dxa"/>
          </w:tcPr>
          <w:p w14:paraId="2BB5096D" w14:textId="7AFF0C44" w:rsidR="00ED2922" w:rsidRPr="002E4D16" w:rsidRDefault="002E4D16" w:rsidP="002E4D16">
            <w:pPr>
              <w:rPr>
                <w:iCs/>
              </w:rPr>
            </w:pPr>
            <w:r>
              <w:rPr>
                <w:iCs/>
              </w:rPr>
              <w:t>6 September 2021</w:t>
            </w:r>
          </w:p>
        </w:tc>
      </w:tr>
      <w:tr w:rsidR="00500337" w:rsidRPr="003D1E62" w14:paraId="2709223C" w14:textId="77777777" w:rsidTr="003735BC">
        <w:tc>
          <w:tcPr>
            <w:tcW w:w="2907" w:type="dxa"/>
          </w:tcPr>
          <w:p w14:paraId="77BA5288" w14:textId="5D41933B" w:rsidR="00500337" w:rsidRPr="00441C3F" w:rsidRDefault="00500337" w:rsidP="001B5C90">
            <w:pPr>
              <w:rPr>
                <w:i/>
              </w:rPr>
            </w:pPr>
            <w:r>
              <w:rPr>
                <w:i/>
              </w:rPr>
              <w:t>ARTG number:</w:t>
            </w:r>
          </w:p>
        </w:tc>
        <w:tc>
          <w:tcPr>
            <w:tcW w:w="6307" w:type="dxa"/>
          </w:tcPr>
          <w:p w14:paraId="41FD21DE" w14:textId="2B5DA0DF" w:rsidR="00500337" w:rsidRPr="00441C3F" w:rsidRDefault="002E4D16" w:rsidP="002E4D16">
            <w:r>
              <w:t>353081</w:t>
            </w:r>
          </w:p>
        </w:tc>
      </w:tr>
      <w:tr w:rsidR="003735BC" w:rsidRPr="003D1E62" w14:paraId="67D5A922" w14:textId="77777777" w:rsidTr="003735BC">
        <w:tc>
          <w:tcPr>
            <w:tcW w:w="2907" w:type="dxa"/>
          </w:tcPr>
          <w:p w14:paraId="24731072" w14:textId="77777777" w:rsidR="003735BC" w:rsidRDefault="00FA5069" w:rsidP="001B5C90">
            <w:pPr>
              <w:rPr>
                <w:i/>
              </w:rPr>
            </w:pPr>
            <w:r>
              <w:rPr>
                <w:rFonts w:ascii="Wingdings 3" w:hAnsi="Wingdings 3"/>
                <w:sz w:val="34"/>
                <w:szCs w:val="34"/>
                <w:lang w:eastAsia="en-AU"/>
              </w:rPr>
              <w:t></w:t>
            </w:r>
            <w:r w:rsidR="003735BC" w:rsidRPr="003735BC">
              <w:rPr>
                <w:i/>
              </w:rPr>
              <w:t>Black Triangle Scheme</w:t>
            </w:r>
            <w:r w:rsidR="004C4FBE">
              <w:rPr>
                <w:i/>
              </w:rPr>
              <w:t>:</w:t>
            </w:r>
            <w:r w:rsidR="00460036">
              <w:rPr>
                <w:rStyle w:val="FootnoteReference"/>
                <w:i/>
              </w:rPr>
              <w:footnoteReference w:id="1"/>
            </w:r>
          </w:p>
        </w:tc>
        <w:tc>
          <w:tcPr>
            <w:tcW w:w="6307" w:type="dxa"/>
          </w:tcPr>
          <w:p w14:paraId="6D4AA52D" w14:textId="258B144C" w:rsidR="003735BC" w:rsidRDefault="002E4D16" w:rsidP="002E4D16">
            <w:r>
              <w:t>Yes</w:t>
            </w:r>
          </w:p>
          <w:p w14:paraId="10E9790D" w14:textId="53CA59DA" w:rsidR="003735BC" w:rsidRPr="00487162" w:rsidRDefault="003735BC" w:rsidP="00DC605F">
            <w:r>
              <w:t xml:space="preserve">This product will remain in the scheme for 5 years, starting on the date the product is first supplied in </w:t>
            </w:r>
            <w:r w:rsidRPr="00D453FA">
              <w:t>Australia</w:t>
            </w:r>
          </w:p>
        </w:tc>
      </w:tr>
      <w:tr w:rsidR="008E7846" w:rsidRPr="00487162" w14:paraId="6FE6031D" w14:textId="77777777" w:rsidTr="00BF1190">
        <w:tc>
          <w:tcPr>
            <w:tcW w:w="2907" w:type="dxa"/>
          </w:tcPr>
          <w:p w14:paraId="7955FE94" w14:textId="77777777"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14:paraId="31CB7019" w14:textId="77777777" w:rsidR="008E7846" w:rsidRDefault="002E4D16" w:rsidP="00E45619">
            <w:r>
              <w:t>Gilead Sciences Pty Ltd</w:t>
            </w:r>
          </w:p>
          <w:p w14:paraId="09660996" w14:textId="0D36A28D" w:rsidR="002E4D16" w:rsidRDefault="002E4D16" w:rsidP="00E45619">
            <w:r>
              <w:t>417 St Kilda Road, Melbourne</w:t>
            </w:r>
          </w:p>
          <w:p w14:paraId="7314614F" w14:textId="2929DE26" w:rsidR="002E4D16" w:rsidRPr="00487162" w:rsidRDefault="002E4D16" w:rsidP="00E45619">
            <w:r>
              <w:t>VIC 3004</w:t>
            </w:r>
          </w:p>
        </w:tc>
      </w:tr>
      <w:tr w:rsidR="008E7846" w:rsidRPr="00487162" w14:paraId="0C203375" w14:textId="77777777" w:rsidTr="00BF1190">
        <w:tc>
          <w:tcPr>
            <w:tcW w:w="2907" w:type="dxa"/>
          </w:tcPr>
          <w:p w14:paraId="661273A2" w14:textId="6B186116" w:rsidR="008E7846" w:rsidRPr="00487162" w:rsidRDefault="001B5C90" w:rsidP="00E45619">
            <w:pPr>
              <w:rPr>
                <w:i/>
              </w:rPr>
            </w:pPr>
            <w:r>
              <w:rPr>
                <w:i/>
              </w:rPr>
              <w:t>Dose form:</w:t>
            </w:r>
          </w:p>
        </w:tc>
        <w:tc>
          <w:tcPr>
            <w:tcW w:w="6307" w:type="dxa"/>
          </w:tcPr>
          <w:p w14:paraId="6CEAF0AE" w14:textId="4DAE46CB" w:rsidR="008E7846" w:rsidRPr="00487162" w:rsidRDefault="002E4D16" w:rsidP="00E45619">
            <w:r>
              <w:t>Powder for injection</w:t>
            </w:r>
          </w:p>
        </w:tc>
      </w:tr>
      <w:tr w:rsidR="008E7846" w:rsidRPr="00487162" w14:paraId="6DE57543" w14:textId="77777777" w:rsidTr="00BF1190">
        <w:tc>
          <w:tcPr>
            <w:tcW w:w="2907" w:type="dxa"/>
          </w:tcPr>
          <w:p w14:paraId="4A62C6E0" w14:textId="255FDF5D" w:rsidR="008E7846" w:rsidRPr="00487162" w:rsidRDefault="00324E45" w:rsidP="00E45619">
            <w:pPr>
              <w:rPr>
                <w:i/>
              </w:rPr>
            </w:pPr>
            <w:r>
              <w:rPr>
                <w:i/>
              </w:rPr>
              <w:t>Strength:</w:t>
            </w:r>
          </w:p>
        </w:tc>
        <w:tc>
          <w:tcPr>
            <w:tcW w:w="6307" w:type="dxa"/>
          </w:tcPr>
          <w:p w14:paraId="4A746221" w14:textId="0C835CDF" w:rsidR="008E7846" w:rsidRPr="00487162" w:rsidRDefault="002E4D16" w:rsidP="00E45619">
            <w:r>
              <w:t>10 mg/mL</w:t>
            </w:r>
          </w:p>
        </w:tc>
      </w:tr>
      <w:tr w:rsidR="008E7846" w:rsidRPr="00487162" w14:paraId="385A6283" w14:textId="77777777" w:rsidTr="00BF1190">
        <w:tc>
          <w:tcPr>
            <w:tcW w:w="2907" w:type="dxa"/>
          </w:tcPr>
          <w:p w14:paraId="16D06D0D" w14:textId="08BBE317" w:rsidR="008E7846" w:rsidRPr="00487162" w:rsidRDefault="008E7846" w:rsidP="00E45619">
            <w:pPr>
              <w:rPr>
                <w:i/>
              </w:rPr>
            </w:pPr>
            <w:r w:rsidRPr="00487162">
              <w:rPr>
                <w:i/>
              </w:rPr>
              <w:t>Container:</w:t>
            </w:r>
          </w:p>
        </w:tc>
        <w:tc>
          <w:tcPr>
            <w:tcW w:w="6307" w:type="dxa"/>
          </w:tcPr>
          <w:p w14:paraId="54F439CD" w14:textId="0A8EA8A6" w:rsidR="008E7846" w:rsidRPr="00487162" w:rsidRDefault="002E4D16" w:rsidP="00E45619">
            <w:r>
              <w:t>Vial</w:t>
            </w:r>
          </w:p>
        </w:tc>
      </w:tr>
      <w:tr w:rsidR="008E7846" w:rsidRPr="00487162" w14:paraId="2BCCD9C5" w14:textId="77777777" w:rsidTr="00BF1190">
        <w:tc>
          <w:tcPr>
            <w:tcW w:w="2907" w:type="dxa"/>
          </w:tcPr>
          <w:p w14:paraId="7E820AC9" w14:textId="59BB3742" w:rsidR="008E7846" w:rsidRPr="00487162" w:rsidRDefault="008E7846" w:rsidP="00E45619">
            <w:pPr>
              <w:rPr>
                <w:i/>
              </w:rPr>
            </w:pPr>
            <w:r w:rsidRPr="00487162">
              <w:rPr>
                <w:i/>
              </w:rPr>
              <w:t>Pack size:</w:t>
            </w:r>
          </w:p>
        </w:tc>
        <w:tc>
          <w:tcPr>
            <w:tcW w:w="6307" w:type="dxa"/>
          </w:tcPr>
          <w:p w14:paraId="5DE4C0FF" w14:textId="0CB3A9D7" w:rsidR="008E7846" w:rsidRPr="00487162" w:rsidRDefault="002E4D16" w:rsidP="00E45619">
            <w:r>
              <w:t>One</w:t>
            </w:r>
          </w:p>
        </w:tc>
      </w:tr>
      <w:tr w:rsidR="008E7846" w:rsidRPr="00487162" w14:paraId="59917733" w14:textId="77777777" w:rsidTr="00BF1190">
        <w:tc>
          <w:tcPr>
            <w:tcW w:w="2907" w:type="dxa"/>
          </w:tcPr>
          <w:p w14:paraId="6CCB19F4" w14:textId="77777777"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14:paraId="46AF991B" w14:textId="2C1EC445" w:rsidR="008E7846" w:rsidRPr="002E4D16" w:rsidRDefault="002E4D16" w:rsidP="002E4D16">
            <w:pPr>
              <w:rPr>
                <w:rFonts w:eastAsia="MS Mincho"/>
                <w:i/>
                <w:iCs/>
                <w:lang w:eastAsia="ja-JP"/>
              </w:rPr>
            </w:pPr>
            <w:proofErr w:type="spellStart"/>
            <w:r w:rsidRPr="002E4D16">
              <w:rPr>
                <w:i/>
                <w:iCs/>
              </w:rPr>
              <w:t>Trodelvy</w:t>
            </w:r>
            <w:proofErr w:type="spellEnd"/>
            <w:r w:rsidRPr="002E4D16">
              <w:rPr>
                <w:i/>
                <w:iCs/>
              </w:rPr>
              <w:t xml:space="preserve"> is indicated for the treatment of adult patients with unresectable locally advanced or metastatic triple-negative breast cancer (</w:t>
            </w:r>
            <w:proofErr w:type="spellStart"/>
            <w:r w:rsidRPr="002E4D16">
              <w:rPr>
                <w:i/>
                <w:iCs/>
              </w:rPr>
              <w:t>mTNBC</w:t>
            </w:r>
            <w:proofErr w:type="spellEnd"/>
            <w:r w:rsidRPr="002E4D16">
              <w:rPr>
                <w:i/>
                <w:iCs/>
              </w:rPr>
              <w:t>) who have received at least two prior systemic therapies, including at least one prior therapy for locally advanced or metastatic disease.</w:t>
            </w:r>
          </w:p>
        </w:tc>
      </w:tr>
      <w:tr w:rsidR="008E7846" w:rsidRPr="00487162" w14:paraId="04F1E785" w14:textId="77777777" w:rsidTr="00BF1190">
        <w:tc>
          <w:tcPr>
            <w:tcW w:w="2907" w:type="dxa"/>
          </w:tcPr>
          <w:p w14:paraId="3C96C9ED" w14:textId="15DA21B6" w:rsidR="008E7846" w:rsidRPr="00487162" w:rsidRDefault="008E7846" w:rsidP="00E45619">
            <w:pPr>
              <w:rPr>
                <w:i/>
              </w:rPr>
            </w:pPr>
            <w:r w:rsidRPr="00487162">
              <w:rPr>
                <w:i/>
              </w:rPr>
              <w:t>Route of administration:</w:t>
            </w:r>
          </w:p>
        </w:tc>
        <w:tc>
          <w:tcPr>
            <w:tcW w:w="6307" w:type="dxa"/>
          </w:tcPr>
          <w:p w14:paraId="7FCD603C" w14:textId="0BED4A12" w:rsidR="008E7846" w:rsidRPr="00487162" w:rsidRDefault="002E4D16" w:rsidP="00E45619">
            <w:r>
              <w:t>Intravenous infusion</w:t>
            </w:r>
          </w:p>
        </w:tc>
      </w:tr>
      <w:tr w:rsidR="008E7846" w:rsidRPr="00487162" w14:paraId="0A8004F8" w14:textId="77777777" w:rsidTr="00BF1190">
        <w:tc>
          <w:tcPr>
            <w:tcW w:w="2907" w:type="dxa"/>
          </w:tcPr>
          <w:p w14:paraId="4F4B8766" w14:textId="77777777" w:rsidR="008E7846" w:rsidRPr="00487162" w:rsidRDefault="008E7846" w:rsidP="00E45619">
            <w:pPr>
              <w:rPr>
                <w:i/>
              </w:rPr>
            </w:pPr>
            <w:r w:rsidRPr="00487162">
              <w:rPr>
                <w:i/>
              </w:rPr>
              <w:t>Dosage:</w:t>
            </w:r>
          </w:p>
        </w:tc>
        <w:tc>
          <w:tcPr>
            <w:tcW w:w="6307" w:type="dxa"/>
          </w:tcPr>
          <w:p w14:paraId="556C0035" w14:textId="77777777" w:rsidR="002E4D16" w:rsidRDefault="002E4D16" w:rsidP="002E4D16">
            <w:r w:rsidRPr="002E4D16">
              <w:t xml:space="preserve">The recommended dose of </w:t>
            </w:r>
            <w:proofErr w:type="spellStart"/>
            <w:r w:rsidRPr="002E4D16">
              <w:t>Trodelvy</w:t>
            </w:r>
            <w:proofErr w:type="spellEnd"/>
            <w:r w:rsidRPr="002E4D16">
              <w:t xml:space="preserve"> is 10 mg/kg administered as an intravenous (IV) infusion once weekly on Days 1 and 8 of 21-day treatment cycles. The required dose (mg) of </w:t>
            </w:r>
            <w:proofErr w:type="spellStart"/>
            <w:r w:rsidRPr="002E4D16">
              <w:t>Trodelvy</w:t>
            </w:r>
            <w:proofErr w:type="spellEnd"/>
            <w:r w:rsidRPr="002E4D16">
              <w:t xml:space="preserve"> is calculated based on the patient’s body weight at the beginning of each treatment cycle.</w:t>
            </w:r>
          </w:p>
          <w:p w14:paraId="5DBF2F22" w14:textId="75839EB2" w:rsidR="00460036" w:rsidRPr="00487162" w:rsidRDefault="00460036" w:rsidP="002E4D16">
            <w:r w:rsidRPr="00460036">
              <w:lastRenderedPageBreak/>
              <w:t>For further information regarding dosage, refer to the Product Information.</w:t>
            </w:r>
          </w:p>
        </w:tc>
      </w:tr>
      <w:tr w:rsidR="00460036" w:rsidRPr="00487162" w14:paraId="55A04144" w14:textId="77777777" w:rsidTr="00BF1190">
        <w:tc>
          <w:tcPr>
            <w:tcW w:w="2907" w:type="dxa"/>
          </w:tcPr>
          <w:p w14:paraId="6C4B5ADC" w14:textId="77777777" w:rsidR="00460036" w:rsidRPr="00487162" w:rsidRDefault="00460036" w:rsidP="00E45619">
            <w:pPr>
              <w:rPr>
                <w:i/>
              </w:rPr>
            </w:pPr>
            <w:r w:rsidRPr="00460036">
              <w:rPr>
                <w:i/>
              </w:rPr>
              <w:lastRenderedPageBreak/>
              <w:t>Pregnancy category</w:t>
            </w:r>
            <w:r>
              <w:rPr>
                <w:i/>
              </w:rPr>
              <w:t>:</w:t>
            </w:r>
          </w:p>
        </w:tc>
        <w:tc>
          <w:tcPr>
            <w:tcW w:w="6307" w:type="dxa"/>
          </w:tcPr>
          <w:p w14:paraId="21E98FAD" w14:textId="146F173F" w:rsidR="00460036" w:rsidRDefault="0053080E" w:rsidP="0053080E">
            <w:r>
              <w:t>D</w:t>
            </w:r>
          </w:p>
          <w:p w14:paraId="7007DBC0" w14:textId="76331143" w:rsidR="00175529" w:rsidRDefault="0053080E" w:rsidP="0053080E">
            <w:r w:rsidRPr="0053080E">
              <w:t xml:space="preserve">Drugs which have caused, are suspected to have caused or may be expected to cause, an increased incidence of human </w:t>
            </w:r>
            <w:proofErr w:type="spellStart"/>
            <w:r w:rsidRPr="0053080E">
              <w:t>fetal</w:t>
            </w:r>
            <w:proofErr w:type="spellEnd"/>
            <w:r w:rsidRPr="0053080E">
              <w:t xml:space="preserve"> malformations or irreversible damage. These drugs may also have adverse pharmacological effects. Accompanying texts should be consulted for further details</w:t>
            </w:r>
            <w:r w:rsidR="00175529">
              <w:t>.</w:t>
            </w:r>
          </w:p>
          <w:p w14:paraId="0A5ABA0D" w14:textId="2C826CC9" w:rsidR="00460036" w:rsidRPr="00487162" w:rsidRDefault="00460036" w:rsidP="00460036">
            <w:r>
              <w:t>The use of any medicine during pregnancy requires careful consideration of both risks and benefits by the treating health professional. This must not be used as the sole basis of decision making in the use of medicines during pregnancy. The TGA does not provide advice on the use of medicines in pregnancy for specific cases. More information is available from obstetric drug information services in your State or Territory.</w:t>
            </w:r>
          </w:p>
        </w:tc>
      </w:tr>
    </w:tbl>
    <w:p w14:paraId="7FF49E8C" w14:textId="77777777" w:rsidR="008E7846" w:rsidRDefault="008E7846" w:rsidP="008E7846">
      <w:pPr>
        <w:pStyle w:val="Heading3"/>
      </w:pPr>
      <w:bookmarkStart w:id="12" w:name="_Toc247691503"/>
      <w:bookmarkStart w:id="13" w:name="_Toc314842484"/>
      <w:bookmarkStart w:id="14" w:name="_Toc91147291"/>
      <w:r>
        <w:t>Product background</w:t>
      </w:r>
      <w:bookmarkEnd w:id="12"/>
      <w:bookmarkEnd w:id="13"/>
      <w:bookmarkEnd w:id="14"/>
    </w:p>
    <w:p w14:paraId="667360AF" w14:textId="202A2689" w:rsidR="008E7846" w:rsidRDefault="00250271" w:rsidP="00940A89">
      <w:r w:rsidRPr="00250271">
        <w:t xml:space="preserve">This AusPAR describes the application by </w:t>
      </w:r>
      <w:r w:rsidR="000055FF">
        <w:t>Gilead Sciences Pty Ltd</w:t>
      </w:r>
      <w:r w:rsidRPr="00250271">
        <w:t xml:space="preserve"> (the sponsor)</w:t>
      </w:r>
      <w:r w:rsidR="000B7C61">
        <w:t>;</w:t>
      </w:r>
      <w:r w:rsidR="000B7C61">
        <w:rPr>
          <w:rStyle w:val="FootnoteReference"/>
        </w:rPr>
        <w:footnoteReference w:id="2"/>
      </w:r>
      <w:r w:rsidRPr="00250271">
        <w:t xml:space="preserve"> to register </w:t>
      </w:r>
      <w:proofErr w:type="spellStart"/>
      <w:r w:rsidR="000055FF">
        <w:t>Trodelvy</w:t>
      </w:r>
      <w:proofErr w:type="spellEnd"/>
      <w:r w:rsidRPr="00250271">
        <w:t xml:space="preserve"> </w:t>
      </w:r>
      <w:r w:rsidR="000055FF">
        <w:t>(</w:t>
      </w:r>
      <w:proofErr w:type="spellStart"/>
      <w:r w:rsidR="000055FF" w:rsidRPr="000055FF">
        <w:t>sacituzumab</w:t>
      </w:r>
      <w:proofErr w:type="spellEnd"/>
      <w:r w:rsidR="000055FF" w:rsidRPr="000055FF">
        <w:t xml:space="preserve"> </w:t>
      </w:r>
      <w:proofErr w:type="spellStart"/>
      <w:r w:rsidR="000055FF" w:rsidRPr="000055FF">
        <w:t>govitecan</w:t>
      </w:r>
      <w:proofErr w:type="spellEnd"/>
      <w:r w:rsidRPr="00250271">
        <w:t xml:space="preserve">) </w:t>
      </w:r>
      <w:r w:rsidR="000055FF">
        <w:t>10 mg/mL</w:t>
      </w:r>
      <w:r w:rsidRPr="00250271">
        <w:t xml:space="preserve">, </w:t>
      </w:r>
      <w:r w:rsidR="000055FF">
        <w:t>powder for injection</w:t>
      </w:r>
      <w:r w:rsidRPr="00250271">
        <w:t xml:space="preserve"> for the following proposed indication</w:t>
      </w:r>
      <w:r w:rsidR="00CF5DAD">
        <w:t>:</w:t>
      </w:r>
    </w:p>
    <w:p w14:paraId="76E8B062" w14:textId="26D0ADBD" w:rsidR="00833244" w:rsidRPr="00833244" w:rsidRDefault="00FF2A3F" w:rsidP="004331D6">
      <w:pPr>
        <w:ind w:left="720"/>
        <w:rPr>
          <w:i/>
          <w:iCs/>
        </w:rPr>
      </w:pPr>
      <w:proofErr w:type="spellStart"/>
      <w:r w:rsidRPr="00833244">
        <w:rPr>
          <w:i/>
          <w:iCs/>
        </w:rPr>
        <w:t>Trodelvy</w:t>
      </w:r>
      <w:proofErr w:type="spellEnd"/>
      <w:r w:rsidRPr="00833244">
        <w:rPr>
          <w:i/>
          <w:iCs/>
        </w:rPr>
        <w:t xml:space="preserve"> </w:t>
      </w:r>
      <w:r w:rsidR="00833244" w:rsidRPr="00833244">
        <w:rPr>
          <w:i/>
          <w:iCs/>
        </w:rPr>
        <w:t>is indicated for the treatment of adult patients with unresectable locally advanced or metastatic triple-negative breast cancer (</w:t>
      </w:r>
      <w:proofErr w:type="spellStart"/>
      <w:r w:rsidR="00833244" w:rsidRPr="00833244">
        <w:rPr>
          <w:i/>
          <w:iCs/>
        </w:rPr>
        <w:t>mTNBC</w:t>
      </w:r>
      <w:proofErr w:type="spellEnd"/>
      <w:r w:rsidR="00833244" w:rsidRPr="00833244">
        <w:rPr>
          <w:i/>
          <w:iCs/>
        </w:rPr>
        <w:t>) who have received at least two</w:t>
      </w:r>
      <w:r w:rsidR="00833244">
        <w:rPr>
          <w:i/>
          <w:iCs/>
        </w:rPr>
        <w:t xml:space="preserve"> </w:t>
      </w:r>
      <w:r w:rsidR="00833244" w:rsidRPr="00833244">
        <w:rPr>
          <w:i/>
          <w:iCs/>
        </w:rPr>
        <w:t>prior therapies.</w:t>
      </w:r>
    </w:p>
    <w:p w14:paraId="0681E3D5" w14:textId="062B1DBE" w:rsidR="00250271" w:rsidRDefault="00EB57A2" w:rsidP="00EB57A2">
      <w:r w:rsidRPr="00EB57A2">
        <w:t xml:space="preserve">Approximately 10% to 20% of breast cancers are triple-negative breast cancers (TNBC), lacking expression of the oestrogen receptor (ER), progesterone </w:t>
      </w:r>
      <w:proofErr w:type="gramStart"/>
      <w:r w:rsidRPr="00EB57A2">
        <w:t>receptor ,</w:t>
      </w:r>
      <w:proofErr w:type="gramEnd"/>
      <w:r w:rsidRPr="00EB57A2">
        <w:t xml:space="preserve"> and human epidermal growth factor receptor 2 (HER2). In addition to HER2 and </w:t>
      </w:r>
      <w:r w:rsidR="00FF2A3F">
        <w:t xml:space="preserve">hormone receptor </w:t>
      </w:r>
      <w:r w:rsidRPr="00EB57A2">
        <w:t>mutations, 5</w:t>
      </w:r>
      <w:r w:rsidR="00CB3B8C">
        <w:t xml:space="preserve"> to </w:t>
      </w:r>
      <w:r w:rsidRPr="00EB57A2">
        <w:t xml:space="preserve">10% of all breast cancers are found to harbour mutations in </w:t>
      </w:r>
      <w:r w:rsidR="00CB3B8C">
        <w:t xml:space="preserve">the </w:t>
      </w:r>
      <w:r w:rsidR="00CB3B8C" w:rsidRPr="00917D67">
        <w:rPr>
          <w:i/>
        </w:rPr>
        <w:t>BRCA1</w:t>
      </w:r>
      <w:r w:rsidR="00CB3B8C">
        <w:t xml:space="preserve"> gene</w:t>
      </w:r>
      <w:r w:rsidRPr="00EB57A2">
        <w:t xml:space="preserve"> (70% of these patients have TNBC) or </w:t>
      </w:r>
      <w:r w:rsidR="00FF2A3F" w:rsidRPr="00917D67">
        <w:rPr>
          <w:i/>
        </w:rPr>
        <w:t>BR</w:t>
      </w:r>
      <w:r w:rsidR="00CB3B8C" w:rsidRPr="00917D67">
        <w:rPr>
          <w:i/>
        </w:rPr>
        <w:t>CA2</w:t>
      </w:r>
      <w:r w:rsidR="00CB3B8C">
        <w:t xml:space="preserve"> gene</w:t>
      </w:r>
      <w:r w:rsidRPr="00EB57A2">
        <w:t xml:space="preserve"> (20% of these patients have TNBC).</w:t>
      </w:r>
      <w:r w:rsidR="00906CD4">
        <w:rPr>
          <w:rStyle w:val="FootnoteReference"/>
        </w:rPr>
        <w:footnoteReference w:id="3"/>
      </w:r>
      <w:r w:rsidRPr="00EB57A2">
        <w:t xml:space="preserve"> Perhaps 10% to 20% of TNBC are BRCA-positive altogether. An approximation of the distribution </w:t>
      </w:r>
      <w:r w:rsidR="00CB3B8C">
        <w:t xml:space="preserve">by prevalence </w:t>
      </w:r>
      <w:r w:rsidRPr="00EB57A2">
        <w:t xml:space="preserve">of </w:t>
      </w:r>
      <w:r w:rsidR="00CB3B8C">
        <w:t>hormone receptor</w:t>
      </w:r>
      <w:r w:rsidRPr="00EB57A2">
        <w:t xml:space="preserve">, HER2 and BRCA mutations across breast cancers is illustrated in </w:t>
      </w:r>
      <w:r>
        <w:fldChar w:fldCharType="begin"/>
      </w:r>
      <w:r>
        <w:instrText xml:space="preserve"> REF _Ref90285675 \h </w:instrText>
      </w:r>
      <w:r>
        <w:fldChar w:fldCharType="separate"/>
      </w:r>
      <w:r>
        <w:t xml:space="preserve">Figure </w:t>
      </w:r>
      <w:r>
        <w:rPr>
          <w:noProof/>
        </w:rPr>
        <w:t>1</w:t>
      </w:r>
      <w:r>
        <w:fldChar w:fldCharType="end"/>
      </w:r>
      <w:r w:rsidRPr="00EB57A2">
        <w:t>.</w:t>
      </w:r>
    </w:p>
    <w:p w14:paraId="10EDF2D0" w14:textId="644A47E5" w:rsidR="00EB57A2" w:rsidRDefault="00EB57A2" w:rsidP="00EB57A2">
      <w:pPr>
        <w:pStyle w:val="FigureTitle"/>
      </w:pPr>
      <w:bookmarkStart w:id="15" w:name="_Ref90285675"/>
      <w:r>
        <w:lastRenderedPageBreak/>
        <w:t xml:space="preserve">Figure </w:t>
      </w:r>
      <w:fldSimple w:instr=" SEQ Figure \* ARABIC ">
        <w:r w:rsidR="00DC605F">
          <w:rPr>
            <w:noProof/>
          </w:rPr>
          <w:t>1</w:t>
        </w:r>
      </w:fldSimple>
      <w:bookmarkEnd w:id="15"/>
      <w:r>
        <w:t>:</w:t>
      </w:r>
      <w:r w:rsidRPr="00EB57A2">
        <w:t xml:space="preserve"> Visual representation of the approximate prevalence of </w:t>
      </w:r>
      <w:r w:rsidR="00CB3B8C">
        <w:t>hormone receptor</w:t>
      </w:r>
      <w:r w:rsidRPr="00EB57A2">
        <w:t>, HER2 and BRCA mutations in breast cancer</w:t>
      </w:r>
    </w:p>
    <w:p w14:paraId="30012929" w14:textId="1479EBAB" w:rsidR="00EB57A2" w:rsidRDefault="00EB57A2" w:rsidP="00EB57A2">
      <w:r>
        <w:rPr>
          <w:noProof/>
          <w:lang w:val="en-GB" w:eastAsia="en-GB"/>
        </w:rPr>
        <w:drawing>
          <wp:inline distT="0" distB="0" distL="0" distR="0" wp14:anchorId="27D27E9C" wp14:editId="1A22C287">
            <wp:extent cx="3962400" cy="2588895"/>
            <wp:effectExtent l="0" t="0" r="0" b="1905"/>
            <wp:docPr id="4" name="Picture 4" descr="This figure describes the visual representation of the approximate prevalence of HR, HER2 and BRCA mutations in breast cancer."/>
            <wp:cNvGraphicFramePr/>
            <a:graphic xmlns:a="http://schemas.openxmlformats.org/drawingml/2006/main">
              <a:graphicData uri="http://schemas.openxmlformats.org/drawingml/2006/picture">
                <pic:pic xmlns:pic="http://schemas.openxmlformats.org/drawingml/2006/picture">
                  <pic:nvPicPr>
                    <pic:cNvPr id="4" name="Picture 4" descr="This figure describes the visual representation of the approximate prevalence of HR, HER2 and BRCA mutations in breast cancer."/>
                    <pic:cNvPicPr/>
                  </pic:nvPicPr>
                  <pic:blipFill>
                    <a:blip r:embed="rId16"/>
                    <a:stretch>
                      <a:fillRect/>
                    </a:stretch>
                  </pic:blipFill>
                  <pic:spPr>
                    <a:xfrm>
                      <a:off x="0" y="0"/>
                      <a:ext cx="3962400" cy="2588895"/>
                    </a:xfrm>
                    <a:prstGeom prst="rect">
                      <a:avLst/>
                    </a:prstGeom>
                  </pic:spPr>
                </pic:pic>
              </a:graphicData>
            </a:graphic>
          </wp:inline>
        </w:drawing>
      </w:r>
    </w:p>
    <w:p w14:paraId="2452C362" w14:textId="3AB3E68C" w:rsidR="00CB3B8C" w:rsidRDefault="004E1EFD" w:rsidP="00917D67">
      <w:pPr>
        <w:pStyle w:val="FigureDescription"/>
      </w:pPr>
      <w:r>
        <w:t xml:space="preserve">BRCA+ = BRCA gene positive; HER+ = human epidermal growth factor receptor positive; HR+ = hormone receptor positive; </w:t>
      </w:r>
      <w:r w:rsidR="00CB3B8C">
        <w:t>TNBC = triple negative breast cancer</w:t>
      </w:r>
    </w:p>
    <w:p w14:paraId="726D69C4" w14:textId="69DDAEF1" w:rsidR="00EB57A2" w:rsidRDefault="00DE33C9" w:rsidP="00EB57A2">
      <w:r>
        <w:t>Triple-negative breast cancer (</w:t>
      </w:r>
      <w:r w:rsidR="00EB57A2">
        <w:t>TNBC</w:t>
      </w:r>
      <w:r>
        <w:t>)</w:t>
      </w:r>
      <w:r w:rsidR="00EB57A2">
        <w:t xml:space="preserve"> is a heterogeneous disease and, during the last decades, several classifications have been proposed according to specific histological and molecular characteristics. High grade ductal invasive carcinoma is the most frequent histological type; other subtypes include medullary-like, apocrine, adenoid-cystic, and metaplastic.</w:t>
      </w:r>
    </w:p>
    <w:p w14:paraId="6A7F6C80" w14:textId="77777777" w:rsidR="00EB57A2" w:rsidRDefault="00EB57A2" w:rsidP="00EB57A2">
      <w:r>
        <w:t>Compared to other types of breast cancer, TNBC is more likely to occur in younger pre-menopausal women, and has a poorer prognosis, with a higher propensity to distant metastasis (usually within two or three years from diagnosis) and shorter survival after recurrence. The pattern of relapses is characterised by a preferential metastatic spread to lungs, liver, and brain, while skeletal involvement is less common. Current treatment options are limited and unsatisfactory.</w:t>
      </w:r>
    </w:p>
    <w:p w14:paraId="357264B6" w14:textId="55DA47B9" w:rsidR="00EB57A2" w:rsidRDefault="00EB57A2" w:rsidP="00EB57A2">
      <w:r>
        <w:t xml:space="preserve">In early-stage TNBC, neoadjuvant and adjuvant systemic chemotherapy has improved long-term outcomes; however, metastatic recurrences still develop in about 15% to 30% of patients. </w:t>
      </w:r>
      <w:r w:rsidR="00906CD4">
        <w:rPr>
          <w:rStyle w:val="FootnoteReference"/>
        </w:rPr>
        <w:footnoteReference w:id="4"/>
      </w:r>
      <w:r>
        <w:t xml:space="preserve"> </w:t>
      </w:r>
    </w:p>
    <w:p w14:paraId="008E576A" w14:textId="77777777" w:rsidR="00EB57A2" w:rsidRDefault="00EB57A2" w:rsidP="00EB57A2">
      <w:r>
        <w:t xml:space="preserve">Anthracycline and </w:t>
      </w:r>
      <w:proofErr w:type="spellStart"/>
      <w:r>
        <w:t>taxane</w:t>
      </w:r>
      <w:proofErr w:type="spellEnd"/>
      <w:r>
        <w:t>-based chemotherapy regimens are standard of care for early-stage patients. Neoadjuvant treatment is increasingly preferred due to the ability to assess pathologic responses, providing important prognostic information and guidance in adjuvant therapy decisions. Neoadjuvant treatment can also improve the cosmetic result of surgery.</w:t>
      </w:r>
    </w:p>
    <w:p w14:paraId="1F48E0E6" w14:textId="10D30A68" w:rsidR="00EB57A2" w:rsidRDefault="00EB57A2" w:rsidP="00EB57A2">
      <w:r>
        <w:t xml:space="preserve">Addition of carboplatin to the anthracycline and </w:t>
      </w:r>
      <w:proofErr w:type="spellStart"/>
      <w:r>
        <w:t>taxane</w:t>
      </w:r>
      <w:proofErr w:type="spellEnd"/>
      <w:r>
        <w:t xml:space="preserve"> backbone is associated with an improvement in pathologic complete response but is associated with more toxicity.</w:t>
      </w:r>
    </w:p>
    <w:p w14:paraId="49E895AC" w14:textId="10B50C10" w:rsidR="00EB57A2" w:rsidRDefault="00EB57A2" w:rsidP="00EB57A2">
      <w:r>
        <w:t xml:space="preserve">Patients with tumours </w:t>
      </w:r>
      <w:r w:rsidR="004E1EFD">
        <w:t xml:space="preserve">between </w:t>
      </w:r>
      <w:r>
        <w:t>1 to 5 mm</w:t>
      </w:r>
      <w:r w:rsidR="004E1EFD">
        <w:t xml:space="preserve"> in diameter</w:t>
      </w:r>
      <w:r>
        <w:t xml:space="preserve"> and</w:t>
      </w:r>
      <w:r w:rsidR="004E1EFD">
        <w:t xml:space="preserve"> with</w:t>
      </w:r>
      <w:r>
        <w:t xml:space="preserve"> no involved lymph nodes may not need chemotherapy, although some guidelines (</w:t>
      </w:r>
      <w:r w:rsidR="00FF2A3F">
        <w:t>for example,</w:t>
      </w:r>
      <w:r>
        <w:t xml:space="preserve"> UpToDate) recommend a careful discussion with the patient because a small benefit cannot be ruled out.</w:t>
      </w:r>
    </w:p>
    <w:p w14:paraId="7AC2B136" w14:textId="0C9C7C8F" w:rsidR="00EB57A2" w:rsidRDefault="00EB57A2" w:rsidP="00EB57A2">
      <w:r>
        <w:lastRenderedPageBreak/>
        <w:t xml:space="preserve">In Australia and other high-income countries, most patients with metastatic TNBC present with recurrence following initial diagnosis of early-stage disease: a minority (perhaps 10% to 15%) present with </w:t>
      </w:r>
      <w:r w:rsidRPr="00917D67">
        <w:rPr>
          <w:i/>
        </w:rPr>
        <w:t>de novo</w:t>
      </w:r>
      <w:r>
        <w:t xml:space="preserve"> metastatic disease. In </w:t>
      </w:r>
      <w:r w:rsidR="004E1EFD">
        <w:t xml:space="preserve">the </w:t>
      </w:r>
      <w:r>
        <w:t>ASCENT</w:t>
      </w:r>
      <w:r w:rsidR="00E7006C">
        <w:t xml:space="preserve"> trial</w:t>
      </w:r>
      <w:r>
        <w:t xml:space="preserve"> (the pivotal Phase </w:t>
      </w:r>
      <w:r w:rsidR="00FF2A3F">
        <w:t>III</w:t>
      </w:r>
      <w:r>
        <w:t xml:space="preserve"> registration study for </w:t>
      </w:r>
      <w:proofErr w:type="spellStart"/>
      <w:r w:rsidR="004E1EFD">
        <w:t>sacitiuxumab</w:t>
      </w:r>
      <w:proofErr w:type="spellEnd"/>
      <w:r w:rsidR="004E1EFD">
        <w:t xml:space="preserve"> </w:t>
      </w:r>
      <w:proofErr w:type="spellStart"/>
      <w:r w:rsidR="004E1EFD">
        <w:t>govitecan</w:t>
      </w:r>
      <w:proofErr w:type="spellEnd"/>
      <w:r>
        <w:t xml:space="preserve">), 12% of patients presented with </w:t>
      </w:r>
      <w:r w:rsidRPr="00917D67">
        <w:rPr>
          <w:i/>
        </w:rPr>
        <w:t xml:space="preserve">de novo </w:t>
      </w:r>
      <w:r>
        <w:t>metastatic TNBC.</w:t>
      </w:r>
    </w:p>
    <w:p w14:paraId="1A155AA2" w14:textId="7C28655E" w:rsidR="00EB57A2" w:rsidRDefault="00EB57A2" w:rsidP="00EB57A2">
      <w:r>
        <w:t xml:space="preserve">Therapy for unresectable locally advanced or metastatic TNBC depends on the treatment given in the neoadjuvant/adjuvant setting, the recurrence-free interval, whether the tumour is BRCA-positive, and whether the tumour is </w:t>
      </w:r>
      <w:r w:rsidR="004331D6">
        <w:t>p</w:t>
      </w:r>
      <w:r w:rsidR="00CE4417" w:rsidRPr="004331D6">
        <w:t xml:space="preserve">rogrammed death-ligand 1 </w:t>
      </w:r>
      <w:r w:rsidR="00CE4417">
        <w:rPr>
          <w:rFonts w:ascii="Arial" w:hAnsi="Arial" w:cs="Arial"/>
          <w:color w:val="202124"/>
          <w:shd w:val="clear" w:color="auto" w:fill="FFFFFF"/>
        </w:rPr>
        <w:t>(</w:t>
      </w:r>
      <w:r>
        <w:t>PD-L1</w:t>
      </w:r>
      <w:r w:rsidR="00CE4417">
        <w:t>)</w:t>
      </w:r>
      <w:r>
        <w:t>-positive.</w:t>
      </w:r>
    </w:p>
    <w:p w14:paraId="4042AFA0" w14:textId="77777777" w:rsidR="00EB57A2" w:rsidRDefault="00EB57A2" w:rsidP="00157D4E">
      <w:proofErr w:type="gramStart"/>
      <w:r>
        <w:t>Generally speaking, combination</w:t>
      </w:r>
      <w:proofErr w:type="gramEnd"/>
      <w:r>
        <w:t xml:space="preserve"> chemotherapy is not offered, except for patients with rapidly progressive and extensive visceral disease, where the extra toxicity of the combination might be justified.</w:t>
      </w:r>
    </w:p>
    <w:p w14:paraId="59585E7F" w14:textId="34C5B9B7" w:rsidR="00EB57A2" w:rsidRDefault="00EB57A2" w:rsidP="00EB57A2">
      <w:r>
        <w:t xml:space="preserve">For BRCA-negative </w:t>
      </w:r>
      <w:r w:rsidR="004E1EFD">
        <w:t xml:space="preserve">unresectable locally advanced or metastatic </w:t>
      </w:r>
      <w:proofErr w:type="gramStart"/>
      <w:r w:rsidR="004E1EFD">
        <w:t>TNBC</w:t>
      </w:r>
      <w:r w:rsidR="004E1EFD" w:rsidDel="004E1EFD">
        <w:t xml:space="preserve"> </w:t>
      </w:r>
      <w:r>
        <w:t>,</w:t>
      </w:r>
      <w:proofErr w:type="gramEnd"/>
      <w:r>
        <w:t xml:space="preserve"> single agent options in the first-line setting include a </w:t>
      </w:r>
      <w:proofErr w:type="spellStart"/>
      <w:r>
        <w:t>taxane</w:t>
      </w:r>
      <w:proofErr w:type="spellEnd"/>
      <w:r>
        <w:t xml:space="preserve"> or an anthracycline (or atezolizumab in combination with nab-paclitaxel, if PD-L1-positive).</w:t>
      </w:r>
    </w:p>
    <w:p w14:paraId="78865972" w14:textId="7EFBD557" w:rsidR="00175529" w:rsidRDefault="00EB57A2" w:rsidP="00EB57A2">
      <w:r>
        <w:t xml:space="preserve">For BRCA-positive </w:t>
      </w:r>
      <w:r w:rsidR="004E1EFD">
        <w:t xml:space="preserve">unresectable locally advanced or metastatic </w:t>
      </w:r>
      <w:proofErr w:type="gramStart"/>
      <w:r w:rsidR="004E1EFD">
        <w:t>TNBC</w:t>
      </w:r>
      <w:r w:rsidR="004E1EFD" w:rsidDel="004E1EFD">
        <w:t xml:space="preserve"> </w:t>
      </w:r>
      <w:r>
        <w:t>,</w:t>
      </w:r>
      <w:proofErr w:type="gramEnd"/>
      <w:r>
        <w:t xml:space="preserve"> single agent options in the first-line setting include a </w:t>
      </w:r>
      <w:proofErr w:type="spellStart"/>
      <w:r>
        <w:t>taxane</w:t>
      </w:r>
      <w:proofErr w:type="spellEnd"/>
      <w:r>
        <w:t xml:space="preserve">, platinum agent, or a </w:t>
      </w:r>
      <w:r w:rsidR="00CE4417">
        <w:t xml:space="preserve">poly </w:t>
      </w:r>
      <w:r w:rsidR="00D26969">
        <w:t>(ADP-</w:t>
      </w:r>
      <w:r w:rsidR="00CE4417">
        <w:t>ribose</w:t>
      </w:r>
      <w:r w:rsidR="00D26969">
        <w:t>) polymerase (</w:t>
      </w:r>
      <w:r>
        <w:t>PARP</w:t>
      </w:r>
      <w:r w:rsidR="00D26969">
        <w:t>)</w:t>
      </w:r>
      <w:r>
        <w:t xml:space="preserve"> inhibitor</w:t>
      </w:r>
      <w:r w:rsidR="00175529">
        <w:t>.</w:t>
      </w:r>
    </w:p>
    <w:p w14:paraId="3876022A" w14:textId="1E347839" w:rsidR="00EB57A2" w:rsidRDefault="00EB57A2" w:rsidP="00EB57A2">
      <w:r>
        <w:t>Olaparib (a PARP inhibitor) has marketing approval in Australia for germline BRCA</w:t>
      </w:r>
      <w:r w:rsidR="004E1EFD">
        <w:noBreakHyphen/>
      </w:r>
      <w:r>
        <w:t>mutated HER2-negative metastatic breast cancer who have previously been treated with chemotherapy in the neoadjuvant, adjuvant or metastatic setting.</w:t>
      </w:r>
      <w:r w:rsidR="00EA30E8">
        <w:rPr>
          <w:rStyle w:val="FootnoteReference"/>
        </w:rPr>
        <w:footnoteReference w:id="5"/>
      </w:r>
      <w:r>
        <w:t xml:space="preserve"> </w:t>
      </w:r>
      <w:proofErr w:type="spellStart"/>
      <w:r>
        <w:t>Talazoparib</w:t>
      </w:r>
      <w:proofErr w:type="spellEnd"/>
      <w:r>
        <w:t xml:space="preserve"> (another PARP inhibitor) has also been approved for germline BRCA-mutated HER2-negative m</w:t>
      </w:r>
      <w:r w:rsidR="004E1EFD">
        <w:t xml:space="preserve">etastatic </w:t>
      </w:r>
      <w:r>
        <w:t xml:space="preserve">TNBC. </w:t>
      </w:r>
      <w:r w:rsidR="00EA30E8">
        <w:rPr>
          <w:rStyle w:val="FootnoteReference"/>
        </w:rPr>
        <w:footnoteReference w:id="6"/>
      </w:r>
    </w:p>
    <w:p w14:paraId="223DCF84" w14:textId="168A0693" w:rsidR="00EB57A2" w:rsidRDefault="00EB57A2" w:rsidP="00EB57A2">
      <w:r>
        <w:t xml:space="preserve">Atezolizumab (in combination with nab-paclitaxel) has provisional marketing approval in Australia for </w:t>
      </w:r>
      <w:r w:rsidR="004E1EFD">
        <w:t>unresectable advanced or metastatic TNBC</w:t>
      </w:r>
      <w:r w:rsidR="004E1EFD" w:rsidDel="004E1EFD">
        <w:t xml:space="preserve"> </w:t>
      </w:r>
      <w:r>
        <w:t>whose tumours express PD-L1 and who have not received prior chemotherapy for metastatic disease,</w:t>
      </w:r>
      <w:r w:rsidR="00EA30E8">
        <w:rPr>
          <w:rStyle w:val="FootnoteReference"/>
        </w:rPr>
        <w:footnoteReference w:id="7"/>
      </w:r>
      <w:r>
        <w:t xml:space="preserve"> based on the IMpassion130 </w:t>
      </w:r>
      <w:r w:rsidR="004E1EFD">
        <w:t>trial</w:t>
      </w:r>
      <w:r>
        <w:t xml:space="preserve">. A second </w:t>
      </w:r>
      <w:proofErr w:type="gramStart"/>
      <w:r>
        <w:t>large randomised</w:t>
      </w:r>
      <w:proofErr w:type="gramEnd"/>
      <w:r>
        <w:t xml:space="preserve"> study (</w:t>
      </w:r>
      <w:r w:rsidR="004E1EFD">
        <w:t xml:space="preserve">the </w:t>
      </w:r>
      <w:r>
        <w:t>IMpassion131</w:t>
      </w:r>
      <w:r w:rsidR="004E1EFD">
        <w:t xml:space="preserve"> trial</w:t>
      </w:r>
      <w:r>
        <w:t xml:space="preserve">) of atezolizumab in combination with paclitaxel (as opposed to nab-paclitaxel) was not positive. A third </w:t>
      </w:r>
      <w:proofErr w:type="gramStart"/>
      <w:r>
        <w:t>large randomised</w:t>
      </w:r>
      <w:proofErr w:type="gramEnd"/>
      <w:r>
        <w:t xml:space="preserve"> study (</w:t>
      </w:r>
      <w:r w:rsidR="004E1EFD">
        <w:t xml:space="preserve">the </w:t>
      </w:r>
      <w:r>
        <w:t>IMpassion132</w:t>
      </w:r>
      <w:r w:rsidR="004E1EFD">
        <w:t xml:space="preserve"> trial</w:t>
      </w:r>
      <w:r>
        <w:t>) is currently underway, of atezolizumab in combination with different ‘backbone’ chemotherapy again.</w:t>
      </w:r>
    </w:p>
    <w:p w14:paraId="384EAEA8" w14:textId="77777777" w:rsidR="00EB57A2" w:rsidRDefault="00EB57A2" w:rsidP="00EB57A2">
      <w:r>
        <w:t xml:space="preserve">In short, the first two lines of therapy across the neoadjuvant/adjuvant and locally advanced/metastatic settings could include any two of a </w:t>
      </w:r>
      <w:proofErr w:type="spellStart"/>
      <w:r>
        <w:t>taxane</w:t>
      </w:r>
      <w:proofErr w:type="spellEnd"/>
      <w:r>
        <w:t>, an anthracycline, a platinum agent, a PARP-inhibitor (currently in the locally advanced/metastatic setting only), or atezolizumab (currently in the locally advanced/metastatic setting only and currently only in combination with nab-paclitaxel).</w:t>
      </w:r>
    </w:p>
    <w:p w14:paraId="7C4B79F2" w14:textId="792BA043" w:rsidR="00EB57A2" w:rsidRDefault="00EB57A2" w:rsidP="00EB57A2">
      <w:pPr>
        <w:spacing w:before="0"/>
      </w:pPr>
      <w:r w:rsidRPr="006506D9">
        <w:t xml:space="preserve">The proposed </w:t>
      </w:r>
      <w:proofErr w:type="spellStart"/>
      <w:r w:rsidR="004E1EFD">
        <w:t>sacituzumab</w:t>
      </w:r>
      <w:proofErr w:type="spellEnd"/>
      <w:r w:rsidR="004E1EFD">
        <w:t xml:space="preserve"> </w:t>
      </w:r>
      <w:proofErr w:type="spellStart"/>
      <w:r w:rsidR="004E1EFD">
        <w:t>govitecan</w:t>
      </w:r>
      <w:proofErr w:type="spellEnd"/>
      <w:r w:rsidR="004E1EFD" w:rsidRPr="006506D9">
        <w:t xml:space="preserve"> </w:t>
      </w:r>
      <w:r w:rsidRPr="006506D9">
        <w:t xml:space="preserve">indication positions it after any two of the options listed above. The proposed wording in the indication is: </w:t>
      </w:r>
      <w:r w:rsidRPr="006506D9">
        <w:rPr>
          <w:i/>
          <w:iCs/>
        </w:rPr>
        <w:t>two or more prior systemic therapies, at least one of them for metastatic disease.</w:t>
      </w:r>
      <w:r w:rsidRPr="006506D9">
        <w:t xml:space="preserve"> Current options (not necessarily on</w:t>
      </w:r>
      <w:r w:rsidR="004E1EFD">
        <w:noBreakHyphen/>
      </w:r>
      <w:r w:rsidRPr="006506D9">
        <w:t xml:space="preserve">label) at this line of therapy include </w:t>
      </w:r>
      <w:proofErr w:type="gramStart"/>
      <w:r w:rsidRPr="006506D9">
        <w:t>single-agent</w:t>
      </w:r>
      <w:proofErr w:type="gramEnd"/>
      <w:r w:rsidRPr="006506D9">
        <w:t xml:space="preserve"> </w:t>
      </w:r>
      <w:proofErr w:type="spellStart"/>
      <w:r w:rsidRPr="006506D9">
        <w:t>eribulin</w:t>
      </w:r>
      <w:proofErr w:type="spellEnd"/>
      <w:r w:rsidRPr="006506D9">
        <w:t>, gemcitabine, capecitabine, or vinorelbine.</w:t>
      </w:r>
    </w:p>
    <w:p w14:paraId="2DDCBC56" w14:textId="7902765E" w:rsidR="00EB57A2" w:rsidRDefault="0034054F" w:rsidP="00EB57A2">
      <w:r>
        <w:t xml:space="preserve">Sacituzumab </w:t>
      </w:r>
      <w:proofErr w:type="spellStart"/>
      <w:r>
        <w:t>govitecan</w:t>
      </w:r>
      <w:proofErr w:type="spellEnd"/>
      <w:r>
        <w:t xml:space="preserve"> </w:t>
      </w:r>
      <w:r w:rsidR="00EB57A2">
        <w:t>is an antibody-drug conjugate that targets Trop-2, a protein overexpressed in the majority of</w:t>
      </w:r>
      <w:r>
        <w:t xml:space="preserve"> </w:t>
      </w:r>
      <w:r w:rsidR="00EB57A2">
        <w:t>TNBCs, for the selective delivery of SN-38 (the active metabolite of irinotecan).</w:t>
      </w:r>
    </w:p>
    <w:p w14:paraId="0831F381" w14:textId="5411972B" w:rsidR="00EB57A2" w:rsidRDefault="00EB57A2" w:rsidP="00EB57A2">
      <w:r>
        <w:lastRenderedPageBreak/>
        <w:t xml:space="preserve">More specifically, </w:t>
      </w:r>
      <w:proofErr w:type="spellStart"/>
      <w:r w:rsidR="0034054F">
        <w:t>sacituzumab</w:t>
      </w:r>
      <w:proofErr w:type="spellEnd"/>
      <w:r w:rsidR="0034054F">
        <w:t xml:space="preserve"> </w:t>
      </w:r>
      <w:proofErr w:type="spellStart"/>
      <w:proofErr w:type="gramStart"/>
      <w:r w:rsidR="0034054F">
        <w:t>govitecan</w:t>
      </w:r>
      <w:proofErr w:type="spellEnd"/>
      <w:r w:rsidR="0034054F">
        <w:t xml:space="preserve"> </w:t>
      </w:r>
      <w:r>
        <w:t xml:space="preserve"> binds</w:t>
      </w:r>
      <w:proofErr w:type="gramEnd"/>
      <w:r>
        <w:t xml:space="preserve"> to Trop-2 expressing cancer cells and is internalised. Subsequently, SN-38 is released, via hydrolysis of the linker, and it interacts with topoisomerase 1, preventing re-ligation of topoisomerase 1induced single strand breaks. The resulting DNA damage leads to apoptosis and cell death.</w:t>
      </w:r>
    </w:p>
    <w:p w14:paraId="6ABBB369" w14:textId="7F57618B" w:rsidR="00EB57A2" w:rsidRPr="00EB57A2" w:rsidRDefault="00EB57A2" w:rsidP="00EB57A2">
      <w:r>
        <w:t>As with irinotecan, patients homozygous for the uridine diphosphate-</w:t>
      </w:r>
      <w:proofErr w:type="spellStart"/>
      <w:r>
        <w:t>glucuronosyl</w:t>
      </w:r>
      <w:proofErr w:type="spellEnd"/>
      <w:r>
        <w:t xml:space="preserve"> transferase 1A1 (UGT1A</w:t>
      </w:r>
      <w:proofErr w:type="gramStart"/>
      <w:r>
        <w:t>1)*</w:t>
      </w:r>
      <w:proofErr w:type="gramEnd"/>
      <w:r>
        <w:t>28 allele are at increased risk for neutropenia, febrile neutropenia, and anaemia; and may be at increased risk for other adverse reactions, such as diarrhoea, when treated with SG.</w:t>
      </w:r>
    </w:p>
    <w:p w14:paraId="76E0EA3E" w14:textId="28CF3D4B" w:rsidR="00250271" w:rsidRDefault="00250271" w:rsidP="00250271">
      <w:r>
        <w:t xml:space="preserve">This evaluation was facilitated through Project Orbis, an initiative of the United States (US) Food and Drug Administration (FDA) Oncology </w:t>
      </w:r>
      <w:proofErr w:type="spellStart"/>
      <w:r>
        <w:t>Center</w:t>
      </w:r>
      <w:proofErr w:type="spellEnd"/>
      <w:r>
        <w:t xml:space="preserve"> of Excellence (OCE).</w:t>
      </w:r>
      <w:r w:rsidR="003F23C0">
        <w:rPr>
          <w:rStyle w:val="FootnoteReference"/>
        </w:rPr>
        <w:footnoteReference w:id="8"/>
      </w:r>
      <w:r>
        <w:t xml:space="preserve"> Under this project, the FDA</w:t>
      </w:r>
      <w:r w:rsidR="0045694A">
        <w:t xml:space="preserve">, Health Canada, </w:t>
      </w:r>
      <w:proofErr w:type="spellStart"/>
      <w:r w:rsidR="0045694A">
        <w:t>Swissmedic</w:t>
      </w:r>
      <w:proofErr w:type="spellEnd"/>
      <w:r w:rsidR="00201879">
        <w:t xml:space="preserve"> </w:t>
      </w:r>
      <w:r>
        <w:t xml:space="preserve">and the TGA collaboratively reviewed the application. This </w:t>
      </w:r>
      <w:r w:rsidRPr="004E579D">
        <w:t>innovative</w:t>
      </w:r>
      <w:r>
        <w:t xml:space="preserve"> evaluation process provided a framework for process alignment and management of evaluation issues in real-time across jurisdictions.</w:t>
      </w:r>
    </w:p>
    <w:p w14:paraId="2D873739" w14:textId="77777777" w:rsidR="00250271" w:rsidRDefault="00250271" w:rsidP="00250271">
      <w:r>
        <w:t>Each regulator agency maintained its regulatory process to make independent decisions about the approval (market authorisation).</w:t>
      </w:r>
    </w:p>
    <w:p w14:paraId="3083210A" w14:textId="77777777" w:rsidR="008E7846" w:rsidRPr="003F31A2" w:rsidRDefault="00386150" w:rsidP="008E7846">
      <w:pPr>
        <w:pStyle w:val="Heading3"/>
      </w:pPr>
      <w:bookmarkStart w:id="16" w:name="_Toc314842485"/>
      <w:bookmarkStart w:id="17" w:name="_Toc247691504"/>
      <w:bookmarkStart w:id="18" w:name="_Toc91147292"/>
      <w:r>
        <w:t>Regulatory s</w:t>
      </w:r>
      <w:r w:rsidR="008E7846">
        <w:t>tatus</w:t>
      </w:r>
      <w:bookmarkEnd w:id="16"/>
      <w:bookmarkEnd w:id="17"/>
      <w:bookmarkEnd w:id="18"/>
    </w:p>
    <w:p w14:paraId="319755A6" w14:textId="7CDFC2C7" w:rsidR="00940A89" w:rsidRDefault="00006FAB" w:rsidP="00940A89">
      <w:bookmarkStart w:id="19" w:name="_Toc247691505"/>
      <w:bookmarkStart w:id="20" w:name="_Toc314842486"/>
      <w:r w:rsidRPr="00006FAB">
        <w:t>This product is considered a new biological entity for Australian regulatory purposes.</w:t>
      </w:r>
    </w:p>
    <w:p w14:paraId="1B63556D" w14:textId="4EB77F32" w:rsidR="00006FAB" w:rsidRDefault="00006FAB" w:rsidP="00006FAB">
      <w:r>
        <w:t>At the time the TGA considered this application,</w:t>
      </w:r>
      <w:r w:rsidR="006C1C1E">
        <w:t xml:space="preserve"> a </w:t>
      </w:r>
      <w:r>
        <w:t xml:space="preserve">similar application had been approved </w:t>
      </w:r>
      <w:r w:rsidR="00460807">
        <w:t>in the United States of America (USA)</w:t>
      </w:r>
      <w:r w:rsidR="006C1C1E">
        <w:t xml:space="preserve"> on 7 April 2021 (full approval). </w:t>
      </w:r>
      <w:r w:rsidR="00FB6DB5">
        <w:t xml:space="preserve">Similar applications were also under consideration in Canada, submitted on 22 January 2021; Switzerland, submitted on 22 January 2021; Great Britain, submitted on 22 January 2021; and </w:t>
      </w:r>
      <w:r w:rsidR="006B42C1">
        <w:t xml:space="preserve">the </w:t>
      </w:r>
      <w:r w:rsidR="00FB6DB5">
        <w:t>European Union (submitted on 3 March 2021).</w:t>
      </w:r>
    </w:p>
    <w:p w14:paraId="08D5885E" w14:textId="34BE70A5" w:rsidR="00324E45" w:rsidRPr="00F0146F" w:rsidRDefault="00760737" w:rsidP="00760737">
      <w:pPr>
        <w:pStyle w:val="TableTitle"/>
      </w:pPr>
      <w:r>
        <w:t xml:space="preserve">Table </w:t>
      </w:r>
      <w:fldSimple w:instr=" SEQ Table \* ARABIC ">
        <w:r w:rsidR="007D09B2">
          <w:rPr>
            <w:noProof/>
          </w:rPr>
          <w:t>1</w:t>
        </w:r>
      </w:fldSimple>
      <w:r w:rsidR="00324E45">
        <w:t>: International regulatory status</w:t>
      </w:r>
    </w:p>
    <w:tbl>
      <w:tblPr>
        <w:tblStyle w:val="TableTGAblue"/>
        <w:tblW w:w="0" w:type="auto"/>
        <w:tblLayout w:type="fixed"/>
        <w:tblLook w:val="04A0" w:firstRow="1" w:lastRow="0" w:firstColumn="1" w:lastColumn="0" w:noHBand="0" w:noVBand="1"/>
      </w:tblPr>
      <w:tblGrid>
        <w:gridCol w:w="1696"/>
        <w:gridCol w:w="1899"/>
        <w:gridCol w:w="1980"/>
        <w:gridCol w:w="2919"/>
      </w:tblGrid>
      <w:tr w:rsidR="009A3C66" w14:paraId="4C6CF7A5" w14:textId="77777777" w:rsidTr="00092B50">
        <w:trPr>
          <w:cnfStyle w:val="100000000000" w:firstRow="1" w:lastRow="0" w:firstColumn="0" w:lastColumn="0" w:oddVBand="0" w:evenVBand="0" w:oddHBand="0" w:evenHBand="0" w:firstRowFirstColumn="0" w:firstRowLastColumn="0" w:lastRowFirstColumn="0" w:lastRowLastColumn="0"/>
        </w:trPr>
        <w:tc>
          <w:tcPr>
            <w:tcW w:w="1696" w:type="dxa"/>
            <w:tcBorders>
              <w:top w:val="single" w:sz="4" w:space="0" w:color="auto"/>
              <w:left w:val="single" w:sz="4" w:space="0" w:color="auto"/>
              <w:bottom w:val="single" w:sz="4" w:space="0" w:color="auto"/>
              <w:right w:val="single" w:sz="4" w:space="0" w:color="auto"/>
            </w:tcBorders>
          </w:tcPr>
          <w:p w14:paraId="02DD2E2E" w14:textId="77777777" w:rsidR="00006FAB" w:rsidRPr="006B42C1" w:rsidRDefault="00006FAB" w:rsidP="006B42C1">
            <w:pPr>
              <w:ind w:left="0" w:right="0"/>
            </w:pPr>
            <w:r w:rsidRPr="006B42C1">
              <w:t>Region</w:t>
            </w:r>
          </w:p>
        </w:tc>
        <w:tc>
          <w:tcPr>
            <w:tcW w:w="1899" w:type="dxa"/>
            <w:tcBorders>
              <w:top w:val="single" w:sz="4" w:space="0" w:color="auto"/>
              <w:left w:val="single" w:sz="4" w:space="0" w:color="auto"/>
              <w:bottom w:val="single" w:sz="4" w:space="0" w:color="auto"/>
              <w:right w:val="single" w:sz="4" w:space="0" w:color="auto"/>
            </w:tcBorders>
          </w:tcPr>
          <w:p w14:paraId="7A415EBE" w14:textId="77777777" w:rsidR="00006FAB" w:rsidRPr="006B42C1" w:rsidRDefault="00006FAB" w:rsidP="006B42C1">
            <w:pPr>
              <w:ind w:left="0" w:right="0"/>
            </w:pPr>
            <w:r w:rsidRPr="006B42C1">
              <w:t>Submission date</w:t>
            </w:r>
          </w:p>
        </w:tc>
        <w:tc>
          <w:tcPr>
            <w:tcW w:w="1980" w:type="dxa"/>
            <w:tcBorders>
              <w:top w:val="single" w:sz="4" w:space="0" w:color="auto"/>
              <w:left w:val="single" w:sz="4" w:space="0" w:color="auto"/>
              <w:bottom w:val="single" w:sz="4" w:space="0" w:color="auto"/>
              <w:right w:val="single" w:sz="4" w:space="0" w:color="auto"/>
            </w:tcBorders>
          </w:tcPr>
          <w:p w14:paraId="38DC9C88" w14:textId="77777777" w:rsidR="00006FAB" w:rsidRPr="006B42C1" w:rsidRDefault="00006FAB">
            <w:pPr>
              <w:ind w:left="0" w:right="0"/>
            </w:pPr>
            <w:r w:rsidRPr="006B42C1">
              <w:t>Status</w:t>
            </w:r>
          </w:p>
        </w:tc>
        <w:tc>
          <w:tcPr>
            <w:tcW w:w="2919" w:type="dxa"/>
            <w:tcBorders>
              <w:top w:val="single" w:sz="4" w:space="0" w:color="auto"/>
              <w:left w:val="single" w:sz="4" w:space="0" w:color="auto"/>
              <w:bottom w:val="single" w:sz="4" w:space="0" w:color="auto"/>
              <w:right w:val="single" w:sz="4" w:space="0" w:color="auto"/>
            </w:tcBorders>
          </w:tcPr>
          <w:p w14:paraId="026DE168" w14:textId="77777777" w:rsidR="00006FAB" w:rsidRPr="006B42C1" w:rsidRDefault="00006FAB">
            <w:pPr>
              <w:ind w:left="0" w:right="0"/>
            </w:pPr>
            <w:r w:rsidRPr="006B42C1">
              <w:t>Approved indications</w:t>
            </w:r>
          </w:p>
        </w:tc>
      </w:tr>
      <w:tr w:rsidR="009A3C66" w14:paraId="005E6F9B" w14:textId="77777777" w:rsidTr="00092B50">
        <w:tc>
          <w:tcPr>
            <w:tcW w:w="1696" w:type="dxa"/>
            <w:vMerge w:val="restart"/>
            <w:tcBorders>
              <w:top w:val="single" w:sz="4" w:space="0" w:color="auto"/>
            </w:tcBorders>
          </w:tcPr>
          <w:p w14:paraId="7B630FE8" w14:textId="77777777" w:rsidR="009A3C66" w:rsidRPr="009201D2" w:rsidRDefault="009A3C66" w:rsidP="009201D2">
            <w:pPr>
              <w:rPr>
                <w:sz w:val="20"/>
              </w:rPr>
            </w:pPr>
            <w:r w:rsidRPr="009201D2">
              <w:rPr>
                <w:sz w:val="20"/>
              </w:rPr>
              <w:t>USA</w:t>
            </w:r>
          </w:p>
          <w:p w14:paraId="0B655CDF" w14:textId="4183D3EB" w:rsidR="009A3C66" w:rsidRPr="009201D2" w:rsidRDefault="009A3C66" w:rsidP="009201D2">
            <w:pPr>
              <w:rPr>
                <w:sz w:val="20"/>
              </w:rPr>
            </w:pPr>
            <w:r w:rsidRPr="009201D2">
              <w:rPr>
                <w:sz w:val="20"/>
              </w:rPr>
              <w:t>(Part of Project Orbis #30)</w:t>
            </w:r>
          </w:p>
        </w:tc>
        <w:tc>
          <w:tcPr>
            <w:tcW w:w="1899" w:type="dxa"/>
            <w:tcBorders>
              <w:top w:val="single" w:sz="4" w:space="0" w:color="auto"/>
            </w:tcBorders>
          </w:tcPr>
          <w:p w14:paraId="4AA89F04" w14:textId="67248B94" w:rsidR="009A3C66" w:rsidRPr="009201D2" w:rsidRDefault="009A3C66" w:rsidP="009201D2">
            <w:pPr>
              <w:rPr>
                <w:sz w:val="20"/>
              </w:rPr>
            </w:pPr>
            <w:r w:rsidRPr="009201D2">
              <w:rPr>
                <w:sz w:val="20"/>
              </w:rPr>
              <w:t>22 November 2020</w:t>
            </w:r>
          </w:p>
        </w:tc>
        <w:tc>
          <w:tcPr>
            <w:tcW w:w="1980" w:type="dxa"/>
            <w:tcBorders>
              <w:top w:val="single" w:sz="4" w:space="0" w:color="auto"/>
            </w:tcBorders>
          </w:tcPr>
          <w:p w14:paraId="41E94BA6" w14:textId="77C291BB" w:rsidR="009A3C66" w:rsidRPr="009201D2" w:rsidRDefault="009A3C66" w:rsidP="009201D2">
            <w:pPr>
              <w:rPr>
                <w:sz w:val="20"/>
              </w:rPr>
            </w:pPr>
            <w:r w:rsidRPr="009201D2">
              <w:rPr>
                <w:sz w:val="20"/>
              </w:rPr>
              <w:t>Approved (full approval): 7 April 2021</w:t>
            </w:r>
          </w:p>
        </w:tc>
        <w:tc>
          <w:tcPr>
            <w:tcW w:w="2919" w:type="dxa"/>
            <w:tcBorders>
              <w:top w:val="single" w:sz="4" w:space="0" w:color="auto"/>
            </w:tcBorders>
          </w:tcPr>
          <w:p w14:paraId="2E07E810" w14:textId="37547DB1" w:rsidR="009A3C66" w:rsidRPr="009201D2" w:rsidRDefault="009A3C66" w:rsidP="009201D2">
            <w:pPr>
              <w:rPr>
                <w:i/>
                <w:sz w:val="20"/>
              </w:rPr>
            </w:pPr>
            <w:proofErr w:type="spellStart"/>
            <w:r w:rsidRPr="009201D2">
              <w:rPr>
                <w:i/>
                <w:sz w:val="20"/>
              </w:rPr>
              <w:t>Trodelvy</w:t>
            </w:r>
            <w:proofErr w:type="spellEnd"/>
            <w:r w:rsidRPr="009201D2">
              <w:rPr>
                <w:i/>
                <w:sz w:val="20"/>
              </w:rPr>
              <w:t xml:space="preserve"> is indicated for the treatment of adult patients with unresectable locally advanced or metastatic triple</w:t>
            </w:r>
            <w:r>
              <w:rPr>
                <w:i/>
                <w:sz w:val="20"/>
              </w:rPr>
              <w:t xml:space="preserve"> </w:t>
            </w:r>
            <w:r w:rsidRPr="009201D2">
              <w:rPr>
                <w:i/>
                <w:sz w:val="20"/>
              </w:rPr>
              <w:t>negative breast cancer (</w:t>
            </w:r>
            <w:proofErr w:type="spellStart"/>
            <w:r w:rsidRPr="009201D2">
              <w:rPr>
                <w:i/>
                <w:sz w:val="20"/>
              </w:rPr>
              <w:t>mTNBC</w:t>
            </w:r>
            <w:proofErr w:type="spellEnd"/>
            <w:r w:rsidRPr="009201D2">
              <w:rPr>
                <w:i/>
                <w:sz w:val="20"/>
              </w:rPr>
              <w:t>) who have received at least two prior systemic therapies, at least one of them for metastatic disease.</w:t>
            </w:r>
          </w:p>
        </w:tc>
      </w:tr>
      <w:tr w:rsidR="009A3C66" w14:paraId="67FD6555" w14:textId="77777777" w:rsidTr="00092B50">
        <w:tc>
          <w:tcPr>
            <w:tcW w:w="1696" w:type="dxa"/>
            <w:vMerge/>
          </w:tcPr>
          <w:p w14:paraId="59E40914" w14:textId="77777777" w:rsidR="009A3C66" w:rsidRPr="009201D2" w:rsidRDefault="009A3C66" w:rsidP="006B42C1">
            <w:pPr>
              <w:rPr>
                <w:sz w:val="20"/>
              </w:rPr>
            </w:pPr>
          </w:p>
        </w:tc>
        <w:tc>
          <w:tcPr>
            <w:tcW w:w="1899" w:type="dxa"/>
            <w:tcBorders>
              <w:top w:val="single" w:sz="4" w:space="0" w:color="auto"/>
            </w:tcBorders>
          </w:tcPr>
          <w:p w14:paraId="1C3D1C4F" w14:textId="511704E9" w:rsidR="009A3C66" w:rsidRPr="009201D2" w:rsidRDefault="009A3C66" w:rsidP="009201D2">
            <w:pPr>
              <w:ind w:left="0"/>
              <w:rPr>
                <w:sz w:val="20"/>
              </w:rPr>
            </w:pPr>
            <w:r w:rsidRPr="009201D2">
              <w:rPr>
                <w:sz w:val="20"/>
              </w:rPr>
              <w:t>18 May 2018</w:t>
            </w:r>
          </w:p>
        </w:tc>
        <w:tc>
          <w:tcPr>
            <w:tcW w:w="1980" w:type="dxa"/>
            <w:tcBorders>
              <w:top w:val="single" w:sz="4" w:space="0" w:color="auto"/>
            </w:tcBorders>
          </w:tcPr>
          <w:p w14:paraId="6F73C695" w14:textId="41AE0FE3" w:rsidR="009A3C66" w:rsidRPr="009201D2" w:rsidRDefault="009A3C66" w:rsidP="009201D2">
            <w:pPr>
              <w:ind w:left="0" w:right="0"/>
              <w:rPr>
                <w:sz w:val="20"/>
              </w:rPr>
            </w:pPr>
            <w:r w:rsidRPr="009201D2">
              <w:rPr>
                <w:sz w:val="20"/>
              </w:rPr>
              <w:t>Approved (accelerated approval): 22 </w:t>
            </w:r>
            <w:proofErr w:type="gramStart"/>
            <w:r w:rsidRPr="009201D2">
              <w:rPr>
                <w:sz w:val="20"/>
              </w:rPr>
              <w:t>April  2020</w:t>
            </w:r>
            <w:proofErr w:type="gramEnd"/>
          </w:p>
        </w:tc>
        <w:tc>
          <w:tcPr>
            <w:tcW w:w="2919" w:type="dxa"/>
            <w:tcBorders>
              <w:top w:val="single" w:sz="4" w:space="0" w:color="auto"/>
            </w:tcBorders>
          </w:tcPr>
          <w:p w14:paraId="479631B2" w14:textId="7145E4BD" w:rsidR="009A3C66" w:rsidRPr="006B42C1" w:rsidRDefault="009A3C66" w:rsidP="009201D2">
            <w:pPr>
              <w:ind w:left="0" w:right="0"/>
              <w:rPr>
                <w:sz w:val="20"/>
              </w:rPr>
            </w:pPr>
            <w:proofErr w:type="spellStart"/>
            <w:r w:rsidRPr="0050602D">
              <w:rPr>
                <w:i/>
                <w:sz w:val="20"/>
              </w:rPr>
              <w:t>Trodelvy</w:t>
            </w:r>
            <w:proofErr w:type="spellEnd"/>
            <w:r w:rsidRPr="0050602D">
              <w:rPr>
                <w:i/>
                <w:sz w:val="20"/>
              </w:rPr>
              <w:t xml:space="preserve"> is indicated for the treatment of adult patients with metastatic triple-negative breast cancer (</w:t>
            </w:r>
            <w:proofErr w:type="spellStart"/>
            <w:r w:rsidRPr="0050602D">
              <w:rPr>
                <w:i/>
                <w:sz w:val="20"/>
              </w:rPr>
              <w:t>mTNBC</w:t>
            </w:r>
            <w:proofErr w:type="spellEnd"/>
            <w:r w:rsidRPr="0050602D">
              <w:rPr>
                <w:i/>
                <w:sz w:val="20"/>
              </w:rPr>
              <w:t xml:space="preserve">) who </w:t>
            </w:r>
            <w:r w:rsidRPr="0050602D">
              <w:rPr>
                <w:i/>
                <w:sz w:val="20"/>
              </w:rPr>
              <w:lastRenderedPageBreak/>
              <w:t>have received at least two prior therapies for metastatic disease.</w:t>
            </w:r>
          </w:p>
        </w:tc>
      </w:tr>
      <w:tr w:rsidR="009A3C66" w14:paraId="2795B4A7" w14:textId="77777777" w:rsidTr="00092B50">
        <w:tc>
          <w:tcPr>
            <w:tcW w:w="1696" w:type="dxa"/>
          </w:tcPr>
          <w:p w14:paraId="41EC2CDB" w14:textId="34F8F137" w:rsidR="00006FAB" w:rsidRPr="009201D2" w:rsidRDefault="00913E07" w:rsidP="009201D2">
            <w:pPr>
              <w:rPr>
                <w:sz w:val="20"/>
              </w:rPr>
            </w:pPr>
            <w:r w:rsidRPr="009201D2">
              <w:rPr>
                <w:sz w:val="20"/>
              </w:rPr>
              <w:lastRenderedPageBreak/>
              <w:t>Canada</w:t>
            </w:r>
          </w:p>
        </w:tc>
        <w:tc>
          <w:tcPr>
            <w:tcW w:w="1899" w:type="dxa"/>
          </w:tcPr>
          <w:p w14:paraId="1C819319" w14:textId="1707898A" w:rsidR="00006FAB" w:rsidRPr="009201D2" w:rsidRDefault="009A3C66" w:rsidP="009201D2">
            <w:pPr>
              <w:rPr>
                <w:sz w:val="20"/>
              </w:rPr>
            </w:pPr>
            <w:r>
              <w:rPr>
                <w:sz w:val="20"/>
              </w:rPr>
              <w:t>22</w:t>
            </w:r>
            <w:r w:rsidR="00913E07" w:rsidRPr="009201D2">
              <w:rPr>
                <w:sz w:val="20"/>
              </w:rPr>
              <w:t xml:space="preserve"> Jan</w:t>
            </w:r>
            <w:r w:rsidR="003A0209" w:rsidRPr="009201D2">
              <w:rPr>
                <w:sz w:val="20"/>
              </w:rPr>
              <w:t>uary</w:t>
            </w:r>
            <w:r w:rsidR="00913E07" w:rsidRPr="009201D2">
              <w:rPr>
                <w:sz w:val="20"/>
              </w:rPr>
              <w:t xml:space="preserve"> 2021</w:t>
            </w:r>
          </w:p>
        </w:tc>
        <w:tc>
          <w:tcPr>
            <w:tcW w:w="1980" w:type="dxa"/>
          </w:tcPr>
          <w:p w14:paraId="31F4D729" w14:textId="77777777" w:rsidR="00006FAB" w:rsidRPr="009201D2" w:rsidRDefault="00006FAB" w:rsidP="009201D2">
            <w:pPr>
              <w:rPr>
                <w:sz w:val="20"/>
              </w:rPr>
            </w:pPr>
            <w:r w:rsidRPr="009201D2">
              <w:rPr>
                <w:sz w:val="20"/>
              </w:rPr>
              <w:t>Under consideration</w:t>
            </w:r>
          </w:p>
        </w:tc>
        <w:tc>
          <w:tcPr>
            <w:tcW w:w="2919" w:type="dxa"/>
          </w:tcPr>
          <w:p w14:paraId="18EF18C3" w14:textId="31A0D858" w:rsidR="00006FAB" w:rsidRPr="009201D2" w:rsidRDefault="00815B64">
            <w:pPr>
              <w:ind w:left="0" w:right="0"/>
              <w:rPr>
                <w:sz w:val="20"/>
              </w:rPr>
            </w:pPr>
            <w:r w:rsidRPr="009201D2">
              <w:rPr>
                <w:sz w:val="20"/>
              </w:rPr>
              <w:t>Under consideration</w:t>
            </w:r>
          </w:p>
        </w:tc>
      </w:tr>
      <w:tr w:rsidR="009A3C66" w14:paraId="4B2D15F9" w14:textId="77777777" w:rsidTr="00092B50">
        <w:tc>
          <w:tcPr>
            <w:tcW w:w="1696" w:type="dxa"/>
          </w:tcPr>
          <w:p w14:paraId="46095AB2" w14:textId="1097BE69" w:rsidR="003A0209" w:rsidRPr="009201D2" w:rsidRDefault="003A0209" w:rsidP="009201D2">
            <w:pPr>
              <w:rPr>
                <w:sz w:val="20"/>
              </w:rPr>
            </w:pPr>
            <w:r w:rsidRPr="009201D2">
              <w:rPr>
                <w:sz w:val="20"/>
              </w:rPr>
              <w:t>Switzerland</w:t>
            </w:r>
          </w:p>
        </w:tc>
        <w:tc>
          <w:tcPr>
            <w:tcW w:w="1899" w:type="dxa"/>
          </w:tcPr>
          <w:p w14:paraId="6FE929AA" w14:textId="17343DEA" w:rsidR="003A0209" w:rsidRPr="009201D2" w:rsidRDefault="009A3C66" w:rsidP="009201D2">
            <w:pPr>
              <w:rPr>
                <w:sz w:val="20"/>
              </w:rPr>
            </w:pPr>
            <w:r>
              <w:rPr>
                <w:sz w:val="20"/>
              </w:rPr>
              <w:t xml:space="preserve">22 </w:t>
            </w:r>
            <w:r w:rsidR="003A0209" w:rsidRPr="009201D2">
              <w:rPr>
                <w:sz w:val="20"/>
              </w:rPr>
              <w:t>January 2021</w:t>
            </w:r>
          </w:p>
        </w:tc>
        <w:tc>
          <w:tcPr>
            <w:tcW w:w="1980" w:type="dxa"/>
          </w:tcPr>
          <w:p w14:paraId="5EF05824" w14:textId="20AA9FEE" w:rsidR="003A0209" w:rsidRPr="009201D2" w:rsidRDefault="003A0209" w:rsidP="009201D2">
            <w:pPr>
              <w:rPr>
                <w:sz w:val="20"/>
              </w:rPr>
            </w:pPr>
            <w:r w:rsidRPr="009201D2">
              <w:rPr>
                <w:sz w:val="20"/>
              </w:rPr>
              <w:t>Under consideration</w:t>
            </w:r>
          </w:p>
        </w:tc>
        <w:tc>
          <w:tcPr>
            <w:tcW w:w="2919" w:type="dxa"/>
          </w:tcPr>
          <w:p w14:paraId="457240CF" w14:textId="409C06E9" w:rsidR="003A0209" w:rsidRPr="009201D2" w:rsidRDefault="00815B64" w:rsidP="009201D2">
            <w:pPr>
              <w:rPr>
                <w:sz w:val="20"/>
              </w:rPr>
            </w:pPr>
            <w:r w:rsidRPr="009201D2">
              <w:rPr>
                <w:sz w:val="20"/>
              </w:rPr>
              <w:t>Under consideration</w:t>
            </w:r>
          </w:p>
        </w:tc>
      </w:tr>
      <w:tr w:rsidR="009A3C66" w14:paraId="790374DC" w14:textId="77777777" w:rsidTr="00092B50">
        <w:tc>
          <w:tcPr>
            <w:tcW w:w="1696" w:type="dxa"/>
          </w:tcPr>
          <w:p w14:paraId="59E515CD" w14:textId="4A37F820" w:rsidR="003A0209" w:rsidRPr="009201D2" w:rsidRDefault="009A3C66" w:rsidP="009201D2">
            <w:pPr>
              <w:rPr>
                <w:sz w:val="20"/>
              </w:rPr>
            </w:pPr>
            <w:r>
              <w:rPr>
                <w:sz w:val="20"/>
              </w:rPr>
              <w:t>United Kingdom</w:t>
            </w:r>
          </w:p>
        </w:tc>
        <w:tc>
          <w:tcPr>
            <w:tcW w:w="1899" w:type="dxa"/>
          </w:tcPr>
          <w:p w14:paraId="4482309D" w14:textId="6036AD5A" w:rsidR="003A0209" w:rsidRPr="009201D2" w:rsidRDefault="009A3C66" w:rsidP="009201D2">
            <w:pPr>
              <w:rPr>
                <w:sz w:val="20"/>
              </w:rPr>
            </w:pPr>
            <w:r>
              <w:rPr>
                <w:sz w:val="20"/>
              </w:rPr>
              <w:t xml:space="preserve">22 </w:t>
            </w:r>
            <w:r w:rsidR="003A0209" w:rsidRPr="009201D2">
              <w:rPr>
                <w:sz w:val="20"/>
              </w:rPr>
              <w:t>January 2021</w:t>
            </w:r>
          </w:p>
        </w:tc>
        <w:tc>
          <w:tcPr>
            <w:tcW w:w="1980" w:type="dxa"/>
          </w:tcPr>
          <w:p w14:paraId="518FDA64" w14:textId="7E6BCF2C" w:rsidR="003A0209" w:rsidRPr="009201D2" w:rsidRDefault="003A0209" w:rsidP="009201D2">
            <w:pPr>
              <w:rPr>
                <w:sz w:val="20"/>
              </w:rPr>
            </w:pPr>
            <w:r w:rsidRPr="009201D2">
              <w:rPr>
                <w:sz w:val="20"/>
              </w:rPr>
              <w:t>Under consideration</w:t>
            </w:r>
          </w:p>
        </w:tc>
        <w:tc>
          <w:tcPr>
            <w:tcW w:w="2919" w:type="dxa"/>
          </w:tcPr>
          <w:p w14:paraId="16BA02A0" w14:textId="0A4CAEF4" w:rsidR="003A0209" w:rsidRPr="009201D2" w:rsidRDefault="00815B64" w:rsidP="009201D2">
            <w:pPr>
              <w:rPr>
                <w:sz w:val="20"/>
              </w:rPr>
            </w:pPr>
            <w:r w:rsidRPr="009201D2">
              <w:rPr>
                <w:sz w:val="20"/>
              </w:rPr>
              <w:t>Under consideration</w:t>
            </w:r>
          </w:p>
        </w:tc>
      </w:tr>
      <w:tr w:rsidR="009A3C66" w14:paraId="2F1F6579" w14:textId="77777777" w:rsidTr="00092B50">
        <w:tc>
          <w:tcPr>
            <w:tcW w:w="1696" w:type="dxa"/>
          </w:tcPr>
          <w:p w14:paraId="41866C0C" w14:textId="72D35B3E" w:rsidR="003A0209" w:rsidRPr="009201D2" w:rsidRDefault="003A0209" w:rsidP="009201D2">
            <w:pPr>
              <w:rPr>
                <w:sz w:val="20"/>
              </w:rPr>
            </w:pPr>
            <w:r w:rsidRPr="009201D2">
              <w:rPr>
                <w:sz w:val="20"/>
              </w:rPr>
              <w:t>European Union</w:t>
            </w:r>
          </w:p>
        </w:tc>
        <w:tc>
          <w:tcPr>
            <w:tcW w:w="1899" w:type="dxa"/>
          </w:tcPr>
          <w:p w14:paraId="5CEBDED3" w14:textId="2CA54BB5" w:rsidR="003A0209" w:rsidRPr="009201D2" w:rsidRDefault="003A0209" w:rsidP="009201D2">
            <w:pPr>
              <w:rPr>
                <w:sz w:val="20"/>
              </w:rPr>
            </w:pPr>
            <w:r w:rsidRPr="009201D2">
              <w:rPr>
                <w:sz w:val="20"/>
              </w:rPr>
              <w:t>3 March 2021</w:t>
            </w:r>
          </w:p>
        </w:tc>
        <w:tc>
          <w:tcPr>
            <w:tcW w:w="1980" w:type="dxa"/>
          </w:tcPr>
          <w:p w14:paraId="5FD03604" w14:textId="235763D6" w:rsidR="003A0209" w:rsidRPr="009201D2" w:rsidRDefault="003A0209" w:rsidP="009201D2">
            <w:pPr>
              <w:rPr>
                <w:sz w:val="20"/>
              </w:rPr>
            </w:pPr>
            <w:r w:rsidRPr="009201D2">
              <w:rPr>
                <w:sz w:val="20"/>
              </w:rPr>
              <w:t>Under consideration</w:t>
            </w:r>
          </w:p>
        </w:tc>
        <w:tc>
          <w:tcPr>
            <w:tcW w:w="2919" w:type="dxa"/>
          </w:tcPr>
          <w:p w14:paraId="51B530D6" w14:textId="1B8218A1" w:rsidR="003A0209" w:rsidRPr="009201D2" w:rsidRDefault="00815B64" w:rsidP="009201D2">
            <w:pPr>
              <w:rPr>
                <w:sz w:val="20"/>
              </w:rPr>
            </w:pPr>
            <w:r w:rsidRPr="009201D2">
              <w:rPr>
                <w:sz w:val="20"/>
              </w:rPr>
              <w:t>Under consideration</w:t>
            </w:r>
          </w:p>
        </w:tc>
      </w:tr>
    </w:tbl>
    <w:p w14:paraId="35402CE8" w14:textId="77777777" w:rsidR="008E7846" w:rsidRDefault="008E7846" w:rsidP="00940A89">
      <w:pPr>
        <w:pStyle w:val="Heading3"/>
      </w:pPr>
      <w:bookmarkStart w:id="21" w:name="_Toc91147293"/>
      <w:r>
        <w:t>Product Information</w:t>
      </w:r>
      <w:bookmarkEnd w:id="19"/>
      <w:bookmarkEnd w:id="20"/>
      <w:bookmarkEnd w:id="21"/>
    </w:p>
    <w:p w14:paraId="7A0789A2" w14:textId="77777777" w:rsidR="00940A89" w:rsidRDefault="006136D7" w:rsidP="00940A89">
      <w:bookmarkStart w:id="22" w:name="_Toc247691506"/>
      <w:bookmarkStart w:id="23" w:name="_Toc314842487"/>
      <w:r w:rsidRPr="00940A89">
        <w:t xml:space="preserve">The Product Information (PI) </w:t>
      </w:r>
      <w:r>
        <w:t xml:space="preserve">approved with the submission which is described in </w:t>
      </w:r>
      <w:r w:rsidRPr="00940A89">
        <w:t xml:space="preserve">this AusPAR can be found as Attachment 1. For the most recent </w:t>
      </w:r>
      <w:r>
        <w:t>PI,</w:t>
      </w:r>
      <w:r w:rsidRPr="00940A89">
        <w:t xml:space="preserve"> ple</w:t>
      </w:r>
      <w:r>
        <w:t>ase refer to the TGA website</w:t>
      </w:r>
      <w:r w:rsidRPr="00441C3F">
        <w:t xml:space="preserve"> at </w:t>
      </w:r>
      <w:r w:rsidR="00441C3F" w:rsidRPr="00441C3F">
        <w:t>&lt;</w:t>
      </w:r>
      <w:hyperlink r:id="rId17" w:history="1">
        <w:r w:rsidR="00441C3F" w:rsidRPr="00441C3F">
          <w:rPr>
            <w:rStyle w:val="Hyperlink"/>
          </w:rPr>
          <w:t>https://www.tga.gov.au/product-information-pi</w:t>
        </w:r>
      </w:hyperlink>
      <w:r w:rsidR="00441C3F">
        <w:t>&gt;</w:t>
      </w:r>
      <w:r w:rsidR="00940A89" w:rsidRPr="00940A89">
        <w:t>.</w:t>
      </w:r>
    </w:p>
    <w:p w14:paraId="1633726C" w14:textId="77777777" w:rsidR="00500337" w:rsidRDefault="00500337" w:rsidP="00500337">
      <w:pPr>
        <w:pStyle w:val="Heading2"/>
      </w:pPr>
      <w:bookmarkStart w:id="24" w:name="_Toc504480011"/>
      <w:bookmarkStart w:id="25" w:name="_Toc91147294"/>
      <w:r>
        <w:t>II. Registration timeline</w:t>
      </w:r>
      <w:bookmarkEnd w:id="24"/>
      <w:bookmarkEnd w:id="25"/>
    </w:p>
    <w:p w14:paraId="4EB94956" w14:textId="77777777" w:rsidR="00500337" w:rsidRDefault="00500337" w:rsidP="00500337">
      <w:r>
        <w:t xml:space="preserve">The following table captures the key steps and dates for this </w:t>
      </w:r>
      <w:proofErr w:type="gramStart"/>
      <w:r>
        <w:t>application</w:t>
      </w:r>
      <w:proofErr w:type="gramEnd"/>
      <w:r>
        <w:t xml:space="preserve"> and which are detailed and discussed in this AusPAR.</w:t>
      </w:r>
    </w:p>
    <w:p w14:paraId="2D05E06C" w14:textId="61F0747F" w:rsidR="00500337" w:rsidRDefault="00760737" w:rsidP="00DE01C5">
      <w:pPr>
        <w:pStyle w:val="TableTitle"/>
      </w:pPr>
      <w:r>
        <w:t xml:space="preserve">Table </w:t>
      </w:r>
      <w:fldSimple w:instr=" SEQ Table \* ARABIC ">
        <w:r w:rsidR="007D09B2">
          <w:rPr>
            <w:noProof/>
          </w:rPr>
          <w:t>2</w:t>
        </w:r>
      </w:fldSimple>
      <w:r w:rsidR="00006FAB">
        <w:t>:</w:t>
      </w:r>
      <w:r w:rsidR="006A58A8" w:rsidRPr="006A58A8">
        <w:t xml:space="preserve"> Timeline for Submission PM-20</w:t>
      </w:r>
      <w:r w:rsidR="00324E45">
        <w:t>2</w:t>
      </w:r>
      <w:r>
        <w:t>1</w:t>
      </w:r>
      <w:r w:rsidR="006A58A8" w:rsidRPr="006A58A8">
        <w:t>-</w:t>
      </w:r>
      <w:r>
        <w:t>00038</w:t>
      </w:r>
      <w:r w:rsidR="006A58A8" w:rsidRPr="006A58A8">
        <w:t>-1-</w:t>
      </w:r>
      <w:r>
        <w:t>4</w:t>
      </w:r>
    </w:p>
    <w:tbl>
      <w:tblPr>
        <w:tblStyle w:val="TableTGAblue"/>
        <w:tblW w:w="0" w:type="auto"/>
        <w:tblLook w:val="04A0" w:firstRow="1" w:lastRow="0" w:firstColumn="1" w:lastColumn="0" w:noHBand="0" w:noVBand="1"/>
      </w:tblPr>
      <w:tblGrid>
        <w:gridCol w:w="4254"/>
        <w:gridCol w:w="4240"/>
      </w:tblGrid>
      <w:tr w:rsidR="00500337" w14:paraId="7F222C44" w14:textId="77777777" w:rsidTr="00B54A5A">
        <w:trPr>
          <w:cnfStyle w:val="100000000000" w:firstRow="1" w:lastRow="0" w:firstColumn="0" w:lastColumn="0" w:oddVBand="0" w:evenVBand="0" w:oddHBand="0" w:evenHBand="0" w:firstRowFirstColumn="0" w:firstRowLastColumn="0" w:lastRowFirstColumn="0" w:lastRowLastColumn="0"/>
          <w:cantSplit/>
        </w:trPr>
        <w:tc>
          <w:tcPr>
            <w:tcW w:w="4254" w:type="dxa"/>
            <w:tcBorders>
              <w:top w:val="single" w:sz="4" w:space="0" w:color="auto"/>
              <w:left w:val="single" w:sz="4" w:space="0" w:color="auto"/>
              <w:bottom w:val="single" w:sz="4" w:space="0" w:color="auto"/>
              <w:right w:val="single" w:sz="4" w:space="0" w:color="auto"/>
            </w:tcBorders>
          </w:tcPr>
          <w:p w14:paraId="557F5C69" w14:textId="77777777" w:rsidR="00500337" w:rsidRDefault="00500337" w:rsidP="00500337">
            <w:pPr>
              <w:ind w:left="0" w:right="0"/>
            </w:pPr>
            <w:r>
              <w:t>Description</w:t>
            </w:r>
          </w:p>
        </w:tc>
        <w:tc>
          <w:tcPr>
            <w:tcW w:w="4240" w:type="dxa"/>
            <w:tcBorders>
              <w:top w:val="single" w:sz="4" w:space="0" w:color="auto"/>
              <w:left w:val="single" w:sz="4" w:space="0" w:color="auto"/>
              <w:bottom w:val="single" w:sz="4" w:space="0" w:color="auto"/>
              <w:right w:val="single" w:sz="4" w:space="0" w:color="auto"/>
            </w:tcBorders>
          </w:tcPr>
          <w:p w14:paraId="1209056F" w14:textId="77777777" w:rsidR="00500337" w:rsidRDefault="00500337" w:rsidP="00500337">
            <w:pPr>
              <w:ind w:left="0" w:right="0"/>
            </w:pPr>
            <w:r>
              <w:t>Date</w:t>
            </w:r>
          </w:p>
        </w:tc>
      </w:tr>
      <w:tr w:rsidR="00500337" w14:paraId="79BC04E8" w14:textId="77777777" w:rsidTr="00B54A5A">
        <w:tc>
          <w:tcPr>
            <w:tcW w:w="4254" w:type="dxa"/>
          </w:tcPr>
          <w:p w14:paraId="73164AE3" w14:textId="77777777" w:rsidR="00500337" w:rsidRDefault="00500337" w:rsidP="00500337">
            <w:pPr>
              <w:ind w:left="0" w:right="0"/>
            </w:pPr>
            <w:r>
              <w:t>Submission dossier accepted and first round evaluation commenced</w:t>
            </w:r>
          </w:p>
        </w:tc>
        <w:tc>
          <w:tcPr>
            <w:tcW w:w="4240" w:type="dxa"/>
          </w:tcPr>
          <w:p w14:paraId="3943D12A" w14:textId="6C882F0C" w:rsidR="00500337" w:rsidRDefault="00DE01C5" w:rsidP="000D212D">
            <w:pPr>
              <w:ind w:left="0"/>
            </w:pPr>
            <w:r>
              <w:t>24 February 2021</w:t>
            </w:r>
          </w:p>
        </w:tc>
      </w:tr>
      <w:tr w:rsidR="00500337" w14:paraId="7726BA24" w14:textId="77777777" w:rsidTr="00B54A5A">
        <w:tc>
          <w:tcPr>
            <w:tcW w:w="4254" w:type="dxa"/>
          </w:tcPr>
          <w:p w14:paraId="3D153184" w14:textId="77777777" w:rsidR="00500337" w:rsidRDefault="00500337" w:rsidP="00500337">
            <w:pPr>
              <w:ind w:left="0" w:right="0"/>
            </w:pPr>
            <w:r>
              <w:t>Evaluation completed</w:t>
            </w:r>
          </w:p>
        </w:tc>
        <w:tc>
          <w:tcPr>
            <w:tcW w:w="4240" w:type="dxa"/>
          </w:tcPr>
          <w:p w14:paraId="71196AE5" w14:textId="4EFD47A9" w:rsidR="00500337" w:rsidRDefault="00DE01C5" w:rsidP="00500337">
            <w:pPr>
              <w:ind w:left="0" w:right="0"/>
            </w:pPr>
            <w:r>
              <w:t>21 July 2021</w:t>
            </w:r>
          </w:p>
        </w:tc>
      </w:tr>
      <w:tr w:rsidR="00500337" w14:paraId="7C6F63E4" w14:textId="77777777" w:rsidTr="00B54A5A">
        <w:tc>
          <w:tcPr>
            <w:tcW w:w="4254" w:type="dxa"/>
          </w:tcPr>
          <w:p w14:paraId="23BFE719" w14:textId="65B2EDD1" w:rsidR="00500337" w:rsidRDefault="00324E45" w:rsidP="00500337">
            <w:pPr>
              <w:ind w:left="0" w:right="0"/>
            </w:pPr>
            <w:r>
              <w:t xml:space="preserve">Delegate’s Overall benefit-risk assessment </w:t>
            </w:r>
          </w:p>
        </w:tc>
        <w:tc>
          <w:tcPr>
            <w:tcW w:w="4240" w:type="dxa"/>
          </w:tcPr>
          <w:p w14:paraId="141172D7" w14:textId="134D3B18" w:rsidR="00500337" w:rsidRDefault="00DE01C5" w:rsidP="00500337">
            <w:pPr>
              <w:ind w:left="0" w:right="0"/>
            </w:pPr>
            <w:r>
              <w:t>31 August 2021</w:t>
            </w:r>
          </w:p>
        </w:tc>
      </w:tr>
      <w:tr w:rsidR="00500337" w14:paraId="3AF8061C" w14:textId="77777777" w:rsidTr="00B54A5A">
        <w:tc>
          <w:tcPr>
            <w:tcW w:w="4254" w:type="dxa"/>
          </w:tcPr>
          <w:p w14:paraId="58580E19" w14:textId="77777777" w:rsidR="00500337" w:rsidRDefault="00500337" w:rsidP="00500337">
            <w:pPr>
              <w:ind w:left="0" w:right="0"/>
            </w:pPr>
            <w:r>
              <w:t>Sponsor’s pre-Advisory Committee response</w:t>
            </w:r>
          </w:p>
        </w:tc>
        <w:tc>
          <w:tcPr>
            <w:tcW w:w="4240" w:type="dxa"/>
          </w:tcPr>
          <w:p w14:paraId="4521C10E" w14:textId="0D536778" w:rsidR="00500337" w:rsidRDefault="00DE01C5" w:rsidP="00500337">
            <w:pPr>
              <w:ind w:left="0" w:right="0"/>
            </w:pPr>
            <w:r>
              <w:t>Not applicable</w:t>
            </w:r>
          </w:p>
        </w:tc>
      </w:tr>
      <w:tr w:rsidR="00500337" w14:paraId="55C0A8AA" w14:textId="77777777" w:rsidTr="00B54A5A">
        <w:tc>
          <w:tcPr>
            <w:tcW w:w="4254" w:type="dxa"/>
          </w:tcPr>
          <w:p w14:paraId="580F39B6" w14:textId="77777777" w:rsidR="00500337" w:rsidRDefault="00500337" w:rsidP="00500337">
            <w:pPr>
              <w:ind w:left="0" w:right="0"/>
            </w:pPr>
            <w:r>
              <w:t>Advisory Committee meeting</w:t>
            </w:r>
          </w:p>
        </w:tc>
        <w:tc>
          <w:tcPr>
            <w:tcW w:w="4240" w:type="dxa"/>
          </w:tcPr>
          <w:p w14:paraId="5B25D747" w14:textId="347E43B3" w:rsidR="00500337" w:rsidRDefault="00DE01C5" w:rsidP="00500337">
            <w:pPr>
              <w:ind w:left="0" w:right="0"/>
            </w:pPr>
            <w:r>
              <w:t>Not applicable</w:t>
            </w:r>
          </w:p>
        </w:tc>
      </w:tr>
      <w:tr w:rsidR="00500337" w14:paraId="217FD229" w14:textId="77777777" w:rsidTr="00B54A5A">
        <w:tc>
          <w:tcPr>
            <w:tcW w:w="4254" w:type="dxa"/>
          </w:tcPr>
          <w:p w14:paraId="5B1374D9" w14:textId="77777777" w:rsidR="00500337" w:rsidRDefault="00500337" w:rsidP="00500337">
            <w:pPr>
              <w:ind w:left="0" w:right="0"/>
            </w:pPr>
            <w:r>
              <w:t>Registration decision (Outcome)</w:t>
            </w:r>
          </w:p>
        </w:tc>
        <w:tc>
          <w:tcPr>
            <w:tcW w:w="4240" w:type="dxa"/>
          </w:tcPr>
          <w:p w14:paraId="147682AD" w14:textId="07774721" w:rsidR="00500337" w:rsidRDefault="00DE01C5" w:rsidP="00500337">
            <w:pPr>
              <w:ind w:left="0" w:right="0"/>
            </w:pPr>
            <w:r>
              <w:t>3 September 2021</w:t>
            </w:r>
          </w:p>
        </w:tc>
      </w:tr>
      <w:tr w:rsidR="00500337" w14:paraId="4F28311E" w14:textId="77777777" w:rsidTr="00B54A5A">
        <w:tc>
          <w:tcPr>
            <w:tcW w:w="4254" w:type="dxa"/>
          </w:tcPr>
          <w:p w14:paraId="3FAE21EC" w14:textId="77777777" w:rsidR="00500337" w:rsidRDefault="00500337" w:rsidP="00500337">
            <w:pPr>
              <w:ind w:left="0" w:right="0"/>
            </w:pPr>
            <w:r>
              <w:t xml:space="preserve">Completion of administrative activities and registration on </w:t>
            </w:r>
            <w:r w:rsidR="00006FAB">
              <w:t xml:space="preserve">the </w:t>
            </w:r>
            <w:r>
              <w:t>ARTG</w:t>
            </w:r>
          </w:p>
        </w:tc>
        <w:tc>
          <w:tcPr>
            <w:tcW w:w="4240" w:type="dxa"/>
          </w:tcPr>
          <w:p w14:paraId="165828F6" w14:textId="0A87240A" w:rsidR="00500337" w:rsidRDefault="00DE01C5" w:rsidP="00500337">
            <w:pPr>
              <w:ind w:left="0" w:right="0"/>
            </w:pPr>
            <w:r>
              <w:t>6 September 2021</w:t>
            </w:r>
          </w:p>
        </w:tc>
      </w:tr>
      <w:tr w:rsidR="00500337" w14:paraId="7BFBF983" w14:textId="77777777" w:rsidTr="00B54A5A">
        <w:tc>
          <w:tcPr>
            <w:tcW w:w="4254" w:type="dxa"/>
          </w:tcPr>
          <w:p w14:paraId="53F13E3D" w14:textId="77777777" w:rsidR="00500337" w:rsidRDefault="00500337" w:rsidP="00500337">
            <w:pPr>
              <w:ind w:left="0" w:right="0"/>
            </w:pPr>
            <w:r>
              <w:t>Number of working days from submission dossier acceptance to registration decision*</w:t>
            </w:r>
          </w:p>
        </w:tc>
        <w:tc>
          <w:tcPr>
            <w:tcW w:w="4240" w:type="dxa"/>
          </w:tcPr>
          <w:p w14:paraId="68ED8B0A" w14:textId="7ED9F574" w:rsidR="00500337" w:rsidRDefault="00DE01C5" w:rsidP="00500337">
            <w:pPr>
              <w:ind w:left="0" w:right="0"/>
            </w:pPr>
            <w:r>
              <w:t>111</w:t>
            </w:r>
          </w:p>
        </w:tc>
      </w:tr>
    </w:tbl>
    <w:p w14:paraId="0CA0129A" w14:textId="77777777" w:rsidR="00500337" w:rsidRDefault="00500337" w:rsidP="00500337">
      <w:pPr>
        <w:pStyle w:val="TableDescription"/>
      </w:pPr>
      <w:r>
        <w:lastRenderedPageBreak/>
        <w:t>*Target timeframe for priority applications is 150 working days from acceptance for evaluation to the decision.</w:t>
      </w:r>
    </w:p>
    <w:p w14:paraId="73F642BB" w14:textId="77777777" w:rsidR="008E7846" w:rsidRPr="00792A32" w:rsidRDefault="00456765" w:rsidP="008E7846">
      <w:pPr>
        <w:pStyle w:val="Heading2"/>
      </w:pPr>
      <w:bookmarkStart w:id="26" w:name="_Toc196046504"/>
      <w:bookmarkStart w:id="27" w:name="_Toc247691527"/>
      <w:bookmarkStart w:id="28" w:name="_Toc314842510"/>
      <w:bookmarkStart w:id="29" w:name="_Toc91147295"/>
      <w:bookmarkStart w:id="30" w:name="_Toc163441390"/>
      <w:bookmarkEnd w:id="1"/>
      <w:bookmarkEnd w:id="22"/>
      <w:bookmarkEnd w:id="23"/>
      <w:r>
        <w:t>I</w:t>
      </w:r>
      <w:r w:rsidR="00DA64CB">
        <w:t>I</w:t>
      </w:r>
      <w:r w:rsidR="008E7846">
        <w:t xml:space="preserve">I. </w:t>
      </w:r>
      <w:r w:rsidR="00006FAB" w:rsidRPr="00006FAB">
        <w:t xml:space="preserve">Submission overview </w:t>
      </w:r>
      <w:r w:rsidR="008E7846" w:rsidRPr="00792A32">
        <w:t xml:space="preserve">and </w:t>
      </w:r>
      <w:r w:rsidR="008E7846">
        <w:t>r</w:t>
      </w:r>
      <w:r w:rsidR="008E7846" w:rsidRPr="00792A32">
        <w:t>isk/</w:t>
      </w:r>
      <w:r w:rsidR="008E7846">
        <w:t>b</w:t>
      </w:r>
      <w:r w:rsidR="008E7846" w:rsidRPr="00792A32">
        <w:t xml:space="preserve">enefit </w:t>
      </w:r>
      <w:r w:rsidR="008E7846">
        <w:t>a</w:t>
      </w:r>
      <w:r w:rsidR="008E7846" w:rsidRPr="00792A32">
        <w:t>ssessment</w:t>
      </w:r>
      <w:bookmarkEnd w:id="26"/>
      <w:bookmarkEnd w:id="27"/>
      <w:bookmarkEnd w:id="28"/>
      <w:bookmarkEnd w:id="29"/>
    </w:p>
    <w:p w14:paraId="2A022441" w14:textId="73DAFD12" w:rsidR="00006FAB" w:rsidRDefault="00006FAB" w:rsidP="00DE01C5">
      <w:bookmarkStart w:id="31" w:name="_Toc247691528"/>
      <w:r>
        <w:t>The submission was summarised in the following Delegate’s overview and recommendations.</w:t>
      </w:r>
    </w:p>
    <w:p w14:paraId="2F358AB6" w14:textId="77777777" w:rsidR="00006FAB" w:rsidRDefault="00006FAB" w:rsidP="00006FAB">
      <w:r>
        <w:t>This section is a TGA summary of wording used in TGA’s evaluation report, which discussed numerous aspects of overseas evaluation reports and included some information that was commercial-in-confidence.</w:t>
      </w:r>
    </w:p>
    <w:p w14:paraId="623F8926" w14:textId="77777777" w:rsidR="008E7846" w:rsidRDefault="008E7846" w:rsidP="008E7846">
      <w:pPr>
        <w:pStyle w:val="Heading3"/>
      </w:pPr>
      <w:bookmarkStart w:id="32" w:name="_Toc314842511"/>
      <w:bookmarkStart w:id="33" w:name="_Toc91147296"/>
      <w:r>
        <w:t>Quality</w:t>
      </w:r>
      <w:bookmarkEnd w:id="31"/>
      <w:bookmarkEnd w:id="32"/>
      <w:bookmarkEnd w:id="33"/>
    </w:p>
    <w:p w14:paraId="3430EAA0" w14:textId="3D91D6C0" w:rsidR="00EB3405" w:rsidRDefault="00EB3405" w:rsidP="00EB3405">
      <w:r w:rsidRPr="00B32CAC">
        <w:t xml:space="preserve">The </w:t>
      </w:r>
      <w:r>
        <w:t xml:space="preserve">structural </w:t>
      </w:r>
      <w:r w:rsidRPr="00B32CAC">
        <w:t>details</w:t>
      </w:r>
      <w:r w:rsidR="003B5039">
        <w:t xml:space="preserve"> </w:t>
      </w:r>
      <w:r w:rsidRPr="00B32CAC">
        <w:t xml:space="preserve">of the monoclonal antibody </w:t>
      </w:r>
      <w:proofErr w:type="spellStart"/>
      <w:r w:rsidRPr="00B32CAC">
        <w:t>sacituzumab</w:t>
      </w:r>
      <w:proofErr w:type="spellEnd"/>
      <w:r w:rsidRPr="00B32CAC">
        <w:t xml:space="preserve"> (</w:t>
      </w:r>
      <w:r w:rsidR="009F0C69">
        <w:t>also known as</w:t>
      </w:r>
      <w:r w:rsidRPr="00B32CAC">
        <w:t xml:space="preserve"> hRS7IgG1k) are detailed below</w:t>
      </w:r>
      <w:r w:rsidR="009F0C69">
        <w:t xml:space="preserve"> in</w:t>
      </w:r>
      <w:r w:rsidR="0001434B">
        <w:t xml:space="preserve"> </w:t>
      </w:r>
      <w:r w:rsidR="0001434B">
        <w:fldChar w:fldCharType="begin"/>
      </w:r>
      <w:r w:rsidR="0001434B">
        <w:instrText xml:space="preserve"> REF _Ref90372759 \h </w:instrText>
      </w:r>
      <w:r w:rsidR="0001434B">
        <w:fldChar w:fldCharType="separate"/>
      </w:r>
      <w:r w:rsidR="0001434B">
        <w:t xml:space="preserve">Figure </w:t>
      </w:r>
      <w:r w:rsidR="0001434B">
        <w:rPr>
          <w:noProof/>
        </w:rPr>
        <w:t>2</w:t>
      </w:r>
      <w:r w:rsidR="0001434B">
        <w:fldChar w:fldCharType="end"/>
      </w:r>
      <w:r w:rsidR="009F0C69">
        <w:t>.</w:t>
      </w:r>
    </w:p>
    <w:p w14:paraId="3D478B4D" w14:textId="40300D8F" w:rsidR="003B5039" w:rsidRDefault="003B5039" w:rsidP="003B5039">
      <w:pPr>
        <w:pStyle w:val="FigureTitle"/>
      </w:pPr>
      <w:bookmarkStart w:id="34" w:name="_Ref90372759"/>
      <w:r>
        <w:t xml:space="preserve">Figure </w:t>
      </w:r>
      <w:fldSimple w:instr=" SEQ Figure \* ARABIC ">
        <w:r w:rsidR="00DC605F">
          <w:rPr>
            <w:noProof/>
          </w:rPr>
          <w:t>2</w:t>
        </w:r>
      </w:fldSimple>
      <w:bookmarkEnd w:id="34"/>
      <w:r>
        <w:t>:</w:t>
      </w:r>
      <w:r w:rsidR="00DC605F">
        <w:t xml:space="preserve"> </w:t>
      </w:r>
      <w:r>
        <w:t>Schematic presentation of the humanised monoclonal antibody hRS7 IgG1k</w:t>
      </w:r>
      <w:r w:rsidR="009F0C69">
        <w:t xml:space="preserve"> (</w:t>
      </w:r>
      <w:proofErr w:type="spellStart"/>
      <w:r w:rsidR="009F0C69">
        <w:t>sacituzumab</w:t>
      </w:r>
      <w:proofErr w:type="spellEnd"/>
      <w:r w:rsidR="009F0C69">
        <w:t>)</w:t>
      </w:r>
    </w:p>
    <w:p w14:paraId="783FF440" w14:textId="488A463E" w:rsidR="003B5039" w:rsidRDefault="00EB3405" w:rsidP="00EB3405">
      <w:r>
        <w:rPr>
          <w:noProof/>
          <w:lang w:val="en-GB" w:eastAsia="en-GB"/>
        </w:rPr>
        <w:drawing>
          <wp:inline distT="0" distB="0" distL="0" distR="0" wp14:anchorId="0858C6F3" wp14:editId="19462F24">
            <wp:extent cx="3637785" cy="2540000"/>
            <wp:effectExtent l="0" t="0" r="1270" b="0"/>
            <wp:docPr id="18" name="Picture 18" descr="This figure describes the schematic presentation of the humanised monoclonal antibody hRS7 IgG1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is figure describes the schematic presentation of the humanised monoclonal antibody hRS7 IgG1k"/>
                    <pic:cNvPicPr/>
                  </pic:nvPicPr>
                  <pic:blipFill rotWithShape="1">
                    <a:blip r:embed="rId18"/>
                    <a:srcRect b="5459"/>
                    <a:stretch/>
                  </pic:blipFill>
                  <pic:spPr bwMode="auto">
                    <a:xfrm>
                      <a:off x="0" y="0"/>
                      <a:ext cx="3647947" cy="2547095"/>
                    </a:xfrm>
                    <a:prstGeom prst="rect">
                      <a:avLst/>
                    </a:prstGeom>
                    <a:ln>
                      <a:noFill/>
                    </a:ln>
                    <a:extLst>
                      <a:ext uri="{53640926-AAD7-44D8-BBD7-CCE9431645EC}">
                        <a14:shadowObscured xmlns:a14="http://schemas.microsoft.com/office/drawing/2010/main"/>
                      </a:ext>
                    </a:extLst>
                  </pic:spPr>
                </pic:pic>
              </a:graphicData>
            </a:graphic>
          </wp:inline>
        </w:drawing>
      </w:r>
    </w:p>
    <w:p w14:paraId="240F468F" w14:textId="2D456A78" w:rsidR="00DC605F" w:rsidRDefault="00EB3405" w:rsidP="00DC605F">
      <w:r>
        <w:t>To form the final drug</w:t>
      </w:r>
      <w:r w:rsidRPr="00B32CAC">
        <w:t xml:space="preserve"> </w:t>
      </w:r>
      <w:r w:rsidR="009F0C69">
        <w:t>(</w:t>
      </w:r>
      <w:proofErr w:type="spellStart"/>
      <w:r w:rsidR="009F0C69">
        <w:t>sacituzumab</w:t>
      </w:r>
      <w:proofErr w:type="spellEnd"/>
      <w:r w:rsidR="009F0C69">
        <w:t xml:space="preserve"> </w:t>
      </w:r>
      <w:proofErr w:type="spellStart"/>
      <w:r w:rsidR="009F0C69">
        <w:t>govitecan</w:t>
      </w:r>
      <w:proofErr w:type="spellEnd"/>
      <w:r w:rsidR="009F0C69">
        <w:t>)</w:t>
      </w:r>
      <w:r>
        <w:t xml:space="preserve">, the </w:t>
      </w:r>
      <w:proofErr w:type="spellStart"/>
      <w:r>
        <w:t>sacituzumab</w:t>
      </w:r>
      <w:proofErr w:type="spellEnd"/>
      <w:r>
        <w:t xml:space="preserve"> antibody is conjugated to the CL2A-SN38 molecule at up to 8 reduced thiol sites, indicated by </w:t>
      </w:r>
      <w:r w:rsidR="009F0C69">
        <w:t xml:space="preserve">the </w:t>
      </w:r>
      <w:r>
        <w:t>stars</w:t>
      </w:r>
      <w:r w:rsidR="009F0C69">
        <w:t xml:space="preserve"> shown in </w:t>
      </w:r>
      <w:r w:rsidR="00436F7B">
        <w:fldChar w:fldCharType="begin"/>
      </w:r>
      <w:r w:rsidR="00436F7B">
        <w:instrText xml:space="preserve"> REF _Ref90905760 \h </w:instrText>
      </w:r>
      <w:r w:rsidR="00436F7B">
        <w:fldChar w:fldCharType="separate"/>
      </w:r>
      <w:r w:rsidR="00436F7B">
        <w:t xml:space="preserve">Figure </w:t>
      </w:r>
      <w:r w:rsidR="00436F7B">
        <w:rPr>
          <w:noProof/>
        </w:rPr>
        <w:t>3</w:t>
      </w:r>
      <w:r w:rsidR="00436F7B">
        <w:fldChar w:fldCharType="end"/>
      </w:r>
      <w:r w:rsidR="009F0C69">
        <w:t>, below.</w:t>
      </w:r>
    </w:p>
    <w:p w14:paraId="61E00C5E" w14:textId="5B1246F2" w:rsidR="000D7192" w:rsidRPr="00DC605F" w:rsidRDefault="00DC605F" w:rsidP="00DC605F">
      <w:pPr>
        <w:pStyle w:val="FigureTitle"/>
      </w:pPr>
      <w:bookmarkStart w:id="35" w:name="_Ref90905760"/>
      <w:r>
        <w:t xml:space="preserve">Figure </w:t>
      </w:r>
      <w:fldSimple w:instr=" SEQ Figure \* ARABIC ">
        <w:r>
          <w:rPr>
            <w:noProof/>
          </w:rPr>
          <w:t>3</w:t>
        </w:r>
      </w:fldSimple>
      <w:bookmarkEnd w:id="35"/>
      <w:r>
        <w:t>:</w:t>
      </w:r>
      <w:r w:rsidR="00085020">
        <w:t xml:space="preserve"> </w:t>
      </w:r>
      <w:r w:rsidRPr="00DC605F">
        <w:t xml:space="preserve">Depiction of the </w:t>
      </w:r>
      <w:proofErr w:type="spellStart"/>
      <w:r w:rsidRPr="00DC605F">
        <w:t>sacituzumab</w:t>
      </w:r>
      <w:proofErr w:type="spellEnd"/>
      <w:r w:rsidRPr="00DC605F">
        <w:t xml:space="preserve"> antibody conjugated to the CL2A-SN38 molecule at up to 8 reduced thiol sites</w:t>
      </w:r>
    </w:p>
    <w:p w14:paraId="461B56DD" w14:textId="6EAAA4FB" w:rsidR="00EB3405" w:rsidRDefault="00EB3405" w:rsidP="00EB3405">
      <w:r>
        <w:t xml:space="preserve"> </w:t>
      </w:r>
      <w:r>
        <w:rPr>
          <w:noProof/>
          <w:lang w:val="en-GB" w:eastAsia="en-GB"/>
        </w:rPr>
        <w:drawing>
          <wp:inline distT="0" distB="0" distL="0" distR="0" wp14:anchorId="7D60F568" wp14:editId="752D5FC4">
            <wp:extent cx="3314700" cy="1650558"/>
            <wp:effectExtent l="0" t="0" r="0" b="6985"/>
            <wp:docPr id="20" name="Picture 20" descr="This figure depicts the sacituzumab antibody conjugated to the CL2A-SN38 molecule at up to 8 reduced thiol sites, indicated by stars on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figure depicts the sacituzumab antibody conjugated to the CL2A-SN38 molecule at up to 8 reduced thiol sites, indicated by stars on the image."/>
                    <pic:cNvPicPr/>
                  </pic:nvPicPr>
                  <pic:blipFill>
                    <a:blip r:embed="rId19"/>
                    <a:stretch>
                      <a:fillRect/>
                    </a:stretch>
                  </pic:blipFill>
                  <pic:spPr>
                    <a:xfrm>
                      <a:off x="0" y="0"/>
                      <a:ext cx="3323989" cy="1655184"/>
                    </a:xfrm>
                    <a:prstGeom prst="rect">
                      <a:avLst/>
                    </a:prstGeom>
                  </pic:spPr>
                </pic:pic>
              </a:graphicData>
            </a:graphic>
          </wp:inline>
        </w:drawing>
      </w:r>
    </w:p>
    <w:p w14:paraId="23881F1B" w14:textId="5A0F2B4E" w:rsidR="009F0C69" w:rsidRDefault="009F0C69" w:rsidP="009201D2">
      <w:pPr>
        <w:pStyle w:val="FigureDescription"/>
      </w:pPr>
      <w:r>
        <w:t>Conjugation at reduced thiol sites is indicated by stars.</w:t>
      </w:r>
    </w:p>
    <w:p w14:paraId="21E02917" w14:textId="04162616" w:rsidR="00EB3405" w:rsidRDefault="00D26969" w:rsidP="00E01539">
      <w:r>
        <w:lastRenderedPageBreak/>
        <w:t>S</w:t>
      </w:r>
      <w:r w:rsidR="009F0C69">
        <w:t xml:space="preserve">acituzumab </w:t>
      </w:r>
      <w:proofErr w:type="spellStart"/>
      <w:r w:rsidR="009F0C69">
        <w:t>govitecan</w:t>
      </w:r>
      <w:proofErr w:type="spellEnd"/>
      <w:r w:rsidR="00EB3405">
        <w:t xml:space="preserve"> is a heterogeneous mixture, incorporating a variety of post</w:t>
      </w:r>
      <w:r w:rsidR="009F0C69">
        <w:noBreakHyphen/>
      </w:r>
      <w:r w:rsidR="00EB3405">
        <w:t>translational forms with a CL2A linker load of approximately 7.9, where 96% of the linkers remain loaded with SN-38.</w:t>
      </w:r>
    </w:p>
    <w:p w14:paraId="50D2357D" w14:textId="36A24424" w:rsidR="00E01539" w:rsidRDefault="009F0C69" w:rsidP="00E01539">
      <w:r>
        <w:t xml:space="preserve">Sacituzumab </w:t>
      </w:r>
      <w:proofErr w:type="spellStart"/>
      <w:r>
        <w:t>govitecan</w:t>
      </w:r>
      <w:proofErr w:type="spellEnd"/>
      <w:r>
        <w:t xml:space="preserve"> </w:t>
      </w:r>
      <w:r w:rsidR="00E01539">
        <w:t>is a Trop-2 directed antibody and topoisomerase inhibitor conjugate, composed of the following three components:</w:t>
      </w:r>
    </w:p>
    <w:p w14:paraId="5A49BF59" w14:textId="3FCA795F" w:rsidR="00E01539" w:rsidRDefault="00E01539" w:rsidP="00E01539">
      <w:pPr>
        <w:pStyle w:val="ListBullet"/>
      </w:pPr>
      <w:r>
        <w:t xml:space="preserve">the humanised monoclonal antibody, hRS7 IgG1κ (also called </w:t>
      </w:r>
      <w:proofErr w:type="spellStart"/>
      <w:r>
        <w:t>sacituzumab</w:t>
      </w:r>
      <w:proofErr w:type="spellEnd"/>
      <w:r>
        <w:t>), which binds to Trop-2 (the trophoblast cell-surface antigen-2</w:t>
      </w:r>
      <w:proofErr w:type="gramStart"/>
      <w:r>
        <w:t>);</w:t>
      </w:r>
      <w:proofErr w:type="gramEnd"/>
    </w:p>
    <w:p w14:paraId="5A3E97AA" w14:textId="374EBF7E" w:rsidR="00E01539" w:rsidRDefault="00E01539" w:rsidP="00E01539">
      <w:pPr>
        <w:pStyle w:val="ListBullet"/>
      </w:pPr>
      <w:r>
        <w:t>the drug SN-38, a topoisomerase inhibitor;</w:t>
      </w:r>
      <w:r w:rsidR="009F0C69">
        <w:t xml:space="preserve"> and</w:t>
      </w:r>
    </w:p>
    <w:p w14:paraId="65F267DC" w14:textId="0A1CEB5A" w:rsidR="00E01539" w:rsidRDefault="00E01539" w:rsidP="00157D4E">
      <w:pPr>
        <w:pStyle w:val="ListBullet"/>
      </w:pPr>
      <w:r>
        <w:t xml:space="preserve">a </w:t>
      </w:r>
      <w:r w:rsidRPr="00157D4E">
        <w:t>hydrolysable</w:t>
      </w:r>
      <w:r>
        <w:t xml:space="preserve"> linker (CL2A), which links the humanised monoclonal antibody to SN</w:t>
      </w:r>
      <w:r w:rsidR="009F0C69">
        <w:noBreakHyphen/>
      </w:r>
      <w:r>
        <w:t>38.</w:t>
      </w:r>
    </w:p>
    <w:p w14:paraId="361B1A7E" w14:textId="151AEDB7" w:rsidR="00E01539" w:rsidRDefault="00E01539" w:rsidP="00E01539">
      <w:r>
        <w:t xml:space="preserve">The recombinant monoclonal antibody is produced by mammalian (murine myeloma) cells, while the small molecule components SN-38 and CL2A are produced by chemical synthesis. </w:t>
      </w:r>
      <w:r w:rsidR="00194770">
        <w:t xml:space="preserve">Sacituzumab </w:t>
      </w:r>
      <w:proofErr w:type="spellStart"/>
      <w:r w:rsidR="00194770">
        <w:t>govitecan</w:t>
      </w:r>
      <w:proofErr w:type="spellEnd"/>
      <w:r>
        <w:t xml:space="preserve"> contains on average 7 to 8 molecules of SN-38 per antibody molecule. </w:t>
      </w:r>
      <w:r w:rsidR="00194770">
        <w:t xml:space="preserve">Sacituzumab </w:t>
      </w:r>
      <w:proofErr w:type="spellStart"/>
      <w:proofErr w:type="gramStart"/>
      <w:r w:rsidR="00194770">
        <w:t>govitecan</w:t>
      </w:r>
      <w:proofErr w:type="spellEnd"/>
      <w:r w:rsidR="00194770">
        <w:t xml:space="preserve"> </w:t>
      </w:r>
      <w:r>
        <w:t xml:space="preserve"> has</w:t>
      </w:r>
      <w:proofErr w:type="gramEnd"/>
      <w:r>
        <w:t xml:space="preserve"> a molecular weight of approximately 160</w:t>
      </w:r>
      <w:r w:rsidR="00194770">
        <w:t> </w:t>
      </w:r>
      <w:r>
        <w:t>kilodaltons.</w:t>
      </w:r>
    </w:p>
    <w:p w14:paraId="180FE0D4" w14:textId="451E355C" w:rsidR="00EB3405" w:rsidRDefault="00E01539" w:rsidP="00E01539">
      <w:proofErr w:type="spellStart"/>
      <w:r>
        <w:t>Trodelvy</w:t>
      </w:r>
      <w:proofErr w:type="spellEnd"/>
      <w:r>
        <w:t xml:space="preserve"> is supplied in single</w:t>
      </w:r>
      <w:r w:rsidR="00302D84">
        <w:t xml:space="preserve"> </w:t>
      </w:r>
      <w:r>
        <w:t xml:space="preserve">use clear glass vials, with a rubber stopper and </w:t>
      </w:r>
      <w:r w:rsidR="009F0C69">
        <w:t xml:space="preserve">a </w:t>
      </w:r>
      <w:proofErr w:type="spellStart"/>
      <w:r>
        <w:t>crimpsealed</w:t>
      </w:r>
      <w:proofErr w:type="spellEnd"/>
      <w:r>
        <w:t xml:space="preserve"> with an aluminium flip</w:t>
      </w:r>
      <w:r w:rsidR="00302D84">
        <w:t xml:space="preserve"> </w:t>
      </w:r>
      <w:r>
        <w:t xml:space="preserve">off cap, in a pack size of </w:t>
      </w:r>
      <w:r w:rsidR="007D3A3F">
        <w:t>one</w:t>
      </w:r>
      <w:r>
        <w:t xml:space="preserve"> vial.</w:t>
      </w:r>
    </w:p>
    <w:p w14:paraId="6F4297F8" w14:textId="6B082FD6" w:rsidR="009F0C69" w:rsidRDefault="009F0C69" w:rsidP="009201D2">
      <w:pPr>
        <w:pStyle w:val="Heading4"/>
      </w:pPr>
      <w:r>
        <w:t>Quality conclusions</w:t>
      </w:r>
    </w:p>
    <w:p w14:paraId="56AA70D6" w14:textId="77777777" w:rsidR="0001434B" w:rsidRDefault="0001434B" w:rsidP="0001434B">
      <w:r>
        <w:t>The conclusions of the TGA evaluations of manufacturing and quality control aspects of the dossier were:</w:t>
      </w:r>
    </w:p>
    <w:p w14:paraId="63B7A3F9" w14:textId="56FE9CDB" w:rsidR="0001434B" w:rsidRDefault="009F0C69" w:rsidP="0001434B">
      <w:pPr>
        <w:pStyle w:val="ListBullet"/>
      </w:pPr>
      <w:r>
        <w:t>t</w:t>
      </w:r>
      <w:r w:rsidR="0001434B">
        <w:t xml:space="preserve">he synthetic chemistry aspects of the dossier </w:t>
      </w:r>
      <w:r>
        <w:t xml:space="preserve">are acceptable for </w:t>
      </w:r>
      <w:proofErr w:type="gramStart"/>
      <w:r>
        <w:t>registration;</w:t>
      </w:r>
      <w:proofErr w:type="gramEnd"/>
    </w:p>
    <w:p w14:paraId="171A6652" w14:textId="36C532EC" w:rsidR="0001434B" w:rsidRDefault="009F0C69" w:rsidP="0001434B">
      <w:pPr>
        <w:pStyle w:val="ListBullet"/>
      </w:pPr>
      <w:r>
        <w:t>t</w:t>
      </w:r>
      <w:r w:rsidR="0001434B">
        <w:t>here were no objections to registration fro</w:t>
      </w:r>
      <w:r>
        <w:t xml:space="preserve">m a microbiological </w:t>
      </w:r>
      <w:proofErr w:type="gramStart"/>
      <w:r>
        <w:t>perspective;</w:t>
      </w:r>
      <w:proofErr w:type="gramEnd"/>
    </w:p>
    <w:p w14:paraId="51B35E52" w14:textId="29693743" w:rsidR="0001434B" w:rsidRPr="004B0963" w:rsidRDefault="009F0C69" w:rsidP="009201D2">
      <w:pPr>
        <w:pStyle w:val="ListBullet"/>
      </w:pPr>
      <w:r>
        <w:t>s</w:t>
      </w:r>
      <w:r w:rsidR="0001434B">
        <w:t xml:space="preserve">ufficient evidence has been provided to demonstrate that the risks related to adventitious agents in the manufacturing of </w:t>
      </w:r>
      <w:proofErr w:type="spellStart"/>
      <w:r w:rsidR="0001434B">
        <w:t>Trodelvy</w:t>
      </w:r>
      <w:proofErr w:type="spellEnd"/>
      <w:r w:rsidR="0001434B">
        <w:t xml:space="preserve"> (</w:t>
      </w:r>
      <w:proofErr w:type="spellStart"/>
      <w:r w:rsidR="0001434B">
        <w:t>sacituzumab</w:t>
      </w:r>
      <w:proofErr w:type="spellEnd"/>
      <w:r w:rsidR="0001434B">
        <w:t>) have been managed to an acceptable level.</w:t>
      </w:r>
    </w:p>
    <w:p w14:paraId="7AE6C3F2" w14:textId="77777777" w:rsidR="008E7846" w:rsidRDefault="008E7846" w:rsidP="008E7846">
      <w:pPr>
        <w:pStyle w:val="Heading3"/>
      </w:pPr>
      <w:bookmarkStart w:id="36" w:name="_Toc314842512"/>
      <w:bookmarkStart w:id="37" w:name="_Toc91147297"/>
      <w:r>
        <w:t>Nonclinical</w:t>
      </w:r>
      <w:bookmarkEnd w:id="36"/>
      <w:bookmarkEnd w:id="37"/>
    </w:p>
    <w:p w14:paraId="6E6C25D1" w14:textId="32F1E6E2" w:rsidR="00352CAD" w:rsidRPr="00352CAD" w:rsidRDefault="00352CAD" w:rsidP="00352CAD">
      <w:r w:rsidRPr="00352CAD">
        <w:t xml:space="preserve">A full review of the </w:t>
      </w:r>
      <w:r w:rsidR="00D20559">
        <w:t>nonclinical</w:t>
      </w:r>
      <w:r w:rsidRPr="00352CAD">
        <w:t xml:space="preserve"> data was conducted by </w:t>
      </w:r>
      <w:r w:rsidR="007D3A3F">
        <w:t xml:space="preserve">the </w:t>
      </w:r>
      <w:r w:rsidRPr="00352CAD">
        <w:t>TGA, with the following conclusions:</w:t>
      </w:r>
    </w:p>
    <w:p w14:paraId="45F3A708" w14:textId="1BE3B6A8" w:rsidR="00352CAD" w:rsidRPr="00352CAD" w:rsidRDefault="00B75CE6" w:rsidP="00352CAD">
      <w:pPr>
        <w:pStyle w:val="ListBullet"/>
        <w:rPr>
          <w:iCs/>
        </w:rPr>
      </w:pPr>
      <w:r>
        <w:t>n</w:t>
      </w:r>
      <w:r w:rsidR="00352CAD" w:rsidRPr="00352CAD">
        <w:t xml:space="preserve">o major deficiencies were </w:t>
      </w:r>
      <w:proofErr w:type="gramStart"/>
      <w:r w:rsidR="00352CAD" w:rsidRPr="00352CAD">
        <w:t>identified</w:t>
      </w:r>
      <w:r>
        <w:t>;</w:t>
      </w:r>
      <w:proofErr w:type="gramEnd"/>
    </w:p>
    <w:p w14:paraId="2F5BAB29" w14:textId="7D8E0831" w:rsidR="00352CAD" w:rsidRPr="00352CAD" w:rsidRDefault="00B75CE6" w:rsidP="00352CAD">
      <w:pPr>
        <w:pStyle w:val="ListBullet"/>
      </w:pPr>
      <w:r>
        <w:t>p</w:t>
      </w:r>
      <w:r w:rsidR="00352CAD" w:rsidRPr="00352CAD">
        <w:t xml:space="preserve">rimary pharmacology studies support the use of </w:t>
      </w:r>
      <w:proofErr w:type="spellStart"/>
      <w:r>
        <w:t>sacituzumab</w:t>
      </w:r>
      <w:proofErr w:type="spellEnd"/>
      <w:r>
        <w:t xml:space="preserve"> </w:t>
      </w:r>
      <w:proofErr w:type="spellStart"/>
      <w:r>
        <w:t>govitecan</w:t>
      </w:r>
      <w:proofErr w:type="spellEnd"/>
      <w:r>
        <w:t xml:space="preserve"> </w:t>
      </w:r>
      <w:r w:rsidR="00352CAD" w:rsidRPr="00352CAD">
        <w:t xml:space="preserve">for the proposed indication, having shown adequate in vitro cytotoxicity and </w:t>
      </w:r>
      <w:r w:rsidR="00352CAD" w:rsidRPr="009201D2">
        <w:rPr>
          <w:i/>
        </w:rPr>
        <w:t xml:space="preserve">in vivo </w:t>
      </w:r>
      <w:r w:rsidR="00352CAD" w:rsidRPr="00352CAD">
        <w:t>anti</w:t>
      </w:r>
      <w:r>
        <w:noBreakHyphen/>
      </w:r>
      <w:r w:rsidR="00352CAD" w:rsidRPr="00352CAD">
        <w:t xml:space="preserve">tumour </w:t>
      </w:r>
      <w:proofErr w:type="gramStart"/>
      <w:r w:rsidR="00352CAD" w:rsidRPr="00352CAD">
        <w:t>activity</w:t>
      </w:r>
      <w:r>
        <w:t>;</w:t>
      </w:r>
      <w:proofErr w:type="gramEnd"/>
    </w:p>
    <w:p w14:paraId="6AC201C8" w14:textId="5DC2458F" w:rsidR="00352CAD" w:rsidRPr="00352CAD" w:rsidRDefault="00B75CE6" w:rsidP="00352CAD">
      <w:pPr>
        <w:pStyle w:val="ListBullet"/>
      </w:pPr>
      <w:proofErr w:type="spellStart"/>
      <w:r>
        <w:t>a</w:t>
      </w:r>
      <w:proofErr w:type="spellEnd"/>
      <w:r w:rsidR="00352CAD" w:rsidRPr="00352CAD">
        <w:t xml:space="preserve"> held concern is that the antibody target is cross-reactive with normal Trop-2 expressing cells, suggesting potential release of SN-38 to non-tumour areas and causing off-target </w:t>
      </w:r>
      <w:proofErr w:type="gramStart"/>
      <w:r w:rsidR="00352CAD" w:rsidRPr="00352CAD">
        <w:t>toxicities</w:t>
      </w:r>
      <w:r>
        <w:t>;</w:t>
      </w:r>
      <w:proofErr w:type="gramEnd"/>
    </w:p>
    <w:p w14:paraId="2FCB5735" w14:textId="504AC858" w:rsidR="00352CAD" w:rsidRPr="00352CAD" w:rsidRDefault="00B75CE6" w:rsidP="00352CAD">
      <w:pPr>
        <w:pStyle w:val="ListBullet"/>
      </w:pPr>
      <w:r>
        <w:t>o</w:t>
      </w:r>
      <w:r w:rsidR="00352CAD" w:rsidRPr="00352CAD">
        <w:t xml:space="preserve">n the toxicological profile of </w:t>
      </w:r>
      <w:proofErr w:type="spellStart"/>
      <w:r>
        <w:t>sacituzumab</w:t>
      </w:r>
      <w:proofErr w:type="spellEnd"/>
      <w:r>
        <w:t xml:space="preserve"> </w:t>
      </w:r>
      <w:proofErr w:type="spellStart"/>
      <w:r>
        <w:t>govitecan</w:t>
      </w:r>
      <w:proofErr w:type="spellEnd"/>
      <w:r w:rsidRPr="00352CAD">
        <w:t xml:space="preserve"> </w:t>
      </w:r>
      <w:r w:rsidR="00352CAD" w:rsidRPr="00352CAD">
        <w:t xml:space="preserve">in monkeys, target organs of toxicity </w:t>
      </w:r>
      <w:proofErr w:type="gramStart"/>
      <w:r w:rsidR="00BF5875" w:rsidRPr="00352CAD">
        <w:t>were</w:t>
      </w:r>
      <w:r w:rsidR="00BF5875">
        <w:t>;</w:t>
      </w:r>
      <w:proofErr w:type="gramEnd"/>
      <w:r w:rsidR="00352CAD" w:rsidRPr="00352CAD">
        <w:t xml:space="preserve"> bone marrow and haematopoietic system, the gastrointestinal tract, the female reproductive system and lymphoid organs</w:t>
      </w:r>
      <w:r>
        <w:t>;</w:t>
      </w:r>
    </w:p>
    <w:p w14:paraId="26DD6845" w14:textId="34472ACB" w:rsidR="00352CAD" w:rsidRPr="00352CAD" w:rsidRDefault="00B75CE6" w:rsidP="00352CAD">
      <w:pPr>
        <w:pStyle w:val="ListBullet"/>
      </w:pPr>
      <w:r>
        <w:t>d</w:t>
      </w:r>
      <w:r w:rsidR="00352CAD" w:rsidRPr="00352CAD">
        <w:t>rug</w:t>
      </w:r>
      <w:r>
        <w:t xml:space="preserve"> metabolite</w:t>
      </w:r>
      <w:r w:rsidR="00352CAD" w:rsidRPr="00352CAD">
        <w:t xml:space="preserve"> SN-38 was clastogenic under </w:t>
      </w:r>
      <w:r w:rsidR="00352CAD" w:rsidRPr="004331D6">
        <w:rPr>
          <w:i/>
          <w:iCs/>
        </w:rPr>
        <w:t>in vitro</w:t>
      </w:r>
      <w:r w:rsidR="00352CAD" w:rsidRPr="00352CAD">
        <w:t xml:space="preserve"> conditions, consistent with previous genotoxicity assessments of prodrug </w:t>
      </w:r>
      <w:proofErr w:type="gramStart"/>
      <w:r w:rsidR="00352CAD" w:rsidRPr="00352CAD">
        <w:t>irinotecan</w:t>
      </w:r>
      <w:r>
        <w:t>;</w:t>
      </w:r>
      <w:proofErr w:type="gramEnd"/>
    </w:p>
    <w:p w14:paraId="16F5D4A5" w14:textId="29417B13" w:rsidR="00352CAD" w:rsidRPr="00352CAD" w:rsidRDefault="00352CAD" w:rsidP="00352CAD">
      <w:pPr>
        <w:pStyle w:val="ListBullet"/>
      </w:pPr>
      <w:r w:rsidRPr="00352CAD">
        <w:lastRenderedPageBreak/>
        <w:t xml:space="preserve">Pregnancy category </w:t>
      </w:r>
      <w:proofErr w:type="gramStart"/>
      <w:r w:rsidRPr="00352CAD">
        <w:t>D</w:t>
      </w:r>
      <w:r w:rsidR="00B75CE6">
        <w:t>;</w:t>
      </w:r>
      <w:proofErr w:type="gramEnd"/>
      <w:r w:rsidR="00D20559">
        <w:rPr>
          <w:rStyle w:val="FootnoteReference"/>
        </w:rPr>
        <w:footnoteReference w:id="9"/>
      </w:r>
      <w:r w:rsidRPr="00352CAD">
        <w:t xml:space="preserve"> as proposed by the </w:t>
      </w:r>
      <w:r w:rsidR="00BF5875">
        <w:t>s</w:t>
      </w:r>
      <w:r w:rsidRPr="00352CAD">
        <w:t>ponsor is appropriate based on the toxicity profile of SN-38, irinotecan and other topoisomerase inhibitors</w:t>
      </w:r>
      <w:r w:rsidR="00B75CE6">
        <w:t>;</w:t>
      </w:r>
    </w:p>
    <w:p w14:paraId="4B688342" w14:textId="501B4CC3" w:rsidR="008E7846" w:rsidRPr="00352CAD" w:rsidRDefault="00B75CE6" w:rsidP="00352CAD">
      <w:pPr>
        <w:pStyle w:val="ListBullet"/>
        <w:rPr>
          <w:i/>
        </w:rPr>
      </w:pPr>
      <w:r>
        <w:t>overall, t</w:t>
      </w:r>
      <w:r w:rsidR="00352CAD" w:rsidRPr="00352CAD">
        <w:t>here are no nonclinical objections to registration.</w:t>
      </w:r>
    </w:p>
    <w:p w14:paraId="03805319" w14:textId="77777777" w:rsidR="008E7846" w:rsidRDefault="008E7846" w:rsidP="008E7846">
      <w:pPr>
        <w:pStyle w:val="Heading3"/>
      </w:pPr>
      <w:bookmarkStart w:id="38" w:name="_Toc247691530"/>
      <w:bookmarkStart w:id="39" w:name="_Toc314842513"/>
      <w:bookmarkStart w:id="40" w:name="_Toc91147298"/>
      <w:r>
        <w:t>Clinical</w:t>
      </w:r>
      <w:bookmarkEnd w:id="38"/>
      <w:bookmarkEnd w:id="39"/>
      <w:bookmarkEnd w:id="40"/>
    </w:p>
    <w:p w14:paraId="6D008A92" w14:textId="412E3586" w:rsidR="007B6132" w:rsidRDefault="00A8115D" w:rsidP="00A8115D">
      <w:bookmarkStart w:id="41" w:name="_Toc314842514"/>
      <w:r w:rsidRPr="00A8115D">
        <w:t>The pivotal registration study (</w:t>
      </w:r>
      <w:r w:rsidR="00173535">
        <w:t xml:space="preserve">the </w:t>
      </w:r>
      <w:r w:rsidRPr="00A8115D">
        <w:t>ASCENT</w:t>
      </w:r>
      <w:r w:rsidR="002A0F99">
        <w:t xml:space="preserve"> trial</w:t>
      </w:r>
      <w:r w:rsidRPr="00A8115D">
        <w:t>) was a Phase</w:t>
      </w:r>
      <w:r w:rsidR="00D20559">
        <w:t xml:space="preserve"> III</w:t>
      </w:r>
      <w:r w:rsidRPr="00A8115D">
        <w:t xml:space="preserve"> </w:t>
      </w:r>
      <w:r w:rsidR="00D20559">
        <w:t xml:space="preserve">randomised controlled trial </w:t>
      </w:r>
      <w:r w:rsidRPr="00A8115D">
        <w:t xml:space="preserve">of </w:t>
      </w:r>
      <w:proofErr w:type="spellStart"/>
      <w:r w:rsidR="00173535">
        <w:t>sacituzumab</w:t>
      </w:r>
      <w:proofErr w:type="spellEnd"/>
      <w:r w:rsidR="00173535">
        <w:t xml:space="preserve"> </w:t>
      </w:r>
      <w:proofErr w:type="spellStart"/>
      <w:proofErr w:type="gramStart"/>
      <w:r w:rsidR="00173535">
        <w:t>govitecan</w:t>
      </w:r>
      <w:proofErr w:type="spellEnd"/>
      <w:r w:rsidR="00173535">
        <w:t xml:space="preserve"> </w:t>
      </w:r>
      <w:r w:rsidRPr="00A8115D">
        <w:t xml:space="preserve"> (</w:t>
      </w:r>
      <w:proofErr w:type="gramEnd"/>
      <w:r w:rsidRPr="00A8115D">
        <w:t>n</w:t>
      </w:r>
      <w:r w:rsidR="002A0F99">
        <w:t xml:space="preserve"> </w:t>
      </w:r>
      <w:r w:rsidRPr="00A8115D">
        <w:t>=</w:t>
      </w:r>
      <w:r w:rsidR="002A0F99">
        <w:t xml:space="preserve"> </w:t>
      </w:r>
      <w:r w:rsidRPr="00A8115D">
        <w:t>267) versus treatment of physician choice (TPC; n</w:t>
      </w:r>
      <w:r w:rsidR="00173535">
        <w:t> </w:t>
      </w:r>
      <w:r w:rsidRPr="00A8115D">
        <w:t>=</w:t>
      </w:r>
      <w:r w:rsidR="00173535">
        <w:t> </w:t>
      </w:r>
      <w:r w:rsidRPr="00A8115D">
        <w:t xml:space="preserve">262) in patients with at least </w:t>
      </w:r>
      <w:r w:rsidR="004801B3">
        <w:t>two</w:t>
      </w:r>
      <w:r w:rsidRPr="00A8115D">
        <w:t xml:space="preserve"> previous lines of chemotherapy.</w:t>
      </w:r>
    </w:p>
    <w:p w14:paraId="40545DE5" w14:textId="24C83956" w:rsidR="00281F8D" w:rsidRDefault="00173535" w:rsidP="00281F8D">
      <w:pPr>
        <w:pStyle w:val="Heading4"/>
      </w:pPr>
      <w:r>
        <w:t>P</w:t>
      </w:r>
      <w:r w:rsidR="00281F8D" w:rsidRPr="00281F8D">
        <w:t>harmacology</w:t>
      </w:r>
    </w:p>
    <w:p w14:paraId="7D96C845" w14:textId="304C620C" w:rsidR="00173535" w:rsidRDefault="00173535" w:rsidP="00281F8D">
      <w:pPr>
        <w:pStyle w:val="Heading5"/>
      </w:pPr>
      <w:r>
        <w:t>Pharmacokinetics</w:t>
      </w:r>
    </w:p>
    <w:p w14:paraId="765B1A83" w14:textId="7D5A3CF9" w:rsidR="00281F8D" w:rsidRDefault="00173535" w:rsidP="009201D2">
      <w:pPr>
        <w:pStyle w:val="Heading6"/>
      </w:pPr>
      <w:r>
        <w:t xml:space="preserve">Summary of pharmacokinetic </w:t>
      </w:r>
      <w:r w:rsidR="00281F8D">
        <w:t>parameters</w:t>
      </w:r>
    </w:p>
    <w:p w14:paraId="6C7A4DD6" w14:textId="20D7EB73" w:rsidR="00173535" w:rsidRDefault="00D20559" w:rsidP="00281F8D">
      <w:pPr>
        <w:pStyle w:val="ListBullet"/>
      </w:pPr>
      <w:r>
        <w:t xml:space="preserve">Peak </w:t>
      </w:r>
      <w:r w:rsidR="00BC4453">
        <w:t>serum</w:t>
      </w:r>
      <w:r>
        <w:t xml:space="preserve"> concentration </w:t>
      </w:r>
      <w:r w:rsidR="00281F8D">
        <w:t>(ng/mL)</w:t>
      </w:r>
      <w:r w:rsidR="00173535">
        <w:t>:</w:t>
      </w:r>
    </w:p>
    <w:p w14:paraId="203C6187" w14:textId="6D6B65CD" w:rsidR="00173535" w:rsidRDefault="00173535" w:rsidP="009201D2">
      <w:pPr>
        <w:pStyle w:val="ListBullet2"/>
      </w:pPr>
      <w:proofErr w:type="spellStart"/>
      <w:r>
        <w:t>sacituzumab</w:t>
      </w:r>
      <w:proofErr w:type="spellEnd"/>
      <w:r>
        <w:t xml:space="preserve"> </w:t>
      </w:r>
      <w:proofErr w:type="spellStart"/>
      <w:proofErr w:type="gramStart"/>
      <w:r>
        <w:t>govitecan</w:t>
      </w:r>
      <w:proofErr w:type="spellEnd"/>
      <w:r>
        <w:t xml:space="preserve"> </w:t>
      </w:r>
      <w:r w:rsidR="00281F8D">
        <w:t>:</w:t>
      </w:r>
      <w:proofErr w:type="gramEnd"/>
      <w:r w:rsidR="00281F8D">
        <w:t xml:space="preserve"> 240,000 (</w:t>
      </w:r>
      <w:r>
        <w:t>covariance (</w:t>
      </w:r>
      <w:r w:rsidR="00281F8D">
        <w:t>CV</w:t>
      </w:r>
      <w:r>
        <w:t>)</w:t>
      </w:r>
      <w:r w:rsidR="00D808B0">
        <w:t xml:space="preserve"> </w:t>
      </w:r>
      <w:r w:rsidR="00281F8D">
        <w:t>=</w:t>
      </w:r>
      <w:r w:rsidR="00D808B0">
        <w:t xml:space="preserve"> </w:t>
      </w:r>
      <w:r w:rsidR="00281F8D">
        <w:t>22%);</w:t>
      </w:r>
    </w:p>
    <w:p w14:paraId="2014FD04" w14:textId="4C2D5359" w:rsidR="00281F8D" w:rsidRDefault="00281F8D" w:rsidP="009201D2">
      <w:pPr>
        <w:pStyle w:val="ListBullet2"/>
      </w:pPr>
      <w:r>
        <w:t>free SN-38: 91 (CV</w:t>
      </w:r>
      <w:r w:rsidR="00D808B0">
        <w:t xml:space="preserve"> </w:t>
      </w:r>
      <w:r>
        <w:t>=</w:t>
      </w:r>
      <w:r w:rsidR="00D808B0">
        <w:t xml:space="preserve"> </w:t>
      </w:r>
      <w:r>
        <w:t>65%)</w:t>
      </w:r>
      <w:r w:rsidR="00173535">
        <w:t>.</w:t>
      </w:r>
    </w:p>
    <w:p w14:paraId="12D1B656" w14:textId="17CBD2A6" w:rsidR="00173535" w:rsidRDefault="00D20559" w:rsidP="00281F8D">
      <w:pPr>
        <w:pStyle w:val="ListBullet"/>
      </w:pPr>
      <w:r>
        <w:t xml:space="preserve">Area under the time versus concentration curve </w:t>
      </w:r>
      <w:r w:rsidR="00173535">
        <w:t xml:space="preserve">in serum </w:t>
      </w:r>
      <w:r>
        <w:t>from time 0 to 168 h</w:t>
      </w:r>
      <w:r w:rsidR="00302D84">
        <w:t>ours</w:t>
      </w:r>
      <w:r>
        <w:t xml:space="preserve"> (</w:t>
      </w:r>
      <w:r w:rsidR="00281F8D">
        <w:t>AUC</w:t>
      </w:r>
      <w:r w:rsidR="00281F8D" w:rsidRPr="004331D6">
        <w:rPr>
          <w:vertAlign w:val="subscript"/>
        </w:rPr>
        <w:t>0-168h</w:t>
      </w:r>
      <w:r>
        <w:t>)</w:t>
      </w:r>
      <w:r w:rsidR="00281F8D">
        <w:t xml:space="preserve"> (ng*h/mL):</w:t>
      </w:r>
    </w:p>
    <w:p w14:paraId="37CD5410" w14:textId="71087D45" w:rsidR="00173535" w:rsidRDefault="00B70F65" w:rsidP="00EA678A">
      <w:pPr>
        <w:pStyle w:val="ListBullet2"/>
      </w:pPr>
      <w:proofErr w:type="spellStart"/>
      <w:r>
        <w:t>sacituzumab</w:t>
      </w:r>
      <w:proofErr w:type="spellEnd"/>
      <w:r>
        <w:t xml:space="preserve"> </w:t>
      </w:r>
      <w:proofErr w:type="spellStart"/>
      <w:r>
        <w:t>govitecan</w:t>
      </w:r>
      <w:proofErr w:type="spellEnd"/>
      <w:r>
        <w:t xml:space="preserve">: </w:t>
      </w:r>
      <w:r w:rsidR="00281F8D">
        <w:t>5,340,000 (CV</w:t>
      </w:r>
      <w:r w:rsidR="00D20559">
        <w:t>)</w:t>
      </w:r>
      <w:r w:rsidR="00D808B0">
        <w:t xml:space="preserve"> </w:t>
      </w:r>
      <w:r w:rsidR="00281F8D">
        <w:t>=</w:t>
      </w:r>
      <w:r w:rsidR="00D808B0">
        <w:t xml:space="preserve"> </w:t>
      </w:r>
      <w:proofErr w:type="gramStart"/>
      <w:r w:rsidR="00281F8D">
        <w:t>24%;</w:t>
      </w:r>
      <w:proofErr w:type="gramEnd"/>
    </w:p>
    <w:p w14:paraId="603B4BCE" w14:textId="6DBAA8F7" w:rsidR="00281F8D" w:rsidRDefault="00281F8D" w:rsidP="00EA678A">
      <w:pPr>
        <w:pStyle w:val="ListBullet2"/>
      </w:pPr>
      <w:r>
        <w:t>free SN-38: 2730 (CV</w:t>
      </w:r>
      <w:r w:rsidR="00302D84">
        <w:t xml:space="preserve"> </w:t>
      </w:r>
      <w:r>
        <w:t>=</w:t>
      </w:r>
      <w:r w:rsidR="00302D84">
        <w:t xml:space="preserve"> </w:t>
      </w:r>
      <w:r>
        <w:t>41%)</w:t>
      </w:r>
      <w:r w:rsidR="00B70F65">
        <w:t>.</w:t>
      </w:r>
    </w:p>
    <w:p w14:paraId="5DD8175E" w14:textId="2CF0F0F6" w:rsidR="00281F8D" w:rsidRDefault="00281F8D" w:rsidP="00281F8D">
      <w:pPr>
        <w:pStyle w:val="ListBullet"/>
      </w:pPr>
      <w:r>
        <w:t xml:space="preserve">central volume distribution </w:t>
      </w:r>
      <w:r w:rsidR="00B70F65">
        <w:t>(</w:t>
      </w:r>
      <w:proofErr w:type="spellStart"/>
      <w:r w:rsidR="00B70F65">
        <w:t>sacituzumab</w:t>
      </w:r>
      <w:proofErr w:type="spellEnd"/>
      <w:r w:rsidR="00B70F65">
        <w:t xml:space="preserve"> </w:t>
      </w:r>
      <w:proofErr w:type="spellStart"/>
      <w:r w:rsidR="00B70F65">
        <w:t>govitecan</w:t>
      </w:r>
      <w:proofErr w:type="spellEnd"/>
      <w:r w:rsidR="00B70F65">
        <w:t>)</w:t>
      </w:r>
      <w:r>
        <w:t>: 2.96 L</w:t>
      </w:r>
    </w:p>
    <w:p w14:paraId="12F74350" w14:textId="77777777" w:rsidR="00B70F65" w:rsidRDefault="00281F8D" w:rsidP="00281F8D">
      <w:pPr>
        <w:pStyle w:val="ListBullet"/>
      </w:pPr>
      <w:r>
        <w:t>mean half-life</w:t>
      </w:r>
      <w:r w:rsidR="00D20559">
        <w:t xml:space="preserve"> (t</w:t>
      </w:r>
      <w:r w:rsidR="00D20559" w:rsidRPr="004331D6">
        <w:rPr>
          <w:vertAlign w:val="subscript"/>
        </w:rPr>
        <w:t>1/2</w:t>
      </w:r>
      <w:r w:rsidR="00D20559">
        <w:t>)</w:t>
      </w:r>
      <w:r w:rsidR="00B70F65">
        <w:t>:</w:t>
      </w:r>
    </w:p>
    <w:p w14:paraId="197BB3AF" w14:textId="3258D021" w:rsidR="00B70F65" w:rsidRDefault="00B70F65" w:rsidP="00EA678A">
      <w:pPr>
        <w:pStyle w:val="ListBullet2"/>
      </w:pPr>
      <w:proofErr w:type="spellStart"/>
      <w:r>
        <w:t>sacituzumab</w:t>
      </w:r>
      <w:proofErr w:type="spellEnd"/>
      <w:r>
        <w:t xml:space="preserve"> </w:t>
      </w:r>
      <w:proofErr w:type="spellStart"/>
      <w:r>
        <w:t>govitecan</w:t>
      </w:r>
      <w:proofErr w:type="spellEnd"/>
      <w:r w:rsidR="00281F8D">
        <w:t xml:space="preserve">: 15 </w:t>
      </w:r>
      <w:proofErr w:type="gramStart"/>
      <w:r w:rsidR="00281F8D">
        <w:t>hours;</w:t>
      </w:r>
      <w:proofErr w:type="gramEnd"/>
    </w:p>
    <w:p w14:paraId="460562D1" w14:textId="143555C3" w:rsidR="00281F8D" w:rsidRDefault="00281F8D" w:rsidP="00EA678A">
      <w:pPr>
        <w:pStyle w:val="ListBullet2"/>
      </w:pPr>
      <w:r>
        <w:t>free SN-38: 20 hours</w:t>
      </w:r>
    </w:p>
    <w:p w14:paraId="1E1A18B7" w14:textId="5D27D029" w:rsidR="00281F8D" w:rsidRDefault="00281F8D" w:rsidP="00281F8D">
      <w:pPr>
        <w:pStyle w:val="ListBullet"/>
      </w:pPr>
      <w:r>
        <w:t xml:space="preserve">clearance </w:t>
      </w:r>
      <w:r w:rsidR="00B70F65">
        <w:t>(</w:t>
      </w:r>
      <w:proofErr w:type="spellStart"/>
      <w:r w:rsidR="00B70F65">
        <w:t>sacituzumab</w:t>
      </w:r>
      <w:proofErr w:type="spellEnd"/>
      <w:r w:rsidR="00B70F65">
        <w:t xml:space="preserve"> </w:t>
      </w:r>
      <w:proofErr w:type="spellStart"/>
      <w:r w:rsidR="00B70F65">
        <w:t>govitecan</w:t>
      </w:r>
      <w:proofErr w:type="spellEnd"/>
      <w:r w:rsidR="00B70F65">
        <w:t>)</w:t>
      </w:r>
      <w:r>
        <w:t>: 0.14 L/h</w:t>
      </w:r>
      <w:r w:rsidR="00B70F65">
        <w:t>.</w:t>
      </w:r>
    </w:p>
    <w:p w14:paraId="031FED37" w14:textId="77777777" w:rsidR="00281F8D" w:rsidRDefault="00281F8D" w:rsidP="00EA678A">
      <w:pPr>
        <w:pStyle w:val="Heading6"/>
      </w:pPr>
      <w:r>
        <w:t xml:space="preserve">Metabolism </w:t>
      </w:r>
    </w:p>
    <w:p w14:paraId="7ADBF5D9" w14:textId="5B69A92F" w:rsidR="00281F8D" w:rsidRDefault="00281F8D" w:rsidP="00281F8D">
      <w:r>
        <w:t xml:space="preserve">No clinical metabolism studies with </w:t>
      </w:r>
      <w:proofErr w:type="spellStart"/>
      <w:r w:rsidR="00B70F65">
        <w:t>sacituzumab</w:t>
      </w:r>
      <w:proofErr w:type="spellEnd"/>
      <w:r w:rsidR="00B70F65">
        <w:t xml:space="preserve"> </w:t>
      </w:r>
      <w:proofErr w:type="spellStart"/>
      <w:r w:rsidR="00B70F65">
        <w:t>govitecan</w:t>
      </w:r>
      <w:proofErr w:type="spellEnd"/>
      <w:r>
        <w:t xml:space="preserve"> have been conducted.</w:t>
      </w:r>
    </w:p>
    <w:p w14:paraId="571BAAB3" w14:textId="43726DE3" w:rsidR="00175529" w:rsidRDefault="00281F8D" w:rsidP="00281F8D">
      <w:r>
        <w:t xml:space="preserve">SN-38 is metabolised via UGT1A1. Genetic variants of the UGT1A1 gene such as the UGT1A1*28 allele </w:t>
      </w:r>
      <w:proofErr w:type="gramStart"/>
      <w:r>
        <w:t>lead</w:t>
      </w:r>
      <w:proofErr w:type="gramEnd"/>
      <w:r>
        <w:t xml:space="preserve"> to reduced UGT1A1 enzyme activity. Patients who are homozygous for the UGT1A1*28 allele are at increased risk for neutropenia, febrile neutropenia, and anaemia from SN-38 (</w:t>
      </w:r>
      <w:r w:rsidR="00B70F65">
        <w:t xml:space="preserve">see </w:t>
      </w:r>
      <w:r w:rsidR="007103FE">
        <w:fldChar w:fldCharType="begin"/>
      </w:r>
      <w:r w:rsidR="007103FE">
        <w:instrText xml:space="preserve"> REF _Ref90381504 \h </w:instrText>
      </w:r>
      <w:r w:rsidR="007103FE">
        <w:fldChar w:fldCharType="separate"/>
      </w:r>
      <w:r w:rsidR="007103FE">
        <w:t xml:space="preserve">Table </w:t>
      </w:r>
      <w:r w:rsidR="007103FE">
        <w:rPr>
          <w:noProof/>
        </w:rPr>
        <w:t>4</w:t>
      </w:r>
      <w:r w:rsidR="007103FE">
        <w:fldChar w:fldCharType="end"/>
      </w:r>
      <w:r>
        <w:t>)</w:t>
      </w:r>
      <w:r w:rsidR="00175529">
        <w:t>.</w:t>
      </w:r>
    </w:p>
    <w:p w14:paraId="36D06985" w14:textId="5A90AD58" w:rsidR="00281F8D" w:rsidRDefault="00281F8D" w:rsidP="00281F8D">
      <w:r>
        <w:t>Approximately 10% of the Caucasian population, and 2% of the Asian population are homozygous for the UGT1A1*28 allele.</w:t>
      </w:r>
    </w:p>
    <w:p w14:paraId="4C9CDB68" w14:textId="7484076B" w:rsidR="007103FE" w:rsidRDefault="007103FE" w:rsidP="007103FE">
      <w:pPr>
        <w:pStyle w:val="TableTitle"/>
      </w:pPr>
      <w:bookmarkStart w:id="42" w:name="_Ref90381504"/>
      <w:bookmarkStart w:id="43" w:name="_Ref77766149"/>
      <w:r>
        <w:lastRenderedPageBreak/>
        <w:t xml:space="preserve">Table </w:t>
      </w:r>
      <w:fldSimple w:instr=" SEQ Table \* ARABIC ">
        <w:r w:rsidR="007D09B2">
          <w:rPr>
            <w:noProof/>
          </w:rPr>
          <w:t>4</w:t>
        </w:r>
      </w:fldSimple>
      <w:bookmarkEnd w:id="42"/>
      <w:r>
        <w:t xml:space="preserve">: </w:t>
      </w:r>
      <w:r w:rsidR="00B70F65">
        <w:t xml:space="preserve">ASCENT trial </w:t>
      </w:r>
      <w:r>
        <w:t xml:space="preserve">Incidence of </w:t>
      </w:r>
      <w:r w:rsidR="00B70F65">
        <w:t>G</w:t>
      </w:r>
      <w:r>
        <w:t>rade 3</w:t>
      </w:r>
      <w:r w:rsidR="00B70F65">
        <w:t xml:space="preserve"> to </w:t>
      </w:r>
      <w:r>
        <w:t>4 events of neutropenia and anaemia by UGT1A1*28 status</w:t>
      </w:r>
      <w:bookmarkEnd w:id="43"/>
    </w:p>
    <w:tbl>
      <w:tblPr>
        <w:tblW w:w="89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974"/>
        <w:gridCol w:w="1983"/>
        <w:gridCol w:w="1984"/>
        <w:gridCol w:w="1984"/>
      </w:tblGrid>
      <w:tr w:rsidR="007103FE" w14:paraId="4BCBCEFA" w14:textId="77777777" w:rsidTr="007103FE">
        <w:trPr>
          <w:trHeight w:val="20"/>
          <w:tblHeader/>
        </w:trPr>
        <w:tc>
          <w:tcPr>
            <w:tcW w:w="2977" w:type="dxa"/>
            <w:tcBorders>
              <w:top w:val="single" w:sz="4" w:space="0" w:color="000000"/>
              <w:left w:val="single" w:sz="4" w:space="0" w:color="000000"/>
              <w:bottom w:val="single" w:sz="4" w:space="0" w:color="000000"/>
              <w:right w:val="single" w:sz="4" w:space="0" w:color="auto"/>
            </w:tcBorders>
            <w:shd w:val="clear" w:color="auto" w:fill="006DA7" w:themeFill="accent3"/>
            <w:vAlign w:val="bottom"/>
            <w:hideMark/>
          </w:tcPr>
          <w:p w14:paraId="3899F182" w14:textId="081D8D1C" w:rsidR="007103FE" w:rsidRDefault="007103FE">
            <w:pPr>
              <w:pStyle w:val="Tabletext"/>
              <w:rPr>
                <w:b/>
                <w:bCs/>
                <w:color w:val="FFFFFF" w:themeColor="background1"/>
              </w:rPr>
            </w:pPr>
            <w:r>
              <w:rPr>
                <w:b/>
                <w:bCs/>
                <w:color w:val="FFFFFF" w:themeColor="background1"/>
              </w:rPr>
              <w:t>Incidence</w:t>
            </w:r>
            <w:r w:rsidR="00B70F65">
              <w:rPr>
                <w:b/>
                <w:bCs/>
                <w:color w:val="FFFFFF" w:themeColor="background1"/>
              </w:rPr>
              <w:t xml:space="preserve"> (%)</w:t>
            </w:r>
          </w:p>
        </w:tc>
        <w:tc>
          <w:tcPr>
            <w:tcW w:w="1984" w:type="dxa"/>
            <w:tcBorders>
              <w:top w:val="single" w:sz="4" w:space="0" w:color="000000"/>
              <w:left w:val="single" w:sz="4" w:space="0" w:color="000000"/>
              <w:bottom w:val="single" w:sz="4" w:space="0" w:color="000000"/>
              <w:right w:val="single" w:sz="4" w:space="0" w:color="auto"/>
            </w:tcBorders>
            <w:shd w:val="clear" w:color="auto" w:fill="006DA7" w:themeFill="accent3"/>
            <w:vAlign w:val="bottom"/>
            <w:hideMark/>
          </w:tcPr>
          <w:p w14:paraId="04D2E212" w14:textId="77777777" w:rsidR="007103FE" w:rsidRDefault="007103FE" w:rsidP="00EA678A">
            <w:pPr>
              <w:pStyle w:val="Tabletext"/>
              <w:rPr>
                <w:b/>
                <w:bCs/>
                <w:color w:val="FFFFFF" w:themeColor="background1"/>
              </w:rPr>
            </w:pPr>
            <w:r>
              <w:rPr>
                <w:b/>
                <w:bCs/>
                <w:color w:val="FFFFFF" w:themeColor="background1"/>
              </w:rPr>
              <w:t>UGT1A1*28</w:t>
            </w:r>
          </w:p>
          <w:p w14:paraId="293777D9" w14:textId="77777777" w:rsidR="007103FE" w:rsidRDefault="007103FE" w:rsidP="00EA678A">
            <w:pPr>
              <w:pStyle w:val="Tabletext"/>
              <w:rPr>
                <w:b/>
                <w:bCs/>
                <w:color w:val="FFFFFF" w:themeColor="background1"/>
              </w:rPr>
            </w:pPr>
            <w:r>
              <w:rPr>
                <w:b/>
                <w:bCs/>
                <w:color w:val="FFFFFF" w:themeColor="background1"/>
              </w:rPr>
              <w:t>homozygous</w:t>
            </w:r>
          </w:p>
          <w:p w14:paraId="4FFD9939" w14:textId="7F8B1DD6" w:rsidR="007103FE" w:rsidRDefault="007103FE" w:rsidP="00EA678A">
            <w:pPr>
              <w:pStyle w:val="Tabletext"/>
              <w:rPr>
                <w:b/>
                <w:bCs/>
                <w:color w:val="FFFFFF" w:themeColor="background1"/>
              </w:rPr>
            </w:pPr>
            <w:r>
              <w:rPr>
                <w:b/>
                <w:bCs/>
                <w:color w:val="FFFFFF" w:themeColor="background1"/>
              </w:rPr>
              <w:t>N</w:t>
            </w:r>
            <w:r w:rsidR="00D808B0">
              <w:rPr>
                <w:b/>
                <w:bCs/>
                <w:color w:val="FFFFFF" w:themeColor="background1"/>
              </w:rPr>
              <w:t xml:space="preserve"> </w:t>
            </w:r>
            <w:r>
              <w:rPr>
                <w:b/>
                <w:bCs/>
                <w:color w:val="FFFFFF" w:themeColor="background1"/>
              </w:rPr>
              <w:t>=</w:t>
            </w:r>
            <w:r w:rsidR="00D808B0">
              <w:rPr>
                <w:b/>
                <w:bCs/>
                <w:color w:val="FFFFFF" w:themeColor="background1"/>
              </w:rPr>
              <w:t xml:space="preserve"> </w:t>
            </w:r>
            <w:r>
              <w:rPr>
                <w:b/>
                <w:bCs/>
                <w:color w:val="FFFFFF" w:themeColor="background1"/>
              </w:rPr>
              <w:t>70</w:t>
            </w:r>
          </w:p>
        </w:tc>
        <w:tc>
          <w:tcPr>
            <w:tcW w:w="1985" w:type="dxa"/>
            <w:tcBorders>
              <w:top w:val="single" w:sz="4" w:space="0" w:color="000000"/>
              <w:left w:val="single" w:sz="4" w:space="0" w:color="000000"/>
              <w:bottom w:val="single" w:sz="4" w:space="0" w:color="000000"/>
              <w:right w:val="single" w:sz="4" w:space="0" w:color="auto"/>
            </w:tcBorders>
            <w:shd w:val="clear" w:color="auto" w:fill="006DA7" w:themeFill="accent3"/>
            <w:vAlign w:val="bottom"/>
            <w:hideMark/>
          </w:tcPr>
          <w:p w14:paraId="4EEBEDEE" w14:textId="77777777" w:rsidR="007103FE" w:rsidRDefault="007103FE" w:rsidP="00EA678A">
            <w:pPr>
              <w:pStyle w:val="Tabletext"/>
              <w:rPr>
                <w:b/>
                <w:bCs/>
                <w:color w:val="FFFFFF" w:themeColor="background1"/>
              </w:rPr>
            </w:pPr>
            <w:r>
              <w:rPr>
                <w:b/>
                <w:bCs/>
                <w:color w:val="FFFFFF" w:themeColor="background1"/>
              </w:rPr>
              <w:t>UGT1A1*28</w:t>
            </w:r>
          </w:p>
          <w:p w14:paraId="4C13B594" w14:textId="77777777" w:rsidR="007103FE" w:rsidRDefault="007103FE" w:rsidP="00EA678A">
            <w:pPr>
              <w:pStyle w:val="Tabletext"/>
              <w:rPr>
                <w:b/>
                <w:bCs/>
                <w:color w:val="FFFFFF" w:themeColor="background1"/>
              </w:rPr>
            </w:pPr>
            <w:r>
              <w:rPr>
                <w:b/>
                <w:bCs/>
                <w:color w:val="FFFFFF" w:themeColor="background1"/>
              </w:rPr>
              <w:t>heterozygous</w:t>
            </w:r>
          </w:p>
          <w:p w14:paraId="2B29BABF" w14:textId="275A006C" w:rsidR="007103FE" w:rsidRDefault="007103FE" w:rsidP="00EA678A">
            <w:pPr>
              <w:pStyle w:val="Tabletext"/>
              <w:rPr>
                <w:b/>
                <w:bCs/>
                <w:color w:val="FFFFFF" w:themeColor="background1"/>
              </w:rPr>
            </w:pPr>
            <w:r>
              <w:rPr>
                <w:b/>
                <w:bCs/>
                <w:color w:val="FFFFFF" w:themeColor="background1"/>
              </w:rPr>
              <w:t>N</w:t>
            </w:r>
            <w:r w:rsidR="00D808B0">
              <w:rPr>
                <w:b/>
                <w:bCs/>
                <w:color w:val="FFFFFF" w:themeColor="background1"/>
              </w:rPr>
              <w:t xml:space="preserve"> </w:t>
            </w:r>
            <w:r>
              <w:rPr>
                <w:b/>
                <w:bCs/>
                <w:color w:val="FFFFFF" w:themeColor="background1"/>
              </w:rPr>
              <w:t>=</w:t>
            </w:r>
            <w:r w:rsidR="00D808B0">
              <w:rPr>
                <w:b/>
                <w:bCs/>
                <w:color w:val="FFFFFF" w:themeColor="background1"/>
              </w:rPr>
              <w:t xml:space="preserve"> </w:t>
            </w:r>
            <w:r>
              <w:rPr>
                <w:b/>
                <w:bCs/>
                <w:color w:val="FFFFFF" w:themeColor="background1"/>
              </w:rPr>
              <w:t>246</w:t>
            </w:r>
          </w:p>
        </w:tc>
        <w:tc>
          <w:tcPr>
            <w:tcW w:w="1985" w:type="dxa"/>
            <w:tcBorders>
              <w:top w:val="single" w:sz="4" w:space="0" w:color="000000"/>
              <w:left w:val="single" w:sz="4" w:space="0" w:color="auto"/>
              <w:bottom w:val="single" w:sz="4" w:space="0" w:color="000000"/>
              <w:right w:val="single" w:sz="4" w:space="0" w:color="auto"/>
            </w:tcBorders>
            <w:shd w:val="clear" w:color="auto" w:fill="006DA7" w:themeFill="accent3"/>
            <w:vAlign w:val="bottom"/>
            <w:hideMark/>
          </w:tcPr>
          <w:p w14:paraId="7AEDEBE7" w14:textId="77777777" w:rsidR="007103FE" w:rsidRDefault="007103FE" w:rsidP="00EA678A">
            <w:pPr>
              <w:pStyle w:val="Tabletext"/>
              <w:rPr>
                <w:b/>
                <w:bCs/>
                <w:color w:val="FFFFFF" w:themeColor="background1"/>
              </w:rPr>
            </w:pPr>
            <w:r>
              <w:rPr>
                <w:b/>
                <w:bCs/>
                <w:color w:val="FFFFFF" w:themeColor="background1"/>
              </w:rPr>
              <w:t xml:space="preserve">UGT1A1 </w:t>
            </w:r>
            <w:proofErr w:type="gramStart"/>
            <w:r>
              <w:rPr>
                <w:b/>
                <w:bCs/>
                <w:color w:val="FFFFFF" w:themeColor="background1"/>
              </w:rPr>
              <w:t>wild-type</w:t>
            </w:r>
            <w:proofErr w:type="gramEnd"/>
          </w:p>
          <w:p w14:paraId="147FF7CE" w14:textId="77777777" w:rsidR="007103FE" w:rsidRDefault="007103FE" w:rsidP="00EA678A">
            <w:pPr>
              <w:pStyle w:val="Tabletext"/>
              <w:rPr>
                <w:b/>
                <w:bCs/>
                <w:color w:val="FFFFFF" w:themeColor="background1"/>
              </w:rPr>
            </w:pPr>
            <w:r>
              <w:rPr>
                <w:b/>
                <w:bCs/>
                <w:color w:val="FFFFFF" w:themeColor="background1"/>
              </w:rPr>
              <w:t>homozygous</w:t>
            </w:r>
          </w:p>
          <w:p w14:paraId="0C52491F" w14:textId="16BF4793" w:rsidR="007103FE" w:rsidRDefault="007103FE" w:rsidP="00EA678A">
            <w:pPr>
              <w:pStyle w:val="Tabletext"/>
              <w:rPr>
                <w:b/>
                <w:bCs/>
                <w:color w:val="FFFFFF" w:themeColor="background1"/>
              </w:rPr>
            </w:pPr>
            <w:r>
              <w:rPr>
                <w:b/>
                <w:bCs/>
                <w:color w:val="FFFFFF" w:themeColor="background1"/>
              </w:rPr>
              <w:t>N</w:t>
            </w:r>
            <w:r w:rsidR="00D808B0">
              <w:rPr>
                <w:b/>
                <w:bCs/>
                <w:color w:val="FFFFFF" w:themeColor="background1"/>
              </w:rPr>
              <w:t xml:space="preserve"> </w:t>
            </w:r>
            <w:r>
              <w:rPr>
                <w:b/>
                <w:bCs/>
                <w:color w:val="FFFFFF" w:themeColor="background1"/>
              </w:rPr>
              <w:t>=</w:t>
            </w:r>
            <w:r w:rsidR="00D808B0">
              <w:rPr>
                <w:b/>
                <w:bCs/>
                <w:color w:val="FFFFFF" w:themeColor="background1"/>
              </w:rPr>
              <w:t xml:space="preserve"> </w:t>
            </w:r>
            <w:r>
              <w:rPr>
                <w:b/>
                <w:bCs/>
                <w:color w:val="FFFFFF" w:themeColor="background1"/>
              </w:rPr>
              <w:t>261</w:t>
            </w:r>
          </w:p>
        </w:tc>
      </w:tr>
      <w:tr w:rsidR="007103FE" w14:paraId="3CB38C69" w14:textId="77777777" w:rsidTr="007103FE">
        <w:trPr>
          <w:trHeight w:val="20"/>
        </w:trPr>
        <w:tc>
          <w:tcPr>
            <w:tcW w:w="2977" w:type="dxa"/>
            <w:tcBorders>
              <w:top w:val="single" w:sz="4" w:space="0" w:color="000000"/>
              <w:left w:val="single" w:sz="4" w:space="0" w:color="000000"/>
              <w:bottom w:val="single" w:sz="4" w:space="0" w:color="000000"/>
              <w:right w:val="single" w:sz="4" w:space="0" w:color="auto"/>
            </w:tcBorders>
            <w:hideMark/>
          </w:tcPr>
          <w:p w14:paraId="64D026CF" w14:textId="70BB1AC0" w:rsidR="007103FE" w:rsidRDefault="007103FE">
            <w:pPr>
              <w:pStyle w:val="Tabletext"/>
            </w:pPr>
            <w:r>
              <w:t>Grade 3</w:t>
            </w:r>
            <w:r w:rsidR="008D3EF3">
              <w:t xml:space="preserve"> to</w:t>
            </w:r>
            <w:r>
              <w:t>4 neutropenia</w:t>
            </w:r>
          </w:p>
        </w:tc>
        <w:tc>
          <w:tcPr>
            <w:tcW w:w="1984" w:type="dxa"/>
            <w:tcBorders>
              <w:top w:val="single" w:sz="4" w:space="0" w:color="000000"/>
              <w:left w:val="single" w:sz="4" w:space="0" w:color="000000"/>
              <w:bottom w:val="single" w:sz="4" w:space="0" w:color="000000"/>
              <w:right w:val="single" w:sz="4" w:space="0" w:color="auto"/>
            </w:tcBorders>
            <w:hideMark/>
          </w:tcPr>
          <w:p w14:paraId="206DB2CF" w14:textId="54FE1EB3" w:rsidR="007103FE" w:rsidRDefault="00B12966" w:rsidP="00EA678A">
            <w:pPr>
              <w:pStyle w:val="Tabletext"/>
            </w:pPr>
            <w:r>
              <w:t>57</w:t>
            </w:r>
            <w:r w:rsidR="007103FE">
              <w:t>%</w:t>
            </w:r>
          </w:p>
        </w:tc>
        <w:tc>
          <w:tcPr>
            <w:tcW w:w="1985" w:type="dxa"/>
            <w:tcBorders>
              <w:top w:val="single" w:sz="4" w:space="0" w:color="000000"/>
              <w:left w:val="single" w:sz="4" w:space="0" w:color="000000"/>
              <w:bottom w:val="single" w:sz="4" w:space="0" w:color="000000"/>
              <w:right w:val="single" w:sz="4" w:space="0" w:color="auto"/>
            </w:tcBorders>
            <w:hideMark/>
          </w:tcPr>
          <w:p w14:paraId="2B718059" w14:textId="33ECA90C" w:rsidR="007103FE" w:rsidRDefault="00B12966" w:rsidP="00EA678A">
            <w:pPr>
              <w:pStyle w:val="Tabletext"/>
            </w:pPr>
            <w:r>
              <w:t>47</w:t>
            </w:r>
            <w:r w:rsidR="007103FE">
              <w:t>%</w:t>
            </w:r>
          </w:p>
        </w:tc>
        <w:tc>
          <w:tcPr>
            <w:tcW w:w="1985" w:type="dxa"/>
            <w:tcBorders>
              <w:top w:val="single" w:sz="4" w:space="0" w:color="000000"/>
              <w:left w:val="single" w:sz="4" w:space="0" w:color="auto"/>
              <w:bottom w:val="single" w:sz="4" w:space="0" w:color="000000"/>
              <w:right w:val="single" w:sz="4" w:space="0" w:color="auto"/>
            </w:tcBorders>
            <w:hideMark/>
          </w:tcPr>
          <w:p w14:paraId="3C55A54F" w14:textId="191DFA0B" w:rsidR="007103FE" w:rsidRDefault="00B12966" w:rsidP="00EA678A">
            <w:pPr>
              <w:pStyle w:val="Tabletext"/>
            </w:pPr>
            <w:r>
              <w:t>45</w:t>
            </w:r>
            <w:r w:rsidR="007103FE">
              <w:t>%</w:t>
            </w:r>
          </w:p>
        </w:tc>
      </w:tr>
      <w:tr w:rsidR="007103FE" w14:paraId="0F702626" w14:textId="77777777" w:rsidTr="007103FE">
        <w:trPr>
          <w:trHeight w:val="20"/>
        </w:trPr>
        <w:tc>
          <w:tcPr>
            <w:tcW w:w="2977" w:type="dxa"/>
            <w:tcBorders>
              <w:top w:val="single" w:sz="4" w:space="0" w:color="000000"/>
              <w:left w:val="single" w:sz="4" w:space="0" w:color="000000"/>
              <w:bottom w:val="single" w:sz="4" w:space="0" w:color="000000"/>
              <w:right w:val="single" w:sz="4" w:space="0" w:color="auto"/>
            </w:tcBorders>
            <w:hideMark/>
          </w:tcPr>
          <w:p w14:paraId="4F1E6146" w14:textId="2E0E32D1" w:rsidR="007103FE" w:rsidRDefault="007103FE">
            <w:pPr>
              <w:pStyle w:val="Tabletext"/>
            </w:pPr>
            <w:r>
              <w:t>Grade 3</w:t>
            </w:r>
            <w:r w:rsidR="008D3EF3">
              <w:t xml:space="preserve"> to</w:t>
            </w:r>
            <w:r>
              <w:t>4 anaemia</w:t>
            </w:r>
          </w:p>
        </w:tc>
        <w:tc>
          <w:tcPr>
            <w:tcW w:w="1984" w:type="dxa"/>
            <w:tcBorders>
              <w:top w:val="single" w:sz="4" w:space="0" w:color="000000"/>
              <w:left w:val="single" w:sz="4" w:space="0" w:color="000000"/>
              <w:bottom w:val="single" w:sz="4" w:space="0" w:color="000000"/>
              <w:right w:val="single" w:sz="4" w:space="0" w:color="auto"/>
            </w:tcBorders>
            <w:hideMark/>
          </w:tcPr>
          <w:p w14:paraId="5B869F0F" w14:textId="77777777" w:rsidR="007103FE" w:rsidRDefault="007103FE" w:rsidP="00EA678A">
            <w:pPr>
              <w:pStyle w:val="Tabletext"/>
            </w:pPr>
            <w:r>
              <w:t>24%</w:t>
            </w:r>
          </w:p>
        </w:tc>
        <w:tc>
          <w:tcPr>
            <w:tcW w:w="1985" w:type="dxa"/>
            <w:tcBorders>
              <w:top w:val="single" w:sz="4" w:space="0" w:color="000000"/>
              <w:left w:val="single" w:sz="4" w:space="0" w:color="000000"/>
              <w:bottom w:val="single" w:sz="4" w:space="0" w:color="000000"/>
              <w:right w:val="single" w:sz="4" w:space="0" w:color="auto"/>
            </w:tcBorders>
            <w:hideMark/>
          </w:tcPr>
          <w:p w14:paraId="5690DA1D" w14:textId="77777777" w:rsidR="007103FE" w:rsidRDefault="007103FE" w:rsidP="00EA678A">
            <w:pPr>
              <w:pStyle w:val="Tabletext"/>
            </w:pPr>
            <w:r>
              <w:t>8%</w:t>
            </w:r>
          </w:p>
        </w:tc>
        <w:tc>
          <w:tcPr>
            <w:tcW w:w="1985" w:type="dxa"/>
            <w:tcBorders>
              <w:top w:val="single" w:sz="4" w:space="0" w:color="000000"/>
              <w:left w:val="single" w:sz="4" w:space="0" w:color="auto"/>
              <w:bottom w:val="single" w:sz="4" w:space="0" w:color="000000"/>
              <w:right w:val="single" w:sz="4" w:space="0" w:color="auto"/>
            </w:tcBorders>
            <w:hideMark/>
          </w:tcPr>
          <w:p w14:paraId="0E0C784F" w14:textId="77777777" w:rsidR="007103FE" w:rsidRDefault="007103FE" w:rsidP="00EA678A">
            <w:pPr>
              <w:pStyle w:val="Tabletext"/>
            </w:pPr>
            <w:r>
              <w:t>10%</w:t>
            </w:r>
          </w:p>
        </w:tc>
      </w:tr>
    </w:tbl>
    <w:p w14:paraId="052DA078" w14:textId="53EEF50F" w:rsidR="00E13BA4" w:rsidRPr="00E13BA4" w:rsidRDefault="00E13BA4" w:rsidP="0006447B">
      <w:pPr>
        <w:pStyle w:val="Heading6"/>
      </w:pPr>
      <w:r>
        <w:t>Specific populations</w:t>
      </w:r>
    </w:p>
    <w:p w14:paraId="7D624A60" w14:textId="7C1BE91C" w:rsidR="00E13BA4" w:rsidRDefault="00E13BA4" w:rsidP="00E13BA4">
      <w:r>
        <w:t xml:space="preserve">Pharmacokinetic analyses in patients treated with </w:t>
      </w:r>
      <w:proofErr w:type="spellStart"/>
      <w:r w:rsidR="00B70F65">
        <w:t>sacituzumab</w:t>
      </w:r>
      <w:proofErr w:type="spellEnd"/>
      <w:r w:rsidR="00B70F65">
        <w:t xml:space="preserve"> </w:t>
      </w:r>
      <w:proofErr w:type="spellStart"/>
      <w:r w:rsidR="00B70F65">
        <w:t>govitecan</w:t>
      </w:r>
      <w:proofErr w:type="spellEnd"/>
      <w:r w:rsidR="00B70F65">
        <w:t xml:space="preserve"> </w:t>
      </w:r>
      <w:r>
        <w:t>(n</w:t>
      </w:r>
      <w:r w:rsidR="00D808B0">
        <w:t xml:space="preserve"> </w:t>
      </w:r>
      <w:r>
        <w:t>=</w:t>
      </w:r>
      <w:r w:rsidR="00D808B0">
        <w:t xml:space="preserve"> </w:t>
      </w:r>
      <w:r>
        <w:t xml:space="preserve">527) did not identify an effect of age, race, or mild renal impairment on the pharmacokinetics of </w:t>
      </w:r>
      <w:proofErr w:type="spellStart"/>
      <w:r w:rsidR="00B70F65">
        <w:t>sacituzumab</w:t>
      </w:r>
      <w:proofErr w:type="spellEnd"/>
      <w:r w:rsidR="00B70F65">
        <w:t xml:space="preserve"> </w:t>
      </w:r>
      <w:proofErr w:type="spellStart"/>
      <w:r w:rsidR="00B70F65">
        <w:t>govitecan</w:t>
      </w:r>
      <w:proofErr w:type="spellEnd"/>
      <w:r>
        <w:t xml:space="preserve">. Renal elimination is known to contribute minimally to the excretion of SN-38. No data are currently available on the pharmacokinetics of </w:t>
      </w:r>
      <w:proofErr w:type="spellStart"/>
      <w:r w:rsidR="00B70F65">
        <w:t>sacituzumab</w:t>
      </w:r>
      <w:proofErr w:type="spellEnd"/>
      <w:r w:rsidR="00B70F65">
        <w:t xml:space="preserve"> </w:t>
      </w:r>
      <w:proofErr w:type="spellStart"/>
      <w:r w:rsidR="00B70F65">
        <w:t>govitecan</w:t>
      </w:r>
      <w:proofErr w:type="spellEnd"/>
      <w:r>
        <w:t xml:space="preserve"> in patients with moderate renal impairment or end-stage renal disease (</w:t>
      </w:r>
      <w:r w:rsidR="00D20559">
        <w:t>creatin</w:t>
      </w:r>
      <w:r w:rsidR="00F96002">
        <w:t>in</w:t>
      </w:r>
      <w:r w:rsidR="00D20559">
        <w:t>e clearance (</w:t>
      </w:r>
      <w:proofErr w:type="spellStart"/>
      <w:r>
        <w:t>CLcr</w:t>
      </w:r>
      <w:proofErr w:type="spellEnd"/>
      <w:r w:rsidR="00D20559">
        <w:t>)</w:t>
      </w:r>
      <w:r>
        <w:t xml:space="preserve"> ≤</w:t>
      </w:r>
      <w:r w:rsidR="005C55D8">
        <w:t xml:space="preserve"> </w:t>
      </w:r>
      <w:r>
        <w:t>30 mL/min).</w:t>
      </w:r>
    </w:p>
    <w:p w14:paraId="7B56F636" w14:textId="5F7C293A" w:rsidR="007103FE" w:rsidRDefault="00E13BA4" w:rsidP="00E13BA4">
      <w:r>
        <w:t xml:space="preserve">The exposure of </w:t>
      </w:r>
      <w:proofErr w:type="spellStart"/>
      <w:r w:rsidR="00B70F65">
        <w:t>sacituzumab</w:t>
      </w:r>
      <w:proofErr w:type="spellEnd"/>
      <w:r w:rsidR="00B70F65">
        <w:t xml:space="preserve"> </w:t>
      </w:r>
      <w:proofErr w:type="spellStart"/>
      <w:proofErr w:type="gramStart"/>
      <w:r w:rsidR="00B70F65">
        <w:t>govitecan</w:t>
      </w:r>
      <w:proofErr w:type="spellEnd"/>
      <w:r w:rsidR="00B70F65">
        <w:t xml:space="preserve"> </w:t>
      </w:r>
      <w:r>
        <w:t xml:space="preserve"> is</w:t>
      </w:r>
      <w:proofErr w:type="gramEnd"/>
      <w:r>
        <w:t xml:space="preserve"> similar in patients with mild hepatic impairment (bilirubin ≤</w:t>
      </w:r>
      <w:r w:rsidR="005C55D8">
        <w:t xml:space="preserve"> </w:t>
      </w:r>
      <w:r w:rsidR="00D20559">
        <w:t xml:space="preserve">upper limit of normal </w:t>
      </w:r>
      <w:r w:rsidR="00CB3259">
        <w:t>(</w:t>
      </w:r>
      <w:r>
        <w:t>ULN</w:t>
      </w:r>
      <w:r w:rsidR="00CB3259">
        <w:t>)</w:t>
      </w:r>
      <w:r>
        <w:t xml:space="preserve"> and </w:t>
      </w:r>
      <w:r w:rsidR="00CB3259" w:rsidRPr="004331D6">
        <w:t>aspartate aminotransferase</w:t>
      </w:r>
      <w:r w:rsidR="00CB3259">
        <w:rPr>
          <w:rFonts w:ascii="Arial" w:hAnsi="Arial" w:cs="Arial"/>
          <w:color w:val="4D5156"/>
          <w:sz w:val="21"/>
          <w:szCs w:val="21"/>
          <w:shd w:val="clear" w:color="auto" w:fill="FFFFFF"/>
        </w:rPr>
        <w:t xml:space="preserve"> (</w:t>
      </w:r>
      <w:r>
        <w:t>AST</w:t>
      </w:r>
      <w:r w:rsidR="00CB3259">
        <w:t>)</w:t>
      </w:r>
      <w:r>
        <w:t xml:space="preserve"> &gt;</w:t>
      </w:r>
      <w:r w:rsidR="005C55D8">
        <w:t xml:space="preserve"> </w:t>
      </w:r>
      <w:r>
        <w:t>ULN, or bilirubin &gt;</w:t>
      </w:r>
      <w:r w:rsidR="005C55D8">
        <w:t xml:space="preserve"> </w:t>
      </w:r>
      <w:r>
        <w:t>1.0 to &lt;1.5 ULN and AST of any level; n</w:t>
      </w:r>
      <w:r w:rsidR="00D808B0">
        <w:t xml:space="preserve"> </w:t>
      </w:r>
      <w:r>
        <w:t>=</w:t>
      </w:r>
      <w:r w:rsidR="00D808B0">
        <w:t xml:space="preserve"> </w:t>
      </w:r>
      <w:r>
        <w:t>59) to patients with normal hepatic function (bilirubin or AST &lt;</w:t>
      </w:r>
      <w:r w:rsidR="005C55D8">
        <w:t xml:space="preserve"> </w:t>
      </w:r>
      <w:r>
        <w:t>ULN; n</w:t>
      </w:r>
      <w:r w:rsidR="00D808B0">
        <w:t xml:space="preserve"> </w:t>
      </w:r>
      <w:r>
        <w:t>=</w:t>
      </w:r>
      <w:r w:rsidR="00D808B0">
        <w:t xml:space="preserve"> </w:t>
      </w:r>
      <w:r>
        <w:t xml:space="preserve">191). </w:t>
      </w:r>
      <w:r w:rsidR="00B70F65">
        <w:t xml:space="preserve">Sacituzumab </w:t>
      </w:r>
      <w:proofErr w:type="spellStart"/>
      <w:r w:rsidR="00B70F65">
        <w:t>govitecan</w:t>
      </w:r>
      <w:proofErr w:type="spellEnd"/>
      <w:r>
        <w:t xml:space="preserve"> exposure is unknown in patients with moderate or severe hepatic impairment. SN-38 exposure may be elevated in such patients due to decreased hepatic UGT1A1 activity.</w:t>
      </w:r>
    </w:p>
    <w:p w14:paraId="75F50F29" w14:textId="394680C5" w:rsidR="00E13BA4" w:rsidRDefault="00E13BA4" w:rsidP="0006447B">
      <w:pPr>
        <w:pStyle w:val="Heading6"/>
      </w:pPr>
      <w:r>
        <w:t>Drug interaction studies</w:t>
      </w:r>
    </w:p>
    <w:p w14:paraId="4387B2F0" w14:textId="60C6D237" w:rsidR="00E13BA4" w:rsidRDefault="00E13BA4" w:rsidP="00E13BA4">
      <w:r>
        <w:t xml:space="preserve">No clinical drug-drug interaction studies were conducted with </w:t>
      </w:r>
      <w:proofErr w:type="spellStart"/>
      <w:r>
        <w:t>sacituzumab</w:t>
      </w:r>
      <w:proofErr w:type="spellEnd"/>
      <w:r>
        <w:t xml:space="preserve"> </w:t>
      </w:r>
      <w:proofErr w:type="spellStart"/>
      <w:r>
        <w:t>govitecan</w:t>
      </w:r>
      <w:proofErr w:type="spellEnd"/>
      <w:r>
        <w:t xml:space="preserve"> or its components. Inhibitors or inducers of UGT1A1 are expected to increase or decrease SN-38 exposure, respectively.</w:t>
      </w:r>
    </w:p>
    <w:p w14:paraId="7262AE94" w14:textId="467B8137" w:rsidR="00E13BA4" w:rsidRDefault="00E13BA4" w:rsidP="00E13BA4">
      <w:pPr>
        <w:pStyle w:val="Heading5"/>
      </w:pPr>
      <w:r>
        <w:t>Cardiac electrophysiology</w:t>
      </w:r>
    </w:p>
    <w:p w14:paraId="4ED05D26" w14:textId="6F45726D" w:rsidR="00E13BA4" w:rsidRDefault="00E13BA4" w:rsidP="00E13BA4">
      <w:r>
        <w:t xml:space="preserve">The sponsor submitted the results from a </w:t>
      </w:r>
      <w:r w:rsidR="00CB3259">
        <w:t>pharmacokinetic electrocardiogram (</w:t>
      </w:r>
      <w:r>
        <w:t>ECG</w:t>
      </w:r>
      <w:r w:rsidR="00CB3259">
        <w:t>)</w:t>
      </w:r>
      <w:r>
        <w:t xml:space="preserve"> </w:t>
      </w:r>
      <w:proofErr w:type="spellStart"/>
      <w:r>
        <w:t>substudy</w:t>
      </w:r>
      <w:proofErr w:type="spellEnd"/>
      <w:r>
        <w:t xml:space="preserve"> of 29 patients from the </w:t>
      </w:r>
      <w:proofErr w:type="spellStart"/>
      <w:r w:rsidR="002F0A57">
        <w:t>sacituzumab</w:t>
      </w:r>
      <w:proofErr w:type="spellEnd"/>
      <w:r w:rsidR="002F0A57">
        <w:t xml:space="preserve"> </w:t>
      </w:r>
      <w:proofErr w:type="spellStart"/>
      <w:r w:rsidR="002F0A57">
        <w:t>govitecan</w:t>
      </w:r>
      <w:proofErr w:type="spellEnd"/>
      <w:r>
        <w:t xml:space="preserve"> group in </w:t>
      </w:r>
      <w:r w:rsidR="00180BBE">
        <w:t xml:space="preserve">Study </w:t>
      </w:r>
      <w:r>
        <w:t>IMMU-132-05 (</w:t>
      </w:r>
      <w:r w:rsidR="002F0A57">
        <w:t xml:space="preserve">the </w:t>
      </w:r>
      <w:r>
        <w:t>ASCENT</w:t>
      </w:r>
      <w:r w:rsidR="004845EB">
        <w:t xml:space="preserve"> trial</w:t>
      </w:r>
      <w:r>
        <w:t xml:space="preserve">) to assess the effects of </w:t>
      </w:r>
      <w:proofErr w:type="spellStart"/>
      <w:r w:rsidR="002F0A57">
        <w:t>sacituzumab</w:t>
      </w:r>
      <w:proofErr w:type="spellEnd"/>
      <w:r w:rsidR="002F0A57">
        <w:t xml:space="preserve"> </w:t>
      </w:r>
      <w:proofErr w:type="spellStart"/>
      <w:r w:rsidR="002F0A57">
        <w:t>govitecan</w:t>
      </w:r>
      <w:proofErr w:type="spellEnd"/>
      <w:r w:rsidR="002F0A57">
        <w:t xml:space="preserve"> </w:t>
      </w:r>
      <w:r>
        <w:t xml:space="preserve">on cardiac repolarisation (measured by corrected QT </w:t>
      </w:r>
      <w:r w:rsidR="002F0A57">
        <w:t>(</w:t>
      </w:r>
      <w:r>
        <w:t>QTc</w:t>
      </w:r>
      <w:r w:rsidR="002F0A57">
        <w:t>)</w:t>
      </w:r>
      <w:r>
        <w:t xml:space="preserve"> interval).</w:t>
      </w:r>
      <w:r w:rsidR="001C79C9">
        <w:rPr>
          <w:rStyle w:val="FootnoteReference"/>
        </w:rPr>
        <w:footnoteReference w:id="10"/>
      </w:r>
      <w:r>
        <w:t xml:space="preserve"> Results are summarised in </w:t>
      </w:r>
      <w:r>
        <w:fldChar w:fldCharType="begin"/>
      </w:r>
      <w:r>
        <w:instrText xml:space="preserve"> REF _Ref90382422 \h </w:instrText>
      </w:r>
      <w:r>
        <w:fldChar w:fldCharType="separate"/>
      </w:r>
      <w:r>
        <w:t xml:space="preserve">Figure </w:t>
      </w:r>
      <w:r>
        <w:rPr>
          <w:noProof/>
        </w:rPr>
        <w:t>4</w:t>
      </w:r>
      <w:r>
        <w:fldChar w:fldCharType="end"/>
      </w:r>
      <w:r>
        <w:t>. The by</w:t>
      </w:r>
      <w:r w:rsidR="002F0A57">
        <w:noBreakHyphen/>
      </w:r>
      <w:r>
        <w:t>time analysis showed a mean change of 9.2</w:t>
      </w:r>
      <w:r w:rsidR="00CB3259">
        <w:t xml:space="preserve"> </w:t>
      </w:r>
      <w:proofErr w:type="spellStart"/>
      <w:r w:rsidR="00CB3259">
        <w:t>ms</w:t>
      </w:r>
      <w:proofErr w:type="spellEnd"/>
      <w:r w:rsidR="00CB3259">
        <w:t xml:space="preserve"> </w:t>
      </w:r>
      <w:r>
        <w:t xml:space="preserve">(90% </w:t>
      </w:r>
      <w:r w:rsidR="00CB3259">
        <w:t>confidence interval (</w:t>
      </w:r>
      <w:r>
        <w:t>CI</w:t>
      </w:r>
      <w:r w:rsidR="00CB3259">
        <w:t>)</w:t>
      </w:r>
      <w:r>
        <w:t xml:space="preserve">: 2.7, 16.8) at </w:t>
      </w:r>
      <w:r w:rsidR="00CB3259">
        <w:t>C</w:t>
      </w:r>
      <w:r>
        <w:t xml:space="preserve">ycle-2, </w:t>
      </w:r>
      <w:r w:rsidR="00CB3259">
        <w:t>D</w:t>
      </w:r>
      <w:r>
        <w:t>ay-1, 0.5 hours after the end of the infusion. A statistically significant, linear association was demonstrated between SN-38 concentration and QTc, although numbers were small.</w:t>
      </w:r>
    </w:p>
    <w:p w14:paraId="2A925E89" w14:textId="512139D4" w:rsidR="00E13BA4" w:rsidRDefault="00E13BA4" w:rsidP="00E13BA4">
      <w:r>
        <w:t xml:space="preserve">Two of the 29 patients had a </w:t>
      </w:r>
      <w:proofErr w:type="spellStart"/>
      <w:r>
        <w:t>QTcF</w:t>
      </w:r>
      <w:proofErr w:type="spellEnd"/>
      <w:r>
        <w:t xml:space="preserve"> &gt; 500 </w:t>
      </w:r>
      <w:proofErr w:type="spellStart"/>
      <w:r>
        <w:t>ms</w:t>
      </w:r>
      <w:proofErr w:type="spellEnd"/>
      <w:r>
        <w:t xml:space="preserve">, with a change from baseline &gt; 60 </w:t>
      </w:r>
      <w:proofErr w:type="spellStart"/>
      <w:r>
        <w:t>m</w:t>
      </w:r>
      <w:r w:rsidR="00BC4453">
        <w:t>s</w:t>
      </w:r>
      <w:proofErr w:type="spellEnd"/>
      <w:r>
        <w:t>.</w:t>
      </w:r>
      <w:r w:rsidR="001C79C9">
        <w:rPr>
          <w:rStyle w:val="FootnoteReference"/>
        </w:rPr>
        <w:footnoteReference w:id="11"/>
      </w:r>
    </w:p>
    <w:p w14:paraId="4C417E8B" w14:textId="2313D848" w:rsidR="00E13BA4" w:rsidRDefault="00E13BA4" w:rsidP="00E13BA4">
      <w:r>
        <w:t xml:space="preserve">QT prolongation was also assessed more broadly across the ASCENT </w:t>
      </w:r>
      <w:r w:rsidR="004801B3">
        <w:t>trial</w:t>
      </w:r>
      <w:r>
        <w:t xml:space="preserve"> (Study</w:t>
      </w:r>
      <w:r w:rsidR="002F0A57">
        <w:t> </w:t>
      </w:r>
      <w:r>
        <w:t>IMMU</w:t>
      </w:r>
      <w:r w:rsidR="002F0A57">
        <w:noBreakHyphen/>
      </w:r>
      <w:r>
        <w:t xml:space="preserve">132-05) and an earlier basket </w:t>
      </w:r>
      <w:r w:rsidR="00CB3259">
        <w:t>P</w:t>
      </w:r>
      <w:r>
        <w:t>hase I/II study (Study IMMU-132-01) that enrolled a broad range of patients with epithelial cancers. Rates of prolongation in the two arms of ASCENT</w:t>
      </w:r>
      <w:r w:rsidR="004845EB">
        <w:t xml:space="preserve"> trial</w:t>
      </w:r>
      <w:r>
        <w:t xml:space="preserve"> were compared, alongside rates in the </w:t>
      </w:r>
      <w:r w:rsidR="004801B3">
        <w:t>‘</w:t>
      </w:r>
      <w:r>
        <w:t>Overall Target TNBC</w:t>
      </w:r>
      <w:r w:rsidR="004801B3">
        <w:t>’</w:t>
      </w:r>
      <w:r>
        <w:t xml:space="preserve"> population (all patients with TNBC who received 10 mg/kg </w:t>
      </w:r>
      <w:proofErr w:type="spellStart"/>
      <w:r w:rsidR="002F0A57">
        <w:t>sacituzumab</w:t>
      </w:r>
      <w:proofErr w:type="spellEnd"/>
      <w:r w:rsidR="002F0A57">
        <w:t xml:space="preserve"> </w:t>
      </w:r>
      <w:proofErr w:type="spellStart"/>
      <w:r w:rsidR="002F0A57">
        <w:t>govitecan</w:t>
      </w:r>
      <w:proofErr w:type="spellEnd"/>
      <w:r w:rsidR="002F0A57">
        <w:t xml:space="preserve"> </w:t>
      </w:r>
      <w:r>
        <w:t xml:space="preserve">across the two studies) and the </w:t>
      </w:r>
      <w:r w:rsidR="005C55D8">
        <w:t>‘</w:t>
      </w:r>
      <w:r>
        <w:t xml:space="preserve">All Treated </w:t>
      </w:r>
      <w:proofErr w:type="spellStart"/>
      <w:r w:rsidR="002F0A57">
        <w:t>sacituzumab</w:t>
      </w:r>
      <w:proofErr w:type="spellEnd"/>
      <w:r w:rsidR="002F0A57">
        <w:t xml:space="preserve"> </w:t>
      </w:r>
      <w:proofErr w:type="spellStart"/>
      <w:r w:rsidR="002F0A57">
        <w:t>govitecan</w:t>
      </w:r>
      <w:proofErr w:type="spellEnd"/>
      <w:r w:rsidR="002F0A57">
        <w:t xml:space="preserve"> </w:t>
      </w:r>
      <w:r>
        <w:t>(10 mg/kg)</w:t>
      </w:r>
      <w:r w:rsidR="005C55D8">
        <w:t>’</w:t>
      </w:r>
      <w:r>
        <w:t xml:space="preserve"> population (all </w:t>
      </w:r>
      <w:r>
        <w:lastRenderedPageBreak/>
        <w:t xml:space="preserve">patients treated with an </w:t>
      </w:r>
      <w:proofErr w:type="spellStart"/>
      <w:r w:rsidR="002F0A57">
        <w:t>sacituzumab</w:t>
      </w:r>
      <w:proofErr w:type="spellEnd"/>
      <w:r w:rsidR="002F0A57">
        <w:t xml:space="preserve"> </w:t>
      </w:r>
      <w:proofErr w:type="spellStart"/>
      <w:r w:rsidR="002F0A57">
        <w:t>govitecan</w:t>
      </w:r>
      <w:proofErr w:type="spellEnd"/>
      <w:r w:rsidR="002F0A57">
        <w:t xml:space="preserve"> </w:t>
      </w:r>
      <w:r>
        <w:t>starting dose of 10 mg/</w:t>
      </w:r>
      <w:proofErr w:type="gramStart"/>
      <w:r>
        <w:t>kg  across</w:t>
      </w:r>
      <w:proofErr w:type="gramEnd"/>
      <w:r>
        <w:t xml:space="preserve"> the two studies). The data are summarised in </w:t>
      </w:r>
      <w:r w:rsidR="00787F08">
        <w:fldChar w:fldCharType="begin"/>
      </w:r>
      <w:r w:rsidR="00787F08">
        <w:instrText xml:space="preserve"> REF _Ref90382560 \h </w:instrText>
      </w:r>
      <w:r w:rsidR="00787F08">
        <w:fldChar w:fldCharType="separate"/>
      </w:r>
      <w:r w:rsidR="00787F08">
        <w:t xml:space="preserve">Table </w:t>
      </w:r>
      <w:r w:rsidR="00787F08">
        <w:rPr>
          <w:noProof/>
        </w:rPr>
        <w:t>5</w:t>
      </w:r>
      <w:r w:rsidR="00787F08">
        <w:fldChar w:fldCharType="end"/>
      </w:r>
      <w:r w:rsidR="00CB3259">
        <w:t>.</w:t>
      </w:r>
    </w:p>
    <w:p w14:paraId="07A06CFF" w14:textId="59A48C62" w:rsidR="00E13BA4" w:rsidRDefault="00E13BA4" w:rsidP="00E13BA4">
      <w:r>
        <w:t xml:space="preserve">244 patients in the </w:t>
      </w:r>
      <w:proofErr w:type="spellStart"/>
      <w:r w:rsidR="00CB6D6B">
        <w:t>sacituzumab</w:t>
      </w:r>
      <w:proofErr w:type="spellEnd"/>
      <w:r w:rsidR="00CB6D6B">
        <w:t xml:space="preserve"> </w:t>
      </w:r>
      <w:proofErr w:type="spellStart"/>
      <w:proofErr w:type="gramStart"/>
      <w:r w:rsidR="00CB6D6B">
        <w:t>govitecan</w:t>
      </w:r>
      <w:proofErr w:type="spellEnd"/>
      <w:r w:rsidR="00CB6D6B">
        <w:t xml:space="preserve"> </w:t>
      </w:r>
      <w:r>
        <w:t xml:space="preserve"> arm</w:t>
      </w:r>
      <w:proofErr w:type="gramEnd"/>
      <w:r>
        <w:t xml:space="preserve"> and 190 patients in the TPC arm of ASCENT</w:t>
      </w:r>
      <w:r w:rsidR="004845EB">
        <w:t xml:space="preserve"> trial</w:t>
      </w:r>
      <w:r>
        <w:t xml:space="preserve"> had a baseline ECG and at least one follow-up ECG. </w:t>
      </w:r>
      <w:proofErr w:type="spellStart"/>
      <w:r>
        <w:t>QTcF</w:t>
      </w:r>
      <w:proofErr w:type="spellEnd"/>
      <w:r>
        <w:t xml:space="preserve"> and QTcB </w:t>
      </w:r>
      <w:r w:rsidR="00CB6D6B">
        <w:t xml:space="preserve">(QT interval corrected by </w:t>
      </w:r>
      <w:proofErr w:type="spellStart"/>
      <w:r w:rsidR="00CB6D6B">
        <w:t>Bazett’s</w:t>
      </w:r>
      <w:proofErr w:type="spellEnd"/>
      <w:r w:rsidR="00CB6D6B">
        <w:t xml:space="preserve"> formula) </w:t>
      </w:r>
      <w:r>
        <w:t xml:space="preserve">changes from </w:t>
      </w:r>
      <w:r w:rsidR="004801B3">
        <w:t>B</w:t>
      </w:r>
      <w:r>
        <w:t>aseline of &gt; 60</w:t>
      </w:r>
      <w:r w:rsidR="00CB3259">
        <w:t xml:space="preserve"> </w:t>
      </w:r>
      <w:proofErr w:type="spellStart"/>
      <w:r w:rsidR="00CB3259">
        <w:t>ms</w:t>
      </w:r>
      <w:proofErr w:type="spellEnd"/>
      <w:r w:rsidR="00CB3259">
        <w:t xml:space="preserve"> </w:t>
      </w:r>
      <w:r>
        <w:t xml:space="preserve">were more frequent in the </w:t>
      </w:r>
      <w:proofErr w:type="spellStart"/>
      <w:r w:rsidR="00CB6D6B">
        <w:t>sacituzumab</w:t>
      </w:r>
      <w:proofErr w:type="spellEnd"/>
      <w:r w:rsidR="00CB6D6B">
        <w:t xml:space="preserve"> </w:t>
      </w:r>
      <w:proofErr w:type="spellStart"/>
      <w:proofErr w:type="gramStart"/>
      <w:r w:rsidR="00CB6D6B">
        <w:t>govitecan</w:t>
      </w:r>
      <w:proofErr w:type="spellEnd"/>
      <w:r w:rsidR="00CB6D6B">
        <w:t xml:space="preserve"> </w:t>
      </w:r>
      <w:r>
        <w:t xml:space="preserve"> arm</w:t>
      </w:r>
      <w:proofErr w:type="gramEnd"/>
      <w:r>
        <w:t xml:space="preserve"> than the TPC arm:</w:t>
      </w:r>
    </w:p>
    <w:p w14:paraId="30822597" w14:textId="5BC33491" w:rsidR="00E13BA4" w:rsidRDefault="00E13BA4" w:rsidP="00E13BA4">
      <w:pPr>
        <w:pStyle w:val="ListBullet"/>
      </w:pPr>
      <w:proofErr w:type="spellStart"/>
      <w:r>
        <w:t>QTcF</w:t>
      </w:r>
      <w:proofErr w:type="spellEnd"/>
      <w:r>
        <w:t xml:space="preserve"> &gt; 500 </w:t>
      </w:r>
      <w:proofErr w:type="spellStart"/>
      <w:r>
        <w:t>ms</w:t>
      </w:r>
      <w:proofErr w:type="spellEnd"/>
      <w:r>
        <w:t xml:space="preserve">: </w:t>
      </w:r>
      <w:proofErr w:type="spellStart"/>
      <w:r w:rsidR="00CB6D6B">
        <w:t>sacituzumab</w:t>
      </w:r>
      <w:proofErr w:type="spellEnd"/>
      <w:r w:rsidR="00CB6D6B">
        <w:t xml:space="preserve"> </w:t>
      </w:r>
      <w:proofErr w:type="spellStart"/>
      <w:r w:rsidR="00CB6D6B">
        <w:t>govitecan</w:t>
      </w:r>
      <w:proofErr w:type="spellEnd"/>
      <w:r>
        <w:t xml:space="preserve"> n</w:t>
      </w:r>
      <w:r w:rsidR="00D808B0">
        <w:t xml:space="preserve"> </w:t>
      </w:r>
      <w:r>
        <w:t>= 2 (0.8%), TPC n</w:t>
      </w:r>
      <w:r w:rsidR="00D808B0">
        <w:t xml:space="preserve"> </w:t>
      </w:r>
      <w:r>
        <w:t>=</w:t>
      </w:r>
      <w:r w:rsidR="00D808B0">
        <w:t xml:space="preserve"> </w:t>
      </w:r>
      <w:r>
        <w:t>1 (0.4%)</w:t>
      </w:r>
    </w:p>
    <w:p w14:paraId="0BE8D91E" w14:textId="10559A59" w:rsidR="00E13BA4" w:rsidRDefault="00E13BA4" w:rsidP="00E13BA4">
      <w:pPr>
        <w:pStyle w:val="ListBullet"/>
      </w:pPr>
      <w:proofErr w:type="spellStart"/>
      <w:r>
        <w:t>QTcF</w:t>
      </w:r>
      <w:proofErr w:type="spellEnd"/>
      <w:r>
        <w:t xml:space="preserve"> change from </w:t>
      </w:r>
      <w:r w:rsidR="004801B3">
        <w:t>B</w:t>
      </w:r>
      <w:r>
        <w:t xml:space="preserve">aseline &gt; 60 </w:t>
      </w:r>
      <w:proofErr w:type="spellStart"/>
      <w:r>
        <w:t>ms</w:t>
      </w:r>
      <w:proofErr w:type="spellEnd"/>
      <w:r>
        <w:t xml:space="preserve">: </w:t>
      </w:r>
      <w:proofErr w:type="spellStart"/>
      <w:r w:rsidR="00CB6D6B">
        <w:t>sacituzumab</w:t>
      </w:r>
      <w:proofErr w:type="spellEnd"/>
      <w:r w:rsidR="00CB6D6B">
        <w:t xml:space="preserve"> </w:t>
      </w:r>
      <w:proofErr w:type="spellStart"/>
      <w:r w:rsidR="00CB6D6B">
        <w:t>govitecan</w:t>
      </w:r>
      <w:proofErr w:type="spellEnd"/>
      <w:r>
        <w:t xml:space="preserve"> n</w:t>
      </w:r>
      <w:r w:rsidR="00D808B0">
        <w:t xml:space="preserve"> </w:t>
      </w:r>
      <w:r>
        <w:t>=</w:t>
      </w:r>
      <w:r w:rsidR="00D808B0">
        <w:t xml:space="preserve"> </w:t>
      </w:r>
      <w:r>
        <w:t>11 (4.3%), TPC n</w:t>
      </w:r>
      <w:r w:rsidR="00D808B0">
        <w:t xml:space="preserve"> </w:t>
      </w:r>
      <w:r>
        <w:t>=</w:t>
      </w:r>
      <w:r w:rsidR="00D808B0">
        <w:t xml:space="preserve"> </w:t>
      </w:r>
      <w:r>
        <w:t>4 (1.8%)</w:t>
      </w:r>
      <w:r w:rsidR="00CB6D6B">
        <w:t>.</w:t>
      </w:r>
    </w:p>
    <w:p w14:paraId="7EDDFD68" w14:textId="409F1AAD" w:rsidR="00E13BA4" w:rsidRDefault="00E13BA4" w:rsidP="00E13BA4">
      <w:r>
        <w:t xml:space="preserve">The sponsor stated that there was no difference between the </w:t>
      </w:r>
      <w:proofErr w:type="spellStart"/>
      <w:r w:rsidR="00CB6D6B">
        <w:t>sacituzumab</w:t>
      </w:r>
      <w:proofErr w:type="spellEnd"/>
      <w:r w:rsidR="00CB6D6B">
        <w:t xml:space="preserve"> </w:t>
      </w:r>
      <w:proofErr w:type="spellStart"/>
      <w:r w:rsidR="00CB6D6B">
        <w:t>govitecan</w:t>
      </w:r>
      <w:proofErr w:type="spellEnd"/>
      <w:r>
        <w:t xml:space="preserve"> and TPC groups in the percentage of patients with reported </w:t>
      </w:r>
      <w:r w:rsidR="00CB3259">
        <w:t>adverse events (</w:t>
      </w:r>
      <w:r>
        <w:t>AEs</w:t>
      </w:r>
      <w:r w:rsidR="00CB3259">
        <w:t>)</w:t>
      </w:r>
      <w:r>
        <w:t xml:space="preserve"> of tachycardia or arrhythmia (4.3% v</w:t>
      </w:r>
      <w:r w:rsidR="005C55D8">
        <w:t>e</w:t>
      </w:r>
      <w:r w:rsidR="00CB3259">
        <w:t>rsu</w:t>
      </w:r>
      <w:r>
        <w:t xml:space="preserve">s 3.5%). The sponsor further stated that all patients with a </w:t>
      </w:r>
      <w:proofErr w:type="spellStart"/>
      <w:r>
        <w:t>QTcF</w:t>
      </w:r>
      <w:proofErr w:type="spellEnd"/>
      <w:r>
        <w:t xml:space="preserve"> &gt;</w:t>
      </w:r>
      <w:r w:rsidR="005C55D8">
        <w:t xml:space="preserve"> </w:t>
      </w:r>
      <w:r>
        <w:t>500</w:t>
      </w:r>
      <w:r w:rsidR="00CB3259">
        <w:t xml:space="preserve"> </w:t>
      </w:r>
      <w:proofErr w:type="spellStart"/>
      <w:r w:rsidR="00CB3259">
        <w:t>ms</w:t>
      </w:r>
      <w:proofErr w:type="spellEnd"/>
      <w:r w:rsidR="00CB3259">
        <w:t xml:space="preserve"> </w:t>
      </w:r>
      <w:r>
        <w:t xml:space="preserve">and/or </w:t>
      </w:r>
      <w:proofErr w:type="spellStart"/>
      <w:r>
        <w:t>QTcF</w:t>
      </w:r>
      <w:proofErr w:type="spellEnd"/>
      <w:r>
        <w:t xml:space="preserve"> change &gt;</w:t>
      </w:r>
      <w:r w:rsidR="005C55D8">
        <w:t xml:space="preserve"> </w:t>
      </w:r>
      <w:r>
        <w:t>60</w:t>
      </w:r>
      <w:r w:rsidR="00CB3259">
        <w:t xml:space="preserve"> </w:t>
      </w:r>
      <w:proofErr w:type="spellStart"/>
      <w:r w:rsidR="00CB3259">
        <w:t>ms</w:t>
      </w:r>
      <w:proofErr w:type="spellEnd"/>
      <w:r w:rsidR="00CB3259">
        <w:t xml:space="preserve"> </w:t>
      </w:r>
      <w:r>
        <w:t>or a cardiac AE in ASCENT</w:t>
      </w:r>
      <w:r w:rsidR="004845EB">
        <w:t xml:space="preserve"> trial</w:t>
      </w:r>
      <w:r>
        <w:t xml:space="preserve"> were reviewed by an independent cardiologist. For each of these patients, the QTc prolongation was a small increase from </w:t>
      </w:r>
      <w:r w:rsidR="004801B3">
        <w:t>B</w:t>
      </w:r>
      <w:r>
        <w:t>aseline and the patient was receiving a concomitant medication that is known to prolong QTc.</w:t>
      </w:r>
    </w:p>
    <w:p w14:paraId="254F70C0" w14:textId="245A66BE" w:rsidR="00E13BA4" w:rsidRDefault="00E13BA4" w:rsidP="00E13BA4">
      <w:r>
        <w:t>An exclusion criterion for ASCENT</w:t>
      </w:r>
      <w:r w:rsidR="004845EB">
        <w:t xml:space="preserve"> trial</w:t>
      </w:r>
      <w:r>
        <w:t xml:space="preserve"> was:</w:t>
      </w:r>
    </w:p>
    <w:p w14:paraId="73A533DD" w14:textId="6A446264" w:rsidR="00E13BA4" w:rsidRDefault="00E13BA4" w:rsidP="00E13BA4">
      <w:pPr>
        <w:ind w:left="720"/>
      </w:pPr>
      <w:r>
        <w:t xml:space="preserve">Known history of unstable angina, </w:t>
      </w:r>
      <w:r w:rsidR="00CB6D6B">
        <w:t>myocardial infarction</w:t>
      </w:r>
      <w:r>
        <w:t xml:space="preserve">, or </w:t>
      </w:r>
      <w:r w:rsidR="00CB6D6B">
        <w:t>congestive heart failure</w:t>
      </w:r>
      <w:r>
        <w:t xml:space="preserve"> present within </w:t>
      </w:r>
      <w:r w:rsidR="004801B3">
        <w:t>six</w:t>
      </w:r>
      <w:r>
        <w:t xml:space="preserve"> months of randomisation or clinically significant cardiac arrhythmia (other than stable atrial fibrillation) requiring anti-arrhythmia therapy.</w:t>
      </w:r>
    </w:p>
    <w:p w14:paraId="214679E4" w14:textId="1E097615" w:rsidR="00E13BA4" w:rsidRDefault="00E13BA4" w:rsidP="00E13BA4">
      <w:r>
        <w:t>Information on the risk of QT prolongation must be included in the PI.</w:t>
      </w:r>
    </w:p>
    <w:p w14:paraId="5F38C372" w14:textId="722EF33C" w:rsidR="00E13BA4" w:rsidRDefault="00E13BA4" w:rsidP="00FA7424">
      <w:pPr>
        <w:pStyle w:val="FigureTitle"/>
        <w:keepLines/>
      </w:pPr>
      <w:bookmarkStart w:id="44" w:name="_Ref90382422"/>
      <w:r>
        <w:lastRenderedPageBreak/>
        <w:t xml:space="preserve">Figure </w:t>
      </w:r>
      <w:fldSimple w:instr=" SEQ Figure \* ARABIC ">
        <w:r w:rsidR="00DC605F">
          <w:rPr>
            <w:noProof/>
          </w:rPr>
          <w:t>4</w:t>
        </w:r>
      </w:fldSimple>
      <w:bookmarkEnd w:id="44"/>
      <w:r>
        <w:t xml:space="preserve">: </w:t>
      </w:r>
      <w:r w:rsidR="00CB6D6B">
        <w:t xml:space="preserve">Ascent trial </w:t>
      </w:r>
      <w:r>
        <w:t xml:space="preserve">Mean and 90% confidence interval of change in </w:t>
      </w:r>
      <w:r w:rsidR="00180BBE">
        <w:t>QT interval corrected using Fridericia’s formula (</w:t>
      </w:r>
      <w:proofErr w:type="spellStart"/>
      <w:r>
        <w:t>QTcF</w:t>
      </w:r>
      <w:proofErr w:type="spellEnd"/>
      <w:r w:rsidR="00180BBE">
        <w:t>)</w:t>
      </w:r>
      <w:r>
        <w:t xml:space="preserve"> over time (top panel) and concentration-QTc relationship for free SN-38 (bottom panel)</w:t>
      </w:r>
    </w:p>
    <w:p w14:paraId="1117C4D9" w14:textId="253C9EB4" w:rsidR="00E13BA4" w:rsidRDefault="004973F6" w:rsidP="0006447B">
      <w:r w:rsidRPr="004973F6">
        <w:rPr>
          <w:noProof/>
          <w:lang w:val="en-GB" w:eastAsia="en-GB"/>
        </w:rPr>
        <w:drawing>
          <wp:inline distT="0" distB="0" distL="0" distR="0" wp14:anchorId="3C1557BE" wp14:editId="630EE6BB">
            <wp:extent cx="3384550" cy="5342949"/>
            <wp:effectExtent l="0" t="0" r="6350" b="0"/>
            <wp:docPr id="5" name="Picture 5" descr="This figure describes the mean and 90% confidence interval of change in QTcF over time (top panel) and concentration-QTc relationship for free SN-38 (bottom panel). The slope of the linear model was statistically significant (p &lt; 0.001) with a value of 90.2 ms per microg/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figure describes the mean and 90% confidence interval of change in QTcF over time (top panel) and concentration-QTc relationship for free SN-38 (bottom panel). The slope of the linear model was statistically significant (p &lt; 0.001) with a value of 90.2 ms per microg/mL"/>
                    <pic:cNvPicPr/>
                  </pic:nvPicPr>
                  <pic:blipFill>
                    <a:blip r:embed="rId20"/>
                    <a:stretch>
                      <a:fillRect/>
                    </a:stretch>
                  </pic:blipFill>
                  <pic:spPr>
                    <a:xfrm>
                      <a:off x="0" y="0"/>
                      <a:ext cx="3394541" cy="5358721"/>
                    </a:xfrm>
                    <a:prstGeom prst="rect">
                      <a:avLst/>
                    </a:prstGeom>
                  </pic:spPr>
                </pic:pic>
              </a:graphicData>
            </a:graphic>
          </wp:inline>
        </w:drawing>
      </w:r>
    </w:p>
    <w:p w14:paraId="21A116D7" w14:textId="33E47934" w:rsidR="00CB6D6B" w:rsidRPr="00917D67" w:rsidRDefault="00CB6D6B" w:rsidP="0006447B">
      <w:r>
        <w:t xml:space="preserve">The slope of the linear model was statistically significant (p &lt; 0.001) with a value of 90.2 </w:t>
      </w:r>
      <w:proofErr w:type="spellStart"/>
      <w:r>
        <w:t>ms</w:t>
      </w:r>
      <w:proofErr w:type="spellEnd"/>
      <w:r>
        <w:t xml:space="preserve"> per mcg/mL</w:t>
      </w:r>
    </w:p>
    <w:p w14:paraId="35275181" w14:textId="708C88A0" w:rsidR="00E13BA4" w:rsidRDefault="00787F08" w:rsidP="00787F08">
      <w:pPr>
        <w:pStyle w:val="TableTitle"/>
      </w:pPr>
      <w:bookmarkStart w:id="45" w:name="_Ref90382560"/>
      <w:r>
        <w:lastRenderedPageBreak/>
        <w:t xml:space="preserve">Table </w:t>
      </w:r>
      <w:fldSimple w:instr=" SEQ Table \* ARABIC ">
        <w:r w:rsidR="007D09B2">
          <w:rPr>
            <w:noProof/>
          </w:rPr>
          <w:t>5</w:t>
        </w:r>
      </w:fldSimple>
      <w:bookmarkEnd w:id="45"/>
      <w:r>
        <w:t>:</w:t>
      </w:r>
      <w:r w:rsidR="00E13BA4">
        <w:t xml:space="preserve"> </w:t>
      </w:r>
      <w:r w:rsidR="00CB6D6B">
        <w:t xml:space="preserve">ASCENT trial </w:t>
      </w:r>
      <w:r w:rsidR="00E13BA4">
        <w:t xml:space="preserve">Incidence of post-baseline QT prolongation cross patients who received </w:t>
      </w:r>
      <w:proofErr w:type="spellStart"/>
      <w:r w:rsidR="00CB6D6B">
        <w:t>sacituzumab</w:t>
      </w:r>
      <w:proofErr w:type="spellEnd"/>
      <w:r w:rsidR="00CB6D6B">
        <w:t xml:space="preserve"> </w:t>
      </w:r>
      <w:proofErr w:type="spellStart"/>
      <w:r w:rsidR="00CB6D6B">
        <w:t>govitecan</w:t>
      </w:r>
      <w:proofErr w:type="spellEnd"/>
      <w:r w:rsidR="004C0FDD">
        <w:t xml:space="preserve"> and overall</w:t>
      </w:r>
    </w:p>
    <w:p w14:paraId="406EA07F" w14:textId="32A46CE6" w:rsidR="00E13BA4" w:rsidRDefault="00E13BA4" w:rsidP="00E13BA4">
      <w:r>
        <w:rPr>
          <w:noProof/>
          <w:lang w:val="en-GB" w:eastAsia="en-GB"/>
        </w:rPr>
        <w:drawing>
          <wp:inline distT="0" distB="0" distL="0" distR="0" wp14:anchorId="3BBD90A4" wp14:editId="7FE5EC3A">
            <wp:extent cx="5400040" cy="4622800"/>
            <wp:effectExtent l="0" t="0" r="0" b="6350"/>
            <wp:docPr id="1" name="Picture 1" descr="This table shows the incidence of post-baseline QT prolongation in ASCENT (IMMU-132-05) and across patients who received SG in the clinical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table shows the incidence of post-baseline QT prolongation in ASCENT (IMMU-132-05) and across patients who received SG in the clinical development."/>
                    <pic:cNvPicPr>
                      <a:picLocks noChangeAspect="1" noChangeArrowheads="1"/>
                    </pic:cNvPicPr>
                  </pic:nvPicPr>
                  <pic:blipFill rotWithShape="1">
                    <a:blip r:embed="rId21">
                      <a:extLst>
                        <a:ext uri="{28A0092B-C50C-407E-A947-70E740481C1C}">
                          <a14:useLocalDpi xmlns:a14="http://schemas.microsoft.com/office/drawing/2010/main" val="0"/>
                        </a:ext>
                      </a:extLst>
                    </a:blip>
                    <a:srcRect b="6881"/>
                    <a:stretch/>
                  </pic:blipFill>
                  <pic:spPr bwMode="auto">
                    <a:xfrm>
                      <a:off x="0" y="0"/>
                      <a:ext cx="5400040" cy="4622800"/>
                    </a:xfrm>
                    <a:prstGeom prst="rect">
                      <a:avLst/>
                    </a:prstGeom>
                    <a:noFill/>
                    <a:ln>
                      <a:noFill/>
                    </a:ln>
                    <a:extLst>
                      <a:ext uri="{53640926-AAD7-44D8-BBD7-CCE9431645EC}">
                        <a14:shadowObscured xmlns:a14="http://schemas.microsoft.com/office/drawing/2010/main"/>
                      </a:ext>
                    </a:extLst>
                  </pic:spPr>
                </pic:pic>
              </a:graphicData>
            </a:graphic>
          </wp:inline>
        </w:drawing>
      </w:r>
    </w:p>
    <w:p w14:paraId="68F288E5" w14:textId="0FA32CE2" w:rsidR="00180BBE" w:rsidRDefault="00180BBE" w:rsidP="0006447B">
      <w:pPr>
        <w:pStyle w:val="TableDescription"/>
      </w:pPr>
      <w:r>
        <w:t>Percentage is based on big N</w:t>
      </w:r>
    </w:p>
    <w:p w14:paraId="01FD9539" w14:textId="0AF428B9" w:rsidR="004C0FDD" w:rsidRDefault="004C0FDD" w:rsidP="0006447B">
      <w:pPr>
        <w:pStyle w:val="TableDescription"/>
      </w:pPr>
      <w:r>
        <w:t>Study IMMU-132-05 = the ASCENT trial</w:t>
      </w:r>
    </w:p>
    <w:p w14:paraId="53CAF31C" w14:textId="539D7F67" w:rsidR="004C0FDD" w:rsidRDefault="004C0FDD" w:rsidP="0006447B">
      <w:pPr>
        <w:pStyle w:val="TableDescription"/>
      </w:pPr>
      <w:r>
        <w:t xml:space="preserve">SG = </w:t>
      </w:r>
      <w:proofErr w:type="spellStart"/>
      <w:r>
        <w:t>sacituzumab</w:t>
      </w:r>
      <w:proofErr w:type="spellEnd"/>
      <w:r>
        <w:t xml:space="preserve"> </w:t>
      </w:r>
      <w:proofErr w:type="spellStart"/>
      <w:r>
        <w:t>govitecan</w:t>
      </w:r>
      <w:proofErr w:type="spellEnd"/>
      <w:r>
        <w:t>; TNBC = triple negative breast cancer.</w:t>
      </w:r>
    </w:p>
    <w:p w14:paraId="1DADFA15" w14:textId="7A9A13D6" w:rsidR="003B4238" w:rsidRDefault="003B4238">
      <w:pPr>
        <w:pStyle w:val="Heading4"/>
      </w:pPr>
      <w:r>
        <w:t>Efficacy</w:t>
      </w:r>
    </w:p>
    <w:p w14:paraId="60856B2C" w14:textId="77777777" w:rsidR="003B4238" w:rsidRDefault="003B4238" w:rsidP="0006447B">
      <w:pPr>
        <w:pStyle w:val="Heading5"/>
      </w:pPr>
      <w:r>
        <w:t>Study IMMU-132-05 (</w:t>
      </w:r>
      <w:r w:rsidR="00CB3259">
        <w:t>ASCENT</w:t>
      </w:r>
      <w:r w:rsidR="00AF4C2E">
        <w:t xml:space="preserve"> trial</w:t>
      </w:r>
      <w:r>
        <w:t>)</w:t>
      </w:r>
    </w:p>
    <w:p w14:paraId="596FA5B6" w14:textId="6022C08E" w:rsidR="009018CE" w:rsidRDefault="003B4238" w:rsidP="0006447B">
      <w:r>
        <w:t>Study IMMU-132-05 (the ASCENT trial) is the</w:t>
      </w:r>
      <w:r w:rsidR="00CB3259">
        <w:t xml:space="preserve"> p</w:t>
      </w:r>
      <w:r w:rsidR="009018CE">
        <w:t>ivotal registration study to establish efficacy and safety</w:t>
      </w:r>
      <w:r>
        <w:t xml:space="preserve"> for this submission.</w:t>
      </w:r>
    </w:p>
    <w:p w14:paraId="04BB9C6B" w14:textId="5FD1F608" w:rsidR="00175529" w:rsidRDefault="009018CE" w:rsidP="009018CE">
      <w:r>
        <w:t xml:space="preserve">The ASCENT </w:t>
      </w:r>
      <w:r w:rsidR="004801B3">
        <w:t>trial</w:t>
      </w:r>
      <w:r>
        <w:t xml:space="preserve"> (</w:t>
      </w:r>
      <w:r w:rsidR="004801B3">
        <w:t xml:space="preserve">Study </w:t>
      </w:r>
      <w:r>
        <w:t xml:space="preserve">IMMU-132-05) was a global, multicentre, randomised, open-label trial of </w:t>
      </w:r>
      <w:proofErr w:type="spellStart"/>
      <w:r w:rsidR="003B4238">
        <w:t>sacituzumab</w:t>
      </w:r>
      <w:proofErr w:type="spellEnd"/>
      <w:r w:rsidR="003B4238">
        <w:t xml:space="preserve"> </w:t>
      </w:r>
      <w:proofErr w:type="spellStart"/>
      <w:proofErr w:type="gramStart"/>
      <w:r w:rsidR="003B4238">
        <w:t>govitecan</w:t>
      </w:r>
      <w:proofErr w:type="spellEnd"/>
      <w:r w:rsidR="003B4238" w:rsidDel="003B4238">
        <w:t xml:space="preserve"> </w:t>
      </w:r>
      <w:r>
        <w:t xml:space="preserve"> versus</w:t>
      </w:r>
      <w:proofErr w:type="gramEnd"/>
      <w:r>
        <w:t xml:space="preserve"> treatment of physician’s choice (TPC) in patients with previously treated </w:t>
      </w:r>
      <w:r w:rsidR="003B4238">
        <w:t>triple negative breast cancer</w:t>
      </w:r>
      <w:r w:rsidR="00175529">
        <w:t>.</w:t>
      </w:r>
    </w:p>
    <w:p w14:paraId="50448C37" w14:textId="508090A8" w:rsidR="00E13BA4" w:rsidRDefault="009018CE" w:rsidP="009018CE">
      <w:r>
        <w:t xml:space="preserve">Study sites </w:t>
      </w:r>
      <w:proofErr w:type="gramStart"/>
      <w:r>
        <w:t>were located in</w:t>
      </w:r>
      <w:proofErr w:type="gramEnd"/>
      <w:r>
        <w:t xml:space="preserve"> the </w:t>
      </w:r>
      <w:r w:rsidR="003B4238">
        <w:t>USA</w:t>
      </w:r>
      <w:r>
        <w:t>, Canada, Germany, Belgium, Spain and the United Kingdom</w:t>
      </w:r>
      <w:r w:rsidR="004C0D29">
        <w:t xml:space="preserve"> (UK)</w:t>
      </w:r>
      <w:r>
        <w:t>. There were no Australian study sites.</w:t>
      </w:r>
    </w:p>
    <w:p w14:paraId="3521534A" w14:textId="77777777" w:rsidR="009018CE" w:rsidRDefault="009018CE" w:rsidP="0006447B">
      <w:pPr>
        <w:pStyle w:val="Heading6"/>
      </w:pPr>
      <w:r>
        <w:t>Design</w:t>
      </w:r>
    </w:p>
    <w:p w14:paraId="5A8510FA" w14:textId="0EAF016A" w:rsidR="009018CE" w:rsidRDefault="009018CE" w:rsidP="009018CE">
      <w:pPr>
        <w:rPr>
          <w:lang w:eastAsia="ja-JP"/>
        </w:rPr>
      </w:pPr>
      <w:r>
        <w:rPr>
          <w:lang w:eastAsia="ja-JP"/>
        </w:rPr>
        <w:t xml:space="preserve">The study design is summarised in </w:t>
      </w:r>
      <w:r>
        <w:rPr>
          <w:lang w:eastAsia="ja-JP"/>
        </w:rPr>
        <w:fldChar w:fldCharType="begin"/>
      </w:r>
      <w:r>
        <w:rPr>
          <w:lang w:eastAsia="ja-JP"/>
        </w:rPr>
        <w:instrText xml:space="preserve"> REF _Ref90383066 \h </w:instrText>
      </w:r>
      <w:r>
        <w:rPr>
          <w:lang w:eastAsia="ja-JP"/>
        </w:rPr>
      </w:r>
      <w:r>
        <w:rPr>
          <w:lang w:eastAsia="ja-JP"/>
        </w:rPr>
        <w:fldChar w:fldCharType="separate"/>
      </w:r>
      <w:r>
        <w:t xml:space="preserve">Table </w:t>
      </w:r>
      <w:r>
        <w:rPr>
          <w:noProof/>
        </w:rPr>
        <w:t>6</w:t>
      </w:r>
      <w:r>
        <w:rPr>
          <w:lang w:eastAsia="ja-JP"/>
        </w:rPr>
        <w:fldChar w:fldCharType="end"/>
      </w:r>
      <w:r>
        <w:rPr>
          <w:lang w:eastAsia="ja-JP"/>
        </w:rPr>
        <w:t>.</w:t>
      </w:r>
    </w:p>
    <w:p w14:paraId="3DE93185" w14:textId="750821C3" w:rsidR="009018CE" w:rsidRDefault="009018CE" w:rsidP="009018CE">
      <w:pPr>
        <w:pStyle w:val="TableTitle"/>
      </w:pPr>
      <w:bookmarkStart w:id="46" w:name="_Ref90383066"/>
      <w:r>
        <w:lastRenderedPageBreak/>
        <w:t xml:space="preserve">Table </w:t>
      </w:r>
      <w:fldSimple w:instr=" SEQ Table \* ARABIC ">
        <w:r w:rsidR="007D09B2">
          <w:rPr>
            <w:noProof/>
          </w:rPr>
          <w:t>6</w:t>
        </w:r>
      </w:fldSimple>
      <w:bookmarkEnd w:id="46"/>
      <w:r>
        <w:t xml:space="preserve">: </w:t>
      </w:r>
      <w:r w:rsidR="003B4238">
        <w:t xml:space="preserve">STUDY IMMU-132-05 (ASCENT trial) </w:t>
      </w:r>
      <w:r>
        <w:t>Study design</w:t>
      </w:r>
    </w:p>
    <w:tbl>
      <w:tblPr>
        <w:tblStyle w:val="TableGrid"/>
        <w:tblW w:w="0" w:type="auto"/>
        <w:tblLook w:val="04A0" w:firstRow="1" w:lastRow="0" w:firstColumn="1" w:lastColumn="0" w:noHBand="0" w:noVBand="1"/>
      </w:tblPr>
      <w:tblGrid>
        <w:gridCol w:w="1238"/>
        <w:gridCol w:w="7256"/>
      </w:tblGrid>
      <w:tr w:rsidR="009018CE" w14:paraId="5F8C3608" w14:textId="77777777" w:rsidTr="0006447B">
        <w:trPr>
          <w:cantSplit/>
        </w:trPr>
        <w:tc>
          <w:tcPr>
            <w:tcW w:w="1238" w:type="dxa"/>
            <w:tcBorders>
              <w:top w:val="single" w:sz="4" w:space="0" w:color="auto"/>
              <w:left w:val="single" w:sz="4" w:space="0" w:color="auto"/>
              <w:bottom w:val="single" w:sz="4" w:space="0" w:color="auto"/>
              <w:right w:val="single" w:sz="4" w:space="0" w:color="auto"/>
            </w:tcBorders>
            <w:hideMark/>
          </w:tcPr>
          <w:p w14:paraId="361D87F8" w14:textId="77777777" w:rsidR="009018CE" w:rsidRPr="009018CE" w:rsidRDefault="009018CE" w:rsidP="009018CE">
            <w:pPr>
              <w:pStyle w:val="Tabletext"/>
            </w:pPr>
            <w:r w:rsidRPr="009018CE">
              <w:t>Patients</w:t>
            </w:r>
          </w:p>
        </w:tc>
        <w:tc>
          <w:tcPr>
            <w:tcW w:w="7778" w:type="dxa"/>
            <w:tcBorders>
              <w:top w:val="single" w:sz="4" w:space="0" w:color="auto"/>
              <w:left w:val="single" w:sz="4" w:space="0" w:color="auto"/>
              <w:bottom w:val="single" w:sz="4" w:space="0" w:color="auto"/>
              <w:right w:val="single" w:sz="4" w:space="0" w:color="auto"/>
            </w:tcBorders>
            <w:hideMark/>
          </w:tcPr>
          <w:p w14:paraId="25F607F7" w14:textId="74AABA5F" w:rsidR="009018CE" w:rsidRPr="009018CE" w:rsidRDefault="009018CE" w:rsidP="009018CE">
            <w:pPr>
              <w:pStyle w:val="Tabletext"/>
            </w:pPr>
            <w:r w:rsidRPr="009018CE">
              <w:t>Key inclusion/exclusion criteria</w:t>
            </w:r>
            <w:r w:rsidR="000935B2">
              <w:t>:</w:t>
            </w:r>
          </w:p>
          <w:p w14:paraId="6A9C6485" w14:textId="26DC836D" w:rsidR="009018CE" w:rsidRPr="009018CE" w:rsidRDefault="009018CE" w:rsidP="009018CE">
            <w:pPr>
              <w:pStyle w:val="Tabletext"/>
            </w:pPr>
            <w:r w:rsidRPr="009018CE">
              <w:t xml:space="preserve">Histologically or cytologically confirmed unresectable </w:t>
            </w:r>
            <w:proofErr w:type="gramStart"/>
            <w:r w:rsidRPr="009018CE">
              <w:t>locally-advanced</w:t>
            </w:r>
            <w:proofErr w:type="gramEnd"/>
            <w:r w:rsidRPr="009018CE">
              <w:t xml:space="preserve"> or metastatic TNBC</w:t>
            </w:r>
            <w:r w:rsidR="000935B2">
              <w:t>.</w:t>
            </w:r>
          </w:p>
          <w:p w14:paraId="0CC941B3" w14:textId="711C442E" w:rsidR="009018CE" w:rsidRPr="009018CE" w:rsidRDefault="009018CE" w:rsidP="009018CE">
            <w:pPr>
              <w:pStyle w:val="Tabletext"/>
            </w:pPr>
            <w:r w:rsidRPr="009018CE">
              <w:t>ECOG:</w:t>
            </w:r>
            <w:r w:rsidR="00674846">
              <w:rPr>
                <w:rStyle w:val="FootnoteReference"/>
              </w:rPr>
              <w:footnoteReference w:id="12"/>
            </w:r>
            <w:r w:rsidRPr="009018CE">
              <w:t xml:space="preserve"> 0 or 1; life expectancy at least 3 months</w:t>
            </w:r>
            <w:r w:rsidR="000935B2">
              <w:t>.</w:t>
            </w:r>
          </w:p>
          <w:p w14:paraId="1FEA1B6A" w14:textId="6B771562" w:rsidR="009018CE" w:rsidRPr="009018CE" w:rsidRDefault="009018CE" w:rsidP="009018CE">
            <w:pPr>
              <w:pStyle w:val="Tabletext"/>
            </w:pPr>
            <w:r w:rsidRPr="009018CE">
              <w:t>At least 2 previous lines of chemotherapy (no upper limit); following a protocol amendment, 1 line of therapy could have been in the neoadjuvant or adjuvant setting, provided the patient developed unresectable or metastatic disease within 12 months</w:t>
            </w:r>
            <w:r w:rsidR="000935B2">
              <w:t>.</w:t>
            </w:r>
          </w:p>
          <w:p w14:paraId="732A6B80" w14:textId="54BCBD2E" w:rsidR="009018CE" w:rsidRPr="009018CE" w:rsidRDefault="009018CE" w:rsidP="009018CE">
            <w:pPr>
              <w:pStyle w:val="Tabletext"/>
            </w:pPr>
            <w:r w:rsidRPr="009018CE">
              <w:t xml:space="preserve">Previous therapy had to include a </w:t>
            </w:r>
            <w:proofErr w:type="spellStart"/>
            <w:r w:rsidRPr="009018CE">
              <w:t>taxane</w:t>
            </w:r>
            <w:proofErr w:type="spellEnd"/>
            <w:r w:rsidR="000935B2">
              <w:t>.</w:t>
            </w:r>
          </w:p>
          <w:p w14:paraId="3D6AFDF8" w14:textId="67B2727D" w:rsidR="009018CE" w:rsidRPr="009018CE" w:rsidRDefault="009018CE" w:rsidP="009018CE">
            <w:pPr>
              <w:pStyle w:val="Tabletext"/>
            </w:pPr>
            <w:r w:rsidRPr="009018CE">
              <w:t>Patients with stable brain metastases for at least 4 weeks before treatment were eligible for the trial but (following a protocol amendment) were excluded from the primary end-point analysis (see endpoints, below)</w:t>
            </w:r>
            <w:r w:rsidR="000935B2">
              <w:t>.</w:t>
            </w:r>
          </w:p>
          <w:p w14:paraId="4C9DDF4C" w14:textId="77777777" w:rsidR="009018CE" w:rsidRPr="009018CE" w:rsidRDefault="009018CE" w:rsidP="009018CE">
            <w:pPr>
              <w:pStyle w:val="Tabletext"/>
            </w:pPr>
            <w:r w:rsidRPr="009018CE">
              <w:t>Enrolment of patients with brain metastases was limited to a maximum of 15% of the overall trial population</w:t>
            </w:r>
          </w:p>
        </w:tc>
      </w:tr>
      <w:tr w:rsidR="009018CE" w14:paraId="7E9DC9A9" w14:textId="77777777" w:rsidTr="009018CE">
        <w:tc>
          <w:tcPr>
            <w:tcW w:w="1238" w:type="dxa"/>
            <w:tcBorders>
              <w:top w:val="single" w:sz="4" w:space="0" w:color="auto"/>
              <w:left w:val="single" w:sz="4" w:space="0" w:color="auto"/>
              <w:bottom w:val="single" w:sz="4" w:space="0" w:color="auto"/>
              <w:right w:val="single" w:sz="4" w:space="0" w:color="auto"/>
            </w:tcBorders>
            <w:hideMark/>
          </w:tcPr>
          <w:p w14:paraId="2101BF6D" w14:textId="588188DC" w:rsidR="009018CE" w:rsidRPr="009018CE" w:rsidRDefault="009018CE" w:rsidP="009018CE">
            <w:pPr>
              <w:pStyle w:val="Tabletext"/>
            </w:pPr>
            <w:r w:rsidRPr="009018CE">
              <w:t>Intervention (n</w:t>
            </w:r>
            <w:r w:rsidR="005C55D8">
              <w:t xml:space="preserve"> </w:t>
            </w:r>
            <w:r w:rsidRPr="009018CE">
              <w:t>=</w:t>
            </w:r>
            <w:r w:rsidR="005C55D8">
              <w:t xml:space="preserve"> </w:t>
            </w:r>
            <w:r w:rsidRPr="009018CE">
              <w:t>267)</w:t>
            </w:r>
          </w:p>
        </w:tc>
        <w:tc>
          <w:tcPr>
            <w:tcW w:w="7778" w:type="dxa"/>
            <w:tcBorders>
              <w:top w:val="single" w:sz="4" w:space="0" w:color="auto"/>
              <w:left w:val="single" w:sz="4" w:space="0" w:color="auto"/>
              <w:bottom w:val="single" w:sz="4" w:space="0" w:color="auto"/>
              <w:right w:val="single" w:sz="4" w:space="0" w:color="auto"/>
            </w:tcBorders>
            <w:hideMark/>
          </w:tcPr>
          <w:p w14:paraId="5B198F5D" w14:textId="54042E06" w:rsidR="009018CE" w:rsidRPr="009018CE" w:rsidRDefault="00671B96" w:rsidP="009018CE">
            <w:pPr>
              <w:pStyle w:val="Tabletext"/>
            </w:pPr>
            <w:r>
              <w:t xml:space="preserve">Sacituzumab </w:t>
            </w:r>
            <w:proofErr w:type="spellStart"/>
            <w:r>
              <w:t>govitecan</w:t>
            </w:r>
            <w:proofErr w:type="spellEnd"/>
            <w:r w:rsidR="009018CE" w:rsidRPr="009018CE">
              <w:t xml:space="preserve"> 10 mg/kg on </w:t>
            </w:r>
            <w:r w:rsidR="000935B2">
              <w:t>D</w:t>
            </w:r>
            <w:r w:rsidR="009018CE" w:rsidRPr="009018CE">
              <w:t>ays 1 and 8, every 21 days</w:t>
            </w:r>
          </w:p>
        </w:tc>
      </w:tr>
      <w:tr w:rsidR="009018CE" w14:paraId="0AD68397" w14:textId="77777777" w:rsidTr="009018CE">
        <w:tc>
          <w:tcPr>
            <w:tcW w:w="1238" w:type="dxa"/>
            <w:tcBorders>
              <w:top w:val="single" w:sz="4" w:space="0" w:color="auto"/>
              <w:left w:val="single" w:sz="4" w:space="0" w:color="auto"/>
              <w:bottom w:val="single" w:sz="4" w:space="0" w:color="auto"/>
              <w:right w:val="single" w:sz="4" w:space="0" w:color="auto"/>
            </w:tcBorders>
            <w:hideMark/>
          </w:tcPr>
          <w:p w14:paraId="064E414C" w14:textId="5FCB35AE" w:rsidR="009018CE" w:rsidRPr="009018CE" w:rsidRDefault="009018CE" w:rsidP="009018CE">
            <w:pPr>
              <w:pStyle w:val="Tabletext"/>
            </w:pPr>
            <w:r w:rsidRPr="009018CE">
              <w:t>Comparator (n</w:t>
            </w:r>
            <w:r w:rsidR="005C55D8">
              <w:t xml:space="preserve"> </w:t>
            </w:r>
            <w:r w:rsidRPr="009018CE">
              <w:t>=</w:t>
            </w:r>
            <w:r w:rsidR="005C55D8">
              <w:t xml:space="preserve"> </w:t>
            </w:r>
            <w:r w:rsidRPr="009018CE">
              <w:t>262)</w:t>
            </w:r>
          </w:p>
        </w:tc>
        <w:tc>
          <w:tcPr>
            <w:tcW w:w="7778" w:type="dxa"/>
            <w:tcBorders>
              <w:top w:val="single" w:sz="4" w:space="0" w:color="auto"/>
              <w:left w:val="single" w:sz="4" w:space="0" w:color="auto"/>
              <w:bottom w:val="single" w:sz="4" w:space="0" w:color="auto"/>
              <w:right w:val="single" w:sz="4" w:space="0" w:color="auto"/>
            </w:tcBorders>
            <w:hideMark/>
          </w:tcPr>
          <w:p w14:paraId="032BBF7A" w14:textId="77777777" w:rsidR="009018CE" w:rsidRPr="009018CE" w:rsidRDefault="009018CE" w:rsidP="009018CE">
            <w:pPr>
              <w:pStyle w:val="Tabletext"/>
            </w:pPr>
            <w:r w:rsidRPr="009018CE">
              <w:t>Treatment of physician’s choice (TPC), single-agent chemotherapy with one of:</w:t>
            </w:r>
          </w:p>
          <w:p w14:paraId="405D6E02" w14:textId="3F668382" w:rsidR="009018CE" w:rsidRPr="009018CE" w:rsidRDefault="009018CE" w:rsidP="009018CE">
            <w:pPr>
              <w:pStyle w:val="Tabletext"/>
            </w:pPr>
            <w:proofErr w:type="spellStart"/>
            <w:r w:rsidRPr="009018CE">
              <w:t>eribulin</w:t>
            </w:r>
            <w:proofErr w:type="spellEnd"/>
            <w:r w:rsidRPr="009018CE">
              <w:t xml:space="preserve"> (5</w:t>
            </w:r>
            <w:r w:rsidR="00193A57">
              <w:t>3</w:t>
            </w:r>
            <w:r w:rsidRPr="009018CE">
              <w:t>%)</w:t>
            </w:r>
          </w:p>
          <w:p w14:paraId="5B520F87" w14:textId="5ACFD835" w:rsidR="009018CE" w:rsidRPr="009018CE" w:rsidRDefault="009018CE" w:rsidP="009018CE">
            <w:pPr>
              <w:pStyle w:val="Tabletext"/>
            </w:pPr>
            <w:r w:rsidRPr="009018CE">
              <w:t>vinorelbine (</w:t>
            </w:r>
            <w:r w:rsidR="00193A57">
              <w:t>20</w:t>
            </w:r>
            <w:r w:rsidRPr="009018CE">
              <w:t>%)</w:t>
            </w:r>
          </w:p>
          <w:p w14:paraId="762AA5DA" w14:textId="72A65C1E" w:rsidR="009018CE" w:rsidRPr="009018CE" w:rsidRDefault="009018CE" w:rsidP="009018CE">
            <w:pPr>
              <w:pStyle w:val="Tabletext"/>
            </w:pPr>
            <w:r w:rsidRPr="009018CE">
              <w:t>gemcitabine (</w:t>
            </w:r>
            <w:r w:rsidR="00193A57">
              <w:t>15</w:t>
            </w:r>
            <w:r w:rsidRPr="009018CE">
              <w:t>%)</w:t>
            </w:r>
          </w:p>
          <w:p w14:paraId="5D29870B" w14:textId="77777777" w:rsidR="009018CE" w:rsidRPr="009018CE" w:rsidRDefault="009018CE" w:rsidP="009018CE">
            <w:pPr>
              <w:pStyle w:val="Tabletext"/>
            </w:pPr>
            <w:r w:rsidRPr="009018CE">
              <w:t>capecitabine (13%)</w:t>
            </w:r>
          </w:p>
          <w:p w14:paraId="1D2E8BBD" w14:textId="73EB9A68" w:rsidR="009018CE" w:rsidRPr="009018CE" w:rsidRDefault="009018CE" w:rsidP="009018CE">
            <w:pPr>
              <w:pStyle w:val="Tabletext"/>
            </w:pPr>
            <w:r w:rsidRPr="009018CE">
              <w:t>(</w:t>
            </w:r>
            <w:r w:rsidR="00671B96">
              <w:t>t</w:t>
            </w:r>
            <w:r w:rsidRPr="009018CE">
              <w:t xml:space="preserve">here is no accepted standard-of-care for </w:t>
            </w:r>
            <w:r w:rsidR="00671B96">
              <w:t xml:space="preserve">second line+ </w:t>
            </w:r>
            <w:r w:rsidRPr="009018CE">
              <w:t>adv</w:t>
            </w:r>
            <w:r w:rsidR="00671B96">
              <w:t xml:space="preserve">anced </w:t>
            </w:r>
            <w:r w:rsidRPr="009018CE">
              <w:t>/m</w:t>
            </w:r>
            <w:r w:rsidR="00671B96">
              <w:t xml:space="preserve">etastatic </w:t>
            </w:r>
            <w:r w:rsidRPr="009018CE">
              <w:t>TNBC)</w:t>
            </w:r>
          </w:p>
          <w:p w14:paraId="1DB383DD" w14:textId="308F725E" w:rsidR="009018CE" w:rsidRPr="009018CE" w:rsidRDefault="009018CE" w:rsidP="009018CE">
            <w:pPr>
              <w:pStyle w:val="Tabletext"/>
            </w:pPr>
            <w:r w:rsidRPr="009018CE">
              <w:t xml:space="preserve">No cross-over </w:t>
            </w:r>
            <w:proofErr w:type="gramStart"/>
            <w:r w:rsidRPr="009018CE">
              <w:t>was allowed to</w:t>
            </w:r>
            <w:proofErr w:type="gramEnd"/>
            <w:r w:rsidRPr="009018CE">
              <w:t xml:space="preserve"> </w:t>
            </w:r>
            <w:proofErr w:type="spellStart"/>
            <w:r w:rsidR="00671B96">
              <w:t>sacituzumab</w:t>
            </w:r>
            <w:proofErr w:type="spellEnd"/>
            <w:r w:rsidR="00671B96">
              <w:t xml:space="preserve"> </w:t>
            </w:r>
            <w:proofErr w:type="spellStart"/>
            <w:r w:rsidR="00671B96">
              <w:t>govitecan</w:t>
            </w:r>
            <w:proofErr w:type="spellEnd"/>
            <w:r w:rsidRPr="009018CE">
              <w:t xml:space="preserve"> on progression</w:t>
            </w:r>
          </w:p>
        </w:tc>
      </w:tr>
      <w:tr w:rsidR="009018CE" w14:paraId="6A043629" w14:textId="77777777" w:rsidTr="009018CE">
        <w:tc>
          <w:tcPr>
            <w:tcW w:w="1238" w:type="dxa"/>
            <w:tcBorders>
              <w:top w:val="single" w:sz="4" w:space="0" w:color="auto"/>
              <w:left w:val="single" w:sz="4" w:space="0" w:color="auto"/>
              <w:bottom w:val="single" w:sz="4" w:space="0" w:color="auto"/>
              <w:right w:val="single" w:sz="4" w:space="0" w:color="auto"/>
            </w:tcBorders>
            <w:hideMark/>
          </w:tcPr>
          <w:p w14:paraId="6282E436" w14:textId="77777777" w:rsidR="009018CE" w:rsidRPr="009018CE" w:rsidRDefault="009018CE" w:rsidP="009018CE">
            <w:pPr>
              <w:pStyle w:val="Tabletext"/>
            </w:pPr>
            <w:r w:rsidRPr="009018CE">
              <w:t>Endpoints</w:t>
            </w:r>
          </w:p>
        </w:tc>
        <w:tc>
          <w:tcPr>
            <w:tcW w:w="7778" w:type="dxa"/>
            <w:tcBorders>
              <w:top w:val="single" w:sz="4" w:space="0" w:color="auto"/>
              <w:left w:val="single" w:sz="4" w:space="0" w:color="auto"/>
              <w:bottom w:val="single" w:sz="4" w:space="0" w:color="auto"/>
              <w:right w:val="single" w:sz="4" w:space="0" w:color="auto"/>
            </w:tcBorders>
            <w:hideMark/>
          </w:tcPr>
          <w:p w14:paraId="5279D9D6" w14:textId="13F7CDC0" w:rsidR="009018CE" w:rsidRPr="009018CE" w:rsidRDefault="009018CE" w:rsidP="009018CE">
            <w:pPr>
              <w:pStyle w:val="Tabletext"/>
            </w:pPr>
            <w:r w:rsidRPr="009018CE">
              <w:t>Primary endpoint</w:t>
            </w:r>
            <w:r w:rsidR="000935B2">
              <w:t>:</w:t>
            </w:r>
          </w:p>
          <w:p w14:paraId="27A6C800" w14:textId="470F86D2" w:rsidR="009018CE" w:rsidRPr="009018CE" w:rsidRDefault="009018CE" w:rsidP="009018CE">
            <w:pPr>
              <w:pStyle w:val="Tabletext"/>
            </w:pPr>
            <w:r w:rsidRPr="009018CE">
              <w:t xml:space="preserve">Progression-free survival (PFS) by blinded independent review committee </w:t>
            </w:r>
            <w:r w:rsidR="00671B96">
              <w:t>(</w:t>
            </w:r>
            <w:r w:rsidRPr="009018CE">
              <w:t>BIRC</w:t>
            </w:r>
            <w:r w:rsidR="00671B96">
              <w:t>)</w:t>
            </w:r>
            <w:r w:rsidRPr="009018CE">
              <w:t xml:space="preserve"> review of imaging according to </w:t>
            </w:r>
            <w:r w:rsidR="00BD169C">
              <w:t>Response Evaluation Criteria in Solid Tumours (</w:t>
            </w:r>
            <w:r w:rsidRPr="009018CE">
              <w:t>RECIST</w:t>
            </w:r>
            <w:r w:rsidR="00BD169C">
              <w:t>)</w:t>
            </w:r>
            <w:r w:rsidRPr="009018CE">
              <w:t xml:space="preserve"> v1.1,</w:t>
            </w:r>
            <w:r w:rsidR="005A5A2D">
              <w:rPr>
                <w:rStyle w:val="FootnoteReference"/>
              </w:rPr>
              <w:footnoteReference w:id="13"/>
            </w:r>
            <w:r w:rsidRPr="009018CE">
              <w:t xml:space="preserve"> in patients who were BM-negative</w:t>
            </w:r>
          </w:p>
          <w:p w14:paraId="445378FF" w14:textId="77777777" w:rsidR="009018CE" w:rsidRPr="009018CE" w:rsidRDefault="009018CE" w:rsidP="009018CE">
            <w:pPr>
              <w:pStyle w:val="Tabletext"/>
            </w:pPr>
            <w:r w:rsidRPr="009018CE">
              <w:t>Key secondary endpoints (</w:t>
            </w:r>
            <w:proofErr w:type="gramStart"/>
            <w:r w:rsidRPr="009018CE">
              <w:t>in order for</w:t>
            </w:r>
            <w:proofErr w:type="gramEnd"/>
            <w:r w:rsidRPr="009018CE">
              <w:t xml:space="preserve"> hierarchical testing)</w:t>
            </w:r>
          </w:p>
          <w:p w14:paraId="5155B609" w14:textId="77777777" w:rsidR="009018CE" w:rsidRPr="009018CE" w:rsidRDefault="009018CE" w:rsidP="009018CE">
            <w:pPr>
              <w:pStyle w:val="Tabletext"/>
            </w:pPr>
            <w:r w:rsidRPr="009018CE">
              <w:t>Overall survival (OS) in the BM-negative group</w:t>
            </w:r>
          </w:p>
          <w:p w14:paraId="60356A95" w14:textId="358FE628" w:rsidR="009018CE" w:rsidRPr="009018CE" w:rsidRDefault="009018CE" w:rsidP="009018CE">
            <w:pPr>
              <w:pStyle w:val="Tabletext"/>
            </w:pPr>
            <w:r w:rsidRPr="009018CE">
              <w:t xml:space="preserve">BICR </w:t>
            </w:r>
            <w:r w:rsidR="000935B2">
              <w:t>progression free survival (</w:t>
            </w:r>
            <w:r w:rsidRPr="009018CE">
              <w:t>PFS</w:t>
            </w:r>
            <w:r w:rsidR="000935B2">
              <w:t>)</w:t>
            </w:r>
            <w:r w:rsidRPr="009018CE">
              <w:t xml:space="preserve"> in the </w:t>
            </w:r>
            <w:r w:rsidR="000935B2">
              <w:t>intention-to-treat (</w:t>
            </w:r>
            <w:r w:rsidRPr="009018CE">
              <w:t>ITT</w:t>
            </w:r>
            <w:r w:rsidR="000935B2">
              <w:t>)</w:t>
            </w:r>
            <w:r w:rsidRPr="009018CE">
              <w:t xml:space="preserve"> group</w:t>
            </w:r>
          </w:p>
          <w:p w14:paraId="7C46C4DF" w14:textId="39B3F377" w:rsidR="009018CE" w:rsidRPr="009018CE" w:rsidRDefault="00671B96" w:rsidP="009018CE">
            <w:pPr>
              <w:pStyle w:val="Tabletext"/>
            </w:pPr>
            <w:r>
              <w:t>Overall survival</w:t>
            </w:r>
            <w:r w:rsidR="009018CE" w:rsidRPr="009018CE">
              <w:t xml:space="preserve"> in the ITT group</w:t>
            </w:r>
          </w:p>
          <w:p w14:paraId="41FB8AAF" w14:textId="2507043D" w:rsidR="009018CE" w:rsidRPr="009018CE" w:rsidRDefault="009018CE" w:rsidP="009018CE">
            <w:pPr>
              <w:pStyle w:val="Tabletext"/>
            </w:pPr>
            <w:r w:rsidRPr="009018CE">
              <w:t xml:space="preserve">Imaging (CT or MRI) was performed every </w:t>
            </w:r>
            <w:r w:rsidR="005B3BC2">
              <w:t>six</w:t>
            </w:r>
            <w:r w:rsidRPr="009018CE">
              <w:t xml:space="preserve"> weeks for 36 weeks, then every </w:t>
            </w:r>
            <w:r w:rsidR="005B3BC2">
              <w:t>nine</w:t>
            </w:r>
            <w:r w:rsidRPr="009018CE">
              <w:t xml:space="preserve"> weeks thereafter, until disease progression leading to treatment discontinuation. Responses required confirmatory scans </w:t>
            </w:r>
            <w:r w:rsidR="005B3BC2">
              <w:t>four</w:t>
            </w:r>
            <w:r w:rsidRPr="009018CE">
              <w:t xml:space="preserve"> to </w:t>
            </w:r>
            <w:r w:rsidR="005B3BC2">
              <w:t>six</w:t>
            </w:r>
            <w:r w:rsidRPr="009018CE">
              <w:t xml:space="preserve"> weeks later. Patients were contacted every </w:t>
            </w:r>
            <w:r w:rsidR="005B3BC2">
              <w:t>four</w:t>
            </w:r>
            <w:r w:rsidRPr="009018CE">
              <w:t xml:space="preserve"> weeks to assess survival during long-term follow-up.</w:t>
            </w:r>
          </w:p>
        </w:tc>
      </w:tr>
    </w:tbl>
    <w:p w14:paraId="3E9EB3E3" w14:textId="77777777" w:rsidR="009018CE" w:rsidRDefault="009018CE" w:rsidP="009018CE">
      <w:pPr>
        <w:pStyle w:val="BodyCopy"/>
        <w:rPr>
          <w:sz w:val="18"/>
          <w:szCs w:val="18"/>
        </w:rPr>
      </w:pPr>
    </w:p>
    <w:p w14:paraId="6967E201" w14:textId="7137470D" w:rsidR="009018CE" w:rsidRDefault="009018CE" w:rsidP="00F377D5">
      <w:r>
        <w:lastRenderedPageBreak/>
        <w:t xml:space="preserve">Polymorphisms in the gene encoding </w:t>
      </w:r>
      <w:r w:rsidR="000935B2">
        <w:t>UGT</w:t>
      </w:r>
      <w:r>
        <w:t>1A1 (</w:t>
      </w:r>
      <w:r w:rsidR="00671B96">
        <w:t xml:space="preserve">for example, </w:t>
      </w:r>
      <w:r>
        <w:t xml:space="preserve">homozygosity for </w:t>
      </w:r>
      <w:r>
        <w:rPr>
          <w:rFonts w:ascii="OTNEJMQuadraat-Italic" w:hAnsi="OTNEJMQuadraat-Italic" w:cs="OTNEJMQuadraat-Italic"/>
          <w:i/>
          <w:iCs/>
        </w:rPr>
        <w:t>UGT1A1*28</w:t>
      </w:r>
      <w:r>
        <w:t xml:space="preserve">) are associated with SN-38 glucuronidation and an increased risk of haematological toxic effects with </w:t>
      </w:r>
      <w:proofErr w:type="spellStart"/>
      <w:r w:rsidR="00671B96">
        <w:t>sacituzumab</w:t>
      </w:r>
      <w:proofErr w:type="spellEnd"/>
      <w:r w:rsidR="00671B96">
        <w:t xml:space="preserve"> </w:t>
      </w:r>
      <w:proofErr w:type="spellStart"/>
      <w:r w:rsidR="00671B96">
        <w:t>govitecan</w:t>
      </w:r>
      <w:proofErr w:type="spellEnd"/>
      <w:r>
        <w:t xml:space="preserve">. Therefore, use of inhibitors and inducers of </w:t>
      </w:r>
      <w:r>
        <w:rPr>
          <w:rFonts w:ascii="OTNEJMQuadraat-Italic" w:hAnsi="OTNEJMQuadraat-Italic" w:cs="OTNEJMQuadraat-Italic"/>
          <w:i/>
          <w:iCs/>
        </w:rPr>
        <w:t xml:space="preserve">UGT1A1 </w:t>
      </w:r>
      <w:r>
        <w:t xml:space="preserve">was allowed with caution during </w:t>
      </w:r>
      <w:r w:rsidR="00671B96">
        <w:t xml:space="preserve">the </w:t>
      </w:r>
      <w:r>
        <w:t>ASCENT</w:t>
      </w:r>
      <w:r w:rsidR="00ED1091">
        <w:t xml:space="preserve"> trial</w:t>
      </w:r>
      <w:r>
        <w:t>.</w:t>
      </w:r>
    </w:p>
    <w:p w14:paraId="40718445" w14:textId="77777777" w:rsidR="00F377D5" w:rsidRDefault="00F377D5" w:rsidP="00F377D5">
      <w:pPr>
        <w:pStyle w:val="Heading6"/>
      </w:pPr>
      <w:r>
        <w:t>Stratification variables</w:t>
      </w:r>
    </w:p>
    <w:p w14:paraId="5DEC268D" w14:textId="70ADA87E" w:rsidR="00F377D5" w:rsidRDefault="00F377D5" w:rsidP="00F377D5">
      <w:pPr>
        <w:pStyle w:val="ListBullet"/>
      </w:pPr>
      <w:r>
        <w:t>Number of prior treatments for advanced disease (2</w:t>
      </w:r>
      <w:r w:rsidR="00F120D1">
        <w:t xml:space="preserve"> to</w:t>
      </w:r>
      <w:r>
        <w:t>3 versus &gt;</w:t>
      </w:r>
      <w:r w:rsidR="005C55D8">
        <w:t xml:space="preserve"> </w:t>
      </w:r>
      <w:r>
        <w:t>3)</w:t>
      </w:r>
    </w:p>
    <w:p w14:paraId="478FE71C" w14:textId="03A4493B" w:rsidR="00F377D5" w:rsidRDefault="00F377D5" w:rsidP="00F377D5">
      <w:pPr>
        <w:pStyle w:val="ListBullet"/>
      </w:pPr>
      <w:r>
        <w:t>Geographic location (North America versus rest of world)</w:t>
      </w:r>
    </w:p>
    <w:p w14:paraId="76A1E89F" w14:textId="7B98D6BE" w:rsidR="00F377D5" w:rsidRDefault="00F377D5" w:rsidP="00F377D5">
      <w:pPr>
        <w:pStyle w:val="ListBullet"/>
      </w:pPr>
      <w:r>
        <w:t xml:space="preserve">Known (stable) brain metastasis at baseline (yes </w:t>
      </w:r>
      <w:r w:rsidR="00671B96">
        <w:t xml:space="preserve">(brain </w:t>
      </w:r>
      <w:r w:rsidR="00351B60">
        <w:t>metastasis</w:t>
      </w:r>
      <w:r>
        <w:t>-positive</w:t>
      </w:r>
      <w:r w:rsidR="00671B96">
        <w:t>)</w:t>
      </w:r>
      <w:r>
        <w:t xml:space="preserve"> versus no </w:t>
      </w:r>
      <w:r w:rsidR="00671B96">
        <w:t>(brain metastasis-</w:t>
      </w:r>
      <w:r>
        <w:t>negative</w:t>
      </w:r>
      <w:r w:rsidR="00671B96">
        <w:t>)</w:t>
      </w:r>
      <w:r>
        <w:t>)</w:t>
      </w:r>
    </w:p>
    <w:p w14:paraId="0D557058" w14:textId="31733DBF" w:rsidR="009018CE" w:rsidRDefault="00F377D5" w:rsidP="00F377D5">
      <w:pPr>
        <w:pStyle w:val="ListBullet2"/>
      </w:pPr>
      <w:r>
        <w:t xml:space="preserve">enrolment of </w:t>
      </w:r>
      <w:r w:rsidR="00671B96">
        <w:t>brain metastasis</w:t>
      </w:r>
      <w:r>
        <w:t>-positive patients was limited to 15%)</w:t>
      </w:r>
    </w:p>
    <w:p w14:paraId="5E3E8CD3" w14:textId="77777777" w:rsidR="00F377D5" w:rsidRDefault="00F377D5" w:rsidP="00F377D5">
      <w:pPr>
        <w:pStyle w:val="Heading6"/>
      </w:pPr>
      <w:r>
        <w:t>Protocol amendments</w:t>
      </w:r>
    </w:p>
    <w:p w14:paraId="20AD5BC3" w14:textId="77777777" w:rsidR="00F377D5" w:rsidRDefault="00F377D5" w:rsidP="00F377D5">
      <w:r>
        <w:t>Major protocol amendments to the trial during its conduct included:</w:t>
      </w:r>
    </w:p>
    <w:p w14:paraId="35A60AE7" w14:textId="08DCB529" w:rsidR="00F377D5" w:rsidRDefault="00F377D5" w:rsidP="00024696">
      <w:pPr>
        <w:pStyle w:val="ListBullet"/>
        <w:spacing w:before="240"/>
      </w:pPr>
      <w:r>
        <w:t xml:space="preserve">Changing the primary endpoint of </w:t>
      </w:r>
      <w:r w:rsidR="00D34CFD" w:rsidRPr="00E86D02">
        <w:t xml:space="preserve">blinded independent central review </w:t>
      </w:r>
      <w:r w:rsidR="00D34CFD">
        <w:t>(</w:t>
      </w:r>
      <w:r>
        <w:t>BICR</w:t>
      </w:r>
      <w:r w:rsidR="00D34CFD">
        <w:t>)</w:t>
      </w:r>
      <w:r>
        <w:t xml:space="preserve"> </w:t>
      </w:r>
      <w:r w:rsidR="00351B60">
        <w:t>progression free survival</w:t>
      </w:r>
      <w:r>
        <w:t xml:space="preserve"> from being tested in the ITT group to being tested in the </w:t>
      </w:r>
      <w:r w:rsidR="00351B60">
        <w:t>brain metastasis</w:t>
      </w:r>
      <w:r>
        <w:t>-negative group</w:t>
      </w:r>
    </w:p>
    <w:p w14:paraId="3DFD0933" w14:textId="1993BAF3" w:rsidR="00F377D5" w:rsidRDefault="00F377D5" w:rsidP="00F377D5">
      <w:pPr>
        <w:pStyle w:val="ListBullet"/>
      </w:pPr>
      <w:r>
        <w:t xml:space="preserve">Allowing one of the lines of prior therapy to be in the (neo)adjuvant setting </w:t>
      </w:r>
      <w:proofErr w:type="gramStart"/>
      <w:r>
        <w:t>as long as</w:t>
      </w:r>
      <w:proofErr w:type="gramEnd"/>
      <w:r>
        <w:t xml:space="preserve"> this was within the last 12 months</w:t>
      </w:r>
      <w:r w:rsidR="000935B2">
        <w:t>.</w:t>
      </w:r>
    </w:p>
    <w:p w14:paraId="2F56B5BB" w14:textId="5377CCE6" w:rsidR="00F377D5" w:rsidRDefault="00F377D5" w:rsidP="00F377D5">
      <w:pPr>
        <w:pStyle w:val="ListBullet"/>
      </w:pPr>
      <w:r>
        <w:t>Capping the number of patients with brain metastasis at 15%</w:t>
      </w:r>
      <w:r w:rsidR="000935B2">
        <w:t>.</w:t>
      </w:r>
    </w:p>
    <w:p w14:paraId="5768D41F" w14:textId="2D03194D" w:rsidR="00F377D5" w:rsidRDefault="00F377D5" w:rsidP="00F377D5">
      <w:pPr>
        <w:pStyle w:val="ListBullet"/>
      </w:pPr>
      <w:r>
        <w:t xml:space="preserve">Adding a hierarchical testing strategy to include </w:t>
      </w:r>
      <w:r w:rsidR="00351B60">
        <w:t>overall survival</w:t>
      </w:r>
      <w:r>
        <w:t xml:space="preserve"> and PFS in both </w:t>
      </w:r>
      <w:r w:rsidR="00351B60">
        <w:t>brain metastasis</w:t>
      </w:r>
      <w:r>
        <w:t>-negative and ITT groups</w:t>
      </w:r>
      <w:r w:rsidR="000935B2">
        <w:t>.</w:t>
      </w:r>
    </w:p>
    <w:p w14:paraId="7C49DDA0" w14:textId="77777777" w:rsidR="00F377D5" w:rsidRDefault="00F377D5" w:rsidP="00F377D5">
      <w:pPr>
        <w:pStyle w:val="Heading6"/>
      </w:pPr>
      <w:r>
        <w:t>Minimal clinically important difference for sample size</w:t>
      </w:r>
    </w:p>
    <w:p w14:paraId="38C830BF" w14:textId="6AEE6028" w:rsidR="00F377D5" w:rsidRDefault="00351B60" w:rsidP="00F377D5">
      <w:r>
        <w:t xml:space="preserve">Hazard ratio </w:t>
      </w:r>
      <w:r w:rsidR="00F377D5">
        <w:t>(PFS) = 0.667</w:t>
      </w:r>
    </w:p>
    <w:p w14:paraId="2125DA32" w14:textId="55EBDFC8" w:rsidR="00F377D5" w:rsidRDefault="00F377D5" w:rsidP="00F377D5">
      <w:r>
        <w:t xml:space="preserve">Expected median PFS in the TPC (control) arm was </w:t>
      </w:r>
      <w:r w:rsidR="00F120D1">
        <w:t>three</w:t>
      </w:r>
      <w:r>
        <w:t xml:space="preserve"> months.</w:t>
      </w:r>
    </w:p>
    <w:p w14:paraId="6A6F16A2" w14:textId="30E10EF6" w:rsidR="00F377D5" w:rsidRDefault="00F377D5" w:rsidP="00F377D5">
      <w:pPr>
        <w:pStyle w:val="Heading6"/>
      </w:pPr>
      <w:r>
        <w:t xml:space="preserve">Control of </w:t>
      </w:r>
      <w:r w:rsidR="000935B2">
        <w:t>T</w:t>
      </w:r>
      <w:r>
        <w:t>ype-1 error rate</w:t>
      </w:r>
    </w:p>
    <w:p w14:paraId="42C43F36" w14:textId="4507C69D" w:rsidR="00F377D5" w:rsidRDefault="00F377D5" w:rsidP="00F377D5">
      <w:r>
        <w:t xml:space="preserve">The overall </w:t>
      </w:r>
      <w:r w:rsidR="000935B2">
        <w:t>T</w:t>
      </w:r>
      <w:r>
        <w:t>ype-I error rate was controlled by a hierarchical testing strategy. The primary endpoint of BICR PFS was tested first in BM-negative group. If the primary analysis test was significant, the subsequent key secondary endpoints were tested in a sequential manner in the following order:</w:t>
      </w:r>
    </w:p>
    <w:p w14:paraId="7DB9C5D7" w14:textId="5197E4D3" w:rsidR="00F377D5" w:rsidRDefault="00351B60" w:rsidP="00F377D5">
      <w:pPr>
        <w:pStyle w:val="ListBullet"/>
      </w:pPr>
      <w:r>
        <w:t>Overall survival</w:t>
      </w:r>
      <w:r w:rsidR="00F377D5">
        <w:t xml:space="preserve"> in </w:t>
      </w:r>
      <w:r>
        <w:t>brain metastasis</w:t>
      </w:r>
      <w:r w:rsidR="00F377D5">
        <w:t>-negative group</w:t>
      </w:r>
    </w:p>
    <w:p w14:paraId="5AE7D765" w14:textId="15B440E8" w:rsidR="00F377D5" w:rsidRDefault="00F377D5" w:rsidP="00F377D5">
      <w:pPr>
        <w:pStyle w:val="ListBullet"/>
      </w:pPr>
      <w:r>
        <w:t>BICR PFS in the ITT group</w:t>
      </w:r>
    </w:p>
    <w:p w14:paraId="0B3F1523" w14:textId="4B324200" w:rsidR="00F377D5" w:rsidRDefault="00351B60" w:rsidP="00F377D5">
      <w:pPr>
        <w:pStyle w:val="ListBullet"/>
      </w:pPr>
      <w:r>
        <w:t>Overall survival</w:t>
      </w:r>
      <w:r w:rsidR="00F377D5">
        <w:t xml:space="preserve"> in the ITT group</w:t>
      </w:r>
    </w:p>
    <w:p w14:paraId="1144E400" w14:textId="0E1A9238" w:rsidR="00F377D5" w:rsidRDefault="00F377D5" w:rsidP="00F377D5">
      <w:r>
        <w:t>A given hypothesis was only declared statistically significant if all hypotheses above it in the hierarchy were also statistically significant.</w:t>
      </w:r>
    </w:p>
    <w:p w14:paraId="16C13643" w14:textId="77777777" w:rsidR="00F377D5" w:rsidRDefault="00F377D5" w:rsidP="0006447B">
      <w:pPr>
        <w:pStyle w:val="Heading6"/>
      </w:pPr>
      <w:bookmarkStart w:id="47" w:name="_Ref77940980"/>
      <w:r>
        <w:t>Patient disposition</w:t>
      </w:r>
      <w:bookmarkEnd w:id="47"/>
    </w:p>
    <w:p w14:paraId="0D4B5AC5" w14:textId="6F000544" w:rsidR="00F377D5" w:rsidRDefault="00F377D5" w:rsidP="00F377D5">
      <w:r>
        <w:t>Between Nov</w:t>
      </w:r>
      <w:r w:rsidR="004575C7">
        <w:t>ember</w:t>
      </w:r>
      <w:r>
        <w:t xml:space="preserve"> 2017 and Sep</w:t>
      </w:r>
      <w:r w:rsidR="004575C7">
        <w:t>tember</w:t>
      </w:r>
      <w:r>
        <w:t xml:space="preserve"> 2019, 730 patients were screened for inclusion in ASCENT</w:t>
      </w:r>
      <w:r w:rsidR="00ED1091">
        <w:t xml:space="preserve"> trial</w:t>
      </w:r>
      <w:r>
        <w:t>.</w:t>
      </w:r>
    </w:p>
    <w:p w14:paraId="1EE5F469" w14:textId="77777777" w:rsidR="00F377D5" w:rsidRDefault="00F377D5" w:rsidP="00F377D5">
      <w:pPr>
        <w:pStyle w:val="ListBullet"/>
      </w:pPr>
      <w:r>
        <w:t>529 were randomised: 267 to SG and 262 to TPC</w:t>
      </w:r>
    </w:p>
    <w:p w14:paraId="76DE2680" w14:textId="77777777" w:rsidR="00F377D5" w:rsidRDefault="00F377D5" w:rsidP="00F377D5">
      <w:pPr>
        <w:pStyle w:val="ListBullet"/>
      </w:pPr>
      <w:r>
        <w:t>482 (91%) received therapy</w:t>
      </w:r>
    </w:p>
    <w:p w14:paraId="4377EBD8" w14:textId="77777777" w:rsidR="00F377D5" w:rsidRDefault="00F377D5" w:rsidP="00F377D5">
      <w:r>
        <w:t>There was an imbalance across the treatment arms in patients who did not receive therapy</w:t>
      </w:r>
    </w:p>
    <w:p w14:paraId="6A9F944F" w14:textId="746C0250" w:rsidR="00F377D5" w:rsidRDefault="00CE0970" w:rsidP="00F377D5">
      <w:pPr>
        <w:pStyle w:val="ListBullet"/>
      </w:pPr>
      <w:r>
        <w:t xml:space="preserve">Sacituzumab </w:t>
      </w:r>
      <w:proofErr w:type="spellStart"/>
      <w:r>
        <w:t>govitecan</w:t>
      </w:r>
      <w:proofErr w:type="spellEnd"/>
      <w:r>
        <w:t>:</w:t>
      </w:r>
      <w:r w:rsidR="00F377D5">
        <w:t xml:space="preserve"> 9</w:t>
      </w:r>
      <w:r w:rsidR="00F120D1">
        <w:t xml:space="preserve"> out of</w:t>
      </w:r>
      <w:r w:rsidR="00F377D5">
        <w:t>267</w:t>
      </w:r>
      <w:r w:rsidR="00D808B0">
        <w:t xml:space="preserve"> </w:t>
      </w:r>
      <w:r w:rsidR="00F377D5">
        <w:t>=</w:t>
      </w:r>
      <w:r w:rsidR="00D808B0">
        <w:t xml:space="preserve"> </w:t>
      </w:r>
      <w:r w:rsidR="00F377D5">
        <w:t>3%</w:t>
      </w:r>
    </w:p>
    <w:p w14:paraId="0709888C" w14:textId="4E1D10B9" w:rsidR="00F377D5" w:rsidRDefault="00F377D5" w:rsidP="00F377D5">
      <w:pPr>
        <w:pStyle w:val="ListBullet"/>
      </w:pPr>
      <w:r>
        <w:lastRenderedPageBreak/>
        <w:t>TPC</w:t>
      </w:r>
      <w:r w:rsidR="00CE0970">
        <w:t>:</w:t>
      </w:r>
      <w:r>
        <w:t xml:space="preserve"> 38</w:t>
      </w:r>
      <w:r w:rsidR="00F120D1">
        <w:t xml:space="preserve"> out of</w:t>
      </w:r>
      <w:r w:rsidR="001A6150">
        <w:t xml:space="preserve"> </w:t>
      </w:r>
      <w:r>
        <w:t>262</w:t>
      </w:r>
      <w:r w:rsidR="00D808B0">
        <w:t xml:space="preserve"> </w:t>
      </w:r>
      <w:r>
        <w:t>=</w:t>
      </w:r>
      <w:r w:rsidR="00D808B0">
        <w:t xml:space="preserve"> </w:t>
      </w:r>
      <w:r>
        <w:t>15%</w:t>
      </w:r>
    </w:p>
    <w:p w14:paraId="13C82147" w14:textId="77777777" w:rsidR="00F377D5" w:rsidRDefault="00F377D5" w:rsidP="00F377D5">
      <w:r>
        <w:t>Given the study was open-label, patients may have dropped out of the TPC arm due to knowledge of their treatment assignment.</w:t>
      </w:r>
    </w:p>
    <w:p w14:paraId="7FB16007" w14:textId="754CDA5B" w:rsidR="00F377D5" w:rsidRDefault="00F377D5" w:rsidP="00F377D5">
      <w:r>
        <w:t>Following a meeting on 27 March 2020, the data monitoring committee (DMC) recommended that the study be stopped for efficacy. The date of data cut-off was 11</w:t>
      </w:r>
      <w:r w:rsidR="00CE0970">
        <w:t> </w:t>
      </w:r>
      <w:r>
        <w:t>Mar</w:t>
      </w:r>
      <w:r w:rsidR="004575C7">
        <w:t xml:space="preserve">ch </w:t>
      </w:r>
      <w:r>
        <w:t>2020. At that time no patients in the TPC group and 1</w:t>
      </w:r>
      <w:r w:rsidR="00193A57">
        <w:t>7</w:t>
      </w:r>
      <w:r>
        <w:t xml:space="preserve"> patients (6%) in the </w:t>
      </w:r>
      <w:proofErr w:type="spellStart"/>
      <w:r w:rsidR="00CE0970">
        <w:t>sacituzumab</w:t>
      </w:r>
      <w:proofErr w:type="spellEnd"/>
      <w:r w:rsidR="00CE0970">
        <w:t xml:space="preserve"> </w:t>
      </w:r>
      <w:proofErr w:type="spellStart"/>
      <w:r w:rsidR="00CE0970">
        <w:t>govitecan</w:t>
      </w:r>
      <w:proofErr w:type="spellEnd"/>
      <w:r>
        <w:t xml:space="preserve"> group were still on study treatment.</w:t>
      </w:r>
    </w:p>
    <w:p w14:paraId="52BDF86F" w14:textId="64283E1F" w:rsidR="00F377D5" w:rsidRDefault="00F377D5" w:rsidP="00F377D5">
      <w:r>
        <w:t xml:space="preserve">As of </w:t>
      </w:r>
      <w:r w:rsidR="00CE0970">
        <w:t>11</w:t>
      </w:r>
      <w:r>
        <w:t xml:space="preserve"> March 2020, data cut</w:t>
      </w:r>
      <w:r w:rsidR="004575C7">
        <w:t xml:space="preserve"> </w:t>
      </w:r>
      <w:r>
        <w:t>off, the median follow-up time from patients’ randomisation date was 17.7 months (range, 5.8 to 28.1).</w:t>
      </w:r>
    </w:p>
    <w:p w14:paraId="5CF098F5" w14:textId="77B9BA6E" w:rsidR="00F377D5" w:rsidRDefault="00F377D5" w:rsidP="00F377D5">
      <w:r>
        <w:t xml:space="preserve">Exposure and duration of treatment in each arm is summarised in </w:t>
      </w:r>
      <w:r>
        <w:fldChar w:fldCharType="begin"/>
      </w:r>
      <w:r>
        <w:instrText xml:space="preserve"> REF _Ref90383638 \h </w:instrText>
      </w:r>
      <w:r>
        <w:fldChar w:fldCharType="separate"/>
      </w:r>
      <w:r w:rsidRPr="00F377D5">
        <w:t>Table 7</w:t>
      </w:r>
      <w:r>
        <w:fldChar w:fldCharType="end"/>
      </w:r>
      <w:r>
        <w:t>.</w:t>
      </w:r>
    </w:p>
    <w:p w14:paraId="1528D8A8" w14:textId="76E40639" w:rsidR="00F377D5" w:rsidRPr="00F377D5" w:rsidRDefault="00F377D5" w:rsidP="00F377D5">
      <w:pPr>
        <w:pStyle w:val="TableTitle"/>
      </w:pPr>
      <w:bookmarkStart w:id="48" w:name="_Ref90383638"/>
      <w:r w:rsidRPr="00F377D5">
        <w:t xml:space="preserve">Table </w:t>
      </w:r>
      <w:fldSimple w:instr=" SEQ Table \* ARABIC ">
        <w:r w:rsidR="007D09B2">
          <w:rPr>
            <w:noProof/>
          </w:rPr>
          <w:t>7</w:t>
        </w:r>
      </w:fldSimple>
      <w:bookmarkEnd w:id="48"/>
      <w:r w:rsidRPr="00F377D5">
        <w:t>:</w:t>
      </w:r>
      <w:r>
        <w:t xml:space="preserve"> </w:t>
      </w:r>
      <w:r w:rsidR="00CE0970">
        <w:t>Study IMMU-132-05 (</w:t>
      </w:r>
      <w:r w:rsidRPr="00F377D5">
        <w:t>ASCENT</w:t>
      </w:r>
      <w:r w:rsidR="00ED1091">
        <w:t xml:space="preserve"> trial</w:t>
      </w:r>
      <w:r w:rsidR="00CE0970">
        <w:t>) Exposure and duration of treatment</w:t>
      </w:r>
      <w:r w:rsidRPr="00F377D5">
        <w:t>, by treatment arm</w:t>
      </w:r>
    </w:p>
    <w:tbl>
      <w:tblPr>
        <w:tblW w:w="89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060"/>
        <w:gridCol w:w="1191"/>
        <w:gridCol w:w="1168"/>
        <w:gridCol w:w="1169"/>
        <w:gridCol w:w="1168"/>
        <w:gridCol w:w="1169"/>
      </w:tblGrid>
      <w:tr w:rsidR="00F377D5" w14:paraId="0D00B1E7" w14:textId="77777777" w:rsidTr="001A6150">
        <w:trPr>
          <w:trHeight w:val="20"/>
          <w:tblHeader/>
        </w:trPr>
        <w:tc>
          <w:tcPr>
            <w:tcW w:w="3060" w:type="dxa"/>
            <w:vMerge w:val="restart"/>
            <w:tcBorders>
              <w:top w:val="single" w:sz="4" w:space="0" w:color="000000"/>
              <w:left w:val="single" w:sz="4" w:space="0" w:color="000000"/>
              <w:bottom w:val="single" w:sz="4" w:space="0" w:color="000000"/>
              <w:right w:val="single" w:sz="4" w:space="0" w:color="auto"/>
            </w:tcBorders>
            <w:shd w:val="clear" w:color="auto" w:fill="006DA7" w:themeFill="accent3"/>
            <w:vAlign w:val="bottom"/>
          </w:tcPr>
          <w:p w14:paraId="5B0C5CDA" w14:textId="77777777" w:rsidR="00F377D5" w:rsidRDefault="00F377D5">
            <w:pPr>
              <w:pStyle w:val="Tabletext"/>
              <w:rPr>
                <w:b/>
                <w:bCs/>
                <w:color w:val="FFFFFF" w:themeColor="background1"/>
              </w:rPr>
            </w:pPr>
          </w:p>
        </w:tc>
        <w:tc>
          <w:tcPr>
            <w:tcW w:w="1191" w:type="dxa"/>
            <w:vMerge w:val="restart"/>
            <w:tcBorders>
              <w:top w:val="single" w:sz="4" w:space="0" w:color="000000"/>
              <w:left w:val="single" w:sz="4" w:space="0" w:color="000000"/>
              <w:bottom w:val="single" w:sz="4" w:space="0" w:color="000000"/>
              <w:right w:val="single" w:sz="4" w:space="0" w:color="auto"/>
            </w:tcBorders>
            <w:shd w:val="clear" w:color="auto" w:fill="006DA7" w:themeFill="accent3"/>
            <w:vAlign w:val="bottom"/>
            <w:hideMark/>
          </w:tcPr>
          <w:p w14:paraId="0452FD67" w14:textId="24CFA62E" w:rsidR="00F377D5" w:rsidRPr="00CE0970" w:rsidRDefault="00CE0970">
            <w:pPr>
              <w:pStyle w:val="Tabletext"/>
              <w:jc w:val="center"/>
              <w:rPr>
                <w:b/>
                <w:bCs/>
                <w:color w:val="FFFFFF" w:themeColor="background1"/>
              </w:rPr>
            </w:pPr>
            <w:r w:rsidRPr="001A6150">
              <w:rPr>
                <w:color w:val="FFFFFF" w:themeColor="background1"/>
              </w:rPr>
              <w:t xml:space="preserve">Sacituzumab </w:t>
            </w:r>
            <w:proofErr w:type="spellStart"/>
            <w:proofErr w:type="gramStart"/>
            <w:r w:rsidRPr="001A6150">
              <w:rPr>
                <w:color w:val="FFFFFF" w:themeColor="background1"/>
              </w:rPr>
              <w:t>govitecan</w:t>
            </w:r>
            <w:proofErr w:type="spellEnd"/>
            <w:r w:rsidRPr="00CE0970" w:rsidDel="00CE0970">
              <w:rPr>
                <w:b/>
                <w:bCs/>
                <w:color w:val="FFFFFF" w:themeColor="background1"/>
              </w:rPr>
              <w:t xml:space="preserve"> </w:t>
            </w:r>
            <w:r w:rsidR="00F377D5" w:rsidRPr="00CE0970">
              <w:rPr>
                <w:b/>
                <w:bCs/>
                <w:color w:val="FFFFFF" w:themeColor="background1"/>
              </w:rPr>
              <w:t xml:space="preserve"> arm</w:t>
            </w:r>
            <w:proofErr w:type="gramEnd"/>
          </w:p>
        </w:tc>
        <w:tc>
          <w:tcPr>
            <w:tcW w:w="4674" w:type="dxa"/>
            <w:gridSpan w:val="4"/>
            <w:tcBorders>
              <w:top w:val="single" w:sz="4" w:space="0" w:color="000000"/>
              <w:left w:val="single" w:sz="4" w:space="0" w:color="000000"/>
              <w:bottom w:val="single" w:sz="4" w:space="0" w:color="000000"/>
              <w:right w:val="single" w:sz="4" w:space="0" w:color="auto"/>
            </w:tcBorders>
            <w:shd w:val="clear" w:color="auto" w:fill="006DA7" w:themeFill="accent3"/>
            <w:vAlign w:val="bottom"/>
            <w:hideMark/>
          </w:tcPr>
          <w:p w14:paraId="7ED00299" w14:textId="77777777" w:rsidR="00F377D5" w:rsidRDefault="00F377D5">
            <w:pPr>
              <w:pStyle w:val="Tabletext"/>
              <w:jc w:val="center"/>
              <w:rPr>
                <w:b/>
                <w:bCs/>
                <w:color w:val="FFFFFF" w:themeColor="background1"/>
              </w:rPr>
            </w:pPr>
            <w:r>
              <w:rPr>
                <w:b/>
                <w:bCs/>
                <w:color w:val="FFFFFF" w:themeColor="background1"/>
              </w:rPr>
              <w:t>TPC arm</w:t>
            </w:r>
          </w:p>
        </w:tc>
      </w:tr>
      <w:tr w:rsidR="00F377D5" w14:paraId="4CF4578F" w14:textId="77777777" w:rsidTr="001A6150">
        <w:trPr>
          <w:trHeight w:val="20"/>
        </w:trPr>
        <w:tc>
          <w:tcPr>
            <w:tcW w:w="3060" w:type="dxa"/>
            <w:vMerge/>
            <w:tcBorders>
              <w:top w:val="single" w:sz="4" w:space="0" w:color="000000"/>
              <w:left w:val="single" w:sz="4" w:space="0" w:color="000000"/>
              <w:bottom w:val="single" w:sz="4" w:space="0" w:color="000000"/>
              <w:right w:val="single" w:sz="4" w:space="0" w:color="auto"/>
            </w:tcBorders>
            <w:vAlign w:val="center"/>
            <w:hideMark/>
          </w:tcPr>
          <w:p w14:paraId="6EB5AA61" w14:textId="77777777" w:rsidR="00F377D5" w:rsidRDefault="00F377D5">
            <w:pPr>
              <w:spacing w:before="0" w:after="0" w:line="0" w:lineRule="auto"/>
              <w:rPr>
                <w:b/>
                <w:bCs/>
                <w:color w:val="FFFFFF" w:themeColor="background1"/>
                <w:sz w:val="19"/>
              </w:rPr>
            </w:pPr>
          </w:p>
        </w:tc>
        <w:tc>
          <w:tcPr>
            <w:tcW w:w="1191" w:type="dxa"/>
            <w:vMerge/>
            <w:tcBorders>
              <w:top w:val="single" w:sz="4" w:space="0" w:color="000000"/>
              <w:left w:val="single" w:sz="4" w:space="0" w:color="000000"/>
              <w:bottom w:val="single" w:sz="4" w:space="0" w:color="000000"/>
              <w:right w:val="single" w:sz="4" w:space="0" w:color="auto"/>
            </w:tcBorders>
            <w:vAlign w:val="center"/>
            <w:hideMark/>
          </w:tcPr>
          <w:p w14:paraId="4A5645AC" w14:textId="77777777" w:rsidR="00F377D5" w:rsidRDefault="00F377D5">
            <w:pPr>
              <w:spacing w:before="0" w:after="0" w:line="0" w:lineRule="auto"/>
              <w:rPr>
                <w:b/>
                <w:bCs/>
                <w:color w:val="FFFFFF" w:themeColor="background1"/>
                <w:sz w:val="19"/>
              </w:rPr>
            </w:pPr>
          </w:p>
        </w:tc>
        <w:tc>
          <w:tcPr>
            <w:tcW w:w="1168" w:type="dxa"/>
            <w:tcBorders>
              <w:top w:val="single" w:sz="4" w:space="0" w:color="000000"/>
              <w:left w:val="single" w:sz="4" w:space="0" w:color="000000"/>
              <w:bottom w:val="single" w:sz="4" w:space="0" w:color="000000"/>
              <w:right w:val="single" w:sz="4" w:space="0" w:color="auto"/>
            </w:tcBorders>
            <w:shd w:val="clear" w:color="auto" w:fill="006DA7" w:themeFill="accent3"/>
            <w:hideMark/>
          </w:tcPr>
          <w:p w14:paraId="6ABBA9D4" w14:textId="77777777" w:rsidR="00F377D5" w:rsidRDefault="00F377D5">
            <w:pPr>
              <w:pStyle w:val="Tabletext"/>
              <w:jc w:val="center"/>
              <w:rPr>
                <w:color w:val="FFFFFF" w:themeColor="background1"/>
              </w:rPr>
            </w:pPr>
            <w:proofErr w:type="spellStart"/>
            <w:r>
              <w:rPr>
                <w:color w:val="FFFFFF" w:themeColor="background1"/>
              </w:rPr>
              <w:t>Eribulin</w:t>
            </w:r>
            <w:proofErr w:type="spellEnd"/>
          </w:p>
        </w:tc>
        <w:tc>
          <w:tcPr>
            <w:tcW w:w="1169" w:type="dxa"/>
            <w:tcBorders>
              <w:top w:val="single" w:sz="4" w:space="0" w:color="000000"/>
              <w:left w:val="single" w:sz="4" w:space="0" w:color="000000"/>
              <w:bottom w:val="single" w:sz="4" w:space="0" w:color="000000"/>
              <w:right w:val="single" w:sz="4" w:space="0" w:color="auto"/>
            </w:tcBorders>
            <w:shd w:val="clear" w:color="auto" w:fill="006DA7" w:themeFill="accent3"/>
            <w:hideMark/>
          </w:tcPr>
          <w:p w14:paraId="3C6F1BC2" w14:textId="77777777" w:rsidR="00F377D5" w:rsidRDefault="00F377D5">
            <w:pPr>
              <w:pStyle w:val="Tabletext"/>
              <w:jc w:val="center"/>
              <w:rPr>
                <w:color w:val="FFFFFF" w:themeColor="background1"/>
              </w:rPr>
            </w:pPr>
            <w:r>
              <w:rPr>
                <w:color w:val="FFFFFF" w:themeColor="background1"/>
              </w:rPr>
              <w:t>Vinorelbine</w:t>
            </w:r>
          </w:p>
        </w:tc>
        <w:tc>
          <w:tcPr>
            <w:tcW w:w="1168" w:type="dxa"/>
            <w:tcBorders>
              <w:top w:val="single" w:sz="4" w:space="0" w:color="000000"/>
              <w:left w:val="single" w:sz="4" w:space="0" w:color="000000"/>
              <w:bottom w:val="single" w:sz="4" w:space="0" w:color="000000"/>
              <w:right w:val="single" w:sz="4" w:space="0" w:color="auto"/>
            </w:tcBorders>
            <w:shd w:val="clear" w:color="auto" w:fill="006DA7" w:themeFill="accent3"/>
            <w:hideMark/>
          </w:tcPr>
          <w:p w14:paraId="0D88B0FB" w14:textId="77777777" w:rsidR="00F377D5" w:rsidRDefault="00F377D5">
            <w:pPr>
              <w:pStyle w:val="Tabletext"/>
              <w:jc w:val="center"/>
              <w:rPr>
                <w:color w:val="FFFFFF" w:themeColor="background1"/>
              </w:rPr>
            </w:pPr>
            <w:r>
              <w:rPr>
                <w:color w:val="FFFFFF" w:themeColor="background1"/>
              </w:rPr>
              <w:t>Gemcitabine</w:t>
            </w:r>
          </w:p>
        </w:tc>
        <w:tc>
          <w:tcPr>
            <w:tcW w:w="1169" w:type="dxa"/>
            <w:tcBorders>
              <w:top w:val="single" w:sz="4" w:space="0" w:color="000000"/>
              <w:left w:val="single" w:sz="4" w:space="0" w:color="000000"/>
              <w:bottom w:val="single" w:sz="4" w:space="0" w:color="000000"/>
              <w:right w:val="single" w:sz="4" w:space="0" w:color="auto"/>
            </w:tcBorders>
            <w:shd w:val="clear" w:color="auto" w:fill="006DA7" w:themeFill="accent3"/>
            <w:hideMark/>
          </w:tcPr>
          <w:p w14:paraId="4FFA35F2" w14:textId="77777777" w:rsidR="00F377D5" w:rsidRDefault="00F377D5">
            <w:pPr>
              <w:pStyle w:val="Tabletext"/>
              <w:jc w:val="center"/>
              <w:rPr>
                <w:color w:val="FFFFFF" w:themeColor="background1"/>
              </w:rPr>
            </w:pPr>
            <w:r>
              <w:rPr>
                <w:color w:val="FFFFFF" w:themeColor="background1"/>
              </w:rPr>
              <w:t>Capecitabine</w:t>
            </w:r>
          </w:p>
        </w:tc>
      </w:tr>
      <w:tr w:rsidR="00F377D5" w14:paraId="4C8FAB57" w14:textId="77777777" w:rsidTr="001A6150">
        <w:trPr>
          <w:trHeight w:val="20"/>
        </w:trPr>
        <w:tc>
          <w:tcPr>
            <w:tcW w:w="3060" w:type="dxa"/>
            <w:tcBorders>
              <w:top w:val="single" w:sz="4" w:space="0" w:color="000000"/>
              <w:left w:val="single" w:sz="4" w:space="0" w:color="000000"/>
              <w:bottom w:val="single" w:sz="4" w:space="0" w:color="000000"/>
              <w:right w:val="single" w:sz="4" w:space="0" w:color="auto"/>
            </w:tcBorders>
            <w:hideMark/>
          </w:tcPr>
          <w:p w14:paraId="54CFF033" w14:textId="77777777" w:rsidR="00F377D5" w:rsidRDefault="00F377D5">
            <w:pPr>
              <w:pStyle w:val="Tabletext"/>
            </w:pPr>
            <w:r>
              <w:t>Median cycles, n (range)</w:t>
            </w:r>
          </w:p>
        </w:tc>
        <w:tc>
          <w:tcPr>
            <w:tcW w:w="1191" w:type="dxa"/>
            <w:tcBorders>
              <w:top w:val="single" w:sz="4" w:space="0" w:color="000000"/>
              <w:left w:val="single" w:sz="4" w:space="0" w:color="000000"/>
              <w:bottom w:val="single" w:sz="4" w:space="0" w:color="000000"/>
              <w:right w:val="single" w:sz="4" w:space="0" w:color="auto"/>
            </w:tcBorders>
            <w:hideMark/>
          </w:tcPr>
          <w:p w14:paraId="483EB9E8" w14:textId="77777777" w:rsidR="00F377D5" w:rsidRDefault="00F377D5">
            <w:pPr>
              <w:pStyle w:val="Tabletext"/>
              <w:jc w:val="center"/>
            </w:pPr>
            <w:r>
              <w:t>7</w:t>
            </w:r>
          </w:p>
          <w:p w14:paraId="296EC9E8" w14:textId="77777777" w:rsidR="00F377D5" w:rsidRDefault="00F377D5">
            <w:pPr>
              <w:pStyle w:val="Tabletext"/>
              <w:jc w:val="center"/>
            </w:pPr>
            <w:r>
              <w:t>(1-33)</w:t>
            </w:r>
          </w:p>
        </w:tc>
        <w:tc>
          <w:tcPr>
            <w:tcW w:w="1168" w:type="dxa"/>
            <w:tcBorders>
              <w:top w:val="single" w:sz="4" w:space="0" w:color="000000"/>
              <w:left w:val="single" w:sz="4" w:space="0" w:color="000000"/>
              <w:bottom w:val="single" w:sz="4" w:space="0" w:color="000000"/>
              <w:right w:val="single" w:sz="4" w:space="0" w:color="auto"/>
            </w:tcBorders>
            <w:hideMark/>
          </w:tcPr>
          <w:p w14:paraId="1A448DD8" w14:textId="77777777" w:rsidR="00F377D5" w:rsidRDefault="00F377D5">
            <w:pPr>
              <w:pStyle w:val="Tabletext"/>
              <w:jc w:val="center"/>
            </w:pPr>
            <w:r>
              <w:t xml:space="preserve">3 </w:t>
            </w:r>
          </w:p>
          <w:p w14:paraId="530252A9" w14:textId="77777777" w:rsidR="00F377D5" w:rsidRDefault="00F377D5">
            <w:pPr>
              <w:pStyle w:val="Tabletext"/>
              <w:jc w:val="center"/>
            </w:pPr>
            <w:r>
              <w:t>(1-21)</w:t>
            </w:r>
          </w:p>
        </w:tc>
        <w:tc>
          <w:tcPr>
            <w:tcW w:w="1169" w:type="dxa"/>
            <w:tcBorders>
              <w:top w:val="single" w:sz="4" w:space="0" w:color="000000"/>
              <w:left w:val="single" w:sz="4" w:space="0" w:color="000000"/>
              <w:bottom w:val="single" w:sz="4" w:space="0" w:color="000000"/>
              <w:right w:val="single" w:sz="4" w:space="0" w:color="auto"/>
            </w:tcBorders>
            <w:hideMark/>
          </w:tcPr>
          <w:p w14:paraId="1B2A0A45" w14:textId="77777777" w:rsidR="00F377D5" w:rsidRDefault="00F377D5">
            <w:pPr>
              <w:pStyle w:val="Tabletext"/>
              <w:jc w:val="center"/>
            </w:pPr>
            <w:r>
              <w:t xml:space="preserve">2 </w:t>
            </w:r>
          </w:p>
          <w:p w14:paraId="36D8A99F" w14:textId="77777777" w:rsidR="00F377D5" w:rsidRDefault="00F377D5">
            <w:pPr>
              <w:pStyle w:val="Tabletext"/>
              <w:jc w:val="center"/>
            </w:pPr>
            <w:r>
              <w:t>(1-15)</w:t>
            </w:r>
          </w:p>
        </w:tc>
        <w:tc>
          <w:tcPr>
            <w:tcW w:w="1168" w:type="dxa"/>
            <w:tcBorders>
              <w:top w:val="single" w:sz="4" w:space="0" w:color="000000"/>
              <w:left w:val="single" w:sz="4" w:space="0" w:color="000000"/>
              <w:bottom w:val="single" w:sz="4" w:space="0" w:color="000000"/>
              <w:right w:val="single" w:sz="4" w:space="0" w:color="auto"/>
            </w:tcBorders>
            <w:hideMark/>
          </w:tcPr>
          <w:p w14:paraId="30F00736" w14:textId="77777777" w:rsidR="00F377D5" w:rsidRDefault="00F377D5">
            <w:pPr>
              <w:pStyle w:val="Tabletext"/>
              <w:jc w:val="center"/>
            </w:pPr>
            <w:r>
              <w:t xml:space="preserve">2 </w:t>
            </w:r>
          </w:p>
          <w:p w14:paraId="03518347" w14:textId="77777777" w:rsidR="00F377D5" w:rsidRDefault="00F377D5">
            <w:pPr>
              <w:pStyle w:val="Tabletext"/>
              <w:jc w:val="center"/>
            </w:pPr>
            <w:r>
              <w:t>(1-9)</w:t>
            </w:r>
          </w:p>
        </w:tc>
        <w:tc>
          <w:tcPr>
            <w:tcW w:w="1169" w:type="dxa"/>
            <w:tcBorders>
              <w:top w:val="single" w:sz="4" w:space="0" w:color="000000"/>
              <w:left w:val="single" w:sz="4" w:space="0" w:color="000000"/>
              <w:bottom w:val="single" w:sz="4" w:space="0" w:color="000000"/>
              <w:right w:val="single" w:sz="4" w:space="0" w:color="auto"/>
            </w:tcBorders>
            <w:hideMark/>
          </w:tcPr>
          <w:p w14:paraId="6925FA68" w14:textId="77777777" w:rsidR="00F377D5" w:rsidRDefault="00F377D5">
            <w:pPr>
              <w:pStyle w:val="Tabletext"/>
              <w:jc w:val="center"/>
            </w:pPr>
            <w:r>
              <w:t xml:space="preserve">2 </w:t>
            </w:r>
          </w:p>
          <w:p w14:paraId="710449CA" w14:textId="77777777" w:rsidR="00F377D5" w:rsidRDefault="00F377D5">
            <w:pPr>
              <w:pStyle w:val="Tabletext"/>
              <w:jc w:val="center"/>
            </w:pPr>
            <w:r>
              <w:t>(1-15)</w:t>
            </w:r>
          </w:p>
        </w:tc>
      </w:tr>
      <w:tr w:rsidR="00F377D5" w14:paraId="698D2371" w14:textId="77777777" w:rsidTr="001A6150">
        <w:trPr>
          <w:trHeight w:val="20"/>
        </w:trPr>
        <w:tc>
          <w:tcPr>
            <w:tcW w:w="3060" w:type="dxa"/>
            <w:tcBorders>
              <w:top w:val="single" w:sz="4" w:space="0" w:color="000000"/>
              <w:left w:val="single" w:sz="4" w:space="0" w:color="000000"/>
              <w:bottom w:val="single" w:sz="4" w:space="0" w:color="000000"/>
              <w:right w:val="single" w:sz="4" w:space="0" w:color="auto"/>
            </w:tcBorders>
            <w:hideMark/>
          </w:tcPr>
          <w:p w14:paraId="3EAD043E" w14:textId="77777777" w:rsidR="00F377D5" w:rsidRDefault="00F377D5">
            <w:pPr>
              <w:pStyle w:val="Tabletext"/>
            </w:pPr>
            <w:r>
              <w:t>Median treatment duration, months (range)</w:t>
            </w:r>
          </w:p>
        </w:tc>
        <w:tc>
          <w:tcPr>
            <w:tcW w:w="1191" w:type="dxa"/>
            <w:tcBorders>
              <w:top w:val="single" w:sz="4" w:space="0" w:color="000000"/>
              <w:left w:val="single" w:sz="4" w:space="0" w:color="000000"/>
              <w:bottom w:val="single" w:sz="4" w:space="0" w:color="000000"/>
              <w:right w:val="single" w:sz="4" w:space="0" w:color="auto"/>
            </w:tcBorders>
            <w:hideMark/>
          </w:tcPr>
          <w:p w14:paraId="0E889DFC" w14:textId="77777777" w:rsidR="00F377D5" w:rsidRDefault="00F377D5">
            <w:pPr>
              <w:pStyle w:val="Tabletext"/>
              <w:jc w:val="center"/>
            </w:pPr>
            <w:r>
              <w:t xml:space="preserve">4.4 </w:t>
            </w:r>
          </w:p>
          <w:p w14:paraId="2A218FC2" w14:textId="77777777" w:rsidR="00F377D5" w:rsidRDefault="00F377D5">
            <w:pPr>
              <w:pStyle w:val="Tabletext"/>
              <w:jc w:val="center"/>
            </w:pPr>
            <w:r>
              <w:t>(0.03-22.9)</w:t>
            </w:r>
          </w:p>
        </w:tc>
        <w:tc>
          <w:tcPr>
            <w:tcW w:w="1168" w:type="dxa"/>
            <w:tcBorders>
              <w:top w:val="single" w:sz="4" w:space="0" w:color="000000"/>
              <w:left w:val="single" w:sz="4" w:space="0" w:color="000000"/>
              <w:bottom w:val="single" w:sz="4" w:space="0" w:color="000000"/>
              <w:right w:val="single" w:sz="4" w:space="0" w:color="auto"/>
            </w:tcBorders>
            <w:hideMark/>
          </w:tcPr>
          <w:p w14:paraId="6494DCB1" w14:textId="77777777" w:rsidR="00F377D5" w:rsidRDefault="00F377D5">
            <w:pPr>
              <w:pStyle w:val="Tabletext"/>
              <w:jc w:val="center"/>
            </w:pPr>
            <w:r>
              <w:t xml:space="preserve">1.6 </w:t>
            </w:r>
          </w:p>
          <w:p w14:paraId="3DE35CA0" w14:textId="77777777" w:rsidR="00F377D5" w:rsidRDefault="00F377D5">
            <w:pPr>
              <w:pStyle w:val="Tabletext"/>
              <w:jc w:val="center"/>
            </w:pPr>
            <w:r>
              <w:t>(0.03-15.3)</w:t>
            </w:r>
          </w:p>
        </w:tc>
        <w:tc>
          <w:tcPr>
            <w:tcW w:w="1169" w:type="dxa"/>
            <w:tcBorders>
              <w:top w:val="single" w:sz="4" w:space="0" w:color="000000"/>
              <w:left w:val="single" w:sz="4" w:space="0" w:color="000000"/>
              <w:bottom w:val="single" w:sz="4" w:space="0" w:color="000000"/>
              <w:right w:val="single" w:sz="4" w:space="0" w:color="auto"/>
            </w:tcBorders>
            <w:hideMark/>
          </w:tcPr>
          <w:p w14:paraId="5665364C" w14:textId="77777777" w:rsidR="00F377D5" w:rsidRDefault="00F377D5">
            <w:pPr>
              <w:pStyle w:val="Tabletext"/>
              <w:jc w:val="center"/>
            </w:pPr>
            <w:r>
              <w:t xml:space="preserve">1.0 </w:t>
            </w:r>
          </w:p>
          <w:p w14:paraId="03E0E917" w14:textId="77777777" w:rsidR="00F377D5" w:rsidRDefault="00F377D5">
            <w:pPr>
              <w:pStyle w:val="Tabletext"/>
              <w:jc w:val="center"/>
            </w:pPr>
            <w:r>
              <w:t>(0.03-11.5)</w:t>
            </w:r>
          </w:p>
        </w:tc>
        <w:tc>
          <w:tcPr>
            <w:tcW w:w="1168" w:type="dxa"/>
            <w:tcBorders>
              <w:top w:val="single" w:sz="4" w:space="0" w:color="000000"/>
              <w:left w:val="single" w:sz="4" w:space="0" w:color="000000"/>
              <w:bottom w:val="single" w:sz="4" w:space="0" w:color="000000"/>
              <w:right w:val="single" w:sz="4" w:space="0" w:color="auto"/>
            </w:tcBorders>
            <w:hideMark/>
          </w:tcPr>
          <w:p w14:paraId="665AC4E9" w14:textId="77777777" w:rsidR="00F377D5" w:rsidRDefault="00F377D5">
            <w:pPr>
              <w:pStyle w:val="Tabletext"/>
              <w:jc w:val="center"/>
            </w:pPr>
            <w:r>
              <w:t xml:space="preserve">1.4 </w:t>
            </w:r>
          </w:p>
          <w:p w14:paraId="43410945" w14:textId="77777777" w:rsidR="00F377D5" w:rsidRDefault="00F377D5">
            <w:pPr>
              <w:pStyle w:val="Tabletext"/>
              <w:jc w:val="center"/>
            </w:pPr>
            <w:r>
              <w:t>(0.2-8.1)</w:t>
            </w:r>
          </w:p>
        </w:tc>
        <w:tc>
          <w:tcPr>
            <w:tcW w:w="1169" w:type="dxa"/>
            <w:tcBorders>
              <w:top w:val="single" w:sz="4" w:space="0" w:color="000000"/>
              <w:left w:val="single" w:sz="4" w:space="0" w:color="000000"/>
              <w:bottom w:val="single" w:sz="4" w:space="0" w:color="000000"/>
              <w:right w:val="single" w:sz="4" w:space="0" w:color="auto"/>
            </w:tcBorders>
            <w:hideMark/>
          </w:tcPr>
          <w:p w14:paraId="310D61C0" w14:textId="77777777" w:rsidR="00F377D5" w:rsidRDefault="00F377D5">
            <w:pPr>
              <w:pStyle w:val="Tabletext"/>
              <w:jc w:val="center"/>
            </w:pPr>
            <w:r>
              <w:t xml:space="preserve">1.2 </w:t>
            </w:r>
          </w:p>
          <w:p w14:paraId="696BD9BD" w14:textId="77777777" w:rsidR="00F377D5" w:rsidRDefault="00F377D5">
            <w:pPr>
              <w:pStyle w:val="Tabletext"/>
              <w:jc w:val="center"/>
            </w:pPr>
            <w:r>
              <w:t>(0.3-10.6)</w:t>
            </w:r>
          </w:p>
        </w:tc>
      </w:tr>
      <w:tr w:rsidR="00F377D5" w14:paraId="32AA225B" w14:textId="77777777" w:rsidTr="001A6150">
        <w:trPr>
          <w:trHeight w:val="20"/>
        </w:trPr>
        <w:tc>
          <w:tcPr>
            <w:tcW w:w="3060" w:type="dxa"/>
            <w:tcBorders>
              <w:top w:val="single" w:sz="4" w:space="0" w:color="000000"/>
              <w:left w:val="single" w:sz="4" w:space="0" w:color="000000"/>
              <w:bottom w:val="single" w:sz="4" w:space="0" w:color="000000"/>
              <w:right w:val="single" w:sz="4" w:space="0" w:color="auto"/>
            </w:tcBorders>
            <w:hideMark/>
          </w:tcPr>
          <w:p w14:paraId="66958296" w14:textId="1A44122F" w:rsidR="00F377D5" w:rsidRDefault="00F377D5">
            <w:pPr>
              <w:pStyle w:val="Tabletext"/>
            </w:pPr>
            <w:r>
              <w:t>Treatment duration ≥</w:t>
            </w:r>
            <w:r w:rsidR="00D820E6">
              <w:t xml:space="preserve"> </w:t>
            </w:r>
            <w:r>
              <w:t>6 months</w:t>
            </w:r>
          </w:p>
        </w:tc>
        <w:tc>
          <w:tcPr>
            <w:tcW w:w="1191" w:type="dxa"/>
            <w:tcBorders>
              <w:top w:val="single" w:sz="4" w:space="0" w:color="000000"/>
              <w:left w:val="single" w:sz="4" w:space="0" w:color="000000"/>
              <w:bottom w:val="single" w:sz="4" w:space="0" w:color="000000"/>
              <w:right w:val="single" w:sz="4" w:space="0" w:color="auto"/>
            </w:tcBorders>
            <w:hideMark/>
          </w:tcPr>
          <w:p w14:paraId="10BF9AD9" w14:textId="77777777" w:rsidR="00F377D5" w:rsidRDefault="00F377D5">
            <w:pPr>
              <w:pStyle w:val="Tabletext"/>
              <w:jc w:val="center"/>
            </w:pPr>
            <w:r>
              <w:t>37%</w:t>
            </w:r>
          </w:p>
        </w:tc>
        <w:tc>
          <w:tcPr>
            <w:tcW w:w="4674" w:type="dxa"/>
            <w:gridSpan w:val="4"/>
            <w:tcBorders>
              <w:top w:val="single" w:sz="4" w:space="0" w:color="000000"/>
              <w:left w:val="single" w:sz="4" w:space="0" w:color="000000"/>
              <w:bottom w:val="single" w:sz="4" w:space="0" w:color="000000"/>
              <w:right w:val="single" w:sz="4" w:space="0" w:color="auto"/>
            </w:tcBorders>
            <w:hideMark/>
          </w:tcPr>
          <w:p w14:paraId="21A42EF5" w14:textId="77777777" w:rsidR="00F377D5" w:rsidRDefault="00F377D5">
            <w:pPr>
              <w:pStyle w:val="Tabletext"/>
              <w:jc w:val="center"/>
            </w:pPr>
            <w:r>
              <w:t>6%</w:t>
            </w:r>
          </w:p>
        </w:tc>
      </w:tr>
      <w:tr w:rsidR="00F377D5" w14:paraId="6ADF5857" w14:textId="77777777" w:rsidTr="001A6150">
        <w:trPr>
          <w:trHeight w:val="20"/>
        </w:trPr>
        <w:tc>
          <w:tcPr>
            <w:tcW w:w="3060" w:type="dxa"/>
            <w:tcBorders>
              <w:top w:val="single" w:sz="4" w:space="0" w:color="000000"/>
              <w:left w:val="single" w:sz="4" w:space="0" w:color="000000"/>
              <w:bottom w:val="single" w:sz="4" w:space="0" w:color="000000"/>
              <w:right w:val="single" w:sz="4" w:space="0" w:color="auto"/>
            </w:tcBorders>
            <w:hideMark/>
          </w:tcPr>
          <w:p w14:paraId="43F4BD1F" w14:textId="407A652C" w:rsidR="00F377D5" w:rsidRDefault="00F377D5">
            <w:pPr>
              <w:pStyle w:val="Tabletext"/>
            </w:pPr>
            <w:r>
              <w:t>Treatment duration ≥</w:t>
            </w:r>
            <w:r w:rsidR="00D820E6">
              <w:t xml:space="preserve"> </w:t>
            </w:r>
            <w:r>
              <w:t>12 months</w:t>
            </w:r>
          </w:p>
        </w:tc>
        <w:tc>
          <w:tcPr>
            <w:tcW w:w="1191" w:type="dxa"/>
            <w:tcBorders>
              <w:top w:val="single" w:sz="4" w:space="0" w:color="000000"/>
              <w:left w:val="single" w:sz="4" w:space="0" w:color="000000"/>
              <w:bottom w:val="single" w:sz="4" w:space="0" w:color="000000"/>
              <w:right w:val="single" w:sz="4" w:space="0" w:color="auto"/>
            </w:tcBorders>
            <w:hideMark/>
          </w:tcPr>
          <w:p w14:paraId="1F0833B8" w14:textId="77777777" w:rsidR="00F377D5" w:rsidRDefault="00F377D5">
            <w:pPr>
              <w:pStyle w:val="Tabletext"/>
              <w:jc w:val="center"/>
            </w:pPr>
            <w:r>
              <w:t>10%</w:t>
            </w:r>
          </w:p>
        </w:tc>
        <w:tc>
          <w:tcPr>
            <w:tcW w:w="4674" w:type="dxa"/>
            <w:gridSpan w:val="4"/>
            <w:tcBorders>
              <w:top w:val="single" w:sz="4" w:space="0" w:color="000000"/>
              <w:left w:val="single" w:sz="4" w:space="0" w:color="000000"/>
              <w:bottom w:val="single" w:sz="4" w:space="0" w:color="000000"/>
              <w:right w:val="single" w:sz="4" w:space="0" w:color="auto"/>
            </w:tcBorders>
            <w:hideMark/>
          </w:tcPr>
          <w:p w14:paraId="18B4CB13" w14:textId="4D26F4B9" w:rsidR="00F377D5" w:rsidRDefault="00F377D5">
            <w:pPr>
              <w:pStyle w:val="Tabletext"/>
              <w:jc w:val="center"/>
            </w:pPr>
            <w:r>
              <w:t>0.</w:t>
            </w:r>
            <w:r w:rsidR="00193A57">
              <w:t>5</w:t>
            </w:r>
            <w:r>
              <w:t>%</w:t>
            </w:r>
          </w:p>
        </w:tc>
      </w:tr>
    </w:tbl>
    <w:p w14:paraId="41C1E832" w14:textId="607CF759" w:rsidR="00F377D5" w:rsidRDefault="00F377D5" w:rsidP="00F377D5">
      <w:r>
        <w:t xml:space="preserve">Dose reductions occurred in a similar percentage of </w:t>
      </w:r>
      <w:proofErr w:type="spellStart"/>
      <w:r w:rsidR="00CE0970">
        <w:t>sacituzumab</w:t>
      </w:r>
      <w:proofErr w:type="spellEnd"/>
      <w:r w:rsidR="00CE0970">
        <w:t xml:space="preserve"> </w:t>
      </w:r>
      <w:proofErr w:type="spellStart"/>
      <w:r w:rsidR="00CE0970">
        <w:t>govitecan</w:t>
      </w:r>
      <w:proofErr w:type="spellEnd"/>
      <w:r>
        <w:t xml:space="preserve"> and TPC arms (25% v</w:t>
      </w:r>
      <w:r w:rsidR="004575C7">
        <w:t>ersu</w:t>
      </w:r>
      <w:r>
        <w:t xml:space="preserve">s 28%); however, median time to the first dose reduction was longer in the </w:t>
      </w:r>
      <w:proofErr w:type="spellStart"/>
      <w:r w:rsidR="00CE0970">
        <w:t>sacituzumab</w:t>
      </w:r>
      <w:proofErr w:type="spellEnd"/>
      <w:r w:rsidR="00CE0970">
        <w:t xml:space="preserve"> </w:t>
      </w:r>
      <w:proofErr w:type="spellStart"/>
      <w:r w:rsidR="00CE0970">
        <w:t>govitecan</w:t>
      </w:r>
      <w:proofErr w:type="spellEnd"/>
      <w:r>
        <w:t xml:space="preserve"> arm compared with the TPC arm (51 days v</w:t>
      </w:r>
      <w:r w:rsidR="004575C7">
        <w:t>ersu</w:t>
      </w:r>
      <w:r>
        <w:t>s 22 days).</w:t>
      </w:r>
    </w:p>
    <w:p w14:paraId="558CD49D" w14:textId="12D02D8B" w:rsidR="00F377D5" w:rsidRDefault="00F377D5" w:rsidP="00F377D5">
      <w:r>
        <w:t xml:space="preserve">The main reason for discontinuing treatment was progressive disease: </w:t>
      </w:r>
      <w:proofErr w:type="spellStart"/>
      <w:r w:rsidR="00CE0970">
        <w:t>sacituzumab</w:t>
      </w:r>
      <w:proofErr w:type="spellEnd"/>
      <w:r w:rsidR="00CE0970">
        <w:t xml:space="preserve"> </w:t>
      </w:r>
      <w:proofErr w:type="spellStart"/>
      <w:r w:rsidR="00CE0970">
        <w:t>govitecan</w:t>
      </w:r>
      <w:proofErr w:type="spellEnd"/>
      <w:r>
        <w:t xml:space="preserve"> </w:t>
      </w:r>
      <w:r w:rsidR="00B12966">
        <w:t xml:space="preserve">222 </w:t>
      </w:r>
      <w:r>
        <w:t>(</w:t>
      </w:r>
      <w:r w:rsidR="00B12966">
        <w:t>83</w:t>
      </w:r>
      <w:r>
        <w:t xml:space="preserve">%), TPC </w:t>
      </w:r>
      <w:r w:rsidR="00B12966">
        <w:t xml:space="preserve">184 </w:t>
      </w:r>
      <w:r>
        <w:t>(</w:t>
      </w:r>
      <w:r w:rsidR="00B12966">
        <w:t>70</w:t>
      </w:r>
      <w:r>
        <w:t>%). Survival status at data cut</w:t>
      </w:r>
      <w:r w:rsidR="004575C7">
        <w:t xml:space="preserve"> </w:t>
      </w:r>
      <w:r>
        <w:t xml:space="preserve">off is presented in </w:t>
      </w:r>
      <w:r>
        <w:fldChar w:fldCharType="begin"/>
      </w:r>
      <w:r>
        <w:instrText xml:space="preserve"> REF _Ref90383709 \h </w:instrText>
      </w:r>
      <w:r>
        <w:fldChar w:fldCharType="separate"/>
      </w:r>
      <w:r>
        <w:t>Table</w:t>
      </w:r>
      <w:r w:rsidR="00CE0970">
        <w:t> </w:t>
      </w:r>
      <w:r>
        <w:rPr>
          <w:noProof/>
        </w:rPr>
        <w:t>8</w:t>
      </w:r>
      <w:r>
        <w:fldChar w:fldCharType="end"/>
      </w:r>
      <w:r>
        <w:t>.</w:t>
      </w:r>
    </w:p>
    <w:p w14:paraId="16C580D3" w14:textId="7C0D8B7E" w:rsidR="00F377D5" w:rsidRDefault="00F377D5" w:rsidP="00F377D5">
      <w:pPr>
        <w:pStyle w:val="TableTitle"/>
      </w:pPr>
      <w:bookmarkStart w:id="49" w:name="_Ref90383709"/>
      <w:r>
        <w:t xml:space="preserve">Table </w:t>
      </w:r>
      <w:fldSimple w:instr=" SEQ Table \* ARABIC ">
        <w:r w:rsidR="007D09B2">
          <w:rPr>
            <w:noProof/>
          </w:rPr>
          <w:t>8</w:t>
        </w:r>
      </w:fldSimple>
      <w:bookmarkEnd w:id="49"/>
      <w:r>
        <w:t xml:space="preserve">: </w:t>
      </w:r>
      <w:r w:rsidR="00CE0970">
        <w:t xml:space="preserve">Study IMMU-132-05 (ASCENT trial) </w:t>
      </w:r>
      <w:r>
        <w:t xml:space="preserve">Survival status at data </w:t>
      </w:r>
      <w:proofErr w:type="spellStart"/>
      <w:r>
        <w:t>cut off</w:t>
      </w:r>
      <w:proofErr w:type="spellEnd"/>
      <w:r>
        <w:t xml:space="preserve"> </w:t>
      </w:r>
      <w:r w:rsidR="00CE0970">
        <w:t xml:space="preserve">date of </w:t>
      </w:r>
      <w:r>
        <w:t>11</w:t>
      </w:r>
      <w:r w:rsidR="00CE0970">
        <w:t> </w:t>
      </w:r>
      <w:r>
        <w:t>Mar</w:t>
      </w:r>
      <w:r w:rsidR="00CE0970">
        <w:t>ch </w:t>
      </w:r>
      <w:r>
        <w:t>2020</w:t>
      </w:r>
    </w:p>
    <w:tbl>
      <w:tblPr>
        <w:tblW w:w="89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117"/>
        <w:gridCol w:w="3003"/>
        <w:gridCol w:w="2790"/>
      </w:tblGrid>
      <w:tr w:rsidR="00F377D5" w14:paraId="576B9635" w14:textId="77777777" w:rsidTr="001A6150">
        <w:trPr>
          <w:trHeight w:val="321"/>
          <w:tblHeader/>
        </w:trPr>
        <w:tc>
          <w:tcPr>
            <w:tcW w:w="3117" w:type="dxa"/>
            <w:tcBorders>
              <w:top w:val="single" w:sz="4" w:space="0" w:color="000000"/>
              <w:left w:val="single" w:sz="4" w:space="0" w:color="000000"/>
              <w:bottom w:val="single" w:sz="4" w:space="0" w:color="000000"/>
              <w:right w:val="single" w:sz="4" w:space="0" w:color="auto"/>
            </w:tcBorders>
            <w:shd w:val="clear" w:color="auto" w:fill="006DA7" w:themeFill="accent3"/>
            <w:vAlign w:val="bottom"/>
          </w:tcPr>
          <w:p w14:paraId="31EBE6CF" w14:textId="77777777" w:rsidR="00F377D5" w:rsidRDefault="00F377D5">
            <w:pPr>
              <w:pStyle w:val="Tabletext"/>
              <w:rPr>
                <w:b/>
                <w:bCs/>
                <w:color w:val="FFFFFF" w:themeColor="background1"/>
              </w:rPr>
            </w:pPr>
          </w:p>
        </w:tc>
        <w:tc>
          <w:tcPr>
            <w:tcW w:w="3003" w:type="dxa"/>
            <w:tcBorders>
              <w:top w:val="single" w:sz="4" w:space="0" w:color="000000"/>
              <w:left w:val="single" w:sz="4" w:space="0" w:color="000000"/>
              <w:bottom w:val="single" w:sz="4" w:space="0" w:color="000000"/>
              <w:right w:val="single" w:sz="4" w:space="0" w:color="auto"/>
            </w:tcBorders>
            <w:shd w:val="clear" w:color="auto" w:fill="006DA7" w:themeFill="accent3"/>
            <w:vAlign w:val="bottom"/>
            <w:hideMark/>
          </w:tcPr>
          <w:p w14:paraId="420269F7" w14:textId="0D16AB99" w:rsidR="00F377D5" w:rsidRDefault="00CE0970">
            <w:pPr>
              <w:pStyle w:val="Tabletext"/>
              <w:jc w:val="center"/>
              <w:rPr>
                <w:b/>
                <w:bCs/>
                <w:color w:val="FFFFFF" w:themeColor="background1"/>
              </w:rPr>
            </w:pPr>
            <w:r>
              <w:rPr>
                <w:b/>
                <w:bCs/>
                <w:color w:val="FFFFFF" w:themeColor="background1"/>
              </w:rPr>
              <w:t>S</w:t>
            </w:r>
            <w:r w:rsidRPr="00CE0970">
              <w:rPr>
                <w:b/>
                <w:bCs/>
                <w:color w:val="FFFFFF" w:themeColor="background1"/>
              </w:rPr>
              <w:t xml:space="preserve">acituzumab </w:t>
            </w:r>
            <w:proofErr w:type="spellStart"/>
            <w:r w:rsidRPr="00CE0970">
              <w:rPr>
                <w:b/>
                <w:bCs/>
                <w:color w:val="FFFFFF" w:themeColor="background1"/>
              </w:rPr>
              <w:t>govitecan</w:t>
            </w:r>
            <w:proofErr w:type="spellEnd"/>
            <w:r w:rsidRPr="00CE0970" w:rsidDel="00CE0970">
              <w:rPr>
                <w:b/>
                <w:bCs/>
                <w:color w:val="FFFFFF" w:themeColor="background1"/>
              </w:rPr>
              <w:t xml:space="preserve"> </w:t>
            </w:r>
            <w:r w:rsidR="00F377D5">
              <w:rPr>
                <w:b/>
                <w:bCs/>
                <w:color w:val="FFFFFF" w:themeColor="background1"/>
              </w:rPr>
              <w:t>arm (n</w:t>
            </w:r>
            <w:r>
              <w:rPr>
                <w:b/>
                <w:bCs/>
                <w:color w:val="FFFFFF" w:themeColor="background1"/>
              </w:rPr>
              <w:t> </w:t>
            </w:r>
            <w:r w:rsidR="00F377D5">
              <w:rPr>
                <w:b/>
                <w:bCs/>
                <w:color w:val="FFFFFF" w:themeColor="background1"/>
              </w:rPr>
              <w:t>=</w:t>
            </w:r>
            <w:r>
              <w:rPr>
                <w:b/>
                <w:bCs/>
                <w:color w:val="FFFFFF" w:themeColor="background1"/>
              </w:rPr>
              <w:t> </w:t>
            </w:r>
            <w:r w:rsidR="00272593">
              <w:rPr>
                <w:b/>
                <w:bCs/>
                <w:color w:val="FFFFFF" w:themeColor="background1"/>
              </w:rPr>
              <w:t>235</w:t>
            </w:r>
            <w:r w:rsidR="00F377D5">
              <w:rPr>
                <w:b/>
                <w:bCs/>
                <w:color w:val="FFFFFF" w:themeColor="background1"/>
              </w:rPr>
              <w:t>)</w:t>
            </w:r>
          </w:p>
        </w:tc>
        <w:tc>
          <w:tcPr>
            <w:tcW w:w="2790" w:type="dxa"/>
            <w:tcBorders>
              <w:top w:val="single" w:sz="4" w:space="0" w:color="000000"/>
              <w:left w:val="single" w:sz="4" w:space="0" w:color="000000"/>
              <w:bottom w:val="single" w:sz="4" w:space="0" w:color="000000"/>
              <w:right w:val="single" w:sz="4" w:space="0" w:color="auto"/>
            </w:tcBorders>
            <w:shd w:val="clear" w:color="auto" w:fill="006DA7" w:themeFill="accent3"/>
            <w:vAlign w:val="bottom"/>
            <w:hideMark/>
          </w:tcPr>
          <w:p w14:paraId="71A80F9B" w14:textId="59BDE7F0" w:rsidR="00F377D5" w:rsidRDefault="00F377D5">
            <w:pPr>
              <w:pStyle w:val="Tabletext"/>
              <w:jc w:val="center"/>
              <w:rPr>
                <w:b/>
                <w:bCs/>
                <w:color w:val="FFFFFF" w:themeColor="background1"/>
              </w:rPr>
            </w:pPr>
            <w:r>
              <w:rPr>
                <w:b/>
                <w:bCs/>
                <w:color w:val="FFFFFF" w:themeColor="background1"/>
              </w:rPr>
              <w:t>TPC arm</w:t>
            </w:r>
            <w:r w:rsidR="00CE0970">
              <w:rPr>
                <w:b/>
                <w:bCs/>
                <w:color w:val="FFFFFF" w:themeColor="background1"/>
              </w:rPr>
              <w:br/>
            </w:r>
            <w:r>
              <w:rPr>
                <w:b/>
                <w:bCs/>
                <w:color w:val="FFFFFF" w:themeColor="background1"/>
              </w:rPr>
              <w:t>(n</w:t>
            </w:r>
            <w:r w:rsidR="00D808B0">
              <w:rPr>
                <w:b/>
                <w:bCs/>
                <w:color w:val="FFFFFF" w:themeColor="background1"/>
              </w:rPr>
              <w:t xml:space="preserve"> </w:t>
            </w:r>
            <w:r>
              <w:rPr>
                <w:b/>
                <w:bCs/>
                <w:color w:val="FFFFFF" w:themeColor="background1"/>
              </w:rPr>
              <w:t>=</w:t>
            </w:r>
            <w:r w:rsidR="00D808B0">
              <w:rPr>
                <w:b/>
                <w:bCs/>
                <w:color w:val="FFFFFF" w:themeColor="background1"/>
              </w:rPr>
              <w:t xml:space="preserve"> </w:t>
            </w:r>
            <w:r w:rsidR="00272593">
              <w:rPr>
                <w:b/>
                <w:bCs/>
                <w:color w:val="FFFFFF" w:themeColor="background1"/>
              </w:rPr>
              <w:t>233</w:t>
            </w:r>
            <w:r>
              <w:rPr>
                <w:b/>
                <w:bCs/>
                <w:color w:val="FFFFFF" w:themeColor="background1"/>
              </w:rPr>
              <w:t>)</w:t>
            </w:r>
          </w:p>
        </w:tc>
      </w:tr>
      <w:tr w:rsidR="00F377D5" w14:paraId="7E8707E3" w14:textId="77777777" w:rsidTr="001A6150">
        <w:trPr>
          <w:trHeight w:val="20"/>
        </w:trPr>
        <w:tc>
          <w:tcPr>
            <w:tcW w:w="3117" w:type="dxa"/>
            <w:tcBorders>
              <w:top w:val="single" w:sz="4" w:space="0" w:color="000000"/>
              <w:left w:val="single" w:sz="4" w:space="0" w:color="000000"/>
              <w:bottom w:val="single" w:sz="4" w:space="0" w:color="000000"/>
              <w:right w:val="single" w:sz="4" w:space="0" w:color="auto"/>
            </w:tcBorders>
            <w:hideMark/>
          </w:tcPr>
          <w:p w14:paraId="556E547B" w14:textId="77777777" w:rsidR="00F377D5" w:rsidRDefault="00F377D5">
            <w:pPr>
              <w:pStyle w:val="Tabletext"/>
            </w:pPr>
            <w:r>
              <w:t>Dead</w:t>
            </w:r>
          </w:p>
        </w:tc>
        <w:tc>
          <w:tcPr>
            <w:tcW w:w="3003" w:type="dxa"/>
            <w:tcBorders>
              <w:top w:val="single" w:sz="4" w:space="0" w:color="000000"/>
              <w:left w:val="single" w:sz="4" w:space="0" w:color="000000"/>
              <w:bottom w:val="single" w:sz="4" w:space="0" w:color="000000"/>
              <w:right w:val="single" w:sz="4" w:space="0" w:color="auto"/>
            </w:tcBorders>
            <w:hideMark/>
          </w:tcPr>
          <w:p w14:paraId="04ABDBBD" w14:textId="77777777" w:rsidR="00F377D5" w:rsidRDefault="00F377D5">
            <w:pPr>
              <w:pStyle w:val="Tabletext"/>
              <w:jc w:val="center"/>
            </w:pPr>
            <w:r>
              <w:t>155 (66%)</w:t>
            </w:r>
          </w:p>
        </w:tc>
        <w:tc>
          <w:tcPr>
            <w:tcW w:w="2790" w:type="dxa"/>
            <w:tcBorders>
              <w:top w:val="single" w:sz="4" w:space="0" w:color="000000"/>
              <w:left w:val="single" w:sz="4" w:space="0" w:color="000000"/>
              <w:bottom w:val="single" w:sz="4" w:space="0" w:color="000000"/>
              <w:right w:val="single" w:sz="4" w:space="0" w:color="auto"/>
            </w:tcBorders>
            <w:hideMark/>
          </w:tcPr>
          <w:p w14:paraId="50198819" w14:textId="77777777" w:rsidR="00F377D5" w:rsidRDefault="00F377D5">
            <w:pPr>
              <w:pStyle w:val="Tabletext"/>
              <w:jc w:val="center"/>
            </w:pPr>
            <w:r>
              <w:t>185 (79%)</w:t>
            </w:r>
          </w:p>
        </w:tc>
      </w:tr>
      <w:tr w:rsidR="00F377D5" w14:paraId="481FAA94" w14:textId="77777777" w:rsidTr="001A6150">
        <w:trPr>
          <w:trHeight w:val="20"/>
        </w:trPr>
        <w:tc>
          <w:tcPr>
            <w:tcW w:w="3117" w:type="dxa"/>
            <w:tcBorders>
              <w:top w:val="single" w:sz="4" w:space="0" w:color="000000"/>
              <w:left w:val="single" w:sz="4" w:space="0" w:color="000000"/>
              <w:bottom w:val="single" w:sz="4" w:space="0" w:color="000000"/>
              <w:right w:val="single" w:sz="4" w:space="0" w:color="auto"/>
            </w:tcBorders>
            <w:hideMark/>
          </w:tcPr>
          <w:p w14:paraId="1D468362" w14:textId="77777777" w:rsidR="00F377D5" w:rsidRDefault="00F377D5">
            <w:pPr>
              <w:pStyle w:val="Tabletext"/>
            </w:pPr>
            <w:r>
              <w:t xml:space="preserve">Alive, </w:t>
            </w:r>
            <w:proofErr w:type="gramStart"/>
            <w:r>
              <w:t>continuing on</w:t>
            </w:r>
            <w:proofErr w:type="gramEnd"/>
            <w:r>
              <w:t xml:space="preserve"> study treatment</w:t>
            </w:r>
          </w:p>
        </w:tc>
        <w:tc>
          <w:tcPr>
            <w:tcW w:w="3003" w:type="dxa"/>
            <w:tcBorders>
              <w:top w:val="single" w:sz="4" w:space="0" w:color="000000"/>
              <w:left w:val="single" w:sz="4" w:space="0" w:color="000000"/>
              <w:bottom w:val="single" w:sz="4" w:space="0" w:color="000000"/>
              <w:right w:val="single" w:sz="4" w:space="0" w:color="auto"/>
            </w:tcBorders>
            <w:hideMark/>
          </w:tcPr>
          <w:p w14:paraId="352AFA14" w14:textId="77777777" w:rsidR="00F377D5" w:rsidRDefault="00F377D5">
            <w:pPr>
              <w:pStyle w:val="Tabletext"/>
              <w:jc w:val="center"/>
            </w:pPr>
            <w:r>
              <w:t>15 (6%)</w:t>
            </w:r>
          </w:p>
        </w:tc>
        <w:tc>
          <w:tcPr>
            <w:tcW w:w="2790" w:type="dxa"/>
            <w:tcBorders>
              <w:top w:val="single" w:sz="4" w:space="0" w:color="000000"/>
              <w:left w:val="single" w:sz="4" w:space="0" w:color="000000"/>
              <w:bottom w:val="single" w:sz="4" w:space="0" w:color="000000"/>
              <w:right w:val="single" w:sz="4" w:space="0" w:color="auto"/>
            </w:tcBorders>
            <w:hideMark/>
          </w:tcPr>
          <w:p w14:paraId="4CC8A2F0" w14:textId="77777777" w:rsidR="00F377D5" w:rsidRDefault="00F377D5">
            <w:pPr>
              <w:pStyle w:val="Tabletext"/>
              <w:jc w:val="center"/>
            </w:pPr>
            <w:r>
              <w:t>0</w:t>
            </w:r>
          </w:p>
        </w:tc>
      </w:tr>
      <w:tr w:rsidR="00F377D5" w14:paraId="2499CB47" w14:textId="77777777" w:rsidTr="001A6150">
        <w:trPr>
          <w:trHeight w:val="20"/>
        </w:trPr>
        <w:tc>
          <w:tcPr>
            <w:tcW w:w="3117" w:type="dxa"/>
            <w:tcBorders>
              <w:top w:val="single" w:sz="4" w:space="0" w:color="000000"/>
              <w:left w:val="single" w:sz="4" w:space="0" w:color="000000"/>
              <w:bottom w:val="single" w:sz="4" w:space="0" w:color="000000"/>
              <w:right w:val="single" w:sz="4" w:space="0" w:color="auto"/>
            </w:tcBorders>
            <w:hideMark/>
          </w:tcPr>
          <w:p w14:paraId="01DFBDFF" w14:textId="77777777" w:rsidR="00F377D5" w:rsidRDefault="00F377D5">
            <w:pPr>
              <w:pStyle w:val="Tabletext"/>
            </w:pPr>
            <w:r>
              <w:t>Alive, continuing in follow-up</w:t>
            </w:r>
          </w:p>
        </w:tc>
        <w:tc>
          <w:tcPr>
            <w:tcW w:w="3003" w:type="dxa"/>
            <w:tcBorders>
              <w:top w:val="single" w:sz="4" w:space="0" w:color="000000"/>
              <w:left w:val="single" w:sz="4" w:space="0" w:color="000000"/>
              <w:bottom w:val="single" w:sz="4" w:space="0" w:color="000000"/>
              <w:right w:val="single" w:sz="4" w:space="0" w:color="auto"/>
            </w:tcBorders>
            <w:hideMark/>
          </w:tcPr>
          <w:p w14:paraId="7F888506" w14:textId="77777777" w:rsidR="00F377D5" w:rsidRDefault="00F377D5">
            <w:pPr>
              <w:pStyle w:val="Tabletext"/>
              <w:jc w:val="center"/>
            </w:pPr>
            <w:r>
              <w:t>54 (23%)</w:t>
            </w:r>
          </w:p>
        </w:tc>
        <w:tc>
          <w:tcPr>
            <w:tcW w:w="2790" w:type="dxa"/>
            <w:tcBorders>
              <w:top w:val="single" w:sz="4" w:space="0" w:color="000000"/>
              <w:left w:val="single" w:sz="4" w:space="0" w:color="000000"/>
              <w:bottom w:val="single" w:sz="4" w:space="0" w:color="000000"/>
              <w:right w:val="single" w:sz="4" w:space="0" w:color="auto"/>
            </w:tcBorders>
            <w:hideMark/>
          </w:tcPr>
          <w:p w14:paraId="33642986" w14:textId="77777777" w:rsidR="00F377D5" w:rsidRDefault="00F377D5">
            <w:pPr>
              <w:pStyle w:val="Tabletext"/>
              <w:jc w:val="center"/>
            </w:pPr>
            <w:r>
              <w:t>33 (14%)</w:t>
            </w:r>
          </w:p>
        </w:tc>
      </w:tr>
      <w:tr w:rsidR="00F377D5" w14:paraId="3807F6B1" w14:textId="77777777" w:rsidTr="001A6150">
        <w:trPr>
          <w:trHeight w:val="20"/>
        </w:trPr>
        <w:tc>
          <w:tcPr>
            <w:tcW w:w="3117" w:type="dxa"/>
            <w:tcBorders>
              <w:top w:val="single" w:sz="4" w:space="0" w:color="000000"/>
              <w:left w:val="single" w:sz="4" w:space="0" w:color="000000"/>
              <w:bottom w:val="single" w:sz="4" w:space="0" w:color="000000"/>
              <w:right w:val="single" w:sz="4" w:space="0" w:color="auto"/>
            </w:tcBorders>
            <w:hideMark/>
          </w:tcPr>
          <w:p w14:paraId="3B183537" w14:textId="77777777" w:rsidR="00F377D5" w:rsidRDefault="00F377D5">
            <w:pPr>
              <w:pStyle w:val="Tabletext"/>
            </w:pPr>
            <w:r>
              <w:t>Unknown, lost to follow-up</w:t>
            </w:r>
          </w:p>
        </w:tc>
        <w:tc>
          <w:tcPr>
            <w:tcW w:w="3003" w:type="dxa"/>
            <w:tcBorders>
              <w:top w:val="single" w:sz="4" w:space="0" w:color="000000"/>
              <w:left w:val="single" w:sz="4" w:space="0" w:color="000000"/>
              <w:bottom w:val="single" w:sz="4" w:space="0" w:color="000000"/>
              <w:right w:val="single" w:sz="4" w:space="0" w:color="auto"/>
            </w:tcBorders>
            <w:hideMark/>
          </w:tcPr>
          <w:p w14:paraId="2ABE5154" w14:textId="77777777" w:rsidR="00F377D5" w:rsidRDefault="00F377D5">
            <w:pPr>
              <w:pStyle w:val="Tabletext"/>
              <w:jc w:val="center"/>
            </w:pPr>
            <w:r>
              <w:t>11(5%)</w:t>
            </w:r>
          </w:p>
        </w:tc>
        <w:tc>
          <w:tcPr>
            <w:tcW w:w="2790" w:type="dxa"/>
            <w:tcBorders>
              <w:top w:val="single" w:sz="4" w:space="0" w:color="000000"/>
              <w:left w:val="single" w:sz="4" w:space="0" w:color="000000"/>
              <w:bottom w:val="single" w:sz="4" w:space="0" w:color="000000"/>
              <w:right w:val="single" w:sz="4" w:space="0" w:color="auto"/>
            </w:tcBorders>
            <w:hideMark/>
          </w:tcPr>
          <w:p w14:paraId="6242CEE4" w14:textId="77777777" w:rsidR="00F377D5" w:rsidRDefault="00F377D5">
            <w:pPr>
              <w:pStyle w:val="Tabletext"/>
              <w:jc w:val="center"/>
            </w:pPr>
            <w:r>
              <w:t>15 (6%)</w:t>
            </w:r>
          </w:p>
        </w:tc>
      </w:tr>
    </w:tbl>
    <w:p w14:paraId="4DC7E3CA" w14:textId="77777777" w:rsidR="004B5176" w:rsidRDefault="004B5176" w:rsidP="001A6150">
      <w:pPr>
        <w:pStyle w:val="Heading6"/>
      </w:pPr>
      <w:r>
        <w:t>Baseline characteristics</w:t>
      </w:r>
    </w:p>
    <w:p w14:paraId="087AADD4" w14:textId="20F2852E" w:rsidR="004B5176" w:rsidRDefault="004B5176" w:rsidP="004B5176">
      <w:r>
        <w:t xml:space="preserve">Demographic characteristics were reasonably well balanced across the </w:t>
      </w:r>
      <w:proofErr w:type="spellStart"/>
      <w:r w:rsidR="00CE0970">
        <w:t>sacituzumab</w:t>
      </w:r>
      <w:proofErr w:type="spellEnd"/>
      <w:r w:rsidR="00CE0970">
        <w:t xml:space="preserve"> </w:t>
      </w:r>
      <w:proofErr w:type="spellStart"/>
      <w:r w:rsidR="00CE0970">
        <w:t>govitecan</w:t>
      </w:r>
      <w:proofErr w:type="spellEnd"/>
      <w:r>
        <w:t xml:space="preserve"> and TPC arms in the ITT, </w:t>
      </w:r>
      <w:r w:rsidR="00CE0970">
        <w:t>brain metastasis</w:t>
      </w:r>
      <w:r>
        <w:t xml:space="preserve">-negative and </w:t>
      </w:r>
      <w:r w:rsidR="00CE0970">
        <w:t>brain metastasis</w:t>
      </w:r>
      <w:r>
        <w:t xml:space="preserve">-positive groups. The </w:t>
      </w:r>
      <w:r w:rsidR="00CE0970">
        <w:t>brain metastasis</w:t>
      </w:r>
      <w:r>
        <w:t xml:space="preserve">-positive group was smaller than the other groups </w:t>
      </w:r>
      <w:r>
        <w:lastRenderedPageBreak/>
        <w:t>(n</w:t>
      </w:r>
      <w:r w:rsidR="00CE0970">
        <w:t> </w:t>
      </w:r>
      <w:r>
        <w:t>=</w:t>
      </w:r>
      <w:r w:rsidR="00D808B0">
        <w:t xml:space="preserve"> </w:t>
      </w:r>
      <w:r>
        <w:t xml:space="preserve">61: </w:t>
      </w:r>
      <w:proofErr w:type="spellStart"/>
      <w:r w:rsidR="00CE0970">
        <w:t>sacituzumab</w:t>
      </w:r>
      <w:proofErr w:type="spellEnd"/>
      <w:r w:rsidR="00CE0970">
        <w:t xml:space="preserve"> </w:t>
      </w:r>
      <w:proofErr w:type="spellStart"/>
      <w:r w:rsidR="00CE0970">
        <w:t>govitecan</w:t>
      </w:r>
      <w:proofErr w:type="spellEnd"/>
      <w:r>
        <w:t xml:space="preserve"> n</w:t>
      </w:r>
      <w:r w:rsidR="00D808B0">
        <w:t xml:space="preserve"> </w:t>
      </w:r>
      <w:r>
        <w:t>=</w:t>
      </w:r>
      <w:r w:rsidR="00D808B0">
        <w:t xml:space="preserve"> </w:t>
      </w:r>
      <w:r>
        <w:t>32; TPC n</w:t>
      </w:r>
      <w:r w:rsidR="00D808B0">
        <w:t xml:space="preserve"> </w:t>
      </w:r>
      <w:r>
        <w:t>=</w:t>
      </w:r>
      <w:r w:rsidR="00D808B0">
        <w:t xml:space="preserve"> </w:t>
      </w:r>
      <w:r>
        <w:t>29); consequently, there was more variation in the demographic characteristics.</w:t>
      </w:r>
    </w:p>
    <w:p w14:paraId="656B51A4" w14:textId="12EBF182" w:rsidR="004B5176" w:rsidRDefault="004B5176" w:rsidP="004B5176">
      <w:r>
        <w:t xml:space="preserve">The mean age was 54 years (range: 27 to 82), and 35% of the study participants were younger than 50 years. Two men were recruited, both were randomised to the </w:t>
      </w:r>
      <w:proofErr w:type="spellStart"/>
      <w:r w:rsidR="00CE0970">
        <w:t>sacituzumab</w:t>
      </w:r>
      <w:proofErr w:type="spellEnd"/>
      <w:r w:rsidR="00CE0970">
        <w:t xml:space="preserve"> </w:t>
      </w:r>
      <w:proofErr w:type="spellStart"/>
      <w:r w:rsidR="00CE0970">
        <w:t>govitecan</w:t>
      </w:r>
      <w:proofErr w:type="spellEnd"/>
      <w:r>
        <w:t xml:space="preserve"> group. Only one patient with unresectable, locally advanced disease was enrolled.</w:t>
      </w:r>
    </w:p>
    <w:p w14:paraId="634B994A" w14:textId="1B7D6C59" w:rsidR="00175529" w:rsidRDefault="004B5176" w:rsidP="004B5176">
      <w:r>
        <w:t xml:space="preserve">About 70% of patients in each arm originally had TNBC at diagnosis and 30% had other subtypes that then converted to TNBC at the time of diagnosis of metastatic disease. The sponsor did not prospectively collect data on </w:t>
      </w:r>
      <w:r w:rsidR="00CE0970">
        <w:t>oestrogen receptor</w:t>
      </w:r>
      <w:r>
        <w:t>/</w:t>
      </w:r>
      <w:r w:rsidR="00CE0970">
        <w:t>progesterone receptor</w:t>
      </w:r>
      <w:r>
        <w:t xml:space="preserve"> and HER2 status on previous biopsies</w:t>
      </w:r>
      <w:r w:rsidR="00175529">
        <w:t>.</w:t>
      </w:r>
    </w:p>
    <w:p w14:paraId="51D06296" w14:textId="77777777" w:rsidR="004B5176" w:rsidRDefault="004B5176" w:rsidP="004B5176">
      <w:r>
        <w:t>At the time of their initial diagnosis, 12% of patients had distant metastases.</w:t>
      </w:r>
    </w:p>
    <w:p w14:paraId="4262E377" w14:textId="35B2552B" w:rsidR="004B5176" w:rsidRDefault="004B5176" w:rsidP="004B5176">
      <w:r>
        <w:t xml:space="preserve">13% of patients had received only </w:t>
      </w:r>
      <w:r w:rsidR="00D820E6">
        <w:t>one</w:t>
      </w:r>
      <w:r>
        <w:t xml:space="preserve"> line of systemic therapy in the metastatic setting, consistent with the protocol amendment which allowed for 1 of the 2+ prior systemic regimens required for eligibility to be therapy administered in the (neo)adjuvant setting, </w:t>
      </w:r>
      <w:proofErr w:type="gramStart"/>
      <w:r>
        <w:t>as long as</w:t>
      </w:r>
      <w:proofErr w:type="gramEnd"/>
      <w:r>
        <w:t xml:space="preserve"> metastatic disease developed within 12 months of that (neo)adjuvant regimen.</w:t>
      </w:r>
    </w:p>
    <w:p w14:paraId="66BD374D" w14:textId="77777777" w:rsidR="004B5176" w:rsidRDefault="004B5176" w:rsidP="004B5176">
      <w:r>
        <w:t>Previous treatments included:</w:t>
      </w:r>
    </w:p>
    <w:p w14:paraId="03FF7478" w14:textId="77777777" w:rsidR="004B5176" w:rsidRDefault="004B5176" w:rsidP="004B5176">
      <w:pPr>
        <w:pStyle w:val="ListBullet"/>
      </w:pPr>
      <w:proofErr w:type="spellStart"/>
      <w:r>
        <w:t>taxanes</w:t>
      </w:r>
      <w:proofErr w:type="spellEnd"/>
      <w:r>
        <w:t xml:space="preserve"> (100%)</w:t>
      </w:r>
    </w:p>
    <w:p w14:paraId="7A23DDDB" w14:textId="77777777" w:rsidR="004B5176" w:rsidRDefault="004B5176" w:rsidP="004B5176">
      <w:pPr>
        <w:pStyle w:val="ListBullet"/>
      </w:pPr>
      <w:r>
        <w:t>anthracyclines (82%)</w:t>
      </w:r>
    </w:p>
    <w:p w14:paraId="4D031896" w14:textId="77777777" w:rsidR="004B5176" w:rsidRDefault="004B5176" w:rsidP="004B5176">
      <w:pPr>
        <w:pStyle w:val="ListBullet"/>
      </w:pPr>
      <w:r>
        <w:t>carboplatin (66%)</w:t>
      </w:r>
    </w:p>
    <w:p w14:paraId="0AD3206A" w14:textId="77777777" w:rsidR="004B5176" w:rsidRDefault="004B5176" w:rsidP="004B5176">
      <w:pPr>
        <w:pStyle w:val="ListBullet"/>
      </w:pPr>
      <w:r>
        <w:t>PD-1/L1 inhibitors (27%)</w:t>
      </w:r>
    </w:p>
    <w:p w14:paraId="608F47E4" w14:textId="77777777" w:rsidR="004B5176" w:rsidRDefault="004B5176" w:rsidP="004B5176">
      <w:pPr>
        <w:pStyle w:val="ListBullet"/>
      </w:pPr>
      <w:r>
        <w:t>PARP-inhibitors (7%)</w:t>
      </w:r>
    </w:p>
    <w:p w14:paraId="73C5D74F" w14:textId="32567618" w:rsidR="004B5176" w:rsidRDefault="004B5176" w:rsidP="004B5176">
      <w:r>
        <w:t>Patients had discontinued their previous treatment primarily because of progressive disease (78%); 3% had discontinued because of adverse events.</w:t>
      </w:r>
    </w:p>
    <w:p w14:paraId="7FC9FDCB" w14:textId="40BB03FD" w:rsidR="004B5176" w:rsidRDefault="00CE0970" w:rsidP="00CE0970">
      <w:pPr>
        <w:pStyle w:val="Heading6"/>
      </w:pPr>
      <w:r w:rsidRPr="00CE0970">
        <w:t>Results for the p</w:t>
      </w:r>
      <w:r w:rsidR="004B5176" w:rsidRPr="00CE0970">
        <w:t>rimary endpoint</w:t>
      </w:r>
    </w:p>
    <w:p w14:paraId="20DE469F" w14:textId="6327BD3C" w:rsidR="004B5176" w:rsidRPr="004B5176" w:rsidRDefault="004B5176" w:rsidP="004B5176">
      <w:pPr>
        <w:rPr>
          <w:rFonts w:asciiTheme="minorHAnsi" w:hAnsiTheme="minorHAnsi"/>
        </w:rPr>
      </w:pPr>
      <w:r>
        <w:rPr>
          <w:rFonts w:asciiTheme="minorHAnsi" w:hAnsiTheme="minorHAnsi"/>
        </w:rPr>
        <w:t xml:space="preserve">The primary endpoint is summarised in </w:t>
      </w:r>
      <w:r w:rsidR="00EF0FB4">
        <w:rPr>
          <w:rFonts w:asciiTheme="minorHAnsi" w:hAnsiTheme="minorHAnsi"/>
        </w:rPr>
        <w:fldChar w:fldCharType="begin"/>
      </w:r>
      <w:r w:rsidR="00EF0FB4">
        <w:rPr>
          <w:rFonts w:asciiTheme="minorHAnsi" w:hAnsiTheme="minorHAnsi"/>
        </w:rPr>
        <w:instrText xml:space="preserve"> REF _Ref90384354 \h </w:instrText>
      </w:r>
      <w:r w:rsidR="00EF0FB4">
        <w:rPr>
          <w:rFonts w:asciiTheme="minorHAnsi" w:hAnsiTheme="minorHAnsi"/>
        </w:rPr>
      </w:r>
      <w:r w:rsidR="00EF0FB4">
        <w:rPr>
          <w:rFonts w:asciiTheme="minorHAnsi" w:hAnsiTheme="minorHAnsi"/>
        </w:rPr>
        <w:fldChar w:fldCharType="separate"/>
      </w:r>
      <w:r w:rsidR="00EF0FB4">
        <w:t xml:space="preserve">Table </w:t>
      </w:r>
      <w:r w:rsidR="00EF0FB4">
        <w:rPr>
          <w:noProof/>
        </w:rPr>
        <w:t>9</w:t>
      </w:r>
      <w:r w:rsidR="00EF0FB4">
        <w:rPr>
          <w:rFonts w:asciiTheme="minorHAnsi" w:hAnsiTheme="minorHAnsi"/>
        </w:rPr>
        <w:fldChar w:fldCharType="end"/>
      </w:r>
      <w:r w:rsidR="00EF0FB4">
        <w:rPr>
          <w:rFonts w:asciiTheme="minorHAnsi" w:hAnsiTheme="minorHAnsi"/>
        </w:rPr>
        <w:t xml:space="preserve"> </w:t>
      </w:r>
      <w:r>
        <w:rPr>
          <w:rFonts w:asciiTheme="minorHAnsi" w:hAnsiTheme="minorHAnsi"/>
        </w:rPr>
        <w:t>and</w:t>
      </w:r>
      <w:r w:rsidR="00EF0FB4">
        <w:rPr>
          <w:rFonts w:asciiTheme="minorHAnsi" w:hAnsiTheme="minorHAnsi"/>
        </w:rPr>
        <w:t xml:space="preserve"> </w:t>
      </w:r>
      <w:r w:rsidR="00EF0FB4">
        <w:rPr>
          <w:rFonts w:asciiTheme="minorHAnsi" w:hAnsiTheme="minorHAnsi"/>
        </w:rPr>
        <w:fldChar w:fldCharType="begin"/>
      </w:r>
      <w:r w:rsidR="00EF0FB4">
        <w:rPr>
          <w:rFonts w:asciiTheme="minorHAnsi" w:hAnsiTheme="minorHAnsi"/>
        </w:rPr>
        <w:instrText xml:space="preserve"> REF _Ref90384451 \h </w:instrText>
      </w:r>
      <w:r w:rsidR="00EF0FB4">
        <w:rPr>
          <w:rFonts w:asciiTheme="minorHAnsi" w:hAnsiTheme="minorHAnsi"/>
        </w:rPr>
      </w:r>
      <w:r w:rsidR="00EF0FB4">
        <w:rPr>
          <w:rFonts w:asciiTheme="minorHAnsi" w:hAnsiTheme="minorHAnsi"/>
        </w:rPr>
        <w:fldChar w:fldCharType="separate"/>
      </w:r>
      <w:r w:rsidR="00EF0FB4">
        <w:t xml:space="preserve">Figure </w:t>
      </w:r>
      <w:r w:rsidR="00EF0FB4">
        <w:rPr>
          <w:noProof/>
        </w:rPr>
        <w:t>5</w:t>
      </w:r>
      <w:r w:rsidR="00EF0FB4">
        <w:rPr>
          <w:rFonts w:asciiTheme="minorHAnsi" w:hAnsiTheme="minorHAnsi"/>
        </w:rPr>
        <w:fldChar w:fldCharType="end"/>
      </w:r>
      <w:r>
        <w:rPr>
          <w:rFonts w:asciiTheme="minorHAnsi" w:hAnsiTheme="minorHAnsi"/>
        </w:rPr>
        <w:t>.</w:t>
      </w:r>
    </w:p>
    <w:p w14:paraId="0A47F95D" w14:textId="09220C57" w:rsidR="004B5176" w:rsidRDefault="004B5176" w:rsidP="004B5176">
      <w:pPr>
        <w:pStyle w:val="TableTitle"/>
      </w:pPr>
      <w:bookmarkStart w:id="50" w:name="_Ref90384354"/>
      <w:r>
        <w:t xml:space="preserve">Table </w:t>
      </w:r>
      <w:fldSimple w:instr=" SEQ Table \* ARABIC ">
        <w:r w:rsidR="007D09B2">
          <w:rPr>
            <w:noProof/>
          </w:rPr>
          <w:t>9</w:t>
        </w:r>
      </w:fldSimple>
      <w:bookmarkEnd w:id="50"/>
      <w:r>
        <w:t xml:space="preserve">: </w:t>
      </w:r>
      <w:r w:rsidR="00CE0970">
        <w:t xml:space="preserve">Study IMMU-132-05 (ASCENT trial) </w:t>
      </w:r>
      <w:r>
        <w:t>Results for the primary endpoint (</w:t>
      </w:r>
      <w:r w:rsidR="0008662E">
        <w:t>progression-free survival</w:t>
      </w:r>
      <w:r>
        <w:t xml:space="preserve"> by </w:t>
      </w:r>
      <w:r w:rsidR="0008662E">
        <w:t>blinded independent central review</w:t>
      </w:r>
      <w:r>
        <w:t xml:space="preserve"> in the </w:t>
      </w:r>
      <w:r w:rsidR="00CE0970">
        <w:t>brain metastasis</w:t>
      </w:r>
      <w:r>
        <w:t>-negative group)</w:t>
      </w:r>
    </w:p>
    <w:tbl>
      <w:tblPr>
        <w:tblStyle w:val="TableTGAblue"/>
        <w:tblW w:w="0" w:type="auto"/>
        <w:tblLook w:val="04A0" w:firstRow="1" w:lastRow="0" w:firstColumn="1" w:lastColumn="0" w:noHBand="0" w:noVBand="1"/>
      </w:tblPr>
      <w:tblGrid>
        <w:gridCol w:w="3676"/>
        <w:gridCol w:w="2339"/>
        <w:gridCol w:w="2339"/>
      </w:tblGrid>
      <w:tr w:rsidR="004B5176" w14:paraId="6CE40FF9" w14:textId="77777777" w:rsidTr="004B5176">
        <w:trPr>
          <w:cnfStyle w:val="100000000000" w:firstRow="1" w:lastRow="0" w:firstColumn="0" w:lastColumn="0" w:oddVBand="0" w:evenVBand="0" w:oddHBand="0" w:evenHBand="0" w:firstRowFirstColumn="0" w:firstRowLastColumn="0" w:lastRowFirstColumn="0" w:lastRowLastColumn="0"/>
        </w:trPr>
        <w:tc>
          <w:tcPr>
            <w:tcW w:w="3676" w:type="dxa"/>
          </w:tcPr>
          <w:p w14:paraId="063626BA" w14:textId="77777777" w:rsidR="004B5176" w:rsidRDefault="004B5176">
            <w:pPr>
              <w:pStyle w:val="Tabletext"/>
            </w:pPr>
          </w:p>
        </w:tc>
        <w:tc>
          <w:tcPr>
            <w:tcW w:w="2339" w:type="dxa"/>
            <w:hideMark/>
          </w:tcPr>
          <w:p w14:paraId="66785B0D" w14:textId="7A402D75" w:rsidR="004B5176" w:rsidRDefault="00CE0970">
            <w:pPr>
              <w:pStyle w:val="Tabletext"/>
              <w:jc w:val="center"/>
            </w:pPr>
            <w:r>
              <w:t xml:space="preserve">Sacituzumab </w:t>
            </w:r>
            <w:proofErr w:type="spellStart"/>
            <w:r>
              <w:t>govitecan</w:t>
            </w:r>
            <w:proofErr w:type="spellEnd"/>
            <w:r w:rsidDel="00CE0970">
              <w:t xml:space="preserve"> </w:t>
            </w:r>
          </w:p>
          <w:p w14:paraId="3249E561" w14:textId="72B015D6" w:rsidR="004B5176" w:rsidRDefault="004B5176">
            <w:pPr>
              <w:pStyle w:val="Tabletext"/>
              <w:jc w:val="center"/>
            </w:pPr>
            <w:r>
              <w:t>(n</w:t>
            </w:r>
            <w:r w:rsidR="00863E80">
              <w:t xml:space="preserve"> </w:t>
            </w:r>
            <w:r>
              <w:t>=</w:t>
            </w:r>
            <w:r w:rsidR="00863E80">
              <w:t xml:space="preserve"> </w:t>
            </w:r>
            <w:r>
              <w:t>235)</w:t>
            </w:r>
          </w:p>
        </w:tc>
        <w:tc>
          <w:tcPr>
            <w:tcW w:w="2339" w:type="dxa"/>
            <w:hideMark/>
          </w:tcPr>
          <w:p w14:paraId="57F1840B" w14:textId="77777777" w:rsidR="004B5176" w:rsidRDefault="004B5176">
            <w:pPr>
              <w:pStyle w:val="Tabletext"/>
              <w:jc w:val="center"/>
            </w:pPr>
            <w:r>
              <w:t>TPC</w:t>
            </w:r>
          </w:p>
          <w:p w14:paraId="6763709C" w14:textId="5EE6B878" w:rsidR="004B5176" w:rsidRDefault="004B5176">
            <w:pPr>
              <w:pStyle w:val="Tabletext"/>
              <w:jc w:val="center"/>
            </w:pPr>
            <w:r>
              <w:t>(n</w:t>
            </w:r>
            <w:r w:rsidR="00863E80">
              <w:t xml:space="preserve"> </w:t>
            </w:r>
            <w:r>
              <w:t>=</w:t>
            </w:r>
            <w:r w:rsidR="00863E80">
              <w:t xml:space="preserve"> </w:t>
            </w:r>
            <w:r>
              <w:t>233)</w:t>
            </w:r>
          </w:p>
        </w:tc>
      </w:tr>
      <w:tr w:rsidR="004B5176" w14:paraId="6252F0ED" w14:textId="77777777" w:rsidTr="004B5176">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445B49A" w14:textId="77777777" w:rsidR="004B5176" w:rsidRDefault="004B5176">
            <w:pPr>
              <w:pStyle w:val="Tabletext"/>
            </w:pPr>
            <w:r>
              <w:t>Patients with events, n (%)</w:t>
            </w:r>
          </w:p>
        </w:tc>
        <w:tc>
          <w:tcPr>
            <w:tcW w:w="23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12E3637" w14:textId="77777777" w:rsidR="004B5176" w:rsidRDefault="004B5176">
            <w:pPr>
              <w:pStyle w:val="Tabletext"/>
              <w:jc w:val="center"/>
            </w:pPr>
            <w:r>
              <w:t>166 (71%)</w:t>
            </w:r>
          </w:p>
        </w:tc>
        <w:tc>
          <w:tcPr>
            <w:tcW w:w="23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4E28D48" w14:textId="77777777" w:rsidR="004B5176" w:rsidRDefault="004B5176">
            <w:pPr>
              <w:pStyle w:val="Tabletext"/>
              <w:jc w:val="center"/>
            </w:pPr>
            <w:r>
              <w:t>150 (64%)</w:t>
            </w:r>
          </w:p>
        </w:tc>
      </w:tr>
      <w:tr w:rsidR="004B5176" w14:paraId="20010B0F" w14:textId="77777777" w:rsidTr="004B5176">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2F19D60" w14:textId="0B1CE921" w:rsidR="004B5176" w:rsidRDefault="004B5176">
            <w:pPr>
              <w:pStyle w:val="Tabletext"/>
            </w:pPr>
            <w:r>
              <w:t xml:space="preserve">Median </w:t>
            </w:r>
            <w:r w:rsidR="003B323A">
              <w:t>progression free survival</w:t>
            </w:r>
            <w:r>
              <w:t>, months</w:t>
            </w:r>
          </w:p>
        </w:tc>
        <w:tc>
          <w:tcPr>
            <w:tcW w:w="23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A2F2738" w14:textId="77777777" w:rsidR="004B5176" w:rsidRDefault="004B5176">
            <w:pPr>
              <w:pStyle w:val="Tabletext"/>
              <w:jc w:val="center"/>
            </w:pPr>
            <w:r>
              <w:t>5.6</w:t>
            </w:r>
          </w:p>
        </w:tc>
        <w:tc>
          <w:tcPr>
            <w:tcW w:w="23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E0063C9" w14:textId="77777777" w:rsidR="004B5176" w:rsidRDefault="004B5176">
            <w:pPr>
              <w:pStyle w:val="Tabletext"/>
              <w:jc w:val="center"/>
            </w:pPr>
            <w:r>
              <w:t>1.7</w:t>
            </w:r>
          </w:p>
        </w:tc>
      </w:tr>
      <w:tr w:rsidR="004B5176" w14:paraId="3DAC5848" w14:textId="77777777" w:rsidTr="004B5176">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3120DCC" w14:textId="4551E424" w:rsidR="004B5176" w:rsidRDefault="003B323A">
            <w:pPr>
              <w:pStyle w:val="Tabletext"/>
            </w:pPr>
            <w:r>
              <w:t>Progression free survival</w:t>
            </w:r>
            <w:r w:rsidR="004B5176">
              <w:t xml:space="preserve"> hazard ratio (95% CI)</w:t>
            </w:r>
            <w:r w:rsidR="00CE0970">
              <w:t xml:space="preserve">; </w:t>
            </w:r>
            <w:r w:rsidR="004B5176">
              <w:t>p-value</w:t>
            </w:r>
          </w:p>
        </w:tc>
        <w:tc>
          <w:tcPr>
            <w:tcW w:w="46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6A832A9" w14:textId="243D17B3" w:rsidR="004B5176" w:rsidRDefault="004B5176">
            <w:pPr>
              <w:pStyle w:val="Tabletext"/>
              <w:jc w:val="center"/>
            </w:pPr>
            <w:r>
              <w:t>0.41 (0.32, 0.52)</w:t>
            </w:r>
            <w:r w:rsidR="00CE0970">
              <w:t xml:space="preserve">; </w:t>
            </w:r>
            <w:r>
              <w:t>p</w:t>
            </w:r>
            <w:r w:rsidR="005B3427">
              <w:t xml:space="preserve"> </w:t>
            </w:r>
            <w:r>
              <w:t>&lt;</w:t>
            </w:r>
            <w:r w:rsidR="005B3427">
              <w:t xml:space="preserve"> </w:t>
            </w:r>
            <w:r>
              <w:t>0.0001</w:t>
            </w:r>
          </w:p>
        </w:tc>
      </w:tr>
    </w:tbl>
    <w:p w14:paraId="17C3A8A9" w14:textId="4B3B7A5F" w:rsidR="004B5176" w:rsidRDefault="00EF0FB4" w:rsidP="00EF0FB4">
      <w:pPr>
        <w:pStyle w:val="FigureTitle"/>
        <w:rPr>
          <w:sz w:val="19"/>
          <w:szCs w:val="18"/>
        </w:rPr>
      </w:pPr>
      <w:bookmarkStart w:id="51" w:name="_Ref90384451"/>
      <w:r>
        <w:lastRenderedPageBreak/>
        <w:t xml:space="preserve">Figure </w:t>
      </w:r>
      <w:fldSimple w:instr=" SEQ Figure \* ARABIC ">
        <w:r w:rsidR="00DC605F">
          <w:rPr>
            <w:noProof/>
          </w:rPr>
          <w:t>5</w:t>
        </w:r>
      </w:fldSimple>
      <w:bookmarkEnd w:id="51"/>
      <w:r>
        <w:t xml:space="preserve">: </w:t>
      </w:r>
      <w:r w:rsidR="003B323A">
        <w:t xml:space="preserve">Study IMMU-132-05 (ASCENT trial) </w:t>
      </w:r>
      <w:r w:rsidR="004B5176">
        <w:t>Kaplan-Meier curve for the primary endpoint (</w:t>
      </w:r>
      <w:r w:rsidR="0008662E">
        <w:t>progression-free survival</w:t>
      </w:r>
      <w:r w:rsidR="004B5176">
        <w:t xml:space="preserve"> by </w:t>
      </w:r>
      <w:r w:rsidR="0008662E">
        <w:t>blinded independent central review</w:t>
      </w:r>
      <w:r w:rsidR="004B5176">
        <w:t xml:space="preserve"> in the </w:t>
      </w:r>
      <w:r w:rsidR="003B323A">
        <w:t>brain metastasis</w:t>
      </w:r>
      <w:r w:rsidR="004B5176">
        <w:t>-negative group)</w:t>
      </w:r>
    </w:p>
    <w:p w14:paraId="482A2174" w14:textId="49502334" w:rsidR="004B5176" w:rsidRDefault="004B5176" w:rsidP="004B5176">
      <w:r>
        <w:rPr>
          <w:noProof/>
          <w:lang w:val="en-GB" w:eastAsia="en-GB"/>
        </w:rPr>
        <w:drawing>
          <wp:inline distT="0" distB="0" distL="0" distR="0" wp14:anchorId="4D145D0A" wp14:editId="233442DC">
            <wp:extent cx="5400040" cy="2807970"/>
            <wp:effectExtent l="0" t="0" r="0" b="0"/>
            <wp:docPr id="6" name="Picture 6" descr="This figure shows the Kaplan-Meier curve for the primary endpoint (PFS by BICR in the BM-negative group) in the ASCENT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figure shows the Kaplan-Meier curve for the primary endpoint (PFS by BICR in the BM-negative group) in the ASCENT stud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40" cy="2807970"/>
                    </a:xfrm>
                    <a:prstGeom prst="rect">
                      <a:avLst/>
                    </a:prstGeom>
                    <a:noFill/>
                    <a:ln>
                      <a:noFill/>
                    </a:ln>
                  </pic:spPr>
                </pic:pic>
              </a:graphicData>
            </a:graphic>
          </wp:inline>
        </w:drawing>
      </w:r>
    </w:p>
    <w:p w14:paraId="2263592F" w14:textId="65449C12" w:rsidR="003B323A" w:rsidRDefault="003B323A" w:rsidP="001A6150">
      <w:pPr>
        <w:pStyle w:val="FigureDescription"/>
      </w:pPr>
      <w:r>
        <w:t xml:space="preserve">IMMU-132 = </w:t>
      </w:r>
      <w:proofErr w:type="spellStart"/>
      <w:r>
        <w:t>sacituzumab</w:t>
      </w:r>
      <w:proofErr w:type="spellEnd"/>
      <w:r>
        <w:t xml:space="preserve"> </w:t>
      </w:r>
      <w:proofErr w:type="spellStart"/>
      <w:r>
        <w:t>govitecan</w:t>
      </w:r>
      <w:proofErr w:type="spellEnd"/>
    </w:p>
    <w:p w14:paraId="1352329D" w14:textId="6D3D79D8" w:rsidR="004B5176" w:rsidRDefault="004B5176" w:rsidP="004B5176">
      <w:r>
        <w:t xml:space="preserve">Despite the </w:t>
      </w:r>
      <w:r w:rsidR="00D820E6">
        <w:t>four</w:t>
      </w:r>
      <w:r w:rsidR="003B323A">
        <w:t xml:space="preserve"> </w:t>
      </w:r>
      <w:r>
        <w:t xml:space="preserve">month improvement in PFS and the PFS hazard ratio of 0.41, there were more events in the SG arm (71%) compared to the TPC arm (64%) because more patients on the TPC arm compared to </w:t>
      </w:r>
      <w:proofErr w:type="spellStart"/>
      <w:r w:rsidR="003B323A">
        <w:t>sacituzumab</w:t>
      </w:r>
      <w:proofErr w:type="spellEnd"/>
      <w:r w:rsidR="003B323A">
        <w:t xml:space="preserve"> </w:t>
      </w:r>
      <w:proofErr w:type="spellStart"/>
      <w:r w:rsidR="003B323A">
        <w:t>govitecan</w:t>
      </w:r>
      <w:proofErr w:type="spellEnd"/>
      <w:r>
        <w:t xml:space="preserve"> arm were censored at randomisation (n</w:t>
      </w:r>
      <w:r w:rsidR="00863E80">
        <w:t xml:space="preserve"> </w:t>
      </w:r>
      <w:r>
        <w:t>=</w:t>
      </w:r>
      <w:r w:rsidR="00863E80">
        <w:t xml:space="preserve"> </w:t>
      </w:r>
      <w:r>
        <w:t>39 v</w:t>
      </w:r>
      <w:r w:rsidR="00F025AB">
        <w:t>ersu</w:t>
      </w:r>
      <w:r>
        <w:t>s n</w:t>
      </w:r>
      <w:r w:rsidR="00863E80">
        <w:t xml:space="preserve"> </w:t>
      </w:r>
      <w:r>
        <w:t>=</w:t>
      </w:r>
      <w:r w:rsidR="00863E80">
        <w:t xml:space="preserve"> </w:t>
      </w:r>
      <w:r>
        <w:t xml:space="preserve">4, respectively) (see </w:t>
      </w:r>
      <w:r w:rsidR="005B3427">
        <w:t>‘</w:t>
      </w:r>
      <w:r>
        <w:fldChar w:fldCharType="begin"/>
      </w:r>
      <w:r>
        <w:instrText xml:space="preserve"> REF _Ref77940980 \h </w:instrText>
      </w:r>
      <w:r>
        <w:fldChar w:fldCharType="separate"/>
      </w:r>
      <w:r>
        <w:t>Patient disposition</w:t>
      </w:r>
      <w:r>
        <w:fldChar w:fldCharType="end"/>
      </w:r>
      <w:r>
        <w:t>,</w:t>
      </w:r>
      <w:r w:rsidR="005B3427">
        <w:t>’</w:t>
      </w:r>
      <w:r>
        <w:t xml:space="preserve"> </w:t>
      </w:r>
      <w:r>
        <w:fldChar w:fldCharType="begin"/>
      </w:r>
      <w:r>
        <w:instrText xml:space="preserve"> REF _Ref77940980 \p \h </w:instrText>
      </w:r>
      <w:r>
        <w:fldChar w:fldCharType="separate"/>
      </w:r>
      <w:r>
        <w:t>above</w:t>
      </w:r>
      <w:r>
        <w:fldChar w:fldCharType="end"/>
      </w:r>
      <w:r>
        <w:t>), and so never had a chance to have a PFS event occur.</w:t>
      </w:r>
    </w:p>
    <w:p w14:paraId="536C71D9" w14:textId="20CDB1AC" w:rsidR="004B5176" w:rsidRDefault="004B5176" w:rsidP="004B5176">
      <w:r>
        <w:t>Investigator-assessed PFS was consistent with the primary endpoint (BICR-assessed): 5.5</w:t>
      </w:r>
      <w:r w:rsidR="003B323A">
        <w:t> </w:t>
      </w:r>
      <w:r>
        <w:t xml:space="preserve">months with </w:t>
      </w:r>
      <w:proofErr w:type="spellStart"/>
      <w:r w:rsidR="003B323A">
        <w:t>sacituzumab</w:t>
      </w:r>
      <w:proofErr w:type="spellEnd"/>
      <w:r w:rsidR="003B323A">
        <w:t xml:space="preserve"> </w:t>
      </w:r>
      <w:proofErr w:type="spellStart"/>
      <w:r w:rsidR="003B323A">
        <w:t>govitecan</w:t>
      </w:r>
      <w:proofErr w:type="spellEnd"/>
      <w:r>
        <w:t xml:space="preserve"> and 1.7 months with TPC; hazard ratio for disease progression or death, 0.35; 95% CI, 0.28 to 0.44).</w:t>
      </w:r>
    </w:p>
    <w:p w14:paraId="6C126957" w14:textId="68A32718" w:rsidR="00224CAB" w:rsidRDefault="003B323A" w:rsidP="00224CAB">
      <w:pPr>
        <w:pStyle w:val="Heading6"/>
      </w:pPr>
      <w:r>
        <w:t xml:space="preserve">Results for the </w:t>
      </w:r>
      <w:r w:rsidR="00224CAB">
        <w:t>Secondary endpoints</w:t>
      </w:r>
    </w:p>
    <w:p w14:paraId="15338386" w14:textId="0E25C970" w:rsidR="00224CAB" w:rsidRPr="00224CAB" w:rsidRDefault="00224CAB" w:rsidP="00224CAB">
      <w:pPr>
        <w:rPr>
          <w:rFonts w:asciiTheme="minorHAnsi" w:hAnsiTheme="minorHAnsi"/>
        </w:rPr>
      </w:pPr>
      <w:r>
        <w:t xml:space="preserve">Results for secondary endpoints from the ASCENT </w:t>
      </w:r>
      <w:r w:rsidR="00D820E6">
        <w:t>trial</w:t>
      </w:r>
      <w:r>
        <w:t xml:space="preserve"> are summarised </w:t>
      </w:r>
      <w:r>
        <w:rPr>
          <w:rFonts w:asciiTheme="minorHAnsi" w:hAnsiTheme="minorHAnsi"/>
        </w:rPr>
        <w:t xml:space="preserve">in </w:t>
      </w:r>
      <w:r>
        <w:rPr>
          <w:rFonts w:asciiTheme="minorHAnsi" w:hAnsiTheme="minorHAnsi"/>
        </w:rPr>
        <w:fldChar w:fldCharType="begin"/>
      </w:r>
      <w:r>
        <w:rPr>
          <w:rFonts w:asciiTheme="minorHAnsi" w:hAnsiTheme="minorHAnsi"/>
        </w:rPr>
        <w:instrText xml:space="preserve"> REF _Ref90384649 \h </w:instrText>
      </w:r>
      <w:r>
        <w:rPr>
          <w:rFonts w:asciiTheme="minorHAnsi" w:hAnsiTheme="minorHAnsi"/>
        </w:rPr>
      </w:r>
      <w:r>
        <w:rPr>
          <w:rFonts w:asciiTheme="minorHAnsi" w:hAnsiTheme="minorHAnsi"/>
        </w:rPr>
        <w:fldChar w:fldCharType="separate"/>
      </w:r>
      <w:r>
        <w:t xml:space="preserve">Table </w:t>
      </w:r>
      <w:r>
        <w:rPr>
          <w:noProof/>
        </w:rPr>
        <w:t>10</w:t>
      </w:r>
      <w:r>
        <w:rPr>
          <w:rFonts w:asciiTheme="minorHAnsi" w:hAnsiTheme="minorHAnsi"/>
        </w:rPr>
        <w:fldChar w:fldCharType="end"/>
      </w:r>
      <w:r>
        <w:rPr>
          <w:rFonts w:asciiTheme="minorHAnsi" w:hAnsiTheme="minorHAnsi"/>
        </w:rPr>
        <w:t xml:space="preserve"> and </w:t>
      </w:r>
      <w:r>
        <w:rPr>
          <w:rFonts w:asciiTheme="minorHAnsi" w:hAnsiTheme="minorHAnsi"/>
        </w:rPr>
        <w:fldChar w:fldCharType="begin"/>
      </w:r>
      <w:r>
        <w:rPr>
          <w:rFonts w:asciiTheme="minorHAnsi" w:hAnsiTheme="minorHAnsi"/>
        </w:rPr>
        <w:instrText xml:space="preserve"> REF _Ref90384733 \h </w:instrText>
      </w:r>
      <w:r>
        <w:rPr>
          <w:rFonts w:asciiTheme="minorHAnsi" w:hAnsiTheme="minorHAnsi"/>
        </w:rPr>
      </w:r>
      <w:r>
        <w:rPr>
          <w:rFonts w:asciiTheme="minorHAnsi" w:hAnsiTheme="minorHAnsi"/>
        </w:rPr>
        <w:fldChar w:fldCharType="separate"/>
      </w:r>
      <w:r>
        <w:t xml:space="preserve">Figure </w:t>
      </w:r>
      <w:r>
        <w:rPr>
          <w:noProof/>
        </w:rPr>
        <w:t>6</w:t>
      </w:r>
      <w:r>
        <w:rPr>
          <w:rFonts w:asciiTheme="minorHAnsi" w:hAnsiTheme="minorHAnsi"/>
        </w:rPr>
        <w:fldChar w:fldCharType="end"/>
      </w:r>
      <w:r>
        <w:rPr>
          <w:rFonts w:asciiTheme="minorHAnsi" w:hAnsiTheme="minorHAnsi"/>
        </w:rPr>
        <w:t>.</w:t>
      </w:r>
    </w:p>
    <w:p w14:paraId="74497269" w14:textId="11F2A519" w:rsidR="00224CAB" w:rsidRDefault="00224CAB" w:rsidP="00224CAB">
      <w:pPr>
        <w:pStyle w:val="TableTitle"/>
      </w:pPr>
      <w:bookmarkStart w:id="52" w:name="_Ref90384649"/>
      <w:r>
        <w:t xml:space="preserve">Table </w:t>
      </w:r>
      <w:fldSimple w:instr=" SEQ Table \* ARABIC ">
        <w:r w:rsidR="007D09B2">
          <w:rPr>
            <w:noProof/>
          </w:rPr>
          <w:t>10</w:t>
        </w:r>
      </w:fldSimple>
      <w:bookmarkEnd w:id="52"/>
      <w:r>
        <w:t xml:space="preserve">: </w:t>
      </w:r>
      <w:r w:rsidR="003B323A">
        <w:t xml:space="preserve">Study IMMU-132-05 (ASCENT trial) </w:t>
      </w:r>
      <w:r>
        <w:t>Results for secondary endpoints</w:t>
      </w:r>
    </w:p>
    <w:tbl>
      <w:tblPr>
        <w:tblStyle w:val="TableTGAblue"/>
        <w:tblW w:w="0" w:type="auto"/>
        <w:tblLook w:val="04A0" w:firstRow="1" w:lastRow="0" w:firstColumn="1" w:lastColumn="0" w:noHBand="0" w:noVBand="1"/>
      </w:tblPr>
      <w:tblGrid>
        <w:gridCol w:w="2249"/>
        <w:gridCol w:w="2526"/>
        <w:gridCol w:w="1899"/>
        <w:gridCol w:w="1810"/>
      </w:tblGrid>
      <w:tr w:rsidR="003B323A" w14:paraId="6E4FE831" w14:textId="77777777" w:rsidTr="00224CAB">
        <w:trPr>
          <w:cnfStyle w:val="100000000000" w:firstRow="1" w:lastRow="0" w:firstColumn="0" w:lastColumn="0" w:oddVBand="0" w:evenVBand="0" w:oddHBand="0" w:evenHBand="0" w:firstRowFirstColumn="0" w:firstRowLastColumn="0" w:lastRowFirstColumn="0" w:lastRowLastColumn="0"/>
        </w:trPr>
        <w:tc>
          <w:tcPr>
            <w:tcW w:w="2376" w:type="dxa"/>
          </w:tcPr>
          <w:p w14:paraId="40B711F7" w14:textId="77777777" w:rsidR="00224CAB" w:rsidRDefault="00224CAB">
            <w:pPr>
              <w:pStyle w:val="Tabletext"/>
            </w:pPr>
          </w:p>
        </w:tc>
        <w:tc>
          <w:tcPr>
            <w:tcW w:w="2752" w:type="dxa"/>
          </w:tcPr>
          <w:p w14:paraId="4A391941" w14:textId="77777777" w:rsidR="00224CAB" w:rsidRDefault="00224CAB">
            <w:pPr>
              <w:pStyle w:val="Tabletext"/>
            </w:pPr>
          </w:p>
        </w:tc>
        <w:tc>
          <w:tcPr>
            <w:tcW w:w="1939" w:type="dxa"/>
            <w:hideMark/>
          </w:tcPr>
          <w:p w14:paraId="0B8ABB5E" w14:textId="3C75AD5B" w:rsidR="00224CAB" w:rsidRDefault="003B323A">
            <w:pPr>
              <w:pStyle w:val="Tabletext"/>
              <w:jc w:val="center"/>
            </w:pPr>
            <w:r>
              <w:t xml:space="preserve">Sacituzumab </w:t>
            </w:r>
            <w:proofErr w:type="spellStart"/>
            <w:r>
              <w:t>govitecan</w:t>
            </w:r>
            <w:proofErr w:type="spellEnd"/>
            <w:r w:rsidDel="003B323A">
              <w:t xml:space="preserve"> </w:t>
            </w:r>
          </w:p>
        </w:tc>
        <w:tc>
          <w:tcPr>
            <w:tcW w:w="1939" w:type="dxa"/>
            <w:hideMark/>
          </w:tcPr>
          <w:p w14:paraId="6442B613" w14:textId="77777777" w:rsidR="00224CAB" w:rsidRDefault="00224CAB">
            <w:pPr>
              <w:pStyle w:val="Tabletext"/>
              <w:jc w:val="center"/>
            </w:pPr>
            <w:r>
              <w:t>TPC</w:t>
            </w:r>
          </w:p>
        </w:tc>
      </w:tr>
      <w:tr w:rsidR="003B323A" w14:paraId="4203DAD2" w14:textId="77777777" w:rsidTr="00224CAB">
        <w:tc>
          <w:tcPr>
            <w:tcW w:w="23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A8B9238" w14:textId="5068F49D" w:rsidR="00224CAB" w:rsidRDefault="003B323A">
            <w:pPr>
              <w:pStyle w:val="Tabletext"/>
            </w:pPr>
            <w:r>
              <w:t>Overall survival</w:t>
            </w:r>
            <w:r w:rsidR="00224CAB">
              <w:t xml:space="preserve"> in the </w:t>
            </w:r>
            <w:r>
              <w:t>brain metastasis</w:t>
            </w:r>
            <w:r w:rsidR="00224CAB">
              <w:t>-negative group</w:t>
            </w:r>
          </w:p>
        </w:tc>
        <w:tc>
          <w:tcPr>
            <w:tcW w:w="27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7752FE8" w14:textId="77777777" w:rsidR="00224CAB" w:rsidRDefault="00224CAB">
            <w:pPr>
              <w:pStyle w:val="Tabletext"/>
            </w:pPr>
            <w:r>
              <w:t>Group size, n</w:t>
            </w:r>
          </w:p>
        </w:tc>
        <w:tc>
          <w:tcPr>
            <w:tcW w:w="19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5BBAEA6" w14:textId="77777777" w:rsidR="00224CAB" w:rsidRDefault="00224CAB">
            <w:pPr>
              <w:pStyle w:val="Tabletext"/>
              <w:jc w:val="center"/>
              <w:rPr>
                <w:rFonts w:asciiTheme="minorHAnsi" w:hAnsiTheme="minorHAnsi"/>
              </w:rPr>
            </w:pPr>
            <w:r>
              <w:rPr>
                <w:rFonts w:asciiTheme="minorHAnsi" w:hAnsiTheme="minorHAnsi"/>
              </w:rPr>
              <w:t>235</w:t>
            </w:r>
          </w:p>
        </w:tc>
        <w:tc>
          <w:tcPr>
            <w:tcW w:w="19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C27E834" w14:textId="77777777" w:rsidR="00224CAB" w:rsidRDefault="00224CAB">
            <w:pPr>
              <w:pStyle w:val="Tabletext"/>
              <w:jc w:val="center"/>
              <w:rPr>
                <w:rFonts w:asciiTheme="minorHAnsi" w:hAnsiTheme="minorHAnsi"/>
              </w:rPr>
            </w:pPr>
            <w:r>
              <w:rPr>
                <w:rFonts w:asciiTheme="minorHAnsi" w:hAnsiTheme="minorHAnsi"/>
              </w:rPr>
              <w:t>233</w:t>
            </w:r>
          </w:p>
        </w:tc>
      </w:tr>
      <w:tr w:rsidR="003B323A" w14:paraId="2778FB7D" w14:textId="77777777" w:rsidTr="00224CAB">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8EE9284" w14:textId="77777777" w:rsidR="00224CAB" w:rsidRDefault="00224CAB">
            <w:pPr>
              <w:spacing w:before="0" w:after="0" w:line="240" w:lineRule="auto"/>
              <w:ind w:left="0" w:right="0"/>
              <w:rPr>
                <w:sz w:val="19"/>
              </w:rPr>
            </w:pPr>
          </w:p>
        </w:tc>
        <w:tc>
          <w:tcPr>
            <w:tcW w:w="27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3779ED4" w14:textId="657D0133" w:rsidR="00224CAB" w:rsidRDefault="00224CAB">
            <w:pPr>
              <w:pStyle w:val="Tabletext"/>
            </w:pPr>
            <w:r>
              <w:t>Patients with events, n</w:t>
            </w:r>
            <w:r w:rsidR="003B323A">
              <w:t> </w:t>
            </w:r>
            <w:r>
              <w:t>(%)</w:t>
            </w:r>
          </w:p>
        </w:tc>
        <w:tc>
          <w:tcPr>
            <w:tcW w:w="19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F1512CA" w14:textId="77777777" w:rsidR="00224CAB" w:rsidRDefault="00224CAB">
            <w:pPr>
              <w:pStyle w:val="Tabletext"/>
              <w:jc w:val="center"/>
            </w:pPr>
            <w:r>
              <w:rPr>
                <w:rFonts w:asciiTheme="minorHAnsi" w:hAnsiTheme="minorHAnsi"/>
              </w:rPr>
              <w:t>155 (66%)</w:t>
            </w:r>
          </w:p>
        </w:tc>
        <w:tc>
          <w:tcPr>
            <w:tcW w:w="19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67EBF2C" w14:textId="77777777" w:rsidR="00224CAB" w:rsidRDefault="00224CAB">
            <w:pPr>
              <w:pStyle w:val="Tabletext"/>
              <w:jc w:val="center"/>
            </w:pPr>
            <w:r>
              <w:rPr>
                <w:rFonts w:asciiTheme="minorHAnsi" w:hAnsiTheme="minorHAnsi"/>
              </w:rPr>
              <w:t>185 (79%)</w:t>
            </w:r>
          </w:p>
        </w:tc>
      </w:tr>
      <w:tr w:rsidR="003B323A" w14:paraId="4D0CCC24" w14:textId="77777777" w:rsidTr="00224CAB">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754B197" w14:textId="77777777" w:rsidR="00224CAB" w:rsidRDefault="00224CAB">
            <w:pPr>
              <w:spacing w:before="0" w:after="0" w:line="240" w:lineRule="auto"/>
              <w:ind w:left="0" w:right="0"/>
              <w:rPr>
                <w:sz w:val="19"/>
              </w:rPr>
            </w:pPr>
          </w:p>
        </w:tc>
        <w:tc>
          <w:tcPr>
            <w:tcW w:w="27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72DDD20" w14:textId="393C7C1B" w:rsidR="00224CAB" w:rsidRDefault="00224CAB">
            <w:pPr>
              <w:pStyle w:val="Tabletext"/>
            </w:pPr>
            <w:proofErr w:type="gramStart"/>
            <w:r>
              <w:t>Median ,</w:t>
            </w:r>
            <w:proofErr w:type="gramEnd"/>
            <w:r>
              <w:t xml:space="preserve"> </w:t>
            </w:r>
            <w:r w:rsidR="003B323A">
              <w:t>overall survival m</w:t>
            </w:r>
            <w:r>
              <w:t>onths</w:t>
            </w:r>
          </w:p>
        </w:tc>
        <w:tc>
          <w:tcPr>
            <w:tcW w:w="19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588E459" w14:textId="77777777" w:rsidR="00224CAB" w:rsidRDefault="00224CAB">
            <w:pPr>
              <w:pStyle w:val="Tabletext"/>
              <w:jc w:val="center"/>
            </w:pPr>
            <w:r>
              <w:rPr>
                <w:rFonts w:asciiTheme="minorHAnsi" w:hAnsiTheme="minorHAnsi"/>
              </w:rPr>
              <w:t>12.1</w:t>
            </w:r>
          </w:p>
        </w:tc>
        <w:tc>
          <w:tcPr>
            <w:tcW w:w="19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FAD0E5D" w14:textId="6071FA0A" w:rsidR="00224CAB" w:rsidRDefault="00224CAB">
            <w:pPr>
              <w:pStyle w:val="Tabletext"/>
              <w:jc w:val="center"/>
            </w:pPr>
            <w:r>
              <w:rPr>
                <w:rFonts w:asciiTheme="minorHAnsi" w:hAnsiTheme="minorHAnsi"/>
              </w:rPr>
              <w:t>6.</w:t>
            </w:r>
            <w:r w:rsidR="00193A57">
              <w:rPr>
                <w:rFonts w:asciiTheme="minorHAnsi" w:hAnsiTheme="minorHAnsi"/>
              </w:rPr>
              <w:t>7</w:t>
            </w:r>
          </w:p>
        </w:tc>
      </w:tr>
      <w:tr w:rsidR="003B323A" w14:paraId="3E786441" w14:textId="77777777" w:rsidTr="00224CAB">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F00706B" w14:textId="77777777" w:rsidR="00224CAB" w:rsidRDefault="00224CAB">
            <w:pPr>
              <w:spacing w:before="0" w:after="0" w:line="240" w:lineRule="auto"/>
              <w:ind w:left="0" w:right="0"/>
              <w:rPr>
                <w:sz w:val="19"/>
              </w:rPr>
            </w:pPr>
          </w:p>
        </w:tc>
        <w:tc>
          <w:tcPr>
            <w:tcW w:w="27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EE5B5ED" w14:textId="2265BA8E" w:rsidR="00224CAB" w:rsidRDefault="003B323A">
            <w:pPr>
              <w:pStyle w:val="Tabletext"/>
            </w:pPr>
            <w:r>
              <w:t>Overall survival</w:t>
            </w:r>
            <w:r w:rsidR="00224CAB">
              <w:t xml:space="preserve"> hazard ratio (95% CI)</w:t>
            </w:r>
            <w:r>
              <w:t xml:space="preserve">; </w:t>
            </w:r>
            <w:r w:rsidR="00224CAB">
              <w:t>p-value</w:t>
            </w:r>
          </w:p>
        </w:tc>
        <w:tc>
          <w:tcPr>
            <w:tcW w:w="38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D812514" w14:textId="65DFD934" w:rsidR="00224CAB" w:rsidRDefault="00224CAB">
            <w:pPr>
              <w:pStyle w:val="Tabletext"/>
              <w:jc w:val="center"/>
              <w:rPr>
                <w:rFonts w:asciiTheme="minorHAnsi" w:hAnsiTheme="minorHAnsi"/>
              </w:rPr>
            </w:pPr>
            <w:r>
              <w:rPr>
                <w:rFonts w:asciiTheme="minorHAnsi" w:hAnsiTheme="minorHAnsi"/>
              </w:rPr>
              <w:t>0.48 (0.38, 0.59)</w:t>
            </w:r>
            <w:r w:rsidR="003B323A">
              <w:rPr>
                <w:rFonts w:asciiTheme="minorHAnsi" w:hAnsiTheme="minorHAnsi"/>
              </w:rPr>
              <w:t xml:space="preserve">; </w:t>
            </w:r>
            <w:r>
              <w:rPr>
                <w:rFonts w:asciiTheme="minorHAnsi" w:hAnsiTheme="minorHAnsi"/>
              </w:rPr>
              <w:t>p</w:t>
            </w:r>
            <w:r w:rsidR="005B3427">
              <w:rPr>
                <w:rFonts w:asciiTheme="minorHAnsi" w:hAnsiTheme="minorHAnsi"/>
              </w:rPr>
              <w:t xml:space="preserve"> </w:t>
            </w:r>
            <w:r>
              <w:rPr>
                <w:rFonts w:asciiTheme="minorHAnsi" w:hAnsiTheme="minorHAnsi"/>
              </w:rPr>
              <w:t>&lt;</w:t>
            </w:r>
            <w:r w:rsidR="005B3427">
              <w:rPr>
                <w:rFonts w:asciiTheme="minorHAnsi" w:hAnsiTheme="minorHAnsi"/>
              </w:rPr>
              <w:t xml:space="preserve"> </w:t>
            </w:r>
            <w:r>
              <w:rPr>
                <w:rFonts w:asciiTheme="minorHAnsi" w:hAnsiTheme="minorHAnsi"/>
              </w:rPr>
              <w:t>0.0001</w:t>
            </w:r>
          </w:p>
        </w:tc>
      </w:tr>
      <w:tr w:rsidR="003B323A" w14:paraId="75E79A58" w14:textId="77777777" w:rsidTr="00224CAB">
        <w:tc>
          <w:tcPr>
            <w:tcW w:w="23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BAAF259" w14:textId="579C92C1" w:rsidR="00224CAB" w:rsidRDefault="003B323A">
            <w:pPr>
              <w:pStyle w:val="Tabletext"/>
            </w:pPr>
            <w:r>
              <w:t>Progression free survival</w:t>
            </w:r>
            <w:r w:rsidR="00224CAB">
              <w:t xml:space="preserve"> (by BICR) in the ITT group</w:t>
            </w:r>
          </w:p>
        </w:tc>
        <w:tc>
          <w:tcPr>
            <w:tcW w:w="27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82006EA" w14:textId="77777777" w:rsidR="00224CAB" w:rsidRDefault="00224CAB">
            <w:pPr>
              <w:pStyle w:val="Tabletext"/>
            </w:pPr>
            <w:r>
              <w:t>Group size, n</w:t>
            </w:r>
          </w:p>
        </w:tc>
        <w:tc>
          <w:tcPr>
            <w:tcW w:w="19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FB61CE4" w14:textId="77777777" w:rsidR="00224CAB" w:rsidRDefault="00224CAB">
            <w:pPr>
              <w:pStyle w:val="Tabletext"/>
              <w:jc w:val="center"/>
              <w:rPr>
                <w:rFonts w:asciiTheme="minorHAnsi" w:hAnsiTheme="minorHAnsi"/>
              </w:rPr>
            </w:pPr>
            <w:r>
              <w:rPr>
                <w:rFonts w:asciiTheme="minorHAnsi" w:hAnsiTheme="minorHAnsi"/>
              </w:rPr>
              <w:t>267</w:t>
            </w:r>
          </w:p>
        </w:tc>
        <w:tc>
          <w:tcPr>
            <w:tcW w:w="19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87F4785" w14:textId="77777777" w:rsidR="00224CAB" w:rsidRDefault="00224CAB">
            <w:pPr>
              <w:pStyle w:val="Tabletext"/>
              <w:jc w:val="center"/>
              <w:rPr>
                <w:rFonts w:asciiTheme="minorHAnsi" w:hAnsiTheme="minorHAnsi"/>
              </w:rPr>
            </w:pPr>
            <w:r>
              <w:rPr>
                <w:rFonts w:asciiTheme="minorHAnsi" w:hAnsiTheme="minorHAnsi"/>
              </w:rPr>
              <w:t>262</w:t>
            </w:r>
          </w:p>
        </w:tc>
      </w:tr>
      <w:tr w:rsidR="003B323A" w14:paraId="6EF24888" w14:textId="77777777" w:rsidTr="00224CAB">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1192AC9" w14:textId="77777777" w:rsidR="00224CAB" w:rsidRDefault="00224CAB">
            <w:pPr>
              <w:spacing w:before="0" w:after="0" w:line="240" w:lineRule="auto"/>
              <w:ind w:left="0" w:right="0"/>
              <w:rPr>
                <w:sz w:val="19"/>
              </w:rPr>
            </w:pPr>
          </w:p>
        </w:tc>
        <w:tc>
          <w:tcPr>
            <w:tcW w:w="27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D8B54EF" w14:textId="77777777" w:rsidR="00224CAB" w:rsidRDefault="00224CAB">
            <w:pPr>
              <w:pStyle w:val="Tabletext"/>
            </w:pPr>
            <w:r>
              <w:t>Patients with events, n (%)</w:t>
            </w:r>
          </w:p>
        </w:tc>
        <w:tc>
          <w:tcPr>
            <w:tcW w:w="19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5462E96" w14:textId="77777777" w:rsidR="00224CAB" w:rsidRDefault="00224CAB">
            <w:pPr>
              <w:pStyle w:val="Tabletext"/>
              <w:jc w:val="center"/>
              <w:rPr>
                <w:rFonts w:asciiTheme="minorHAnsi" w:hAnsiTheme="minorHAnsi"/>
              </w:rPr>
            </w:pPr>
            <w:r>
              <w:rPr>
                <w:rFonts w:asciiTheme="minorHAnsi" w:hAnsiTheme="minorHAnsi"/>
              </w:rPr>
              <w:t>190 (71%)</w:t>
            </w:r>
          </w:p>
        </w:tc>
        <w:tc>
          <w:tcPr>
            <w:tcW w:w="19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0762190" w14:textId="77777777" w:rsidR="00224CAB" w:rsidRDefault="00224CAB">
            <w:pPr>
              <w:pStyle w:val="Tabletext"/>
              <w:jc w:val="center"/>
              <w:rPr>
                <w:rFonts w:asciiTheme="minorHAnsi" w:hAnsiTheme="minorHAnsi"/>
              </w:rPr>
            </w:pPr>
            <w:r>
              <w:rPr>
                <w:rFonts w:asciiTheme="minorHAnsi" w:hAnsiTheme="minorHAnsi"/>
              </w:rPr>
              <w:t>171 (65%)</w:t>
            </w:r>
          </w:p>
        </w:tc>
      </w:tr>
      <w:tr w:rsidR="003B323A" w14:paraId="2D6F0D56" w14:textId="77777777" w:rsidTr="00224CAB">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FD58496" w14:textId="77777777" w:rsidR="00224CAB" w:rsidRDefault="00224CAB">
            <w:pPr>
              <w:spacing w:before="0" w:after="0" w:line="240" w:lineRule="auto"/>
              <w:ind w:left="0" w:right="0"/>
              <w:rPr>
                <w:sz w:val="19"/>
              </w:rPr>
            </w:pPr>
          </w:p>
        </w:tc>
        <w:tc>
          <w:tcPr>
            <w:tcW w:w="27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D4C6003" w14:textId="77777777" w:rsidR="00224CAB" w:rsidRDefault="00224CAB">
            <w:pPr>
              <w:pStyle w:val="Tabletext"/>
            </w:pPr>
            <w:r>
              <w:t>Median PFS, months</w:t>
            </w:r>
          </w:p>
        </w:tc>
        <w:tc>
          <w:tcPr>
            <w:tcW w:w="19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60C0DB0" w14:textId="77777777" w:rsidR="00224CAB" w:rsidRDefault="00224CAB">
            <w:pPr>
              <w:pStyle w:val="Tabletext"/>
              <w:jc w:val="center"/>
              <w:rPr>
                <w:rFonts w:asciiTheme="minorHAnsi" w:hAnsiTheme="minorHAnsi"/>
              </w:rPr>
            </w:pPr>
            <w:r>
              <w:rPr>
                <w:rFonts w:asciiTheme="minorHAnsi" w:hAnsiTheme="minorHAnsi"/>
              </w:rPr>
              <w:t>4.8</w:t>
            </w:r>
          </w:p>
        </w:tc>
        <w:tc>
          <w:tcPr>
            <w:tcW w:w="19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775CE0F" w14:textId="77777777" w:rsidR="00224CAB" w:rsidRDefault="00224CAB">
            <w:pPr>
              <w:pStyle w:val="Tabletext"/>
              <w:jc w:val="center"/>
              <w:rPr>
                <w:rFonts w:asciiTheme="minorHAnsi" w:hAnsiTheme="minorHAnsi"/>
              </w:rPr>
            </w:pPr>
            <w:r>
              <w:rPr>
                <w:rFonts w:asciiTheme="minorHAnsi" w:hAnsiTheme="minorHAnsi"/>
              </w:rPr>
              <w:t>1.7</w:t>
            </w:r>
          </w:p>
        </w:tc>
      </w:tr>
      <w:tr w:rsidR="003B323A" w14:paraId="3A5DCB14" w14:textId="77777777" w:rsidTr="00224CAB">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85F67B3" w14:textId="77777777" w:rsidR="00224CAB" w:rsidRDefault="00224CAB">
            <w:pPr>
              <w:spacing w:before="0" w:after="0" w:line="240" w:lineRule="auto"/>
              <w:ind w:left="0" w:right="0"/>
              <w:rPr>
                <w:sz w:val="19"/>
              </w:rPr>
            </w:pPr>
          </w:p>
        </w:tc>
        <w:tc>
          <w:tcPr>
            <w:tcW w:w="27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F19EE22" w14:textId="7EF2572D" w:rsidR="00224CAB" w:rsidRDefault="00224CAB">
            <w:pPr>
              <w:pStyle w:val="Tabletext"/>
            </w:pPr>
            <w:r>
              <w:t>PFS hazard ratio (95% CI)</w:t>
            </w:r>
            <w:r w:rsidR="003B323A">
              <w:t xml:space="preserve">; </w:t>
            </w:r>
            <w:r>
              <w:t>p-value</w:t>
            </w:r>
          </w:p>
        </w:tc>
        <w:tc>
          <w:tcPr>
            <w:tcW w:w="38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0D1595B" w14:textId="5EC6EAC2" w:rsidR="00224CAB" w:rsidRDefault="00224CAB">
            <w:pPr>
              <w:pStyle w:val="Tabletext"/>
              <w:jc w:val="center"/>
              <w:rPr>
                <w:rFonts w:asciiTheme="minorHAnsi" w:hAnsiTheme="minorHAnsi"/>
              </w:rPr>
            </w:pPr>
            <w:r>
              <w:rPr>
                <w:rFonts w:asciiTheme="minorHAnsi" w:hAnsiTheme="minorHAnsi"/>
              </w:rPr>
              <w:t>0.43 (0.35, 0.54)</w:t>
            </w:r>
            <w:r w:rsidR="003B323A">
              <w:rPr>
                <w:rFonts w:asciiTheme="minorHAnsi" w:hAnsiTheme="minorHAnsi"/>
              </w:rPr>
              <w:t xml:space="preserve">; </w:t>
            </w:r>
            <w:r>
              <w:rPr>
                <w:rFonts w:asciiTheme="minorHAnsi" w:hAnsiTheme="minorHAnsi"/>
              </w:rPr>
              <w:t>p</w:t>
            </w:r>
            <w:r w:rsidR="005B3427">
              <w:rPr>
                <w:rFonts w:asciiTheme="minorHAnsi" w:hAnsiTheme="minorHAnsi"/>
              </w:rPr>
              <w:t xml:space="preserve"> </w:t>
            </w:r>
            <w:r>
              <w:rPr>
                <w:rFonts w:asciiTheme="minorHAnsi" w:hAnsiTheme="minorHAnsi"/>
              </w:rPr>
              <w:t>&lt;</w:t>
            </w:r>
            <w:r w:rsidR="005B3427">
              <w:rPr>
                <w:rFonts w:asciiTheme="minorHAnsi" w:hAnsiTheme="minorHAnsi"/>
              </w:rPr>
              <w:t xml:space="preserve"> </w:t>
            </w:r>
            <w:r>
              <w:rPr>
                <w:rFonts w:asciiTheme="minorHAnsi" w:hAnsiTheme="minorHAnsi"/>
              </w:rPr>
              <w:t>0.0001</w:t>
            </w:r>
          </w:p>
        </w:tc>
      </w:tr>
      <w:tr w:rsidR="003B323A" w14:paraId="20566673" w14:textId="77777777" w:rsidTr="00224CAB">
        <w:tc>
          <w:tcPr>
            <w:tcW w:w="23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B44A1FF" w14:textId="1029059F" w:rsidR="00224CAB" w:rsidRDefault="003B323A">
            <w:pPr>
              <w:pStyle w:val="Tabletext"/>
            </w:pPr>
            <w:r>
              <w:t>Overall survival</w:t>
            </w:r>
            <w:r w:rsidR="00224CAB">
              <w:t xml:space="preserve"> in the ITT group</w:t>
            </w:r>
          </w:p>
        </w:tc>
        <w:tc>
          <w:tcPr>
            <w:tcW w:w="27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3078469" w14:textId="77777777" w:rsidR="00224CAB" w:rsidRDefault="00224CAB">
            <w:pPr>
              <w:pStyle w:val="Tabletext"/>
            </w:pPr>
            <w:r>
              <w:t>Group size, n</w:t>
            </w:r>
          </w:p>
        </w:tc>
        <w:tc>
          <w:tcPr>
            <w:tcW w:w="19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26F82A4" w14:textId="77777777" w:rsidR="00224CAB" w:rsidRDefault="00224CAB">
            <w:pPr>
              <w:pStyle w:val="Tabletext"/>
              <w:jc w:val="center"/>
              <w:rPr>
                <w:rFonts w:asciiTheme="minorHAnsi" w:hAnsiTheme="minorHAnsi"/>
              </w:rPr>
            </w:pPr>
            <w:r>
              <w:rPr>
                <w:rFonts w:asciiTheme="minorHAnsi" w:hAnsiTheme="minorHAnsi"/>
              </w:rPr>
              <w:t>267</w:t>
            </w:r>
          </w:p>
        </w:tc>
        <w:tc>
          <w:tcPr>
            <w:tcW w:w="19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AF3A6E4" w14:textId="77777777" w:rsidR="00224CAB" w:rsidRDefault="00224CAB">
            <w:pPr>
              <w:pStyle w:val="Tabletext"/>
              <w:jc w:val="center"/>
              <w:rPr>
                <w:rFonts w:asciiTheme="minorHAnsi" w:hAnsiTheme="minorHAnsi"/>
              </w:rPr>
            </w:pPr>
            <w:r>
              <w:rPr>
                <w:rFonts w:asciiTheme="minorHAnsi" w:hAnsiTheme="minorHAnsi"/>
              </w:rPr>
              <w:t>262</w:t>
            </w:r>
          </w:p>
        </w:tc>
      </w:tr>
      <w:tr w:rsidR="003B323A" w14:paraId="7D4BE7FB" w14:textId="77777777" w:rsidTr="00224CAB">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DA519BA" w14:textId="77777777" w:rsidR="00224CAB" w:rsidRDefault="00224CAB">
            <w:pPr>
              <w:spacing w:before="0" w:after="0" w:line="240" w:lineRule="auto"/>
              <w:ind w:left="0" w:right="0"/>
              <w:rPr>
                <w:sz w:val="19"/>
              </w:rPr>
            </w:pPr>
          </w:p>
        </w:tc>
        <w:tc>
          <w:tcPr>
            <w:tcW w:w="27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1D8C724" w14:textId="77777777" w:rsidR="00224CAB" w:rsidRDefault="00224CAB">
            <w:pPr>
              <w:pStyle w:val="Tabletext"/>
            </w:pPr>
            <w:r>
              <w:t>Patients with events, n (%)</w:t>
            </w:r>
          </w:p>
        </w:tc>
        <w:tc>
          <w:tcPr>
            <w:tcW w:w="19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45C905C" w14:textId="77777777" w:rsidR="00224CAB" w:rsidRDefault="00224CAB">
            <w:pPr>
              <w:pStyle w:val="Tabletext"/>
              <w:jc w:val="center"/>
              <w:rPr>
                <w:rFonts w:asciiTheme="minorHAnsi" w:hAnsiTheme="minorHAnsi"/>
              </w:rPr>
            </w:pPr>
            <w:r>
              <w:rPr>
                <w:rFonts w:asciiTheme="minorHAnsi" w:hAnsiTheme="minorHAnsi"/>
              </w:rPr>
              <w:t>179 (67%)</w:t>
            </w:r>
          </w:p>
        </w:tc>
        <w:tc>
          <w:tcPr>
            <w:tcW w:w="19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E1B02EC" w14:textId="77777777" w:rsidR="00224CAB" w:rsidRDefault="00224CAB">
            <w:pPr>
              <w:pStyle w:val="Tabletext"/>
              <w:jc w:val="center"/>
              <w:rPr>
                <w:rFonts w:asciiTheme="minorHAnsi" w:hAnsiTheme="minorHAnsi"/>
              </w:rPr>
            </w:pPr>
            <w:r>
              <w:rPr>
                <w:rFonts w:asciiTheme="minorHAnsi" w:hAnsiTheme="minorHAnsi"/>
              </w:rPr>
              <w:t>206 (79%)</w:t>
            </w:r>
          </w:p>
        </w:tc>
      </w:tr>
      <w:tr w:rsidR="003B323A" w14:paraId="7A73BA8C" w14:textId="77777777" w:rsidTr="00224CAB">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40F76A0" w14:textId="77777777" w:rsidR="00224CAB" w:rsidRDefault="00224CAB">
            <w:pPr>
              <w:spacing w:before="0" w:after="0" w:line="240" w:lineRule="auto"/>
              <w:ind w:left="0" w:right="0"/>
              <w:rPr>
                <w:sz w:val="19"/>
              </w:rPr>
            </w:pPr>
          </w:p>
        </w:tc>
        <w:tc>
          <w:tcPr>
            <w:tcW w:w="27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046CE70" w14:textId="18E31B78" w:rsidR="00224CAB" w:rsidRDefault="00224CAB">
            <w:pPr>
              <w:pStyle w:val="Tabletext"/>
            </w:pPr>
            <w:r>
              <w:t xml:space="preserve">Median </w:t>
            </w:r>
            <w:r w:rsidR="003B323A">
              <w:t>overall survival</w:t>
            </w:r>
            <w:r>
              <w:t>, months</w:t>
            </w:r>
          </w:p>
        </w:tc>
        <w:tc>
          <w:tcPr>
            <w:tcW w:w="19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76A7141" w14:textId="77777777" w:rsidR="00224CAB" w:rsidRDefault="00224CAB">
            <w:pPr>
              <w:pStyle w:val="Tabletext"/>
              <w:jc w:val="center"/>
              <w:rPr>
                <w:rFonts w:asciiTheme="minorHAnsi" w:hAnsiTheme="minorHAnsi"/>
              </w:rPr>
            </w:pPr>
            <w:r>
              <w:rPr>
                <w:rFonts w:asciiTheme="minorHAnsi" w:hAnsiTheme="minorHAnsi"/>
              </w:rPr>
              <w:t>11.8</w:t>
            </w:r>
          </w:p>
        </w:tc>
        <w:tc>
          <w:tcPr>
            <w:tcW w:w="193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987D142" w14:textId="77777777" w:rsidR="00224CAB" w:rsidRDefault="00224CAB">
            <w:pPr>
              <w:pStyle w:val="Tabletext"/>
              <w:jc w:val="center"/>
              <w:rPr>
                <w:rFonts w:asciiTheme="minorHAnsi" w:hAnsiTheme="minorHAnsi"/>
              </w:rPr>
            </w:pPr>
            <w:r>
              <w:rPr>
                <w:rFonts w:asciiTheme="minorHAnsi" w:hAnsiTheme="minorHAnsi"/>
              </w:rPr>
              <w:t>6.9</w:t>
            </w:r>
          </w:p>
        </w:tc>
      </w:tr>
      <w:tr w:rsidR="003B323A" w14:paraId="6D0D85D0" w14:textId="77777777" w:rsidTr="00224CAB">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4C88A70" w14:textId="77777777" w:rsidR="00224CAB" w:rsidRDefault="00224CAB">
            <w:pPr>
              <w:spacing w:before="0" w:after="0" w:line="240" w:lineRule="auto"/>
              <w:ind w:left="0" w:right="0"/>
              <w:rPr>
                <w:sz w:val="19"/>
              </w:rPr>
            </w:pPr>
          </w:p>
        </w:tc>
        <w:tc>
          <w:tcPr>
            <w:tcW w:w="27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C73D502" w14:textId="628D59E5" w:rsidR="00224CAB" w:rsidRDefault="003B323A">
            <w:pPr>
              <w:pStyle w:val="Tabletext"/>
            </w:pPr>
            <w:r>
              <w:t>Overall survival</w:t>
            </w:r>
            <w:r w:rsidR="00224CAB">
              <w:t xml:space="preserve"> hazard ratio (95% CI)</w:t>
            </w:r>
            <w:r>
              <w:t>; p-</w:t>
            </w:r>
            <w:r w:rsidR="00224CAB">
              <w:t>value</w:t>
            </w:r>
          </w:p>
        </w:tc>
        <w:tc>
          <w:tcPr>
            <w:tcW w:w="38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2BFA443" w14:textId="2061CC23" w:rsidR="00224CAB" w:rsidRDefault="00224CAB">
            <w:pPr>
              <w:pStyle w:val="Tabletext"/>
              <w:jc w:val="center"/>
              <w:rPr>
                <w:rFonts w:asciiTheme="minorHAnsi" w:hAnsiTheme="minorHAnsi"/>
              </w:rPr>
            </w:pPr>
            <w:r>
              <w:rPr>
                <w:rFonts w:asciiTheme="minorHAnsi" w:hAnsiTheme="minorHAnsi"/>
              </w:rPr>
              <w:t>0.51 (0.41, 0.62)</w:t>
            </w:r>
            <w:r w:rsidR="003B323A">
              <w:rPr>
                <w:rFonts w:asciiTheme="minorHAnsi" w:hAnsiTheme="minorHAnsi"/>
              </w:rPr>
              <w:t xml:space="preserve">; </w:t>
            </w:r>
            <w:r>
              <w:rPr>
                <w:rFonts w:asciiTheme="minorHAnsi" w:hAnsiTheme="minorHAnsi"/>
              </w:rPr>
              <w:t>p</w:t>
            </w:r>
            <w:r w:rsidR="005B3427">
              <w:rPr>
                <w:rFonts w:asciiTheme="minorHAnsi" w:hAnsiTheme="minorHAnsi"/>
              </w:rPr>
              <w:t xml:space="preserve"> </w:t>
            </w:r>
            <w:r>
              <w:rPr>
                <w:rFonts w:asciiTheme="minorHAnsi" w:hAnsiTheme="minorHAnsi"/>
              </w:rPr>
              <w:t>&lt;</w:t>
            </w:r>
            <w:r w:rsidR="005B3427">
              <w:rPr>
                <w:rFonts w:asciiTheme="minorHAnsi" w:hAnsiTheme="minorHAnsi"/>
              </w:rPr>
              <w:t xml:space="preserve"> </w:t>
            </w:r>
            <w:r>
              <w:rPr>
                <w:rFonts w:asciiTheme="minorHAnsi" w:hAnsiTheme="minorHAnsi"/>
              </w:rPr>
              <w:t>0.0001</w:t>
            </w:r>
          </w:p>
        </w:tc>
      </w:tr>
    </w:tbl>
    <w:p w14:paraId="5D832717" w14:textId="353C862C" w:rsidR="00224CAB" w:rsidRDefault="00224CAB" w:rsidP="00224CAB">
      <w:pPr>
        <w:pStyle w:val="FigureTitle"/>
      </w:pPr>
      <w:bookmarkStart w:id="53" w:name="_Ref90384733"/>
      <w:r>
        <w:t xml:space="preserve">Figure </w:t>
      </w:r>
      <w:fldSimple w:instr=" SEQ Figure \* ARABIC ">
        <w:r w:rsidR="00DC605F">
          <w:rPr>
            <w:noProof/>
          </w:rPr>
          <w:t>6</w:t>
        </w:r>
      </w:fldSimple>
      <w:bookmarkEnd w:id="53"/>
      <w:r>
        <w:t xml:space="preserve">: </w:t>
      </w:r>
      <w:r w:rsidR="003B323A">
        <w:t xml:space="preserve">Study IMMU-132-05 (ASCENT trial) </w:t>
      </w:r>
      <w:r>
        <w:t xml:space="preserve">Kaplan-Meier curve for </w:t>
      </w:r>
      <w:r w:rsidR="0008662E">
        <w:t>overall survival</w:t>
      </w:r>
      <w:r>
        <w:t xml:space="preserve"> in the </w:t>
      </w:r>
      <w:r w:rsidR="0008662E">
        <w:t>intention to treat</w:t>
      </w:r>
      <w:r>
        <w:t xml:space="preserve"> group</w:t>
      </w:r>
    </w:p>
    <w:p w14:paraId="0B7F8968" w14:textId="6CCDBACE" w:rsidR="00224CAB" w:rsidRDefault="00224CAB" w:rsidP="00224CAB">
      <w:r>
        <w:rPr>
          <w:noProof/>
          <w:lang w:val="en-GB" w:eastAsia="en-GB"/>
        </w:rPr>
        <w:drawing>
          <wp:inline distT="0" distB="0" distL="0" distR="0" wp14:anchorId="4C4E1F45" wp14:editId="14E525B9">
            <wp:extent cx="5400040" cy="2762885"/>
            <wp:effectExtent l="0" t="0" r="0" b="0"/>
            <wp:docPr id="7" name="Picture 7" descr="This figure shows the Kaplan-Meier curve for OS in the ITT group in the ASCENT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figure shows the Kaplan-Meier curve for OS in the ITT group in the ASCENT stud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0040" cy="2762885"/>
                    </a:xfrm>
                    <a:prstGeom prst="rect">
                      <a:avLst/>
                    </a:prstGeom>
                    <a:noFill/>
                    <a:ln>
                      <a:noFill/>
                    </a:ln>
                  </pic:spPr>
                </pic:pic>
              </a:graphicData>
            </a:graphic>
          </wp:inline>
        </w:drawing>
      </w:r>
    </w:p>
    <w:p w14:paraId="2B845E62" w14:textId="58B596AD" w:rsidR="003B323A" w:rsidRDefault="003B323A" w:rsidP="00884D31">
      <w:pPr>
        <w:pStyle w:val="FigureDescription"/>
      </w:pPr>
      <w:r>
        <w:t xml:space="preserve">IMMU-132 = </w:t>
      </w:r>
      <w:proofErr w:type="spellStart"/>
      <w:r>
        <w:t>sacituzumab</w:t>
      </w:r>
      <w:proofErr w:type="spellEnd"/>
      <w:r>
        <w:t xml:space="preserve"> </w:t>
      </w:r>
      <w:proofErr w:type="spellStart"/>
      <w:r>
        <w:t>govitecan</w:t>
      </w:r>
      <w:proofErr w:type="spellEnd"/>
    </w:p>
    <w:p w14:paraId="5E00EF80" w14:textId="77777777" w:rsidR="00224CAB" w:rsidRDefault="00224CAB" w:rsidP="00224CAB">
      <w:pPr>
        <w:pStyle w:val="Heading6"/>
      </w:pPr>
      <w:r>
        <w:t>Exploratory analyses</w:t>
      </w:r>
    </w:p>
    <w:p w14:paraId="66449169" w14:textId="458A8075" w:rsidR="00175529" w:rsidRDefault="00224CAB" w:rsidP="00224CAB">
      <w:r>
        <w:t xml:space="preserve">Number and type of responses and objective response rates are summarised in </w:t>
      </w:r>
      <w:r>
        <w:fldChar w:fldCharType="begin"/>
      </w:r>
      <w:r>
        <w:instrText xml:space="preserve"> REF _Ref90384879 \h </w:instrText>
      </w:r>
      <w:r>
        <w:fldChar w:fldCharType="separate"/>
      </w:r>
      <w:r>
        <w:t xml:space="preserve">Table </w:t>
      </w:r>
      <w:r>
        <w:rPr>
          <w:noProof/>
        </w:rPr>
        <w:t>11</w:t>
      </w:r>
      <w:r>
        <w:fldChar w:fldCharType="end"/>
      </w:r>
      <w:r w:rsidR="00175529">
        <w:t>.</w:t>
      </w:r>
    </w:p>
    <w:p w14:paraId="09EA09F3" w14:textId="77777777" w:rsidR="00224CAB" w:rsidRDefault="00224CAB" w:rsidP="00224CAB">
      <w:r>
        <w:t>The median duration of response (DOR) was 6.3 months in the SG arm and 3.6 months in the TPC arm by BICR.</w:t>
      </w:r>
    </w:p>
    <w:p w14:paraId="728C67D8" w14:textId="2A7B7551" w:rsidR="00224CAB" w:rsidRDefault="00224CAB" w:rsidP="00224CAB">
      <w:pPr>
        <w:pStyle w:val="TableTitle"/>
      </w:pPr>
      <w:bookmarkStart w:id="54" w:name="_Ref90384879"/>
      <w:r>
        <w:lastRenderedPageBreak/>
        <w:t xml:space="preserve">Table </w:t>
      </w:r>
      <w:fldSimple w:instr=" SEQ Table \* ARABIC ">
        <w:r w:rsidR="007D09B2">
          <w:rPr>
            <w:noProof/>
          </w:rPr>
          <w:t>11</w:t>
        </w:r>
      </w:fldSimple>
      <w:bookmarkEnd w:id="54"/>
      <w:r>
        <w:t>:</w:t>
      </w:r>
      <w:r w:rsidR="003B323A">
        <w:t xml:space="preserve"> Study IMMU-132-05</w:t>
      </w:r>
      <w:r w:rsidR="00085020">
        <w:t xml:space="preserve"> </w:t>
      </w:r>
      <w:r w:rsidR="003B323A">
        <w:t xml:space="preserve">(ASCENT trial) </w:t>
      </w:r>
      <w:r>
        <w:t xml:space="preserve">Responses, per </w:t>
      </w:r>
      <w:r w:rsidR="0008662E">
        <w:t>blinded independent central review</w:t>
      </w:r>
    </w:p>
    <w:tbl>
      <w:tblPr>
        <w:tblStyle w:val="TableTGAblue"/>
        <w:tblW w:w="0" w:type="auto"/>
        <w:tblLayout w:type="fixed"/>
        <w:tblCellMar>
          <w:left w:w="57" w:type="dxa"/>
          <w:right w:w="57" w:type="dxa"/>
        </w:tblCellMar>
        <w:tblLook w:val="04A0" w:firstRow="1" w:lastRow="0" w:firstColumn="1" w:lastColumn="0" w:noHBand="0" w:noVBand="1"/>
      </w:tblPr>
      <w:tblGrid>
        <w:gridCol w:w="1408"/>
        <w:gridCol w:w="1252"/>
        <w:gridCol w:w="1252"/>
        <w:gridCol w:w="1252"/>
        <w:gridCol w:w="1252"/>
        <w:gridCol w:w="1252"/>
        <w:gridCol w:w="1253"/>
      </w:tblGrid>
      <w:tr w:rsidR="00224CAB" w14:paraId="63C983B9" w14:textId="77777777" w:rsidTr="00224CAB">
        <w:trPr>
          <w:cnfStyle w:val="100000000000" w:firstRow="1" w:lastRow="0" w:firstColumn="0" w:lastColumn="0" w:oddVBand="0" w:evenVBand="0" w:oddHBand="0" w:evenHBand="0" w:firstRowFirstColumn="0" w:firstRowLastColumn="0" w:lastRowFirstColumn="0" w:lastRowLastColumn="0"/>
        </w:trPr>
        <w:tc>
          <w:tcPr>
            <w:tcW w:w="1408" w:type="dxa"/>
          </w:tcPr>
          <w:p w14:paraId="0F78CEFF" w14:textId="77777777" w:rsidR="00224CAB" w:rsidRDefault="00224CAB">
            <w:pPr>
              <w:pStyle w:val="Tabletext"/>
            </w:pPr>
          </w:p>
        </w:tc>
        <w:tc>
          <w:tcPr>
            <w:tcW w:w="2504" w:type="dxa"/>
            <w:gridSpan w:val="2"/>
            <w:hideMark/>
          </w:tcPr>
          <w:p w14:paraId="28A9B420" w14:textId="5D506B88" w:rsidR="00224CAB" w:rsidRDefault="003B323A">
            <w:pPr>
              <w:pStyle w:val="Tabletext"/>
              <w:jc w:val="center"/>
            </w:pPr>
            <w:r>
              <w:t>Intent to treat group</w:t>
            </w:r>
          </w:p>
        </w:tc>
        <w:tc>
          <w:tcPr>
            <w:tcW w:w="2504" w:type="dxa"/>
            <w:gridSpan w:val="2"/>
            <w:hideMark/>
          </w:tcPr>
          <w:p w14:paraId="116FFEE7" w14:textId="713A28B4" w:rsidR="00224CAB" w:rsidRDefault="003B323A">
            <w:pPr>
              <w:pStyle w:val="Tabletext"/>
              <w:jc w:val="center"/>
            </w:pPr>
            <w:r>
              <w:t>Brain metastasis</w:t>
            </w:r>
            <w:r w:rsidR="00224CAB">
              <w:t>-negative</w:t>
            </w:r>
          </w:p>
        </w:tc>
        <w:tc>
          <w:tcPr>
            <w:tcW w:w="2505" w:type="dxa"/>
            <w:gridSpan w:val="2"/>
            <w:hideMark/>
          </w:tcPr>
          <w:p w14:paraId="10929E24" w14:textId="5F387B99" w:rsidR="00224CAB" w:rsidRDefault="00224CAB">
            <w:pPr>
              <w:pStyle w:val="Tabletext"/>
              <w:jc w:val="center"/>
            </w:pPr>
            <w:r>
              <w:t>B</w:t>
            </w:r>
            <w:r w:rsidR="003B323A">
              <w:t>rain metastasis-</w:t>
            </w:r>
            <w:r>
              <w:t>positive</w:t>
            </w:r>
          </w:p>
        </w:tc>
      </w:tr>
      <w:tr w:rsidR="00224CAB" w14:paraId="38F670C5" w14:textId="77777777" w:rsidTr="00884D31">
        <w:trPr>
          <w:cantSplit/>
        </w:trPr>
        <w:tc>
          <w:tcPr>
            <w:tcW w:w="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CF3656" w14:textId="77777777" w:rsidR="00224CAB" w:rsidRDefault="00224CAB">
            <w:pPr>
              <w:pStyle w:val="Tabletext"/>
            </w:pPr>
          </w:p>
        </w:tc>
        <w:tc>
          <w:tcPr>
            <w:tcW w:w="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C644AD2" w14:textId="77777777" w:rsidR="00224CAB" w:rsidRDefault="00224CAB">
            <w:pPr>
              <w:pStyle w:val="Tabletext"/>
              <w:jc w:val="center"/>
            </w:pPr>
            <w:r>
              <w:t>SG</w:t>
            </w:r>
          </w:p>
          <w:p w14:paraId="0E97425E" w14:textId="7F78FED2" w:rsidR="00224CAB" w:rsidRDefault="00224CAB">
            <w:pPr>
              <w:pStyle w:val="Tabletext"/>
              <w:jc w:val="center"/>
            </w:pPr>
            <w:r>
              <w:t>(n</w:t>
            </w:r>
            <w:r w:rsidR="00863E80">
              <w:t xml:space="preserve"> </w:t>
            </w:r>
            <w:r>
              <w:t>=</w:t>
            </w:r>
            <w:r w:rsidR="00863E80">
              <w:t xml:space="preserve"> </w:t>
            </w:r>
            <w:r>
              <w:t>267)</w:t>
            </w:r>
          </w:p>
        </w:tc>
        <w:tc>
          <w:tcPr>
            <w:tcW w:w="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BD9CF16" w14:textId="77777777" w:rsidR="00224CAB" w:rsidRDefault="00224CAB">
            <w:pPr>
              <w:pStyle w:val="Tabletext"/>
              <w:jc w:val="center"/>
            </w:pPr>
            <w:r>
              <w:t>TPC</w:t>
            </w:r>
          </w:p>
          <w:p w14:paraId="4DEA6F02" w14:textId="7D49B436" w:rsidR="00224CAB" w:rsidRDefault="00224CAB">
            <w:pPr>
              <w:pStyle w:val="Tabletext"/>
              <w:jc w:val="center"/>
            </w:pPr>
            <w:r>
              <w:t>(n</w:t>
            </w:r>
            <w:r w:rsidR="00863E80">
              <w:t xml:space="preserve"> </w:t>
            </w:r>
            <w:r>
              <w:t>=</w:t>
            </w:r>
            <w:r w:rsidR="00863E80">
              <w:t xml:space="preserve"> </w:t>
            </w:r>
            <w:r>
              <w:t>262)</w:t>
            </w:r>
          </w:p>
        </w:tc>
        <w:tc>
          <w:tcPr>
            <w:tcW w:w="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5B18EC5" w14:textId="77777777" w:rsidR="00224CAB" w:rsidRDefault="00224CAB">
            <w:pPr>
              <w:pStyle w:val="Tabletext"/>
              <w:jc w:val="center"/>
            </w:pPr>
            <w:r>
              <w:t>SG</w:t>
            </w:r>
          </w:p>
          <w:p w14:paraId="77BEFCBF" w14:textId="294C8A3D" w:rsidR="00224CAB" w:rsidRDefault="00224CAB">
            <w:pPr>
              <w:pStyle w:val="Tabletext"/>
              <w:jc w:val="center"/>
            </w:pPr>
            <w:r>
              <w:t>(n</w:t>
            </w:r>
            <w:r w:rsidR="00863E80">
              <w:t xml:space="preserve"> </w:t>
            </w:r>
            <w:r>
              <w:t>=</w:t>
            </w:r>
            <w:r w:rsidR="00863E80">
              <w:t xml:space="preserve"> </w:t>
            </w:r>
            <w:r>
              <w:t>235)</w:t>
            </w:r>
          </w:p>
        </w:tc>
        <w:tc>
          <w:tcPr>
            <w:tcW w:w="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4F31BC7" w14:textId="77777777" w:rsidR="00224CAB" w:rsidRDefault="00224CAB">
            <w:pPr>
              <w:pStyle w:val="Tabletext"/>
              <w:jc w:val="center"/>
            </w:pPr>
            <w:r>
              <w:t>TPC</w:t>
            </w:r>
          </w:p>
          <w:p w14:paraId="2D7D8CD1" w14:textId="1AB591CE" w:rsidR="00224CAB" w:rsidRDefault="00224CAB">
            <w:pPr>
              <w:pStyle w:val="Tabletext"/>
              <w:jc w:val="center"/>
            </w:pPr>
            <w:r>
              <w:t>(n</w:t>
            </w:r>
            <w:r w:rsidR="00863E80">
              <w:t xml:space="preserve"> </w:t>
            </w:r>
            <w:r>
              <w:t>=</w:t>
            </w:r>
            <w:r w:rsidR="00863E80">
              <w:t xml:space="preserve"> </w:t>
            </w:r>
            <w:r>
              <w:t>233)</w:t>
            </w:r>
          </w:p>
        </w:tc>
        <w:tc>
          <w:tcPr>
            <w:tcW w:w="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48FFA94" w14:textId="77777777" w:rsidR="00224CAB" w:rsidRDefault="00224CAB">
            <w:pPr>
              <w:pStyle w:val="Tabletext"/>
              <w:jc w:val="center"/>
            </w:pPr>
            <w:r>
              <w:t>SG</w:t>
            </w:r>
          </w:p>
          <w:p w14:paraId="628CD2A2" w14:textId="25C46B45" w:rsidR="00224CAB" w:rsidRDefault="00224CAB">
            <w:pPr>
              <w:pStyle w:val="Tabletext"/>
              <w:jc w:val="center"/>
            </w:pPr>
            <w:r>
              <w:t>(n</w:t>
            </w:r>
            <w:r w:rsidR="00863E80">
              <w:t xml:space="preserve"> </w:t>
            </w:r>
            <w:r>
              <w:t>=</w:t>
            </w:r>
            <w:r w:rsidR="00863E80">
              <w:t xml:space="preserve"> </w:t>
            </w:r>
            <w:r>
              <w:t>32)</w:t>
            </w:r>
          </w:p>
        </w:tc>
        <w:tc>
          <w:tcPr>
            <w:tcW w:w="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F798D02" w14:textId="77777777" w:rsidR="00224CAB" w:rsidRDefault="00224CAB">
            <w:pPr>
              <w:pStyle w:val="Tabletext"/>
              <w:jc w:val="center"/>
            </w:pPr>
            <w:r>
              <w:t>TPC</w:t>
            </w:r>
          </w:p>
          <w:p w14:paraId="05235EBF" w14:textId="60BFA24D" w:rsidR="00224CAB" w:rsidRDefault="00224CAB">
            <w:pPr>
              <w:pStyle w:val="Tabletext"/>
              <w:jc w:val="center"/>
            </w:pPr>
            <w:r>
              <w:t>(n</w:t>
            </w:r>
            <w:r w:rsidR="00863E80">
              <w:t xml:space="preserve"> </w:t>
            </w:r>
            <w:r>
              <w:t>=</w:t>
            </w:r>
            <w:r w:rsidR="00863E80">
              <w:t xml:space="preserve"> </w:t>
            </w:r>
            <w:r>
              <w:t>29)</w:t>
            </w:r>
          </w:p>
        </w:tc>
      </w:tr>
      <w:tr w:rsidR="00224CAB" w14:paraId="37AB4D3F" w14:textId="77777777" w:rsidTr="00224CAB">
        <w:tc>
          <w:tcPr>
            <w:tcW w:w="140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15115EC" w14:textId="77777777" w:rsidR="00224CAB" w:rsidRDefault="00224CAB">
            <w:pPr>
              <w:pStyle w:val="Tabletext"/>
            </w:pPr>
            <w:r>
              <w:t>CR, n (%)</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EC2EF33" w14:textId="77777777" w:rsidR="00224CAB" w:rsidRDefault="00224CAB">
            <w:pPr>
              <w:pStyle w:val="Tabletext"/>
              <w:jc w:val="center"/>
            </w:pPr>
            <w:r>
              <w:t>10 (4%)</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75F6A05" w14:textId="77777777" w:rsidR="00224CAB" w:rsidRDefault="00224CAB">
            <w:pPr>
              <w:pStyle w:val="Tabletext"/>
              <w:jc w:val="center"/>
            </w:pPr>
            <w:r>
              <w:t>2 (1%)</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2730A46" w14:textId="77777777" w:rsidR="00224CAB" w:rsidRDefault="00224CAB">
            <w:pPr>
              <w:pStyle w:val="Tabletext"/>
              <w:jc w:val="center"/>
            </w:pPr>
            <w:r>
              <w:t>10 (4%)</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25DEBB5" w14:textId="77777777" w:rsidR="00224CAB" w:rsidRDefault="00224CAB">
            <w:pPr>
              <w:pStyle w:val="Tabletext"/>
              <w:jc w:val="center"/>
            </w:pPr>
            <w:r>
              <w:t>2 (1%)</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8285525" w14:textId="77777777" w:rsidR="00224CAB" w:rsidRDefault="00224CAB">
            <w:pPr>
              <w:pStyle w:val="Tabletext"/>
              <w:jc w:val="center"/>
            </w:pPr>
            <w:r>
              <w:t>0</w:t>
            </w: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E5756D7" w14:textId="77777777" w:rsidR="00224CAB" w:rsidRDefault="00224CAB">
            <w:pPr>
              <w:pStyle w:val="Tabletext"/>
              <w:jc w:val="center"/>
            </w:pPr>
            <w:r>
              <w:t>0</w:t>
            </w:r>
          </w:p>
        </w:tc>
      </w:tr>
      <w:tr w:rsidR="00224CAB" w14:paraId="284DEAE6" w14:textId="77777777" w:rsidTr="00224CAB">
        <w:tc>
          <w:tcPr>
            <w:tcW w:w="140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1BF4D3E" w14:textId="77777777" w:rsidR="00224CAB" w:rsidRDefault="00224CAB">
            <w:pPr>
              <w:pStyle w:val="Tabletext"/>
            </w:pPr>
            <w:r>
              <w:t>PR, n (%)</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30317D1" w14:textId="77777777" w:rsidR="00224CAB" w:rsidRDefault="00224CAB">
            <w:pPr>
              <w:pStyle w:val="Tabletext"/>
              <w:jc w:val="center"/>
            </w:pPr>
            <w:r>
              <w:t>73 (27%)</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8B59408" w14:textId="77777777" w:rsidR="00224CAB" w:rsidRDefault="00224CAB">
            <w:pPr>
              <w:pStyle w:val="Tabletext"/>
              <w:jc w:val="center"/>
            </w:pPr>
            <w:r>
              <w:t>9 (3%)</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8FCA7FC" w14:textId="77777777" w:rsidR="00224CAB" w:rsidRDefault="00224CAB">
            <w:pPr>
              <w:pStyle w:val="Tabletext"/>
              <w:jc w:val="center"/>
            </w:pPr>
            <w:r>
              <w:t>72 (31%)</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FC54769" w14:textId="77777777" w:rsidR="00224CAB" w:rsidRDefault="00224CAB">
            <w:pPr>
              <w:pStyle w:val="Tabletext"/>
              <w:jc w:val="center"/>
            </w:pPr>
            <w:r>
              <w:t>9 (4%)</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E517151" w14:textId="77777777" w:rsidR="00224CAB" w:rsidRDefault="00224CAB">
            <w:pPr>
              <w:pStyle w:val="Tabletext"/>
              <w:jc w:val="center"/>
            </w:pPr>
            <w:r>
              <w:t>1 (3%)</w:t>
            </w: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5751906" w14:textId="77777777" w:rsidR="00224CAB" w:rsidRDefault="00224CAB">
            <w:pPr>
              <w:pStyle w:val="Tabletext"/>
              <w:jc w:val="center"/>
            </w:pPr>
            <w:r>
              <w:t>0</w:t>
            </w:r>
          </w:p>
        </w:tc>
      </w:tr>
      <w:tr w:rsidR="00224CAB" w14:paraId="31827E33" w14:textId="77777777" w:rsidTr="00224CAB">
        <w:tc>
          <w:tcPr>
            <w:tcW w:w="1408"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0394CCD" w14:textId="27BF3CFD" w:rsidR="00224CAB" w:rsidRDefault="00193A57">
            <w:pPr>
              <w:pStyle w:val="Tabletext"/>
            </w:pPr>
            <w:r>
              <w:t>O</w:t>
            </w:r>
            <w:r w:rsidR="00224CAB">
              <w:t>RR, n (%)</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14426BF" w14:textId="77777777" w:rsidR="00224CAB" w:rsidRDefault="00224CAB">
            <w:pPr>
              <w:pStyle w:val="Tabletext"/>
              <w:jc w:val="center"/>
            </w:pPr>
            <w:r>
              <w:t>83 (31%)</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E8F31CB" w14:textId="77777777" w:rsidR="00224CAB" w:rsidRDefault="00224CAB">
            <w:pPr>
              <w:pStyle w:val="Tabletext"/>
              <w:jc w:val="center"/>
            </w:pPr>
            <w:r>
              <w:t>11 (4%)</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67632BC" w14:textId="77777777" w:rsidR="00224CAB" w:rsidRDefault="00224CAB">
            <w:pPr>
              <w:pStyle w:val="Tabletext"/>
              <w:jc w:val="center"/>
            </w:pPr>
            <w:r>
              <w:t>82 (35%)</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F84FEAE" w14:textId="77777777" w:rsidR="00224CAB" w:rsidRDefault="00224CAB">
            <w:pPr>
              <w:pStyle w:val="Tabletext"/>
              <w:jc w:val="center"/>
            </w:pPr>
            <w:r>
              <w:t>11 (5%)</w:t>
            </w:r>
          </w:p>
        </w:tc>
        <w:tc>
          <w:tcPr>
            <w:tcW w:w="125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C2B55BE" w14:textId="77777777" w:rsidR="00224CAB" w:rsidRDefault="00224CAB">
            <w:pPr>
              <w:pStyle w:val="Tabletext"/>
              <w:jc w:val="center"/>
            </w:pPr>
            <w:r>
              <w:t>1 (3%)</w:t>
            </w: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5852FAB" w14:textId="77777777" w:rsidR="00224CAB" w:rsidRDefault="00224CAB">
            <w:pPr>
              <w:pStyle w:val="Tabletext"/>
              <w:jc w:val="center"/>
            </w:pPr>
            <w:r>
              <w:t>0</w:t>
            </w:r>
          </w:p>
        </w:tc>
      </w:tr>
    </w:tbl>
    <w:p w14:paraId="76304483" w14:textId="14EA8051" w:rsidR="00224CAB" w:rsidRDefault="00224CAB" w:rsidP="00224CAB">
      <w:pPr>
        <w:pStyle w:val="TableDescription"/>
      </w:pPr>
      <w:r>
        <w:t>CR = complete response, ORR = objective response rate, PR = partial response</w:t>
      </w:r>
      <w:r w:rsidR="003B323A">
        <w:t xml:space="preserve">; </w:t>
      </w:r>
      <w:r w:rsidR="00292A68">
        <w:t xml:space="preserve">SG = </w:t>
      </w:r>
      <w:proofErr w:type="spellStart"/>
      <w:r w:rsidR="003B323A">
        <w:t>sacituzumab</w:t>
      </w:r>
      <w:proofErr w:type="spellEnd"/>
      <w:r w:rsidR="003B323A">
        <w:t xml:space="preserve"> </w:t>
      </w:r>
      <w:proofErr w:type="spellStart"/>
      <w:r w:rsidR="003B323A">
        <w:t>govitecan</w:t>
      </w:r>
      <w:proofErr w:type="spellEnd"/>
    </w:p>
    <w:p w14:paraId="0359BA9F" w14:textId="77777777" w:rsidR="00F63CDA" w:rsidRDefault="00F63CDA" w:rsidP="00F63CDA">
      <w:pPr>
        <w:pStyle w:val="Heading6"/>
      </w:pPr>
      <w:r>
        <w:t>Subgroup analyses</w:t>
      </w:r>
    </w:p>
    <w:p w14:paraId="2459271A" w14:textId="77777777" w:rsidR="00F63CDA" w:rsidRDefault="00F63CDA" w:rsidP="00F63CDA">
      <w:r>
        <w:t>The usual caveats apply to interpreting subgroup analyses: they are statistically imprecise due to small sample size and interpretation is further hindered by the multiple statistical comparisons.</w:t>
      </w:r>
    </w:p>
    <w:p w14:paraId="0B3DD2E9" w14:textId="2AF7DEF0" w:rsidR="00F63CDA" w:rsidRDefault="00F63CDA" w:rsidP="00F63CDA">
      <w:pPr>
        <w:rPr>
          <w:rFonts w:cs="OTNEJMQuadraat"/>
        </w:rPr>
      </w:pPr>
      <w:r>
        <w:t xml:space="preserve">No signal for a detrimental effect of </w:t>
      </w:r>
      <w:proofErr w:type="spellStart"/>
      <w:r w:rsidR="00292A68">
        <w:t>sacituzumab</w:t>
      </w:r>
      <w:proofErr w:type="spellEnd"/>
      <w:r w:rsidR="00292A68">
        <w:t xml:space="preserve"> </w:t>
      </w:r>
      <w:proofErr w:type="spellStart"/>
      <w:r w:rsidR="00292A68">
        <w:t>govitecan</w:t>
      </w:r>
      <w:proofErr w:type="spellEnd"/>
      <w:r>
        <w:t xml:space="preserve"> on PFS or </w:t>
      </w:r>
      <w:r w:rsidR="00292A68">
        <w:t>overall survival</w:t>
      </w:r>
      <w:r>
        <w:t xml:space="preserve"> was reported for any of the subgroups analysed, including patients with brain metastases (see</w:t>
      </w:r>
      <w:r w:rsidR="00292A68">
        <w:t> </w:t>
      </w:r>
      <w:r>
        <w:fldChar w:fldCharType="begin"/>
      </w:r>
      <w:r>
        <w:instrText xml:space="preserve"> REF _Ref90385219 \h </w:instrText>
      </w:r>
      <w:r>
        <w:fldChar w:fldCharType="separate"/>
      </w:r>
      <w:r>
        <w:t xml:space="preserve">Table </w:t>
      </w:r>
      <w:r>
        <w:rPr>
          <w:noProof/>
        </w:rPr>
        <w:t>12</w:t>
      </w:r>
      <w:r>
        <w:fldChar w:fldCharType="end"/>
      </w:r>
      <w:r>
        <w:t xml:space="preserve">)), </w:t>
      </w:r>
      <w:r>
        <w:rPr>
          <w:rFonts w:cstheme="minorBidi"/>
        </w:rPr>
        <w:t xml:space="preserve">patients who had received only </w:t>
      </w:r>
      <w:r w:rsidR="00D820E6">
        <w:rPr>
          <w:rFonts w:cstheme="minorBidi"/>
        </w:rPr>
        <w:t>one</w:t>
      </w:r>
      <w:r>
        <w:rPr>
          <w:rFonts w:cstheme="minorBidi"/>
        </w:rPr>
        <w:t xml:space="preserve"> prior line of systemic therapy in the metastatic setting (in addition to having disease recurrence or progression within 12 months of neoadjuvant/adju</w:t>
      </w:r>
      <w:r>
        <w:t>v</w:t>
      </w:r>
      <w:r>
        <w:rPr>
          <w:rFonts w:cstheme="minorBidi"/>
        </w:rPr>
        <w:t xml:space="preserve">ant systemic therapy; (see </w:t>
      </w:r>
      <w:r>
        <w:rPr>
          <w:rFonts w:cstheme="minorBidi"/>
        </w:rPr>
        <w:fldChar w:fldCharType="begin"/>
      </w:r>
      <w:r>
        <w:rPr>
          <w:rFonts w:cstheme="minorBidi"/>
        </w:rPr>
        <w:instrText xml:space="preserve"> REF _Ref90385219 \h </w:instrText>
      </w:r>
      <w:r>
        <w:rPr>
          <w:rFonts w:cstheme="minorBidi"/>
        </w:rPr>
      </w:r>
      <w:r>
        <w:rPr>
          <w:rFonts w:cstheme="minorBidi"/>
        </w:rPr>
        <w:fldChar w:fldCharType="separate"/>
      </w:r>
      <w:r>
        <w:t xml:space="preserve">Table </w:t>
      </w:r>
      <w:r>
        <w:rPr>
          <w:noProof/>
        </w:rPr>
        <w:t>12</w:t>
      </w:r>
      <w:r>
        <w:rPr>
          <w:rFonts w:cstheme="minorBidi"/>
        </w:rPr>
        <w:fldChar w:fldCharType="end"/>
      </w:r>
      <w:r>
        <w:rPr>
          <w:rFonts w:cstheme="minorBidi"/>
        </w:rPr>
        <w:t xml:space="preserve">), </w:t>
      </w:r>
      <w:r>
        <w:t xml:space="preserve">patients who had </w:t>
      </w:r>
      <w:r w:rsidR="00D820E6">
        <w:t>three</w:t>
      </w:r>
      <w:r>
        <w:t xml:space="preserve"> or more previous lines of therapy, patients older 65 years, those with liver metastases, patients who did not have TNBC at time of initial breast cancer diagnosis, or those who had received a previous PD-1/L1 inhibitor.</w:t>
      </w:r>
    </w:p>
    <w:p w14:paraId="6F8B47B4" w14:textId="1650905E" w:rsidR="00175529" w:rsidRDefault="00F63CDA" w:rsidP="00F63CDA">
      <w:r>
        <w:t xml:space="preserve">Noting the limitations, including very small subgroup sizes, outcomes in patients with brain metastases are summarised in </w:t>
      </w:r>
      <w:r>
        <w:fldChar w:fldCharType="begin"/>
      </w:r>
      <w:r>
        <w:instrText xml:space="preserve"> REF _Ref90385219 \h </w:instrText>
      </w:r>
      <w:r>
        <w:fldChar w:fldCharType="separate"/>
      </w:r>
      <w:r>
        <w:t xml:space="preserve">Table </w:t>
      </w:r>
      <w:r>
        <w:rPr>
          <w:noProof/>
        </w:rPr>
        <w:t>12</w:t>
      </w:r>
      <w:r>
        <w:fldChar w:fldCharType="end"/>
      </w:r>
      <w:bookmarkStart w:id="55" w:name="_Ref90385219"/>
      <w:r w:rsidR="00175529">
        <w:t>.</w:t>
      </w:r>
    </w:p>
    <w:p w14:paraId="330F574E" w14:textId="3710164B" w:rsidR="00F63CDA" w:rsidRDefault="00F63CDA" w:rsidP="00F63CDA">
      <w:pPr>
        <w:pStyle w:val="TableTitle"/>
      </w:pPr>
      <w:r>
        <w:t xml:space="preserve">Table </w:t>
      </w:r>
      <w:fldSimple w:instr=" SEQ Table \* ARABIC ">
        <w:r w:rsidR="007D09B2">
          <w:rPr>
            <w:noProof/>
          </w:rPr>
          <w:t>12</w:t>
        </w:r>
      </w:fldSimple>
      <w:bookmarkEnd w:id="55"/>
      <w:r>
        <w:t>:</w:t>
      </w:r>
      <w:r w:rsidR="00EB4B98">
        <w:t xml:space="preserve"> </w:t>
      </w:r>
      <w:r w:rsidR="00292A68">
        <w:t xml:space="preserve">Study IMMU-132-05 (ASCENT trial) </w:t>
      </w:r>
      <w:r>
        <w:t xml:space="preserve">Exploratory analysis (regulatory evaluator’s analysis) of results for </w:t>
      </w:r>
      <w:r w:rsidR="001D2290">
        <w:t>progression</w:t>
      </w:r>
      <w:r w:rsidR="0008662E">
        <w:t>-</w:t>
      </w:r>
      <w:r w:rsidR="001D2290">
        <w:t xml:space="preserve"> free survival </w:t>
      </w:r>
      <w:r>
        <w:t xml:space="preserve">and </w:t>
      </w:r>
      <w:r w:rsidR="001D2290">
        <w:t>overall survival</w:t>
      </w:r>
      <w:r>
        <w:t xml:space="preserve"> in patients with brain metastases</w:t>
      </w:r>
    </w:p>
    <w:tbl>
      <w:tblPr>
        <w:tblStyle w:val="TableTGAblue"/>
        <w:tblW w:w="0" w:type="auto"/>
        <w:tblLook w:val="04A0" w:firstRow="1" w:lastRow="0" w:firstColumn="1" w:lastColumn="0" w:noHBand="0" w:noVBand="1"/>
      </w:tblPr>
      <w:tblGrid>
        <w:gridCol w:w="1781"/>
        <w:gridCol w:w="3086"/>
        <w:gridCol w:w="1853"/>
        <w:gridCol w:w="1764"/>
      </w:tblGrid>
      <w:tr w:rsidR="00F63CDA" w14:paraId="29FC9647" w14:textId="77777777" w:rsidTr="00F63CDA">
        <w:trPr>
          <w:cnfStyle w:val="100000000000" w:firstRow="1" w:lastRow="0" w:firstColumn="0" w:lastColumn="0" w:oddVBand="0" w:evenVBand="0" w:oddHBand="0" w:evenHBand="0" w:firstRowFirstColumn="0" w:firstRowLastColumn="0" w:lastRowFirstColumn="0" w:lastRowLastColumn="0"/>
        </w:trPr>
        <w:tc>
          <w:tcPr>
            <w:tcW w:w="1833" w:type="dxa"/>
          </w:tcPr>
          <w:p w14:paraId="6E9517C3" w14:textId="77777777" w:rsidR="00F63CDA" w:rsidRDefault="00F63CDA">
            <w:pPr>
              <w:pStyle w:val="Tabletext"/>
            </w:pPr>
          </w:p>
        </w:tc>
        <w:tc>
          <w:tcPr>
            <w:tcW w:w="3402" w:type="dxa"/>
          </w:tcPr>
          <w:p w14:paraId="68BD782B" w14:textId="77777777" w:rsidR="00F63CDA" w:rsidRDefault="00F63CDA">
            <w:pPr>
              <w:pStyle w:val="Tabletext"/>
            </w:pPr>
          </w:p>
        </w:tc>
        <w:tc>
          <w:tcPr>
            <w:tcW w:w="1885" w:type="dxa"/>
            <w:hideMark/>
          </w:tcPr>
          <w:p w14:paraId="47B7EBDA" w14:textId="7F341169" w:rsidR="00F63CDA" w:rsidRDefault="00292A68">
            <w:pPr>
              <w:pStyle w:val="Tabletext"/>
              <w:jc w:val="center"/>
            </w:pPr>
            <w:r>
              <w:t xml:space="preserve">Sacituzumab </w:t>
            </w:r>
            <w:proofErr w:type="spellStart"/>
            <w:r>
              <w:t>govitecan</w:t>
            </w:r>
            <w:proofErr w:type="spellEnd"/>
            <w:r w:rsidDel="00292A68">
              <w:t xml:space="preserve"> </w:t>
            </w:r>
          </w:p>
        </w:tc>
        <w:tc>
          <w:tcPr>
            <w:tcW w:w="1886" w:type="dxa"/>
            <w:hideMark/>
          </w:tcPr>
          <w:p w14:paraId="75DFE90D" w14:textId="77777777" w:rsidR="00F63CDA" w:rsidRDefault="00F63CDA">
            <w:pPr>
              <w:pStyle w:val="Tabletext"/>
              <w:jc w:val="center"/>
            </w:pPr>
            <w:r>
              <w:t>TPC</w:t>
            </w:r>
          </w:p>
        </w:tc>
      </w:tr>
      <w:tr w:rsidR="00F63CDA" w14:paraId="79B3BEFD" w14:textId="77777777" w:rsidTr="00F63CDA">
        <w:tc>
          <w:tcPr>
            <w:tcW w:w="183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A1DF3B0" w14:textId="77777777" w:rsidR="00F63CDA" w:rsidRDefault="00F63CDA">
            <w:pPr>
              <w:pStyle w:val="Tabletext"/>
            </w:pPr>
            <w:r>
              <w:t>PFS (by BICR) in the BM-positive group</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A1A953B" w14:textId="77777777" w:rsidR="00F63CDA" w:rsidRDefault="00F63CDA">
            <w:pPr>
              <w:pStyle w:val="Tabletext"/>
            </w:pPr>
            <w:r>
              <w:t>Group size, n</w:t>
            </w:r>
          </w:p>
        </w:tc>
        <w:tc>
          <w:tcPr>
            <w:tcW w:w="18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8DBE0A8" w14:textId="77777777" w:rsidR="00F63CDA" w:rsidRDefault="00F63CDA">
            <w:pPr>
              <w:pStyle w:val="Tabletext"/>
              <w:jc w:val="center"/>
              <w:rPr>
                <w:rFonts w:asciiTheme="minorHAnsi" w:hAnsiTheme="minorHAnsi"/>
              </w:rPr>
            </w:pPr>
            <w:r>
              <w:rPr>
                <w:rFonts w:asciiTheme="minorHAnsi" w:hAnsiTheme="minorHAnsi"/>
              </w:rPr>
              <w:t>32</w:t>
            </w:r>
          </w:p>
        </w:tc>
        <w:tc>
          <w:tcPr>
            <w:tcW w:w="188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6468046" w14:textId="77777777" w:rsidR="00F63CDA" w:rsidRDefault="00F63CDA">
            <w:pPr>
              <w:pStyle w:val="Tabletext"/>
              <w:jc w:val="center"/>
              <w:rPr>
                <w:rFonts w:asciiTheme="minorHAnsi" w:hAnsiTheme="minorHAnsi"/>
              </w:rPr>
            </w:pPr>
            <w:r>
              <w:rPr>
                <w:rFonts w:asciiTheme="minorHAnsi" w:hAnsiTheme="minorHAnsi"/>
              </w:rPr>
              <w:t>29</w:t>
            </w:r>
          </w:p>
        </w:tc>
      </w:tr>
      <w:tr w:rsidR="00F63CDA" w14:paraId="4449487E" w14:textId="77777777" w:rsidTr="00F63CDA">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FB2EDA3" w14:textId="77777777" w:rsidR="00F63CDA" w:rsidRDefault="00F63CDA">
            <w:pPr>
              <w:spacing w:before="0" w:after="0" w:line="240" w:lineRule="auto"/>
              <w:ind w:left="0" w:right="0"/>
              <w:rPr>
                <w:sz w:val="19"/>
              </w:rPr>
            </w:pP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E537EA1" w14:textId="77777777" w:rsidR="00F63CDA" w:rsidRDefault="00F63CDA">
            <w:pPr>
              <w:pStyle w:val="Tabletext"/>
            </w:pPr>
            <w:r>
              <w:t>Patients with events, n (%)</w:t>
            </w:r>
          </w:p>
        </w:tc>
        <w:tc>
          <w:tcPr>
            <w:tcW w:w="18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42D9612" w14:textId="77777777" w:rsidR="00F63CDA" w:rsidRDefault="00F63CDA">
            <w:pPr>
              <w:pStyle w:val="Tabletext"/>
              <w:jc w:val="center"/>
            </w:pPr>
            <w:r>
              <w:t>24 (75%)</w:t>
            </w:r>
          </w:p>
        </w:tc>
        <w:tc>
          <w:tcPr>
            <w:tcW w:w="188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3E2F120" w14:textId="77777777" w:rsidR="00F63CDA" w:rsidRDefault="00F63CDA">
            <w:pPr>
              <w:pStyle w:val="Tabletext"/>
              <w:jc w:val="center"/>
            </w:pPr>
            <w:r>
              <w:t>21 (72%)</w:t>
            </w:r>
          </w:p>
        </w:tc>
      </w:tr>
      <w:tr w:rsidR="00F63CDA" w14:paraId="7F81E7AA" w14:textId="77777777" w:rsidTr="00F63CDA">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A6EEAE1" w14:textId="77777777" w:rsidR="00F63CDA" w:rsidRDefault="00F63CDA">
            <w:pPr>
              <w:spacing w:before="0" w:after="0" w:line="240" w:lineRule="auto"/>
              <w:ind w:left="0" w:right="0"/>
              <w:rPr>
                <w:sz w:val="19"/>
              </w:rPr>
            </w:pP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C35A32A" w14:textId="77777777" w:rsidR="00F63CDA" w:rsidRDefault="00F63CDA">
            <w:pPr>
              <w:pStyle w:val="Tabletext"/>
            </w:pPr>
            <w:r>
              <w:t>Median PFS, months (95% CI)</w:t>
            </w:r>
          </w:p>
        </w:tc>
        <w:tc>
          <w:tcPr>
            <w:tcW w:w="18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0C14B89" w14:textId="77777777" w:rsidR="00F63CDA" w:rsidRDefault="00F63CDA">
            <w:pPr>
              <w:pStyle w:val="Tabletext"/>
              <w:jc w:val="center"/>
            </w:pPr>
            <w:r>
              <w:t>2.8 (1.5, 3.9)</w:t>
            </w:r>
          </w:p>
        </w:tc>
        <w:tc>
          <w:tcPr>
            <w:tcW w:w="188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27BB956" w14:textId="77777777" w:rsidR="00F63CDA" w:rsidRDefault="00F63CDA">
            <w:pPr>
              <w:pStyle w:val="Tabletext"/>
              <w:jc w:val="center"/>
            </w:pPr>
            <w:r>
              <w:t>1.6 (1.3, 2.9)</w:t>
            </w:r>
          </w:p>
        </w:tc>
      </w:tr>
      <w:tr w:rsidR="00F63CDA" w14:paraId="1BE2DE72" w14:textId="77777777" w:rsidTr="00F63CDA">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5A15347" w14:textId="77777777" w:rsidR="00F63CDA" w:rsidRDefault="00F63CDA">
            <w:pPr>
              <w:spacing w:before="0" w:after="0" w:line="240" w:lineRule="auto"/>
              <w:ind w:left="0" w:right="0"/>
              <w:rPr>
                <w:sz w:val="19"/>
              </w:rPr>
            </w:pP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904A1A3" w14:textId="4A345AF7" w:rsidR="00F63CDA" w:rsidRDefault="00F63CDA">
            <w:pPr>
              <w:pStyle w:val="Tabletext"/>
            </w:pPr>
            <w:r>
              <w:t xml:space="preserve">Stratified </w:t>
            </w:r>
            <w:r w:rsidR="00292A68">
              <w:t>hazard ratio</w:t>
            </w:r>
            <w:r>
              <w:t xml:space="preserve"> (95% </w:t>
            </w:r>
            <w:proofErr w:type="gramStart"/>
            <w:r>
              <w:t>CI)*</w:t>
            </w:r>
            <w:proofErr w:type="gramEnd"/>
            <w:r w:rsidR="00292A68">
              <w:t xml:space="preserve">; </w:t>
            </w:r>
            <w:r>
              <w:t>p-value*</w:t>
            </w:r>
          </w:p>
        </w:tc>
        <w:tc>
          <w:tcPr>
            <w:tcW w:w="377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1B9B1B3" w14:textId="72BD2428" w:rsidR="00F63CDA" w:rsidRDefault="00F63CDA">
            <w:pPr>
              <w:pStyle w:val="Tabletext"/>
              <w:jc w:val="center"/>
              <w:rPr>
                <w:rFonts w:asciiTheme="minorHAnsi" w:hAnsiTheme="minorHAnsi"/>
              </w:rPr>
            </w:pPr>
            <w:r>
              <w:rPr>
                <w:rFonts w:asciiTheme="minorHAnsi" w:hAnsiTheme="minorHAnsi"/>
              </w:rPr>
              <w:t>0.65 (0.35, 1.22)</w:t>
            </w:r>
            <w:r w:rsidR="00292A68">
              <w:rPr>
                <w:rFonts w:asciiTheme="minorHAnsi" w:hAnsiTheme="minorHAnsi"/>
              </w:rPr>
              <w:t xml:space="preserve">; </w:t>
            </w:r>
            <w:r>
              <w:rPr>
                <w:rFonts w:asciiTheme="minorHAnsi" w:hAnsiTheme="minorHAnsi"/>
              </w:rPr>
              <w:t>p</w:t>
            </w:r>
            <w:r w:rsidR="00863E80">
              <w:rPr>
                <w:rFonts w:asciiTheme="minorHAnsi" w:hAnsiTheme="minorHAnsi"/>
              </w:rPr>
              <w:t xml:space="preserve"> </w:t>
            </w:r>
            <w:r>
              <w:rPr>
                <w:rFonts w:asciiTheme="minorHAnsi" w:hAnsiTheme="minorHAnsi"/>
              </w:rPr>
              <w:t>=</w:t>
            </w:r>
            <w:r w:rsidR="00863E80">
              <w:rPr>
                <w:rFonts w:asciiTheme="minorHAnsi" w:hAnsiTheme="minorHAnsi"/>
              </w:rPr>
              <w:t xml:space="preserve"> </w:t>
            </w:r>
            <w:r>
              <w:rPr>
                <w:rFonts w:asciiTheme="minorHAnsi" w:hAnsiTheme="minorHAnsi"/>
              </w:rPr>
              <w:t>0.1812</w:t>
            </w:r>
          </w:p>
        </w:tc>
      </w:tr>
      <w:tr w:rsidR="00F63CDA" w14:paraId="0EACA7C6" w14:textId="77777777" w:rsidTr="00884D31">
        <w:trPr>
          <w:cantSplit/>
        </w:trPr>
        <w:tc>
          <w:tcPr>
            <w:tcW w:w="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97C7AA7" w14:textId="571DDBF5" w:rsidR="00F63CDA" w:rsidRDefault="00292A68">
            <w:pPr>
              <w:pStyle w:val="Tabletext"/>
            </w:pPr>
            <w:r>
              <w:t>Overall survival</w:t>
            </w:r>
            <w:r w:rsidR="00F63CDA">
              <w:t xml:space="preserve"> in the </w:t>
            </w:r>
            <w:r>
              <w:t xml:space="preserve">brain </w:t>
            </w:r>
            <w:r>
              <w:lastRenderedPageBreak/>
              <w:t>metastasis</w:t>
            </w:r>
            <w:r w:rsidR="00F63CDA">
              <w:t>-positive group</w:t>
            </w:r>
          </w:p>
        </w:tc>
        <w:tc>
          <w:tcPr>
            <w:tcW w:w="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77A3E32" w14:textId="77777777" w:rsidR="00F63CDA" w:rsidRDefault="00F63CDA">
            <w:pPr>
              <w:pStyle w:val="Tabletext"/>
            </w:pPr>
            <w:r>
              <w:lastRenderedPageBreak/>
              <w:t>Group size, n</w:t>
            </w:r>
          </w:p>
        </w:tc>
        <w:tc>
          <w:tcPr>
            <w:tcW w:w="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7B0E2B9" w14:textId="77777777" w:rsidR="00F63CDA" w:rsidRDefault="00F63CDA">
            <w:pPr>
              <w:pStyle w:val="Tabletext"/>
              <w:jc w:val="center"/>
              <w:rPr>
                <w:rFonts w:asciiTheme="minorHAnsi" w:hAnsiTheme="minorHAnsi"/>
              </w:rPr>
            </w:pPr>
            <w:r>
              <w:rPr>
                <w:rFonts w:asciiTheme="minorHAnsi" w:hAnsiTheme="minorHAnsi"/>
              </w:rPr>
              <w:t>32</w:t>
            </w:r>
          </w:p>
        </w:tc>
        <w:tc>
          <w:tcPr>
            <w:tcW w:w="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7F6B5E3" w14:textId="77777777" w:rsidR="00F63CDA" w:rsidRDefault="00F63CDA">
            <w:pPr>
              <w:pStyle w:val="Tabletext"/>
              <w:jc w:val="center"/>
              <w:rPr>
                <w:rFonts w:asciiTheme="minorHAnsi" w:hAnsiTheme="minorHAnsi"/>
              </w:rPr>
            </w:pPr>
            <w:r>
              <w:rPr>
                <w:rFonts w:asciiTheme="minorHAnsi" w:hAnsiTheme="minorHAnsi"/>
              </w:rPr>
              <w:t>29</w:t>
            </w:r>
          </w:p>
        </w:tc>
      </w:tr>
      <w:tr w:rsidR="00F63CDA" w14:paraId="425040A5" w14:textId="77777777" w:rsidTr="00F63CDA">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0AD1666" w14:textId="77777777" w:rsidR="00F63CDA" w:rsidRDefault="00F63CDA">
            <w:pPr>
              <w:spacing w:before="0" w:after="0" w:line="240" w:lineRule="auto"/>
              <w:ind w:left="0" w:right="0"/>
              <w:rPr>
                <w:sz w:val="19"/>
              </w:rPr>
            </w:pP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B40F4C2" w14:textId="77777777" w:rsidR="00F63CDA" w:rsidRDefault="00F63CDA">
            <w:pPr>
              <w:pStyle w:val="Tabletext"/>
            </w:pPr>
            <w:r>
              <w:t>Patients with events, n (%)</w:t>
            </w:r>
          </w:p>
        </w:tc>
        <w:tc>
          <w:tcPr>
            <w:tcW w:w="18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5FAAF09" w14:textId="77777777" w:rsidR="00F63CDA" w:rsidRDefault="00F63CDA">
            <w:pPr>
              <w:pStyle w:val="Tabletext"/>
              <w:jc w:val="center"/>
              <w:rPr>
                <w:rFonts w:asciiTheme="minorHAnsi" w:hAnsiTheme="minorHAnsi"/>
              </w:rPr>
            </w:pPr>
            <w:r>
              <w:rPr>
                <w:rFonts w:asciiTheme="minorHAnsi" w:hAnsiTheme="minorHAnsi"/>
              </w:rPr>
              <w:t>24 (75%)</w:t>
            </w:r>
          </w:p>
        </w:tc>
        <w:tc>
          <w:tcPr>
            <w:tcW w:w="188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D19D013" w14:textId="77777777" w:rsidR="00F63CDA" w:rsidRDefault="00F63CDA">
            <w:pPr>
              <w:pStyle w:val="Tabletext"/>
              <w:jc w:val="center"/>
              <w:rPr>
                <w:rFonts w:asciiTheme="minorHAnsi" w:hAnsiTheme="minorHAnsi"/>
              </w:rPr>
            </w:pPr>
            <w:r>
              <w:rPr>
                <w:rFonts w:asciiTheme="minorHAnsi" w:hAnsiTheme="minorHAnsi"/>
              </w:rPr>
              <w:t>21 (72%)</w:t>
            </w:r>
          </w:p>
        </w:tc>
      </w:tr>
      <w:tr w:rsidR="00F63CDA" w14:paraId="62A1F585" w14:textId="77777777" w:rsidTr="00F63CDA">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BCCC852" w14:textId="77777777" w:rsidR="00F63CDA" w:rsidRDefault="00F63CDA">
            <w:pPr>
              <w:spacing w:before="0" w:after="0" w:line="240" w:lineRule="auto"/>
              <w:ind w:left="0" w:right="0"/>
              <w:rPr>
                <w:sz w:val="19"/>
              </w:rPr>
            </w:pP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A2DA51E" w14:textId="2F8C3B31" w:rsidR="00F63CDA" w:rsidRDefault="00F63CDA">
            <w:pPr>
              <w:pStyle w:val="Tabletext"/>
            </w:pPr>
            <w:r>
              <w:t xml:space="preserve">Median </w:t>
            </w:r>
            <w:r w:rsidR="00292A68">
              <w:t>overall survival</w:t>
            </w:r>
            <w:r>
              <w:t>, months (95% CI)</w:t>
            </w:r>
          </w:p>
        </w:tc>
        <w:tc>
          <w:tcPr>
            <w:tcW w:w="188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42433A2" w14:textId="77777777" w:rsidR="00F63CDA" w:rsidRDefault="00F63CDA">
            <w:pPr>
              <w:pStyle w:val="Tabletext"/>
              <w:jc w:val="center"/>
              <w:rPr>
                <w:rFonts w:asciiTheme="minorHAnsi" w:hAnsiTheme="minorHAnsi"/>
              </w:rPr>
            </w:pPr>
            <w:r>
              <w:rPr>
                <w:rFonts w:asciiTheme="minorHAnsi" w:hAnsiTheme="minorHAnsi"/>
              </w:rPr>
              <w:t>6.8 (4.7, 14.1)</w:t>
            </w:r>
          </w:p>
        </w:tc>
        <w:tc>
          <w:tcPr>
            <w:tcW w:w="188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BDDAF7B" w14:textId="77777777" w:rsidR="00F63CDA" w:rsidRDefault="00F63CDA">
            <w:pPr>
              <w:pStyle w:val="Tabletext"/>
              <w:jc w:val="center"/>
              <w:rPr>
                <w:rFonts w:asciiTheme="minorHAnsi" w:hAnsiTheme="minorHAnsi"/>
              </w:rPr>
            </w:pPr>
            <w:r>
              <w:rPr>
                <w:rFonts w:asciiTheme="minorHAnsi" w:hAnsiTheme="minorHAnsi"/>
              </w:rPr>
              <w:t>7.4 (4.7, 11.1)</w:t>
            </w:r>
          </w:p>
        </w:tc>
      </w:tr>
      <w:tr w:rsidR="00F63CDA" w14:paraId="058F5E24" w14:textId="77777777" w:rsidTr="00F63CDA">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A54E879" w14:textId="77777777" w:rsidR="00F63CDA" w:rsidRDefault="00F63CDA">
            <w:pPr>
              <w:spacing w:before="0" w:after="0" w:line="240" w:lineRule="auto"/>
              <w:ind w:left="0" w:right="0"/>
              <w:rPr>
                <w:sz w:val="19"/>
              </w:rPr>
            </w:pP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6675F26" w14:textId="4FA0F4D4" w:rsidR="00F63CDA" w:rsidRDefault="00F63CDA">
            <w:pPr>
              <w:pStyle w:val="Tabletext"/>
            </w:pPr>
            <w:r>
              <w:t xml:space="preserve">Stratified </w:t>
            </w:r>
            <w:r w:rsidR="00292A68">
              <w:t>hazard ratio</w:t>
            </w:r>
            <w:r>
              <w:t xml:space="preserve"> (95% </w:t>
            </w:r>
            <w:proofErr w:type="gramStart"/>
            <w:r>
              <w:t>CI)*</w:t>
            </w:r>
            <w:proofErr w:type="gramEnd"/>
            <w:r w:rsidR="00292A68">
              <w:t xml:space="preserve">; </w:t>
            </w:r>
            <w:r>
              <w:t>p-value*</w:t>
            </w:r>
          </w:p>
        </w:tc>
        <w:tc>
          <w:tcPr>
            <w:tcW w:w="377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6B9EB93" w14:textId="001574D4" w:rsidR="00F63CDA" w:rsidRDefault="00F63CDA">
            <w:pPr>
              <w:pStyle w:val="Tabletext"/>
              <w:jc w:val="center"/>
              <w:rPr>
                <w:rFonts w:asciiTheme="minorHAnsi" w:hAnsiTheme="minorHAnsi"/>
              </w:rPr>
            </w:pPr>
            <w:r>
              <w:rPr>
                <w:rFonts w:asciiTheme="minorHAnsi" w:hAnsiTheme="minorHAnsi"/>
              </w:rPr>
              <w:t>0.87 (0.47, 1.63)</w:t>
            </w:r>
            <w:r w:rsidR="00292A68">
              <w:rPr>
                <w:rFonts w:asciiTheme="minorHAnsi" w:hAnsiTheme="minorHAnsi"/>
              </w:rPr>
              <w:t xml:space="preserve">; </w:t>
            </w:r>
            <w:r>
              <w:rPr>
                <w:rFonts w:asciiTheme="minorHAnsi" w:hAnsiTheme="minorHAnsi"/>
              </w:rPr>
              <w:t>p</w:t>
            </w:r>
            <w:r w:rsidR="00863E80">
              <w:rPr>
                <w:rFonts w:asciiTheme="minorHAnsi" w:hAnsiTheme="minorHAnsi"/>
              </w:rPr>
              <w:t xml:space="preserve"> </w:t>
            </w:r>
            <w:r>
              <w:rPr>
                <w:rFonts w:asciiTheme="minorHAnsi" w:hAnsiTheme="minorHAnsi"/>
              </w:rPr>
              <w:t>=</w:t>
            </w:r>
            <w:r w:rsidR="00863E80">
              <w:rPr>
                <w:rFonts w:asciiTheme="minorHAnsi" w:hAnsiTheme="minorHAnsi"/>
              </w:rPr>
              <w:t xml:space="preserve"> </w:t>
            </w:r>
            <w:r>
              <w:rPr>
                <w:rFonts w:asciiTheme="minorHAnsi" w:hAnsiTheme="minorHAnsi"/>
              </w:rPr>
              <w:t>0.6662</w:t>
            </w:r>
          </w:p>
        </w:tc>
      </w:tr>
      <w:tr w:rsidR="00F63CDA" w14:paraId="18905F9F" w14:textId="77777777" w:rsidTr="00F63CDA">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81B4898" w14:textId="522F9CCA" w:rsidR="00F63CDA" w:rsidRDefault="00F63CDA">
            <w:pPr>
              <w:pStyle w:val="Tabletext"/>
            </w:pPr>
            <w:r>
              <w:t xml:space="preserve">PFS in patients with </w:t>
            </w:r>
            <w:r w:rsidR="00D820E6">
              <w:t>one</w:t>
            </w:r>
            <w:r>
              <w:t xml:space="preserve"> prior metastatic line of therapy</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9BCCDED" w14:textId="079EDEEF" w:rsidR="00F63CDA" w:rsidRDefault="00F63CDA">
            <w:pPr>
              <w:pStyle w:val="Tabletext"/>
            </w:pPr>
            <w:r>
              <w:t xml:space="preserve">Stratified </w:t>
            </w:r>
            <w:r w:rsidR="00292A68">
              <w:t>hazard ratio</w:t>
            </w:r>
            <w:r>
              <w:t xml:space="preserve"> (95% </w:t>
            </w:r>
            <w:proofErr w:type="gramStart"/>
            <w:r>
              <w:t>CI)*</w:t>
            </w:r>
            <w:proofErr w:type="gramEnd"/>
          </w:p>
        </w:tc>
        <w:tc>
          <w:tcPr>
            <w:tcW w:w="377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B34EDB7" w14:textId="77777777" w:rsidR="00F63CDA" w:rsidRDefault="00F63CDA">
            <w:pPr>
              <w:pStyle w:val="Tabletext"/>
              <w:jc w:val="center"/>
              <w:rPr>
                <w:rFonts w:asciiTheme="minorHAnsi" w:hAnsiTheme="minorHAnsi"/>
              </w:rPr>
            </w:pPr>
            <w:r>
              <w:rPr>
                <w:rFonts w:asciiTheme="minorHAnsi" w:hAnsiTheme="minorHAnsi"/>
              </w:rPr>
              <w:t>0.42 (0.23, 0.77)</w:t>
            </w:r>
          </w:p>
        </w:tc>
      </w:tr>
      <w:tr w:rsidR="00F63CDA" w14:paraId="22525BFE" w14:textId="77777777" w:rsidTr="00F63CDA">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5B11DF1" w14:textId="16742356" w:rsidR="00F63CDA" w:rsidRDefault="00292A68">
            <w:pPr>
              <w:pStyle w:val="Tabletext"/>
            </w:pPr>
            <w:r>
              <w:t>Overall survival</w:t>
            </w:r>
            <w:r w:rsidR="00F63CDA">
              <w:t xml:space="preserve"> in patients with </w:t>
            </w:r>
            <w:r w:rsidR="00D820E6">
              <w:t>one</w:t>
            </w:r>
            <w:r w:rsidR="00F63CDA">
              <w:t xml:space="preserve"> prior metastatic line of therapy</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6D695D2" w14:textId="007C694C" w:rsidR="00F63CDA" w:rsidRDefault="00F63CDA">
            <w:pPr>
              <w:pStyle w:val="Tabletext"/>
            </w:pPr>
            <w:r>
              <w:t xml:space="preserve">Stratified </w:t>
            </w:r>
            <w:r w:rsidR="00292A68">
              <w:t>hazard ratio</w:t>
            </w:r>
            <w:r>
              <w:t xml:space="preserve"> (95% </w:t>
            </w:r>
            <w:proofErr w:type="gramStart"/>
            <w:r>
              <w:t>CI)*</w:t>
            </w:r>
            <w:proofErr w:type="gramEnd"/>
          </w:p>
        </w:tc>
        <w:tc>
          <w:tcPr>
            <w:tcW w:w="377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13E6917" w14:textId="77777777" w:rsidR="00F63CDA" w:rsidRDefault="00F63CDA">
            <w:pPr>
              <w:pStyle w:val="Tabletext"/>
              <w:jc w:val="center"/>
              <w:rPr>
                <w:rFonts w:asciiTheme="minorHAnsi" w:hAnsiTheme="minorHAnsi"/>
              </w:rPr>
            </w:pPr>
            <w:r>
              <w:rPr>
                <w:rFonts w:asciiTheme="minorHAnsi" w:hAnsiTheme="minorHAnsi"/>
              </w:rPr>
              <w:t>0.56 (0.32, 0.99)</w:t>
            </w:r>
          </w:p>
        </w:tc>
      </w:tr>
    </w:tbl>
    <w:p w14:paraId="4C9FE16F" w14:textId="3EF18CAE" w:rsidR="00F63CDA" w:rsidRDefault="00F63CDA" w:rsidP="00F63CDA">
      <w:pPr>
        <w:pStyle w:val="TableDescription"/>
      </w:pPr>
      <w:r>
        <w:t>CI = confidence interval; HR = hazard ratio * 95% CI and p value are descriptive</w:t>
      </w:r>
    </w:p>
    <w:p w14:paraId="53AEBCC3" w14:textId="164EA21C" w:rsidR="001D2290" w:rsidRPr="001D2290" w:rsidRDefault="001D2290" w:rsidP="001D2290">
      <w:pPr>
        <w:pStyle w:val="TableDescription"/>
      </w:pPr>
      <w:r w:rsidRPr="001D2290">
        <w:t xml:space="preserve">Exploratory analysis (regulatory evaluator’s analysis) of results for PFS and OS in patients with brain metastases, and for the 13% of patients who had received only </w:t>
      </w:r>
      <w:r w:rsidR="00D820E6">
        <w:t>one</w:t>
      </w:r>
      <w:r w:rsidRPr="001D2290">
        <w:t xml:space="preserve"> prior line of therapy in the metastatic setting (in addition to a second prior line given in the neo/adjuvant setting, after which recurrence/ progression occurred within 12 months) in the ASCENT </w:t>
      </w:r>
      <w:r w:rsidR="00D820E6">
        <w:t>trial</w:t>
      </w:r>
    </w:p>
    <w:p w14:paraId="73E6601E" w14:textId="77777777" w:rsidR="00292A68" w:rsidRDefault="00292A68" w:rsidP="00884D31">
      <w:pPr>
        <w:pStyle w:val="Heading4"/>
      </w:pPr>
      <w:r>
        <w:t>Safety</w:t>
      </w:r>
    </w:p>
    <w:p w14:paraId="32EDF7E2" w14:textId="61ADD646" w:rsidR="00801550" w:rsidRDefault="00292A68">
      <w:pPr>
        <w:pStyle w:val="Heading5"/>
      </w:pPr>
      <w:r>
        <w:t>Study IMMU-132-05 (ASCENT trial)</w:t>
      </w:r>
    </w:p>
    <w:p w14:paraId="1CBF8558" w14:textId="1E244715" w:rsidR="00175529" w:rsidRDefault="00801550" w:rsidP="00801550">
      <w:r>
        <w:t>The ASCENT</w:t>
      </w:r>
      <w:r w:rsidR="00D820E6">
        <w:t xml:space="preserve"> trial</w:t>
      </w:r>
      <w:r>
        <w:t xml:space="preserve"> safety population consisted of the 482 patients who received at least one treatment dose (258 in the </w:t>
      </w:r>
      <w:proofErr w:type="spellStart"/>
      <w:r w:rsidR="00A401DD">
        <w:t>sacituzumab</w:t>
      </w:r>
      <w:proofErr w:type="spellEnd"/>
      <w:r w:rsidR="00A401DD">
        <w:t xml:space="preserve"> </w:t>
      </w:r>
      <w:proofErr w:type="spellStart"/>
      <w:r w:rsidR="00A401DD">
        <w:t>govitecan</w:t>
      </w:r>
      <w:proofErr w:type="spellEnd"/>
      <w:r w:rsidR="00A401DD" w:rsidDel="00A401DD">
        <w:t xml:space="preserve"> </w:t>
      </w:r>
      <w:r>
        <w:t>arm and 224 in the TPC arm). Clinically rational grouping of adverse event terms is undertaken during the FDA safety review and the approved FDA label presents incidences of these as adverse reactions based on treatment-emergent rates</w:t>
      </w:r>
    </w:p>
    <w:p w14:paraId="5C82FBE1" w14:textId="603316AF" w:rsidR="00801550" w:rsidRDefault="00801550" w:rsidP="00801550">
      <w:r>
        <w:t>A summary of the toxicity profile seen in ASCENT</w:t>
      </w:r>
      <w:r w:rsidR="005B3427">
        <w:t xml:space="preserve"> trial</w:t>
      </w:r>
      <w:r>
        <w:t xml:space="preserve"> is contained in the approved FDA label:</w:t>
      </w:r>
      <w:r w:rsidR="000D212D">
        <w:rPr>
          <w:rStyle w:val="FootnoteReference"/>
        </w:rPr>
        <w:footnoteReference w:id="14"/>
      </w:r>
    </w:p>
    <w:p w14:paraId="2805DE8D" w14:textId="0C26DB4F" w:rsidR="00801550" w:rsidRDefault="00801550" w:rsidP="00801550">
      <w:pPr>
        <w:ind w:left="720"/>
      </w:pPr>
      <w:r>
        <w:t xml:space="preserve">For patients treated with </w:t>
      </w:r>
      <w:proofErr w:type="spellStart"/>
      <w:r>
        <w:t>T</w:t>
      </w:r>
      <w:r w:rsidR="00BF5875">
        <w:t>rodelvy</w:t>
      </w:r>
      <w:proofErr w:type="spellEnd"/>
      <w:r>
        <w:t>, the median duration of treatment was 4.4 months (range: 0 to 23 months).</w:t>
      </w:r>
    </w:p>
    <w:p w14:paraId="04378BB6" w14:textId="49B814D4" w:rsidR="00801550" w:rsidRDefault="00801550" w:rsidP="00801550">
      <w:pPr>
        <w:ind w:left="720"/>
      </w:pPr>
      <w:r>
        <w:t xml:space="preserve">Serious adverse reactions occurred in 27% of patients receiving </w:t>
      </w:r>
      <w:proofErr w:type="spellStart"/>
      <w:r>
        <w:t>T</w:t>
      </w:r>
      <w:r w:rsidR="00BF5875">
        <w:t>rodelvy</w:t>
      </w:r>
      <w:proofErr w:type="spellEnd"/>
      <w:r>
        <w:t xml:space="preserve">. Serious adverse reactions in &gt; 1% of patients receiving </w:t>
      </w:r>
      <w:proofErr w:type="spellStart"/>
      <w:r>
        <w:t>T</w:t>
      </w:r>
      <w:r w:rsidR="00BF5875">
        <w:t>rodelvy</w:t>
      </w:r>
      <w:proofErr w:type="spellEnd"/>
      <w:r>
        <w:t xml:space="preserve"> included neutropenia (7%), diarrhea (4%), and pneumonia (3%). Fatal adverse reactions occurred in 1.2% of patients who received </w:t>
      </w:r>
      <w:proofErr w:type="spellStart"/>
      <w:r>
        <w:t>T</w:t>
      </w:r>
      <w:r w:rsidR="00BF5875">
        <w:t>rodelvy</w:t>
      </w:r>
      <w:proofErr w:type="spellEnd"/>
      <w:r>
        <w:t xml:space="preserve">, including respiratory failure (0.8%) and pneumonia (0.4%). </w:t>
      </w:r>
      <w:proofErr w:type="spellStart"/>
      <w:r>
        <w:t>T</w:t>
      </w:r>
      <w:r w:rsidR="00BF5875">
        <w:t>rodelvy</w:t>
      </w:r>
      <w:proofErr w:type="spellEnd"/>
      <w:r>
        <w:t xml:space="preserve"> was permanently discontinued for adverse reactions in 5% of patients. Adverse reactions leading to permanent discontinuation in ≥ 1 % of patients who received </w:t>
      </w:r>
      <w:proofErr w:type="spellStart"/>
      <w:r>
        <w:t>T</w:t>
      </w:r>
      <w:r w:rsidR="003E52AB">
        <w:t>rodelvy</w:t>
      </w:r>
      <w:proofErr w:type="spellEnd"/>
      <w:r>
        <w:t xml:space="preserve"> were pneumonia (1%) and fatigue (1%).</w:t>
      </w:r>
    </w:p>
    <w:p w14:paraId="61F77957" w14:textId="39625F59" w:rsidR="00801550" w:rsidRDefault="00801550" w:rsidP="00801550">
      <w:pPr>
        <w:ind w:left="720"/>
      </w:pPr>
      <w:r>
        <w:t xml:space="preserve">Adverse reactions leading to a treatment interruption of </w:t>
      </w:r>
      <w:proofErr w:type="spellStart"/>
      <w:r>
        <w:t>T</w:t>
      </w:r>
      <w:r w:rsidR="003E52AB">
        <w:t>rodelvy</w:t>
      </w:r>
      <w:proofErr w:type="spellEnd"/>
      <w:r>
        <w:t xml:space="preserve"> occurred in 63% of patients. The most frequent (≥</w:t>
      </w:r>
      <w:r w:rsidR="00AF4C2E">
        <w:t xml:space="preserve"> </w:t>
      </w:r>
      <w:r>
        <w:t xml:space="preserve">5%) adverse reactions leading to a treatment </w:t>
      </w:r>
      <w:r>
        <w:lastRenderedPageBreak/>
        <w:t>interruption were neutropenia (47%), diarrhea (5%), respiratory infection (5%), and leukopenia (5%).</w:t>
      </w:r>
    </w:p>
    <w:p w14:paraId="6DF6EF98" w14:textId="0DF09C8C" w:rsidR="00801550" w:rsidRDefault="00801550" w:rsidP="00801550">
      <w:pPr>
        <w:ind w:left="720"/>
      </w:pPr>
      <w:r>
        <w:t xml:space="preserve">Adverse reactions leading to a dose reduction of </w:t>
      </w:r>
      <w:proofErr w:type="spellStart"/>
      <w:r>
        <w:t>T</w:t>
      </w:r>
      <w:r w:rsidR="003E52AB">
        <w:t>rodelvy</w:t>
      </w:r>
      <w:proofErr w:type="spellEnd"/>
      <w:r>
        <w:t xml:space="preserve"> occurred in 22% of patients. The most frequent (&gt;</w:t>
      </w:r>
      <w:r w:rsidR="00AF4C2E">
        <w:t xml:space="preserve"> </w:t>
      </w:r>
      <w:r>
        <w:t>4%) adverse reactions leading to a dose reduction were neutropenia (11%) and diarrhea (5%).</w:t>
      </w:r>
    </w:p>
    <w:p w14:paraId="35529720" w14:textId="533173DF" w:rsidR="00801550" w:rsidRDefault="00801550" w:rsidP="00801550">
      <w:pPr>
        <w:ind w:left="720"/>
      </w:pPr>
      <w:r>
        <w:t xml:space="preserve">Granulocyte-colony stimulating factor (G-CSF) was used in 44% of patients who received </w:t>
      </w:r>
      <w:proofErr w:type="spellStart"/>
      <w:r>
        <w:t>T</w:t>
      </w:r>
      <w:r w:rsidR="003E52AB">
        <w:t>rodelvy</w:t>
      </w:r>
      <w:proofErr w:type="spellEnd"/>
      <w:r>
        <w:t>.</w:t>
      </w:r>
    </w:p>
    <w:p w14:paraId="3C7C78AC" w14:textId="6E5172EA" w:rsidR="00801550" w:rsidRDefault="00801550" w:rsidP="00801550">
      <w:r>
        <w:t xml:space="preserve">Fatal adverse events occurred in </w:t>
      </w:r>
      <w:r w:rsidR="00180BBE">
        <w:t>three</w:t>
      </w:r>
      <w:r>
        <w:t xml:space="preserve"> patients treated with </w:t>
      </w:r>
      <w:proofErr w:type="spellStart"/>
      <w:r w:rsidR="00A401DD">
        <w:t>sacituzumab</w:t>
      </w:r>
      <w:proofErr w:type="spellEnd"/>
      <w:r w:rsidR="00A401DD">
        <w:t xml:space="preserve"> </w:t>
      </w:r>
      <w:proofErr w:type="spellStart"/>
      <w:proofErr w:type="gramStart"/>
      <w:r w:rsidR="00A401DD">
        <w:t>govitecan</w:t>
      </w:r>
      <w:proofErr w:type="spellEnd"/>
      <w:r w:rsidR="00A401DD" w:rsidDel="00A401DD">
        <w:t xml:space="preserve"> </w:t>
      </w:r>
      <w:r>
        <w:t xml:space="preserve"> and</w:t>
      </w:r>
      <w:proofErr w:type="gramEnd"/>
      <w:r>
        <w:t xml:space="preserve"> </w:t>
      </w:r>
      <w:r w:rsidR="00D820E6">
        <w:t>three</w:t>
      </w:r>
      <w:r>
        <w:t xml:space="preserve"> treated with chemotherapy. In the </w:t>
      </w:r>
      <w:proofErr w:type="spellStart"/>
      <w:r w:rsidR="00A401DD">
        <w:t>sacituzumab</w:t>
      </w:r>
      <w:proofErr w:type="spellEnd"/>
      <w:r w:rsidR="00A401DD">
        <w:t xml:space="preserve"> </w:t>
      </w:r>
      <w:proofErr w:type="spellStart"/>
      <w:r w:rsidR="00A401DD">
        <w:t>govitecan</w:t>
      </w:r>
      <w:proofErr w:type="spellEnd"/>
      <w:r>
        <w:t xml:space="preserve"> arm, two deaths occurred due to respiratory failure in the context of neutropenia and infection. The myelosuppressive effects of </w:t>
      </w:r>
      <w:proofErr w:type="spellStart"/>
      <w:r w:rsidR="00A401DD">
        <w:t>sacituzumab</w:t>
      </w:r>
      <w:proofErr w:type="spellEnd"/>
      <w:r w:rsidR="00A401DD">
        <w:t xml:space="preserve"> </w:t>
      </w:r>
      <w:proofErr w:type="spellStart"/>
      <w:r w:rsidR="00A401DD">
        <w:t>govitecan</w:t>
      </w:r>
      <w:proofErr w:type="spellEnd"/>
      <w:r>
        <w:t xml:space="preserve"> are likely to have contributed to these two fatal events. A third death occurred due to postobstructive pneumonia in context of extensive pulmonary metastatic disease. In the TPC arm, the three fatal events were neutropenic sepsis, sepsis, and general physical health deterioration related to progressive disease (</w:t>
      </w:r>
      <w:r w:rsidR="003E52AB">
        <w:t>one</w:t>
      </w:r>
      <w:r>
        <w:t xml:space="preserve"> patient each).</w:t>
      </w:r>
    </w:p>
    <w:p w14:paraId="0E2E345B" w14:textId="69842B81" w:rsidR="00801550" w:rsidRDefault="00801550" w:rsidP="00801550">
      <w:r>
        <w:t xml:space="preserve">Rates of the most common adverse events (more than 10% in either treatment arm) and selected laboratory abnormalities are presented in </w:t>
      </w:r>
      <w:r w:rsidR="00B13D59">
        <w:fldChar w:fldCharType="begin"/>
      </w:r>
      <w:r w:rsidR="00B13D59">
        <w:instrText xml:space="preserve"> REF _Ref90467759 \h </w:instrText>
      </w:r>
      <w:r w:rsidR="00B13D59">
        <w:fldChar w:fldCharType="separate"/>
      </w:r>
      <w:r w:rsidR="00B13D59">
        <w:t xml:space="preserve">Table </w:t>
      </w:r>
      <w:r w:rsidR="00B13D59">
        <w:rPr>
          <w:noProof/>
        </w:rPr>
        <w:t>13</w:t>
      </w:r>
      <w:r w:rsidR="00B13D59">
        <w:fldChar w:fldCharType="end"/>
      </w:r>
      <w:r w:rsidR="00B13D59">
        <w:t xml:space="preserve"> </w:t>
      </w:r>
      <w:r>
        <w:t>and</w:t>
      </w:r>
      <w:r w:rsidR="00B13D59">
        <w:t xml:space="preserve"> </w:t>
      </w:r>
      <w:r w:rsidR="00B13D59">
        <w:fldChar w:fldCharType="begin"/>
      </w:r>
      <w:r w:rsidR="00B13D59">
        <w:instrText xml:space="preserve"> REF _Ref90467780 \h </w:instrText>
      </w:r>
      <w:r w:rsidR="00B13D59">
        <w:fldChar w:fldCharType="separate"/>
      </w:r>
      <w:r w:rsidR="00B13D59">
        <w:t xml:space="preserve">Table </w:t>
      </w:r>
      <w:r w:rsidR="00B13D59">
        <w:rPr>
          <w:noProof/>
        </w:rPr>
        <w:t>14</w:t>
      </w:r>
      <w:r w:rsidR="00B13D59">
        <w:fldChar w:fldCharType="end"/>
      </w:r>
      <w:r>
        <w:t xml:space="preserve">. The most common treatment-related adverse events of any grade were neutropenia, diarrhoea, nausea, alopecia, </w:t>
      </w:r>
      <w:proofErr w:type="gramStart"/>
      <w:r>
        <w:t>fatigue</w:t>
      </w:r>
      <w:proofErr w:type="gramEnd"/>
      <w:r>
        <w:t xml:space="preserve"> and anaemia. The most frequent </w:t>
      </w:r>
      <w:r w:rsidR="00A401DD">
        <w:t xml:space="preserve">treatment-related adverse events </w:t>
      </w:r>
      <w:r>
        <w:t xml:space="preserve">of </w:t>
      </w:r>
      <w:r w:rsidR="004C1918">
        <w:t>G</w:t>
      </w:r>
      <w:r>
        <w:t>rade 3 or higher were neutropenia, leukopenia, diarrhoea, anaemia, and febrile neutropenia.</w:t>
      </w:r>
    </w:p>
    <w:p w14:paraId="1D9B40AE" w14:textId="0E85D054" w:rsidR="00801550" w:rsidRDefault="00801550" w:rsidP="00801550">
      <w:r>
        <w:t xml:space="preserve">Neutropenia and diarrhoea, including high grade and severe events, were more frequent with </w:t>
      </w:r>
      <w:proofErr w:type="spellStart"/>
      <w:r w:rsidR="00A401DD">
        <w:t>sacituzumab</w:t>
      </w:r>
      <w:proofErr w:type="spellEnd"/>
      <w:r w:rsidR="00A401DD">
        <w:t xml:space="preserve"> </w:t>
      </w:r>
      <w:proofErr w:type="spellStart"/>
      <w:r w:rsidR="00A401DD">
        <w:t>govitecan</w:t>
      </w:r>
      <w:proofErr w:type="spellEnd"/>
      <w:r>
        <w:t xml:space="preserve"> than with chemotherapy.</w:t>
      </w:r>
    </w:p>
    <w:p w14:paraId="680D20D6" w14:textId="1649D737" w:rsidR="00801550" w:rsidRDefault="00801550" w:rsidP="00801550">
      <w:r>
        <w:t>According to the clinical study report for ASCENT</w:t>
      </w:r>
      <w:r w:rsidR="007C1D45">
        <w:t xml:space="preserve"> trial</w:t>
      </w:r>
      <w:r>
        <w:t xml:space="preserve">, diarrhoea occurred in 65% of SG-treated patients and 17% of TPC-treated patients. Rates of </w:t>
      </w:r>
      <w:r w:rsidR="004C1918">
        <w:t>G</w:t>
      </w:r>
      <w:r>
        <w:t>rade 3</w:t>
      </w:r>
      <w:r w:rsidR="00F120D1">
        <w:t xml:space="preserve"> to</w:t>
      </w:r>
      <w:r>
        <w:t xml:space="preserve">4 diarrhoea were 11% in the </w:t>
      </w:r>
      <w:proofErr w:type="spellStart"/>
      <w:r w:rsidR="00A401DD">
        <w:t>sacituzumab</w:t>
      </w:r>
      <w:proofErr w:type="spellEnd"/>
      <w:r w:rsidR="00A401DD">
        <w:t xml:space="preserve"> </w:t>
      </w:r>
      <w:proofErr w:type="spellStart"/>
      <w:r w:rsidR="00A401DD">
        <w:t>govitecan</w:t>
      </w:r>
      <w:proofErr w:type="spellEnd"/>
      <w:r>
        <w:t xml:space="preserve"> arm and 1% in the TPC arm. The incidence of </w:t>
      </w:r>
      <w:r w:rsidR="004C1918">
        <w:t>G</w:t>
      </w:r>
      <w:r>
        <w:t xml:space="preserve">rade 3 and 4 febrile neutropenia was 5% and 1%, respectively, with </w:t>
      </w:r>
      <w:proofErr w:type="spellStart"/>
      <w:r w:rsidR="00A401DD">
        <w:t>sacituzumab</w:t>
      </w:r>
      <w:proofErr w:type="spellEnd"/>
      <w:r w:rsidR="00A401DD">
        <w:t xml:space="preserve"> </w:t>
      </w:r>
      <w:proofErr w:type="spellStart"/>
      <w:r w:rsidR="00A401DD">
        <w:t>govitecan</w:t>
      </w:r>
      <w:proofErr w:type="spellEnd"/>
      <w:r>
        <w:t xml:space="preserve"> and 2% and less than 1%, respectively, with chemotherapy. Concomitant growth-factor support was given to 49% of the patients treated with SG and 23% of those treated with TPC.</w:t>
      </w:r>
    </w:p>
    <w:p w14:paraId="5AB19279" w14:textId="7060A43A" w:rsidR="00801550" w:rsidRDefault="00801550" w:rsidP="00801550">
      <w:bookmarkStart w:id="56" w:name="_Hlk79762094"/>
      <w:r>
        <w:t xml:space="preserve">Neutropenia was variously managed in ASCENT </w:t>
      </w:r>
      <w:r w:rsidR="007C1D45">
        <w:t xml:space="preserve">trial </w:t>
      </w:r>
      <w:r>
        <w:t xml:space="preserve">with dose reduction, dose delay, or both as well as with growth-factor support (per </w:t>
      </w:r>
      <w:proofErr w:type="gramStart"/>
      <w:r>
        <w:t>protocol:</w:t>
      </w:r>
      <w:r w:rsidR="005B3427">
        <w:t>‘</w:t>
      </w:r>
      <w:proofErr w:type="gramEnd"/>
      <w:r w:rsidR="001E3239">
        <w:t xml:space="preserve"> </w:t>
      </w:r>
      <w:r>
        <w:t xml:space="preserve">use of growth factors may be initiated early on and used prophylactically as early as </w:t>
      </w:r>
      <w:r w:rsidR="00AF4C2E">
        <w:t>C</w:t>
      </w:r>
      <w:r>
        <w:t>ycle 1</w:t>
      </w:r>
      <w:r w:rsidR="005B3427">
        <w:t>’</w:t>
      </w:r>
      <w:r>
        <w:t>).</w:t>
      </w:r>
    </w:p>
    <w:p w14:paraId="694D18E7" w14:textId="50627A13" w:rsidR="00801550" w:rsidRDefault="00801550" w:rsidP="00801550">
      <w:r>
        <w:t xml:space="preserve">Advice proposed for the Australian </w:t>
      </w:r>
      <w:r w:rsidR="004C1918">
        <w:t>PI</w:t>
      </w:r>
      <w:r>
        <w:t xml:space="preserve"> states that for a first occurrence of severe neutropenia, G-CSF support is recommended, with dose reduction only if subsequent severe episodes occur. This advice </w:t>
      </w:r>
      <w:proofErr w:type="gramStart"/>
      <w:r>
        <w:t>is in contrast to</w:t>
      </w:r>
      <w:proofErr w:type="gramEnd"/>
      <w:r>
        <w:t xml:space="preserve"> the FDA label (which recommends both a 25% dose reduction and use of G-CSF on the first instance of severe neutropenia) but is in line with the instructions in the ASCENT </w:t>
      </w:r>
      <w:r w:rsidR="007C1D45">
        <w:t xml:space="preserve">trial </w:t>
      </w:r>
      <w:r>
        <w:t xml:space="preserve">protocol. Of </w:t>
      </w:r>
      <w:r w:rsidR="003E52AB">
        <w:t xml:space="preserve">the </w:t>
      </w:r>
      <w:r w:rsidR="00D820E6">
        <w:t>seven</w:t>
      </w:r>
      <w:r>
        <w:t xml:space="preserve"> patients in ASCENT</w:t>
      </w:r>
      <w:r w:rsidR="007C1D45">
        <w:t xml:space="preserve"> trial</w:t>
      </w:r>
      <w:r>
        <w:t xml:space="preserve"> for whom this advice was followed, subsequent dose reduction (for any reason) was not required for </w:t>
      </w:r>
      <w:r w:rsidR="00D820E6">
        <w:t>five</w:t>
      </w:r>
      <w:r>
        <w:t xml:space="preserve">, whilst the other </w:t>
      </w:r>
      <w:r w:rsidR="00D820E6">
        <w:t>two</w:t>
      </w:r>
      <w:r>
        <w:t xml:space="preserve"> had subsequent dose reductions – both for neutropenic events which subsequently resolved (one patient had Grade 3 febrile neutropenia and the other patient had Grade 3 febrile neutropenia followed by Grade 4 neutropenia). The proposed PI content is considered acceptable (see</w:t>
      </w:r>
      <w:r w:rsidR="00AF4C2E">
        <w:t>, section:</w:t>
      </w:r>
      <w:r w:rsidR="003E52AB">
        <w:t xml:space="preserve"> </w:t>
      </w:r>
      <w:r w:rsidR="004C1918">
        <w:t>review of</w:t>
      </w:r>
      <w:r w:rsidR="003307FE">
        <w:t xml:space="preserve"> aspects of</w:t>
      </w:r>
      <w:r w:rsidR="004C1918">
        <w:t xml:space="preserve"> PI</w:t>
      </w:r>
      <w:r w:rsidR="003E52AB" w:rsidRPr="003307FE">
        <w:t>,</w:t>
      </w:r>
      <w:r w:rsidR="007928C5">
        <w:t xml:space="preserve"> p.</w:t>
      </w:r>
      <w:r w:rsidR="003307FE">
        <w:t xml:space="preserve"> </w:t>
      </w:r>
      <w:r w:rsidR="007E24AD">
        <w:fldChar w:fldCharType="begin"/>
      </w:r>
      <w:r w:rsidR="007E24AD">
        <w:instrText xml:space="preserve"> PAGEREF _Ref91084129 \h </w:instrText>
      </w:r>
      <w:r w:rsidR="007E24AD">
        <w:fldChar w:fldCharType="separate"/>
      </w:r>
      <w:r w:rsidR="007E24AD">
        <w:rPr>
          <w:noProof/>
        </w:rPr>
        <w:t>34</w:t>
      </w:r>
      <w:r w:rsidR="007E24AD">
        <w:fldChar w:fldCharType="end"/>
      </w:r>
      <w:r w:rsidR="003307FE" w:rsidRPr="003307FE">
        <w:t>).</w:t>
      </w:r>
    </w:p>
    <w:bookmarkEnd w:id="56"/>
    <w:p w14:paraId="4DC133CD" w14:textId="71FA27E8" w:rsidR="00801550" w:rsidRDefault="00801550" w:rsidP="00801550">
      <w:r>
        <w:t>Dose reductions due to adverse events overall occurred with similar frequency in the two treatment arms (22% of the patients who received SG and 26% of those who received TPC)</w:t>
      </w:r>
      <w:r w:rsidR="00BC1556">
        <w:t xml:space="preserve"> (Table 13)</w:t>
      </w:r>
      <w:r>
        <w:t xml:space="preserve">. </w:t>
      </w:r>
      <w:r w:rsidR="00BC1556">
        <w:t>A</w:t>
      </w:r>
      <w:r w:rsidR="00A401DD">
        <w:t xml:space="preserve">dverse events </w:t>
      </w:r>
      <w:r>
        <w:t xml:space="preserve">leading to treatment discontinuation were infrequent, occurring in 12 patients (5%) in the </w:t>
      </w:r>
      <w:proofErr w:type="spellStart"/>
      <w:r w:rsidR="00A401DD">
        <w:t>sacituzumab</w:t>
      </w:r>
      <w:proofErr w:type="spellEnd"/>
      <w:r w:rsidR="00A401DD">
        <w:t xml:space="preserve"> </w:t>
      </w:r>
      <w:proofErr w:type="spellStart"/>
      <w:r w:rsidR="00A401DD">
        <w:t>govitecan</w:t>
      </w:r>
      <w:proofErr w:type="spellEnd"/>
      <w:r>
        <w:t xml:space="preserve"> arm and 13 patients (5%) in the TPC arm.</w:t>
      </w:r>
    </w:p>
    <w:p w14:paraId="7A6B4ED1" w14:textId="3A1D7406" w:rsidR="00175529" w:rsidRDefault="00801550" w:rsidP="00B13D59">
      <w:r>
        <w:lastRenderedPageBreak/>
        <w:t xml:space="preserve">There were no cases of pneumonitis in the TPC, and a single case in the </w:t>
      </w:r>
      <w:proofErr w:type="spellStart"/>
      <w:r w:rsidR="00A401DD">
        <w:t>sacituzumab</w:t>
      </w:r>
      <w:proofErr w:type="spellEnd"/>
      <w:r w:rsidR="00A401DD">
        <w:t xml:space="preserve"> </w:t>
      </w:r>
      <w:proofErr w:type="spellStart"/>
      <w:r w:rsidR="00A401DD">
        <w:t>govitecan</w:t>
      </w:r>
      <w:proofErr w:type="spellEnd"/>
      <w:r>
        <w:t xml:space="preserve"> arm, of </w:t>
      </w:r>
      <w:r w:rsidR="00BC1556">
        <w:t>G</w:t>
      </w:r>
      <w:r>
        <w:t xml:space="preserve">rade 3 severity. This patient had a prior medical history that included lung metastases, pneumothorax, left bronchial stenosis secondary to prior radiation, </w:t>
      </w:r>
      <w:proofErr w:type="spellStart"/>
      <w:r>
        <w:t>tumourrelated</w:t>
      </w:r>
      <w:proofErr w:type="spellEnd"/>
      <w:r>
        <w:t xml:space="preserve"> left lung collapse, </w:t>
      </w:r>
      <w:proofErr w:type="spellStart"/>
      <w:r>
        <w:t>radiationrelated</w:t>
      </w:r>
      <w:proofErr w:type="spellEnd"/>
      <w:r>
        <w:t xml:space="preserve"> fibrosis lung, and morbid obesity. </w:t>
      </w:r>
      <w:r w:rsidR="00BC1556">
        <w:t xml:space="preserve">The patient </w:t>
      </w:r>
      <w:r>
        <w:t xml:space="preserve">experienced </w:t>
      </w:r>
      <w:r w:rsidR="00BC1556">
        <w:t>G</w:t>
      </w:r>
      <w:r>
        <w:t xml:space="preserve">rade 3 pneumonitis 14 days after her last dose of </w:t>
      </w:r>
      <w:proofErr w:type="spellStart"/>
      <w:r w:rsidR="00A401DD">
        <w:t>sacituzumab</w:t>
      </w:r>
      <w:proofErr w:type="spellEnd"/>
      <w:r w:rsidR="00A401DD">
        <w:t xml:space="preserve"> </w:t>
      </w:r>
      <w:proofErr w:type="spellStart"/>
      <w:r w:rsidR="00A401DD">
        <w:t>govitecan</w:t>
      </w:r>
      <w:proofErr w:type="spellEnd"/>
      <w:r>
        <w:t xml:space="preserve"> (approximately </w:t>
      </w:r>
      <w:r w:rsidR="00D820E6">
        <w:t>seven</w:t>
      </w:r>
      <w:r>
        <w:t xml:space="preserve"> months after start of study). </w:t>
      </w:r>
      <w:r w:rsidR="00BC1556">
        <w:t xml:space="preserve">The patient’s </w:t>
      </w:r>
      <w:r>
        <w:t xml:space="preserve">CT scan showed increased size of the patient’s known right upper lobe mass and new upper and lower lobe patchy ground glass opacities (probable infectious/inflammatory in the upper lung and </w:t>
      </w:r>
      <w:proofErr w:type="spellStart"/>
      <w:r>
        <w:t>hypoventilatory</w:t>
      </w:r>
      <w:proofErr w:type="spellEnd"/>
      <w:r>
        <w:t xml:space="preserve"> in the lower lung). Observed symptoms were most likely due to drug-induced pneumonitis (event considered possibly related to </w:t>
      </w:r>
      <w:proofErr w:type="spellStart"/>
      <w:r w:rsidR="00A401DD">
        <w:t>sacituzumab</w:t>
      </w:r>
      <w:proofErr w:type="spellEnd"/>
      <w:r w:rsidR="00A401DD">
        <w:t xml:space="preserve"> </w:t>
      </w:r>
      <w:proofErr w:type="spellStart"/>
      <w:r w:rsidR="00A401DD">
        <w:t>govitecan</w:t>
      </w:r>
      <w:proofErr w:type="spellEnd"/>
      <w:r>
        <w:t xml:space="preserve"> by investigator assessment, as pneumonitis is a known irinotecan toxicity) and represented an acute exacerbation of the patient’s chronic dyspnoea. SG was permanently discontinued, and the event resolved </w:t>
      </w:r>
      <w:r w:rsidR="00D820E6">
        <w:t>seven</w:t>
      </w:r>
      <w:r>
        <w:t xml:space="preserve"> weeks after onset without sequelae after treatment with antibiotics (azithromycin, amoxicillin/clavulanate potassium, and atovaquone) and </w:t>
      </w:r>
      <w:r w:rsidR="00BC1556">
        <w:t>intravenous (</w:t>
      </w:r>
      <w:r>
        <w:t>IV</w:t>
      </w:r>
      <w:r w:rsidR="00BC1556">
        <w:t>)</w:t>
      </w:r>
      <w:r>
        <w:t xml:space="preserve"> steroids</w:t>
      </w:r>
      <w:bookmarkStart w:id="57" w:name="_Ref90467759"/>
      <w:r w:rsidR="00175529">
        <w:t>.</w:t>
      </w:r>
    </w:p>
    <w:p w14:paraId="6F41A556" w14:textId="076D049E" w:rsidR="00801550" w:rsidRDefault="00801550" w:rsidP="00801550">
      <w:pPr>
        <w:pStyle w:val="TableTitle"/>
      </w:pPr>
      <w:r>
        <w:t xml:space="preserve">Table </w:t>
      </w:r>
      <w:fldSimple w:instr=" SEQ Table \* ARABIC ">
        <w:r w:rsidR="007D09B2">
          <w:rPr>
            <w:noProof/>
          </w:rPr>
          <w:t>13</w:t>
        </w:r>
      </w:fldSimple>
      <w:bookmarkEnd w:id="57"/>
      <w:r>
        <w:t xml:space="preserve">: </w:t>
      </w:r>
      <w:r w:rsidR="00A401DD">
        <w:t xml:space="preserve">United States Food and Drug Administration-approved product label; </w:t>
      </w:r>
      <w:r>
        <w:t>Adverse events in</w:t>
      </w:r>
      <w:r w:rsidR="005B3427">
        <w:t xml:space="preserve"> </w:t>
      </w:r>
      <w:r>
        <w:t xml:space="preserve">10% </w:t>
      </w:r>
      <w:r w:rsidR="00A401DD">
        <w:t xml:space="preserve">or more </w:t>
      </w:r>
      <w:r>
        <w:t>of patients with m</w:t>
      </w:r>
      <w:r w:rsidR="00A401DD">
        <w:t xml:space="preserve">etastatic triple negative breast cancer </w:t>
      </w:r>
      <w:r>
        <w:t xml:space="preserve">in </w:t>
      </w:r>
      <w:r w:rsidR="00A401DD">
        <w:t xml:space="preserve">the </w:t>
      </w:r>
      <w:r>
        <w:t>ASCENT</w:t>
      </w:r>
      <w:r w:rsidR="007C1D45">
        <w:t xml:space="preserve"> trial</w:t>
      </w:r>
    </w:p>
    <w:tbl>
      <w:tblPr>
        <w:tblStyle w:val="TableTGAblue"/>
        <w:tblW w:w="5000" w:type="pct"/>
        <w:tblCellMar>
          <w:left w:w="0" w:type="dxa"/>
          <w:right w:w="0" w:type="dxa"/>
        </w:tblCellMar>
        <w:tblLook w:val="04A0" w:firstRow="1" w:lastRow="0" w:firstColumn="1" w:lastColumn="0" w:noHBand="0" w:noVBand="1"/>
      </w:tblPr>
      <w:tblGrid>
        <w:gridCol w:w="3674"/>
        <w:gridCol w:w="1419"/>
        <w:gridCol w:w="1135"/>
        <w:gridCol w:w="1133"/>
        <w:gridCol w:w="1123"/>
      </w:tblGrid>
      <w:tr w:rsidR="00801550" w14:paraId="0F1ADA10" w14:textId="77777777" w:rsidTr="00884D31">
        <w:trPr>
          <w:cnfStyle w:val="100000000000" w:firstRow="1" w:lastRow="0" w:firstColumn="0" w:lastColumn="0" w:oddVBand="0" w:evenVBand="0" w:oddHBand="0" w:evenHBand="0" w:firstRowFirstColumn="0" w:firstRowLastColumn="0" w:lastRowFirstColumn="0" w:lastRowLastColumn="0"/>
          <w:trHeight w:val="20"/>
        </w:trPr>
        <w:tc>
          <w:tcPr>
            <w:tcW w:w="2165" w:type="pct"/>
          </w:tcPr>
          <w:p w14:paraId="4470C802" w14:textId="77777777" w:rsidR="00801550" w:rsidRDefault="00801550">
            <w:pPr>
              <w:pStyle w:val="TableParagraph"/>
              <w:ind w:left="57" w:right="57"/>
              <w:rPr>
                <w:rFonts w:ascii="Times New Roman"/>
                <w:sz w:val="18"/>
              </w:rPr>
            </w:pPr>
          </w:p>
        </w:tc>
        <w:tc>
          <w:tcPr>
            <w:tcW w:w="1505" w:type="pct"/>
            <w:gridSpan w:val="2"/>
            <w:hideMark/>
          </w:tcPr>
          <w:p w14:paraId="35B5C0A1" w14:textId="6B2EADD9" w:rsidR="00801550" w:rsidRDefault="00A401DD">
            <w:pPr>
              <w:pStyle w:val="Tabletext"/>
              <w:spacing w:before="0" w:after="0" w:line="240" w:lineRule="auto"/>
              <w:ind w:left="57" w:right="57"/>
              <w:jc w:val="center"/>
            </w:pPr>
            <w:proofErr w:type="spellStart"/>
            <w:r>
              <w:t>sacituzumab</w:t>
            </w:r>
            <w:proofErr w:type="spellEnd"/>
            <w:r>
              <w:t xml:space="preserve"> </w:t>
            </w:r>
            <w:proofErr w:type="spellStart"/>
            <w:r>
              <w:t>govitecan</w:t>
            </w:r>
            <w:proofErr w:type="spellEnd"/>
            <w:r w:rsidR="00801550">
              <w:t xml:space="preserve"> (n</w:t>
            </w:r>
            <w:r>
              <w:t> </w:t>
            </w:r>
            <w:r w:rsidR="00801550">
              <w:t>=</w:t>
            </w:r>
            <w:r>
              <w:t> </w:t>
            </w:r>
            <w:r w:rsidR="00801550">
              <w:t>258)</w:t>
            </w:r>
          </w:p>
        </w:tc>
        <w:tc>
          <w:tcPr>
            <w:tcW w:w="1330" w:type="pct"/>
            <w:gridSpan w:val="2"/>
            <w:hideMark/>
          </w:tcPr>
          <w:p w14:paraId="18ABBA68" w14:textId="3670655D" w:rsidR="00801550" w:rsidRDefault="00801550">
            <w:pPr>
              <w:pStyle w:val="Tabletext"/>
              <w:spacing w:before="0" w:after="0" w:line="240" w:lineRule="auto"/>
              <w:ind w:left="57" w:right="57"/>
              <w:jc w:val="center"/>
            </w:pPr>
            <w:r>
              <w:t>TPC (n</w:t>
            </w:r>
            <w:r w:rsidR="00863E80">
              <w:t xml:space="preserve"> </w:t>
            </w:r>
            <w:r>
              <w:t>=</w:t>
            </w:r>
            <w:r w:rsidR="00863E80">
              <w:t xml:space="preserve"> </w:t>
            </w:r>
            <w:r>
              <w:t>224)</w:t>
            </w:r>
          </w:p>
        </w:tc>
      </w:tr>
      <w:tr w:rsidR="00801550" w14:paraId="494DDB6F"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42C46B8" w14:textId="77777777" w:rsidR="00801550" w:rsidRDefault="00801550">
            <w:pPr>
              <w:pStyle w:val="Tabletext"/>
              <w:spacing w:before="0" w:after="0" w:line="240" w:lineRule="auto"/>
              <w:ind w:left="57" w:right="57"/>
              <w:rPr>
                <w:b/>
                <w:bCs/>
              </w:rPr>
            </w:pPr>
            <w:r>
              <w:rPr>
                <w:b/>
                <w:bCs/>
              </w:rPr>
              <w:t>Adverse events (by System Organ Class)</w:t>
            </w:r>
          </w:p>
        </w:tc>
        <w:tc>
          <w:tcPr>
            <w:tcW w:w="836"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1A1CF73" w14:textId="53235C05" w:rsidR="00801550" w:rsidRDefault="00801550">
            <w:pPr>
              <w:pStyle w:val="Tabletext"/>
              <w:spacing w:before="0" w:after="0" w:line="240" w:lineRule="auto"/>
              <w:ind w:left="57" w:right="57"/>
              <w:jc w:val="center"/>
              <w:rPr>
                <w:b/>
                <w:bCs/>
              </w:rPr>
            </w:pPr>
            <w:r>
              <w:rPr>
                <w:b/>
                <w:bCs/>
              </w:rPr>
              <w:t>All Grades %</w:t>
            </w:r>
          </w:p>
        </w:tc>
        <w:tc>
          <w:tcPr>
            <w:tcW w:w="669"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7A010A5" w14:textId="78D04993" w:rsidR="00801550" w:rsidRDefault="00801550">
            <w:pPr>
              <w:pStyle w:val="Tabletext"/>
              <w:spacing w:before="0" w:after="0" w:line="240" w:lineRule="auto"/>
              <w:ind w:left="57" w:right="57"/>
              <w:jc w:val="center"/>
              <w:rPr>
                <w:b/>
                <w:bCs/>
              </w:rPr>
            </w:pPr>
            <w:r>
              <w:rPr>
                <w:b/>
                <w:bCs/>
              </w:rPr>
              <w:t>Grade 3</w:t>
            </w:r>
            <w:r w:rsidR="00262885">
              <w:rPr>
                <w:b/>
                <w:bCs/>
              </w:rPr>
              <w:t>/</w:t>
            </w:r>
            <w:r>
              <w:rPr>
                <w:b/>
                <w:bCs/>
              </w:rPr>
              <w:t>4 %</w:t>
            </w:r>
          </w:p>
        </w:tc>
        <w:tc>
          <w:tcPr>
            <w:tcW w:w="66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2AB67AE" w14:textId="77777777" w:rsidR="00801550" w:rsidRDefault="00801550">
            <w:pPr>
              <w:pStyle w:val="Tabletext"/>
              <w:spacing w:before="0" w:after="0" w:line="240" w:lineRule="auto"/>
              <w:ind w:left="57" w:right="57"/>
              <w:jc w:val="center"/>
              <w:rPr>
                <w:b/>
                <w:bCs/>
              </w:rPr>
            </w:pPr>
            <w:r>
              <w:rPr>
                <w:b/>
                <w:bCs/>
              </w:rPr>
              <w:t>All Grades %</w:t>
            </w:r>
          </w:p>
        </w:tc>
        <w:tc>
          <w:tcPr>
            <w:tcW w:w="66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4B54611" w14:textId="69A39465" w:rsidR="00801550" w:rsidRDefault="00801550">
            <w:pPr>
              <w:pStyle w:val="Tabletext"/>
              <w:spacing w:before="0" w:after="0" w:line="240" w:lineRule="auto"/>
              <w:ind w:left="57" w:right="57"/>
              <w:jc w:val="center"/>
              <w:rPr>
                <w:b/>
                <w:bCs/>
              </w:rPr>
            </w:pPr>
            <w:r>
              <w:rPr>
                <w:b/>
                <w:bCs/>
              </w:rPr>
              <w:t>Grade 3</w:t>
            </w:r>
            <w:r w:rsidR="00262885">
              <w:rPr>
                <w:b/>
                <w:bCs/>
              </w:rPr>
              <w:t xml:space="preserve">/4 </w:t>
            </w:r>
            <w:r>
              <w:rPr>
                <w:b/>
                <w:bCs/>
              </w:rPr>
              <w:t>%</w:t>
            </w:r>
          </w:p>
        </w:tc>
      </w:tr>
      <w:tr w:rsidR="00801550" w14:paraId="482483C1"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4AE80252" w14:textId="414F4613" w:rsidR="00801550" w:rsidRDefault="00801550">
            <w:pPr>
              <w:pStyle w:val="Tabletext"/>
              <w:spacing w:before="0" w:after="0" w:line="240" w:lineRule="auto"/>
              <w:ind w:left="57" w:right="57"/>
              <w:rPr>
                <w:b/>
                <w:bCs/>
              </w:rPr>
            </w:pPr>
            <w:r>
              <w:rPr>
                <w:b/>
                <w:bCs/>
              </w:rPr>
              <w:t xml:space="preserve">Blood </w:t>
            </w:r>
            <w:r w:rsidR="005B213C">
              <w:rPr>
                <w:b/>
                <w:bCs/>
              </w:rPr>
              <w:t>and</w:t>
            </w:r>
            <w:r>
              <w:rPr>
                <w:b/>
                <w:bCs/>
              </w:rPr>
              <w:t xml:space="preserve"> lymphatic system disorders</w:t>
            </w:r>
          </w:p>
        </w:tc>
        <w:tc>
          <w:tcPr>
            <w:tcW w:w="2835" w:type="pct"/>
            <w:gridSpan w:val="4"/>
            <w:tcBorders>
              <w:top w:val="single" w:sz="8" w:space="0" w:color="000000" w:themeColor="text1"/>
              <w:left w:val="single" w:sz="4" w:space="0" w:color="auto"/>
              <w:bottom w:val="single" w:sz="8" w:space="0" w:color="000000" w:themeColor="text1"/>
              <w:right w:val="single" w:sz="8" w:space="0" w:color="000000" w:themeColor="text1"/>
            </w:tcBorders>
          </w:tcPr>
          <w:p w14:paraId="41ADEB31" w14:textId="77777777" w:rsidR="00801550" w:rsidRDefault="00801550">
            <w:pPr>
              <w:pStyle w:val="Tabletext"/>
              <w:spacing w:before="0" w:after="0" w:line="240" w:lineRule="auto"/>
              <w:ind w:left="57" w:right="57"/>
              <w:jc w:val="center"/>
              <w:rPr>
                <w:b/>
                <w:bCs/>
              </w:rPr>
            </w:pPr>
          </w:p>
        </w:tc>
      </w:tr>
      <w:tr w:rsidR="00801550" w14:paraId="125814BD"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3BDF4B7F" w14:textId="77777777" w:rsidR="00801550" w:rsidRDefault="00801550">
            <w:pPr>
              <w:pStyle w:val="Tabletext"/>
              <w:spacing w:before="0" w:after="0" w:line="240" w:lineRule="auto"/>
              <w:ind w:left="57" w:right="57"/>
            </w:pPr>
            <w:proofErr w:type="spellStart"/>
            <w:r>
              <w:t>Neutropenia</w:t>
            </w:r>
            <w:r>
              <w:rPr>
                <w:vertAlign w:val="superscript"/>
              </w:rPr>
              <w:t>i</w:t>
            </w:r>
            <w:proofErr w:type="spellEnd"/>
          </w:p>
        </w:tc>
        <w:tc>
          <w:tcPr>
            <w:tcW w:w="836" w:type="pct"/>
            <w:tcBorders>
              <w:top w:val="single" w:sz="8" w:space="0" w:color="000000" w:themeColor="text1"/>
              <w:left w:val="single" w:sz="4" w:space="0" w:color="auto"/>
              <w:bottom w:val="single" w:sz="8" w:space="0" w:color="000000" w:themeColor="text1"/>
              <w:right w:val="single" w:sz="8" w:space="0" w:color="000000" w:themeColor="text1"/>
            </w:tcBorders>
            <w:hideMark/>
          </w:tcPr>
          <w:p w14:paraId="00600C73" w14:textId="77777777" w:rsidR="00801550" w:rsidRDefault="00801550">
            <w:pPr>
              <w:pStyle w:val="Tabletext"/>
              <w:spacing w:before="0" w:after="0" w:line="240" w:lineRule="auto"/>
              <w:ind w:left="57" w:right="57"/>
              <w:jc w:val="center"/>
            </w:pPr>
            <w:r>
              <w:t>64</w:t>
            </w:r>
          </w:p>
        </w:tc>
        <w:tc>
          <w:tcPr>
            <w:tcW w:w="669"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FCA4BED" w14:textId="77777777" w:rsidR="00801550" w:rsidRDefault="00801550">
            <w:pPr>
              <w:pStyle w:val="Tabletext"/>
              <w:spacing w:before="0" w:after="0" w:line="240" w:lineRule="auto"/>
              <w:ind w:left="57" w:right="57"/>
              <w:jc w:val="center"/>
            </w:pPr>
            <w:r>
              <w:t>52</w:t>
            </w:r>
          </w:p>
        </w:tc>
        <w:tc>
          <w:tcPr>
            <w:tcW w:w="66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ECFAD20" w14:textId="77777777" w:rsidR="00801550" w:rsidRDefault="00801550">
            <w:pPr>
              <w:pStyle w:val="Tabletext"/>
              <w:spacing w:before="0" w:after="0" w:line="240" w:lineRule="auto"/>
              <w:ind w:left="57" w:right="57"/>
              <w:jc w:val="center"/>
            </w:pPr>
            <w:r>
              <w:t>44</w:t>
            </w:r>
          </w:p>
        </w:tc>
        <w:tc>
          <w:tcPr>
            <w:tcW w:w="66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0316763" w14:textId="77777777" w:rsidR="00801550" w:rsidRDefault="00801550">
            <w:pPr>
              <w:pStyle w:val="Tabletext"/>
              <w:spacing w:before="0" w:after="0" w:line="240" w:lineRule="auto"/>
              <w:ind w:left="57" w:right="57"/>
              <w:jc w:val="center"/>
            </w:pPr>
            <w:r>
              <w:t>34</w:t>
            </w:r>
          </w:p>
        </w:tc>
      </w:tr>
      <w:tr w:rsidR="00801550" w14:paraId="2FAA39DA"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58204CFB" w14:textId="77777777" w:rsidR="00801550" w:rsidRDefault="00801550">
            <w:pPr>
              <w:pStyle w:val="Tabletext"/>
              <w:spacing w:before="0" w:after="0" w:line="240" w:lineRule="auto"/>
              <w:ind w:left="57" w:right="57"/>
            </w:pPr>
            <w:proofErr w:type="spellStart"/>
            <w:r>
              <w:t>Anaemia</w:t>
            </w:r>
            <w:r>
              <w:rPr>
                <w:vertAlign w:val="superscript"/>
              </w:rPr>
              <w:t>ii</w:t>
            </w:r>
            <w:proofErr w:type="spellEnd"/>
          </w:p>
        </w:tc>
        <w:tc>
          <w:tcPr>
            <w:tcW w:w="836" w:type="pct"/>
            <w:tcBorders>
              <w:top w:val="single" w:sz="8" w:space="0" w:color="000000" w:themeColor="text1"/>
              <w:left w:val="single" w:sz="4" w:space="0" w:color="auto"/>
              <w:bottom w:val="single" w:sz="8" w:space="0" w:color="000000" w:themeColor="text1"/>
              <w:right w:val="single" w:sz="8" w:space="0" w:color="000000" w:themeColor="text1"/>
            </w:tcBorders>
            <w:hideMark/>
          </w:tcPr>
          <w:p w14:paraId="6A362D78" w14:textId="77777777" w:rsidR="00801550" w:rsidRDefault="00801550">
            <w:pPr>
              <w:pStyle w:val="Tabletext"/>
              <w:spacing w:before="0" w:after="0" w:line="240" w:lineRule="auto"/>
              <w:ind w:left="57" w:right="57"/>
              <w:jc w:val="center"/>
            </w:pPr>
            <w:r>
              <w:t>40</w:t>
            </w:r>
          </w:p>
        </w:tc>
        <w:tc>
          <w:tcPr>
            <w:tcW w:w="669"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B7B5133" w14:textId="77777777" w:rsidR="00801550" w:rsidRDefault="00801550">
            <w:pPr>
              <w:pStyle w:val="Tabletext"/>
              <w:spacing w:before="0" w:after="0" w:line="240" w:lineRule="auto"/>
              <w:ind w:left="57" w:right="57"/>
              <w:jc w:val="center"/>
            </w:pPr>
            <w:r>
              <w:t>9</w:t>
            </w:r>
          </w:p>
        </w:tc>
        <w:tc>
          <w:tcPr>
            <w:tcW w:w="66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4E6EDFE" w14:textId="77777777" w:rsidR="00801550" w:rsidRDefault="00801550">
            <w:pPr>
              <w:pStyle w:val="Tabletext"/>
              <w:spacing w:before="0" w:after="0" w:line="240" w:lineRule="auto"/>
              <w:ind w:left="57" w:right="57"/>
              <w:jc w:val="center"/>
            </w:pPr>
            <w:r>
              <w:t>28</w:t>
            </w:r>
          </w:p>
        </w:tc>
        <w:tc>
          <w:tcPr>
            <w:tcW w:w="66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A44E24C" w14:textId="77777777" w:rsidR="00801550" w:rsidRDefault="00801550">
            <w:pPr>
              <w:pStyle w:val="Tabletext"/>
              <w:spacing w:before="0" w:after="0" w:line="240" w:lineRule="auto"/>
              <w:ind w:left="57" w:right="57"/>
              <w:jc w:val="center"/>
            </w:pPr>
            <w:r>
              <w:t>6</w:t>
            </w:r>
          </w:p>
        </w:tc>
      </w:tr>
      <w:tr w:rsidR="00801550" w14:paraId="643D8577"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307A3B89" w14:textId="77777777" w:rsidR="00801550" w:rsidRDefault="00801550">
            <w:pPr>
              <w:pStyle w:val="Tabletext"/>
              <w:spacing w:before="0" w:after="0" w:line="240" w:lineRule="auto"/>
              <w:ind w:left="57" w:right="57"/>
            </w:pPr>
            <w:proofErr w:type="spellStart"/>
            <w:r>
              <w:t>Leukopenia</w:t>
            </w:r>
            <w:r>
              <w:rPr>
                <w:vertAlign w:val="superscript"/>
              </w:rPr>
              <w:t>iii</w:t>
            </w:r>
            <w:proofErr w:type="spellEnd"/>
          </w:p>
        </w:tc>
        <w:tc>
          <w:tcPr>
            <w:tcW w:w="836" w:type="pct"/>
            <w:tcBorders>
              <w:top w:val="single" w:sz="8" w:space="0" w:color="000000" w:themeColor="text1"/>
              <w:left w:val="single" w:sz="4" w:space="0" w:color="auto"/>
              <w:bottom w:val="single" w:sz="8" w:space="0" w:color="000000" w:themeColor="text1"/>
              <w:right w:val="single" w:sz="8" w:space="0" w:color="000000" w:themeColor="text1"/>
            </w:tcBorders>
            <w:hideMark/>
          </w:tcPr>
          <w:p w14:paraId="5C4ABA5A" w14:textId="77777777" w:rsidR="00801550" w:rsidRDefault="00801550">
            <w:pPr>
              <w:pStyle w:val="Tabletext"/>
              <w:spacing w:before="0" w:after="0" w:line="240" w:lineRule="auto"/>
              <w:ind w:left="57" w:right="57"/>
              <w:jc w:val="center"/>
            </w:pPr>
            <w:r>
              <w:t>17</w:t>
            </w:r>
          </w:p>
        </w:tc>
        <w:tc>
          <w:tcPr>
            <w:tcW w:w="669"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9DC08C1" w14:textId="77777777" w:rsidR="00801550" w:rsidRDefault="00801550">
            <w:pPr>
              <w:pStyle w:val="Tabletext"/>
              <w:spacing w:before="0" w:after="0" w:line="240" w:lineRule="auto"/>
              <w:ind w:left="57" w:right="57"/>
              <w:jc w:val="center"/>
            </w:pPr>
            <w:r>
              <w:t>11</w:t>
            </w:r>
          </w:p>
        </w:tc>
        <w:tc>
          <w:tcPr>
            <w:tcW w:w="66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948A9D5" w14:textId="77777777" w:rsidR="00801550" w:rsidRDefault="00801550">
            <w:pPr>
              <w:pStyle w:val="Tabletext"/>
              <w:spacing w:before="0" w:after="0" w:line="240" w:lineRule="auto"/>
              <w:ind w:left="57" w:right="57"/>
              <w:jc w:val="center"/>
            </w:pPr>
            <w:r>
              <w:t>12</w:t>
            </w:r>
          </w:p>
        </w:tc>
        <w:tc>
          <w:tcPr>
            <w:tcW w:w="66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3A8226E" w14:textId="77777777" w:rsidR="00801550" w:rsidRDefault="00801550">
            <w:pPr>
              <w:pStyle w:val="Tabletext"/>
              <w:spacing w:before="0" w:after="0" w:line="240" w:lineRule="auto"/>
              <w:ind w:left="57" w:right="57"/>
              <w:jc w:val="center"/>
            </w:pPr>
            <w:r>
              <w:t>6</w:t>
            </w:r>
          </w:p>
        </w:tc>
      </w:tr>
      <w:tr w:rsidR="00801550" w14:paraId="3743D00B"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27360637" w14:textId="77777777" w:rsidR="00801550" w:rsidRDefault="00801550">
            <w:pPr>
              <w:pStyle w:val="Tabletext"/>
              <w:spacing w:before="0" w:after="0" w:line="240" w:lineRule="auto"/>
              <w:ind w:left="57" w:right="57"/>
              <w:rPr>
                <w:b/>
                <w:bCs/>
              </w:rPr>
            </w:pPr>
            <w:r>
              <w:rPr>
                <w:b/>
                <w:bCs/>
              </w:rPr>
              <w:t>Gastrointestinal disorders</w:t>
            </w:r>
          </w:p>
        </w:tc>
        <w:tc>
          <w:tcPr>
            <w:tcW w:w="2835" w:type="pct"/>
            <w:gridSpan w:val="4"/>
            <w:tcBorders>
              <w:top w:val="single" w:sz="8" w:space="0" w:color="000000" w:themeColor="text1"/>
              <w:left w:val="single" w:sz="4" w:space="0" w:color="auto"/>
              <w:bottom w:val="single" w:sz="8" w:space="0" w:color="000000" w:themeColor="text1"/>
              <w:right w:val="single" w:sz="8" w:space="0" w:color="000000" w:themeColor="text1"/>
            </w:tcBorders>
          </w:tcPr>
          <w:p w14:paraId="5E99399B" w14:textId="77777777" w:rsidR="00801550" w:rsidRDefault="00801550">
            <w:pPr>
              <w:pStyle w:val="Tabletext"/>
              <w:spacing w:before="0" w:after="0" w:line="240" w:lineRule="auto"/>
              <w:ind w:right="57"/>
              <w:jc w:val="center"/>
              <w:rPr>
                <w:b/>
                <w:bCs/>
              </w:rPr>
            </w:pPr>
          </w:p>
        </w:tc>
      </w:tr>
      <w:tr w:rsidR="00801550" w14:paraId="29139B2B"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3F90FC94" w14:textId="77777777" w:rsidR="00801550" w:rsidRDefault="00801550">
            <w:pPr>
              <w:pStyle w:val="Tabletext"/>
              <w:spacing w:before="0" w:after="0" w:line="240" w:lineRule="auto"/>
              <w:ind w:left="57" w:right="57"/>
            </w:pPr>
            <w:r>
              <w:t>Diarrhoea</w:t>
            </w:r>
          </w:p>
        </w:tc>
        <w:tc>
          <w:tcPr>
            <w:tcW w:w="836" w:type="pct"/>
            <w:tcBorders>
              <w:top w:val="single" w:sz="8" w:space="0" w:color="000000" w:themeColor="text1"/>
              <w:left w:val="single" w:sz="4" w:space="0" w:color="auto"/>
              <w:bottom w:val="single" w:sz="8" w:space="0" w:color="000000" w:themeColor="text1"/>
              <w:right w:val="single" w:sz="8" w:space="0" w:color="000000" w:themeColor="text1"/>
            </w:tcBorders>
            <w:hideMark/>
          </w:tcPr>
          <w:p w14:paraId="383697A7" w14:textId="77777777" w:rsidR="00801550" w:rsidRDefault="00801550">
            <w:pPr>
              <w:pStyle w:val="Tabletext"/>
              <w:spacing w:before="0" w:after="0" w:line="240" w:lineRule="auto"/>
              <w:ind w:left="57" w:right="57"/>
              <w:jc w:val="center"/>
            </w:pPr>
            <w:r>
              <w:t>59</w:t>
            </w:r>
          </w:p>
        </w:tc>
        <w:tc>
          <w:tcPr>
            <w:tcW w:w="669"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164AC00" w14:textId="77777777" w:rsidR="00801550" w:rsidRDefault="00801550">
            <w:pPr>
              <w:pStyle w:val="Tabletext"/>
              <w:spacing w:before="0" w:after="0" w:line="240" w:lineRule="auto"/>
              <w:ind w:left="57" w:right="57"/>
              <w:jc w:val="center"/>
            </w:pPr>
            <w:r>
              <w:t>11</w:t>
            </w:r>
          </w:p>
        </w:tc>
        <w:tc>
          <w:tcPr>
            <w:tcW w:w="66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E2736AC" w14:textId="77777777" w:rsidR="00801550" w:rsidRDefault="00801550">
            <w:pPr>
              <w:pStyle w:val="Tabletext"/>
              <w:spacing w:before="0" w:after="0" w:line="240" w:lineRule="auto"/>
              <w:ind w:left="57" w:right="57"/>
              <w:jc w:val="center"/>
            </w:pPr>
            <w:r>
              <w:t>17</w:t>
            </w:r>
          </w:p>
        </w:tc>
        <w:tc>
          <w:tcPr>
            <w:tcW w:w="66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1692094" w14:textId="77777777" w:rsidR="00801550" w:rsidRDefault="00801550">
            <w:pPr>
              <w:pStyle w:val="Tabletext"/>
              <w:spacing w:before="0" w:after="0" w:line="240" w:lineRule="auto"/>
              <w:ind w:left="57" w:right="57"/>
              <w:jc w:val="center"/>
            </w:pPr>
            <w:r>
              <w:t>1</w:t>
            </w:r>
          </w:p>
        </w:tc>
      </w:tr>
      <w:tr w:rsidR="00801550" w14:paraId="724B0CF1"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70348C72" w14:textId="77777777" w:rsidR="00801550" w:rsidRDefault="00801550">
            <w:pPr>
              <w:pStyle w:val="Tabletext"/>
              <w:spacing w:before="0" w:after="0" w:line="240" w:lineRule="auto"/>
              <w:ind w:left="57" w:right="57"/>
            </w:pPr>
            <w:r>
              <w:t>Nausea</w:t>
            </w:r>
          </w:p>
        </w:tc>
        <w:tc>
          <w:tcPr>
            <w:tcW w:w="836" w:type="pct"/>
            <w:tcBorders>
              <w:top w:val="single" w:sz="8" w:space="0" w:color="000000" w:themeColor="text1"/>
              <w:left w:val="single" w:sz="4" w:space="0" w:color="auto"/>
              <w:bottom w:val="single" w:sz="8" w:space="0" w:color="000000" w:themeColor="text1"/>
              <w:right w:val="single" w:sz="8" w:space="0" w:color="000000" w:themeColor="text1"/>
            </w:tcBorders>
            <w:hideMark/>
          </w:tcPr>
          <w:p w14:paraId="2AFCEAB9" w14:textId="77777777" w:rsidR="00801550" w:rsidRDefault="00801550">
            <w:pPr>
              <w:pStyle w:val="Tabletext"/>
              <w:spacing w:before="0" w:after="0" w:line="240" w:lineRule="auto"/>
              <w:ind w:left="57" w:right="57"/>
              <w:jc w:val="center"/>
            </w:pPr>
            <w:r>
              <w:t>57</w:t>
            </w:r>
          </w:p>
        </w:tc>
        <w:tc>
          <w:tcPr>
            <w:tcW w:w="669"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3C5980B" w14:textId="77777777" w:rsidR="00801550" w:rsidRDefault="00801550">
            <w:pPr>
              <w:pStyle w:val="Tabletext"/>
              <w:spacing w:before="0" w:after="0" w:line="240" w:lineRule="auto"/>
              <w:ind w:left="57" w:right="57"/>
              <w:jc w:val="center"/>
            </w:pPr>
            <w:r>
              <w:t>3</w:t>
            </w:r>
          </w:p>
        </w:tc>
        <w:tc>
          <w:tcPr>
            <w:tcW w:w="66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E66B9DD" w14:textId="77777777" w:rsidR="00801550" w:rsidRDefault="00801550">
            <w:pPr>
              <w:pStyle w:val="Tabletext"/>
              <w:spacing w:before="0" w:after="0" w:line="240" w:lineRule="auto"/>
              <w:ind w:left="57" w:right="57"/>
              <w:jc w:val="center"/>
            </w:pPr>
            <w:r>
              <w:t>26</w:t>
            </w:r>
          </w:p>
        </w:tc>
        <w:tc>
          <w:tcPr>
            <w:tcW w:w="66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5F4FAED" w14:textId="77777777" w:rsidR="00801550" w:rsidRDefault="00801550">
            <w:pPr>
              <w:pStyle w:val="Tabletext"/>
              <w:spacing w:before="0" w:after="0" w:line="240" w:lineRule="auto"/>
              <w:ind w:left="57" w:right="57"/>
              <w:jc w:val="center"/>
            </w:pPr>
            <w:r>
              <w:t>0.4</w:t>
            </w:r>
          </w:p>
        </w:tc>
      </w:tr>
      <w:tr w:rsidR="00801550" w14:paraId="139405EC"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443C7841" w14:textId="77777777" w:rsidR="00801550" w:rsidRDefault="00801550">
            <w:pPr>
              <w:pStyle w:val="Tabletext"/>
              <w:spacing w:before="0" w:after="0" w:line="240" w:lineRule="auto"/>
              <w:ind w:left="57" w:right="57"/>
            </w:pPr>
            <w:r>
              <w:t>Vomiting</w:t>
            </w:r>
          </w:p>
        </w:tc>
        <w:tc>
          <w:tcPr>
            <w:tcW w:w="836" w:type="pct"/>
            <w:tcBorders>
              <w:top w:val="single" w:sz="8" w:space="0" w:color="000000" w:themeColor="text1"/>
              <w:left w:val="single" w:sz="4" w:space="0" w:color="auto"/>
              <w:bottom w:val="single" w:sz="8" w:space="0" w:color="000000" w:themeColor="text1"/>
              <w:right w:val="single" w:sz="8" w:space="0" w:color="000000" w:themeColor="text1"/>
            </w:tcBorders>
            <w:hideMark/>
          </w:tcPr>
          <w:p w14:paraId="5EDE3572" w14:textId="77777777" w:rsidR="00801550" w:rsidRDefault="00801550">
            <w:pPr>
              <w:pStyle w:val="Tabletext"/>
              <w:spacing w:before="0" w:after="0" w:line="240" w:lineRule="auto"/>
              <w:ind w:left="57" w:right="57"/>
              <w:jc w:val="center"/>
            </w:pPr>
            <w:r>
              <w:t>33</w:t>
            </w:r>
          </w:p>
        </w:tc>
        <w:tc>
          <w:tcPr>
            <w:tcW w:w="669"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DB53C78" w14:textId="77777777" w:rsidR="00801550" w:rsidRDefault="00801550">
            <w:pPr>
              <w:pStyle w:val="Tabletext"/>
              <w:spacing w:before="0" w:after="0" w:line="240" w:lineRule="auto"/>
              <w:ind w:left="57" w:right="57"/>
              <w:jc w:val="center"/>
            </w:pPr>
            <w:r>
              <w:t>2</w:t>
            </w:r>
          </w:p>
        </w:tc>
        <w:tc>
          <w:tcPr>
            <w:tcW w:w="66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CDD8A34" w14:textId="77777777" w:rsidR="00801550" w:rsidRDefault="00801550">
            <w:pPr>
              <w:pStyle w:val="Tabletext"/>
              <w:spacing w:before="0" w:after="0" w:line="240" w:lineRule="auto"/>
              <w:ind w:left="57" w:right="57"/>
              <w:jc w:val="center"/>
            </w:pPr>
            <w:r>
              <w:t>16</w:t>
            </w:r>
          </w:p>
        </w:tc>
        <w:tc>
          <w:tcPr>
            <w:tcW w:w="66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A0BD916" w14:textId="77777777" w:rsidR="00801550" w:rsidRDefault="00801550">
            <w:pPr>
              <w:pStyle w:val="Tabletext"/>
              <w:spacing w:before="0" w:after="0" w:line="240" w:lineRule="auto"/>
              <w:ind w:left="57" w:right="57"/>
              <w:jc w:val="center"/>
            </w:pPr>
            <w:r>
              <w:t>1</w:t>
            </w:r>
          </w:p>
        </w:tc>
      </w:tr>
      <w:tr w:rsidR="00801550" w14:paraId="05BE8DC8"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30B3FBE9" w14:textId="77777777" w:rsidR="00801550" w:rsidRDefault="00801550">
            <w:pPr>
              <w:pStyle w:val="Tabletext"/>
              <w:spacing w:before="0" w:after="0" w:line="240" w:lineRule="auto"/>
              <w:ind w:left="57" w:right="57"/>
            </w:pPr>
            <w:r>
              <w:t>Constipation</w:t>
            </w:r>
          </w:p>
        </w:tc>
        <w:tc>
          <w:tcPr>
            <w:tcW w:w="836" w:type="pct"/>
            <w:tcBorders>
              <w:top w:val="single" w:sz="8" w:space="0" w:color="000000" w:themeColor="text1"/>
              <w:left w:val="single" w:sz="4" w:space="0" w:color="auto"/>
              <w:bottom w:val="single" w:sz="8" w:space="0" w:color="000000" w:themeColor="text1"/>
              <w:right w:val="single" w:sz="8" w:space="0" w:color="000000" w:themeColor="text1"/>
            </w:tcBorders>
            <w:hideMark/>
          </w:tcPr>
          <w:p w14:paraId="03D3F6EF" w14:textId="77777777" w:rsidR="00801550" w:rsidRDefault="00801550">
            <w:pPr>
              <w:pStyle w:val="Tabletext"/>
              <w:spacing w:before="0" w:after="0" w:line="240" w:lineRule="auto"/>
              <w:ind w:left="57" w:right="57"/>
              <w:jc w:val="center"/>
            </w:pPr>
            <w:r>
              <w:t>37</w:t>
            </w:r>
          </w:p>
        </w:tc>
        <w:tc>
          <w:tcPr>
            <w:tcW w:w="669"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5B4E7C4" w14:textId="77777777" w:rsidR="00801550" w:rsidRDefault="00801550">
            <w:pPr>
              <w:pStyle w:val="Tabletext"/>
              <w:spacing w:before="0" w:after="0" w:line="240" w:lineRule="auto"/>
              <w:ind w:left="57" w:right="57"/>
              <w:jc w:val="center"/>
            </w:pPr>
            <w:r>
              <w:t>0.4</w:t>
            </w:r>
          </w:p>
        </w:tc>
        <w:tc>
          <w:tcPr>
            <w:tcW w:w="66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82C4C34" w14:textId="77777777" w:rsidR="00801550" w:rsidRDefault="00801550">
            <w:pPr>
              <w:pStyle w:val="Tabletext"/>
              <w:spacing w:before="0" w:after="0" w:line="240" w:lineRule="auto"/>
              <w:ind w:left="57" w:right="57"/>
              <w:jc w:val="center"/>
            </w:pPr>
            <w:r>
              <w:t>23</w:t>
            </w:r>
          </w:p>
        </w:tc>
        <w:tc>
          <w:tcPr>
            <w:tcW w:w="66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674466D" w14:textId="77777777" w:rsidR="00801550" w:rsidRDefault="00801550">
            <w:pPr>
              <w:pStyle w:val="Tabletext"/>
              <w:spacing w:before="0" w:after="0" w:line="240" w:lineRule="auto"/>
              <w:ind w:left="57" w:right="57"/>
              <w:jc w:val="center"/>
            </w:pPr>
            <w:r>
              <w:t>0</w:t>
            </w:r>
          </w:p>
        </w:tc>
      </w:tr>
      <w:tr w:rsidR="00801550" w14:paraId="2A9A87FA"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7A51DE63" w14:textId="77777777" w:rsidR="00801550" w:rsidRDefault="00801550">
            <w:pPr>
              <w:pStyle w:val="Tabletext"/>
              <w:spacing w:before="0" w:after="0" w:line="240" w:lineRule="auto"/>
              <w:ind w:left="57" w:right="57"/>
            </w:pPr>
            <w:r>
              <w:t>Abdominal pain</w:t>
            </w:r>
          </w:p>
        </w:tc>
        <w:tc>
          <w:tcPr>
            <w:tcW w:w="836" w:type="pct"/>
            <w:tcBorders>
              <w:top w:val="single" w:sz="8" w:space="0" w:color="000000" w:themeColor="text1"/>
              <w:left w:val="single" w:sz="4" w:space="0" w:color="auto"/>
              <w:bottom w:val="single" w:sz="8" w:space="0" w:color="000000" w:themeColor="text1"/>
              <w:right w:val="single" w:sz="8" w:space="0" w:color="000000" w:themeColor="text1"/>
            </w:tcBorders>
            <w:hideMark/>
          </w:tcPr>
          <w:p w14:paraId="31CD66AA" w14:textId="77777777" w:rsidR="00801550" w:rsidRDefault="00801550">
            <w:pPr>
              <w:pStyle w:val="Tabletext"/>
              <w:spacing w:before="0" w:after="0" w:line="240" w:lineRule="auto"/>
              <w:ind w:left="57" w:right="57"/>
              <w:jc w:val="center"/>
            </w:pPr>
            <w:r>
              <w:t>30</w:t>
            </w:r>
          </w:p>
        </w:tc>
        <w:tc>
          <w:tcPr>
            <w:tcW w:w="669"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FE85469" w14:textId="77777777" w:rsidR="00801550" w:rsidRDefault="00801550">
            <w:pPr>
              <w:pStyle w:val="Tabletext"/>
              <w:spacing w:before="0" w:after="0" w:line="240" w:lineRule="auto"/>
              <w:ind w:left="57" w:right="57"/>
              <w:jc w:val="center"/>
            </w:pPr>
            <w:r>
              <w:t>3</w:t>
            </w:r>
          </w:p>
        </w:tc>
        <w:tc>
          <w:tcPr>
            <w:tcW w:w="66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EFB1303" w14:textId="77777777" w:rsidR="00801550" w:rsidRDefault="00801550">
            <w:pPr>
              <w:pStyle w:val="Tabletext"/>
              <w:spacing w:before="0" w:after="0" w:line="240" w:lineRule="auto"/>
              <w:ind w:left="57" w:right="57"/>
              <w:jc w:val="center"/>
            </w:pPr>
            <w:r>
              <w:t>12</w:t>
            </w:r>
          </w:p>
        </w:tc>
        <w:tc>
          <w:tcPr>
            <w:tcW w:w="66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1155640" w14:textId="77777777" w:rsidR="00801550" w:rsidRDefault="00801550">
            <w:pPr>
              <w:pStyle w:val="Tabletext"/>
              <w:spacing w:before="0" w:after="0" w:line="240" w:lineRule="auto"/>
              <w:ind w:left="57" w:right="57"/>
              <w:jc w:val="center"/>
            </w:pPr>
            <w:r>
              <w:t>1</w:t>
            </w:r>
          </w:p>
        </w:tc>
      </w:tr>
      <w:tr w:rsidR="00801550" w14:paraId="1821EF10"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055F5A8A" w14:textId="77777777" w:rsidR="00801550" w:rsidRDefault="00801550">
            <w:pPr>
              <w:pStyle w:val="Tabletext"/>
              <w:spacing w:before="0" w:after="0" w:line="240" w:lineRule="auto"/>
              <w:ind w:left="57" w:right="57"/>
            </w:pPr>
            <w:proofErr w:type="spellStart"/>
            <w:r>
              <w:t>Stomatitis</w:t>
            </w:r>
            <w:r>
              <w:rPr>
                <w:vertAlign w:val="superscript"/>
              </w:rPr>
              <w:t>iv</w:t>
            </w:r>
            <w:proofErr w:type="spellEnd"/>
          </w:p>
        </w:tc>
        <w:tc>
          <w:tcPr>
            <w:tcW w:w="836" w:type="pct"/>
            <w:tcBorders>
              <w:top w:val="single" w:sz="8" w:space="0" w:color="000000" w:themeColor="text1"/>
              <w:left w:val="single" w:sz="4" w:space="0" w:color="auto"/>
              <w:bottom w:val="single" w:sz="8" w:space="0" w:color="000000" w:themeColor="text1"/>
              <w:right w:val="single" w:sz="8" w:space="0" w:color="000000" w:themeColor="text1"/>
            </w:tcBorders>
            <w:hideMark/>
          </w:tcPr>
          <w:p w14:paraId="36212182" w14:textId="77777777" w:rsidR="00801550" w:rsidRDefault="00801550">
            <w:pPr>
              <w:pStyle w:val="Tabletext"/>
              <w:spacing w:before="0" w:after="0" w:line="240" w:lineRule="auto"/>
              <w:ind w:left="57" w:right="57"/>
              <w:jc w:val="center"/>
            </w:pPr>
            <w:r>
              <w:t>17</w:t>
            </w:r>
          </w:p>
        </w:tc>
        <w:tc>
          <w:tcPr>
            <w:tcW w:w="669"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00F515B" w14:textId="77777777" w:rsidR="00801550" w:rsidRDefault="00801550">
            <w:pPr>
              <w:pStyle w:val="Tabletext"/>
              <w:spacing w:before="0" w:after="0" w:line="240" w:lineRule="auto"/>
              <w:ind w:left="57" w:right="57"/>
              <w:jc w:val="center"/>
            </w:pPr>
            <w:r>
              <w:t>2</w:t>
            </w:r>
          </w:p>
        </w:tc>
        <w:tc>
          <w:tcPr>
            <w:tcW w:w="66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6B0D90A" w14:textId="77777777" w:rsidR="00801550" w:rsidRDefault="00801550">
            <w:pPr>
              <w:pStyle w:val="Tabletext"/>
              <w:spacing w:before="0" w:after="0" w:line="240" w:lineRule="auto"/>
              <w:ind w:left="57" w:right="57"/>
              <w:jc w:val="center"/>
            </w:pPr>
            <w:r>
              <w:t>13</w:t>
            </w:r>
          </w:p>
        </w:tc>
        <w:tc>
          <w:tcPr>
            <w:tcW w:w="66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9832B53" w14:textId="77777777" w:rsidR="00801550" w:rsidRDefault="00801550">
            <w:pPr>
              <w:pStyle w:val="Tabletext"/>
              <w:spacing w:before="0" w:after="0" w:line="240" w:lineRule="auto"/>
              <w:ind w:left="57" w:right="57"/>
              <w:jc w:val="center"/>
            </w:pPr>
            <w:r>
              <w:t>1</w:t>
            </w:r>
          </w:p>
        </w:tc>
      </w:tr>
      <w:tr w:rsidR="00801550" w14:paraId="495C98FC"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68DCFF78" w14:textId="3865065A" w:rsidR="00801550" w:rsidRDefault="00801550">
            <w:pPr>
              <w:pStyle w:val="Tabletext"/>
              <w:spacing w:before="0" w:after="0" w:line="240" w:lineRule="auto"/>
              <w:ind w:left="57" w:right="57"/>
              <w:rPr>
                <w:b/>
                <w:bCs/>
              </w:rPr>
            </w:pPr>
            <w:r>
              <w:rPr>
                <w:b/>
                <w:bCs/>
              </w:rPr>
              <w:t xml:space="preserve">General disorders </w:t>
            </w:r>
            <w:r w:rsidR="005B213C">
              <w:rPr>
                <w:b/>
                <w:bCs/>
              </w:rPr>
              <w:t>an</w:t>
            </w:r>
            <w:r w:rsidR="00262885">
              <w:rPr>
                <w:b/>
                <w:bCs/>
              </w:rPr>
              <w:t xml:space="preserve">d </w:t>
            </w:r>
            <w:r>
              <w:rPr>
                <w:b/>
                <w:bCs/>
              </w:rPr>
              <w:t>administration site conditions</w:t>
            </w:r>
          </w:p>
        </w:tc>
        <w:tc>
          <w:tcPr>
            <w:tcW w:w="2835" w:type="pct"/>
            <w:gridSpan w:val="4"/>
            <w:tcBorders>
              <w:top w:val="single" w:sz="8" w:space="0" w:color="000000" w:themeColor="text1"/>
              <w:left w:val="single" w:sz="4" w:space="0" w:color="auto"/>
              <w:bottom w:val="single" w:sz="8" w:space="0" w:color="000000" w:themeColor="text1"/>
              <w:right w:val="single" w:sz="8" w:space="0" w:color="000000" w:themeColor="text1"/>
            </w:tcBorders>
          </w:tcPr>
          <w:p w14:paraId="01418374" w14:textId="77777777" w:rsidR="00801550" w:rsidRDefault="00801550">
            <w:pPr>
              <w:pStyle w:val="Tabletext"/>
              <w:spacing w:before="0" w:after="0" w:line="240" w:lineRule="auto"/>
              <w:ind w:left="57" w:right="57"/>
              <w:jc w:val="center"/>
              <w:rPr>
                <w:b/>
                <w:bCs/>
              </w:rPr>
            </w:pPr>
          </w:p>
        </w:tc>
      </w:tr>
      <w:tr w:rsidR="00801550" w14:paraId="6BEF7D69"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0065DCF6" w14:textId="77777777" w:rsidR="00801550" w:rsidRDefault="00801550">
            <w:pPr>
              <w:pStyle w:val="Tabletext"/>
              <w:spacing w:before="0" w:after="0" w:line="240" w:lineRule="auto"/>
              <w:ind w:left="57" w:right="57"/>
            </w:pPr>
            <w:proofErr w:type="spellStart"/>
            <w:r>
              <w:t>Fatigue</w:t>
            </w:r>
            <w:r>
              <w:rPr>
                <w:vertAlign w:val="superscript"/>
              </w:rPr>
              <w:t>v</w:t>
            </w:r>
            <w:proofErr w:type="spellEnd"/>
          </w:p>
        </w:tc>
        <w:tc>
          <w:tcPr>
            <w:tcW w:w="836" w:type="pct"/>
            <w:tcBorders>
              <w:top w:val="single" w:sz="8" w:space="0" w:color="000000" w:themeColor="text1"/>
              <w:left w:val="single" w:sz="4" w:space="0" w:color="auto"/>
              <w:bottom w:val="single" w:sz="8" w:space="0" w:color="000000" w:themeColor="text1"/>
              <w:right w:val="single" w:sz="8" w:space="0" w:color="000000" w:themeColor="text1"/>
            </w:tcBorders>
            <w:hideMark/>
          </w:tcPr>
          <w:p w14:paraId="5EDA670A" w14:textId="77777777" w:rsidR="00801550" w:rsidRDefault="00801550">
            <w:pPr>
              <w:pStyle w:val="Tabletext"/>
              <w:spacing w:before="0" w:after="0" w:line="240" w:lineRule="auto"/>
              <w:ind w:left="57" w:right="57"/>
              <w:jc w:val="center"/>
            </w:pPr>
            <w:r>
              <w:t>65</w:t>
            </w:r>
          </w:p>
        </w:tc>
        <w:tc>
          <w:tcPr>
            <w:tcW w:w="669"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BAFC1C6" w14:textId="77777777" w:rsidR="00801550" w:rsidRDefault="00801550">
            <w:pPr>
              <w:pStyle w:val="Tabletext"/>
              <w:spacing w:before="0" w:after="0" w:line="240" w:lineRule="auto"/>
              <w:ind w:left="57" w:right="57"/>
              <w:jc w:val="center"/>
            </w:pPr>
            <w:r>
              <w:t>6</w:t>
            </w:r>
          </w:p>
        </w:tc>
        <w:tc>
          <w:tcPr>
            <w:tcW w:w="66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0A9BAAC" w14:textId="77777777" w:rsidR="00801550" w:rsidRDefault="00801550">
            <w:pPr>
              <w:pStyle w:val="Tabletext"/>
              <w:spacing w:before="0" w:after="0" w:line="240" w:lineRule="auto"/>
              <w:ind w:left="57" w:right="57"/>
              <w:jc w:val="center"/>
            </w:pPr>
            <w:r>
              <w:t>50</w:t>
            </w:r>
          </w:p>
        </w:tc>
        <w:tc>
          <w:tcPr>
            <w:tcW w:w="66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A6B2823" w14:textId="77777777" w:rsidR="00801550" w:rsidRDefault="00801550">
            <w:pPr>
              <w:pStyle w:val="Tabletext"/>
              <w:spacing w:before="0" w:after="0" w:line="240" w:lineRule="auto"/>
              <w:ind w:left="57" w:right="57"/>
              <w:jc w:val="center"/>
            </w:pPr>
            <w:r>
              <w:t>9</w:t>
            </w:r>
          </w:p>
        </w:tc>
      </w:tr>
      <w:tr w:rsidR="00801550" w14:paraId="040FE50C"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5DAB15E9" w14:textId="77777777" w:rsidR="00801550" w:rsidRDefault="00801550">
            <w:pPr>
              <w:pStyle w:val="Tabletext"/>
              <w:spacing w:before="0" w:after="0" w:line="240" w:lineRule="auto"/>
              <w:ind w:left="57" w:right="57"/>
            </w:pPr>
            <w:r>
              <w:t>Pyrexia</w:t>
            </w:r>
          </w:p>
        </w:tc>
        <w:tc>
          <w:tcPr>
            <w:tcW w:w="836" w:type="pct"/>
            <w:tcBorders>
              <w:top w:val="single" w:sz="8" w:space="0" w:color="000000" w:themeColor="text1"/>
              <w:left w:val="single" w:sz="4" w:space="0" w:color="auto"/>
              <w:bottom w:val="single" w:sz="8" w:space="0" w:color="000000" w:themeColor="text1"/>
              <w:right w:val="single" w:sz="8" w:space="0" w:color="000000" w:themeColor="text1"/>
            </w:tcBorders>
            <w:hideMark/>
          </w:tcPr>
          <w:p w14:paraId="077473B9" w14:textId="77777777" w:rsidR="00801550" w:rsidRDefault="00801550">
            <w:pPr>
              <w:pStyle w:val="Tabletext"/>
              <w:spacing w:before="0" w:after="0" w:line="240" w:lineRule="auto"/>
              <w:ind w:left="57" w:right="57"/>
              <w:jc w:val="center"/>
            </w:pPr>
            <w:r>
              <w:t>15</w:t>
            </w:r>
          </w:p>
        </w:tc>
        <w:tc>
          <w:tcPr>
            <w:tcW w:w="669"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9883F26" w14:textId="77777777" w:rsidR="00801550" w:rsidRDefault="00801550">
            <w:pPr>
              <w:pStyle w:val="Tabletext"/>
              <w:spacing w:before="0" w:after="0" w:line="240" w:lineRule="auto"/>
              <w:ind w:left="57" w:right="57"/>
              <w:jc w:val="center"/>
            </w:pPr>
            <w:r>
              <w:t>0.4</w:t>
            </w:r>
          </w:p>
        </w:tc>
        <w:tc>
          <w:tcPr>
            <w:tcW w:w="66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AEB5E76" w14:textId="77777777" w:rsidR="00801550" w:rsidRDefault="00801550">
            <w:pPr>
              <w:pStyle w:val="Tabletext"/>
              <w:spacing w:before="0" w:after="0" w:line="240" w:lineRule="auto"/>
              <w:ind w:left="57" w:right="57"/>
              <w:jc w:val="center"/>
            </w:pPr>
            <w:r>
              <w:t>14</w:t>
            </w:r>
          </w:p>
        </w:tc>
        <w:tc>
          <w:tcPr>
            <w:tcW w:w="66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2939D8C" w14:textId="77777777" w:rsidR="00801550" w:rsidRDefault="00801550">
            <w:pPr>
              <w:pStyle w:val="Tabletext"/>
              <w:spacing w:before="0" w:after="0" w:line="240" w:lineRule="auto"/>
              <w:ind w:left="57" w:right="57"/>
              <w:jc w:val="center"/>
            </w:pPr>
            <w:r>
              <w:t>2</w:t>
            </w:r>
          </w:p>
        </w:tc>
      </w:tr>
      <w:tr w:rsidR="00801550" w14:paraId="31701C0B"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70D2A106" w14:textId="16B18B48" w:rsidR="00801550" w:rsidRDefault="00801550">
            <w:pPr>
              <w:pStyle w:val="Tabletext"/>
              <w:spacing w:before="0" w:after="0" w:line="240" w:lineRule="auto"/>
              <w:ind w:left="57" w:right="57"/>
              <w:rPr>
                <w:b/>
                <w:bCs/>
              </w:rPr>
            </w:pPr>
            <w:r>
              <w:rPr>
                <w:b/>
                <w:bCs/>
              </w:rPr>
              <w:t xml:space="preserve">Infections </w:t>
            </w:r>
            <w:r w:rsidR="005B213C">
              <w:rPr>
                <w:b/>
                <w:bCs/>
              </w:rPr>
              <w:t>and</w:t>
            </w:r>
            <w:r>
              <w:rPr>
                <w:b/>
                <w:bCs/>
              </w:rPr>
              <w:t xml:space="preserve"> infestations</w:t>
            </w:r>
          </w:p>
        </w:tc>
        <w:tc>
          <w:tcPr>
            <w:tcW w:w="2835" w:type="pct"/>
            <w:gridSpan w:val="4"/>
            <w:tcBorders>
              <w:top w:val="single" w:sz="8" w:space="0" w:color="000000" w:themeColor="text1"/>
              <w:left w:val="single" w:sz="4" w:space="0" w:color="auto"/>
              <w:bottom w:val="single" w:sz="8" w:space="0" w:color="000000" w:themeColor="text1"/>
              <w:right w:val="single" w:sz="8" w:space="0" w:color="000000" w:themeColor="text1"/>
            </w:tcBorders>
          </w:tcPr>
          <w:p w14:paraId="5B784EB3" w14:textId="77777777" w:rsidR="00801550" w:rsidRDefault="00801550">
            <w:pPr>
              <w:pStyle w:val="Tabletext"/>
              <w:spacing w:before="0" w:after="0" w:line="240" w:lineRule="auto"/>
              <w:ind w:left="57" w:right="57"/>
              <w:jc w:val="center"/>
              <w:rPr>
                <w:b/>
                <w:bCs/>
              </w:rPr>
            </w:pPr>
          </w:p>
        </w:tc>
      </w:tr>
      <w:tr w:rsidR="00801550" w14:paraId="72A9E3D2"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34F0A4DE" w14:textId="77777777" w:rsidR="00801550" w:rsidRDefault="00801550">
            <w:pPr>
              <w:pStyle w:val="Tabletext"/>
              <w:spacing w:before="0" w:after="0" w:line="240" w:lineRule="auto"/>
              <w:ind w:left="57" w:right="57"/>
            </w:pPr>
            <w:r>
              <w:t>Urinary tract infection</w:t>
            </w:r>
          </w:p>
        </w:tc>
        <w:tc>
          <w:tcPr>
            <w:tcW w:w="836" w:type="pct"/>
            <w:tcBorders>
              <w:top w:val="single" w:sz="8" w:space="0" w:color="000000" w:themeColor="text1"/>
              <w:left w:val="single" w:sz="4" w:space="0" w:color="auto"/>
              <w:bottom w:val="single" w:sz="8" w:space="0" w:color="000000" w:themeColor="text1"/>
              <w:right w:val="single" w:sz="8" w:space="0" w:color="000000" w:themeColor="text1"/>
            </w:tcBorders>
            <w:hideMark/>
          </w:tcPr>
          <w:p w14:paraId="0EF1AE72" w14:textId="77777777" w:rsidR="00801550" w:rsidRDefault="00801550">
            <w:pPr>
              <w:pStyle w:val="Tabletext"/>
              <w:spacing w:before="0" w:after="0" w:line="240" w:lineRule="auto"/>
              <w:ind w:left="57" w:right="57"/>
              <w:jc w:val="center"/>
            </w:pPr>
            <w:r>
              <w:t>13</w:t>
            </w:r>
          </w:p>
        </w:tc>
        <w:tc>
          <w:tcPr>
            <w:tcW w:w="669"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8BDFE10" w14:textId="77777777" w:rsidR="00801550" w:rsidRDefault="00801550">
            <w:pPr>
              <w:pStyle w:val="Tabletext"/>
              <w:spacing w:before="0" w:after="0" w:line="240" w:lineRule="auto"/>
              <w:ind w:left="57" w:right="57"/>
              <w:jc w:val="center"/>
            </w:pPr>
            <w:r>
              <w:t>0.4</w:t>
            </w:r>
          </w:p>
        </w:tc>
        <w:tc>
          <w:tcPr>
            <w:tcW w:w="66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BC8A3EC" w14:textId="77777777" w:rsidR="00801550" w:rsidRDefault="00801550">
            <w:pPr>
              <w:pStyle w:val="Tabletext"/>
              <w:spacing w:before="0" w:after="0" w:line="240" w:lineRule="auto"/>
              <w:ind w:left="57" w:right="57"/>
              <w:jc w:val="center"/>
            </w:pPr>
            <w:r>
              <w:t>8</w:t>
            </w:r>
          </w:p>
        </w:tc>
        <w:tc>
          <w:tcPr>
            <w:tcW w:w="66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B457518" w14:textId="77777777" w:rsidR="00801550" w:rsidRDefault="00801550">
            <w:pPr>
              <w:pStyle w:val="Tabletext"/>
              <w:spacing w:before="0" w:after="0" w:line="240" w:lineRule="auto"/>
              <w:ind w:left="57" w:right="57"/>
              <w:jc w:val="center"/>
            </w:pPr>
            <w:r>
              <w:t>0.4</w:t>
            </w:r>
          </w:p>
        </w:tc>
      </w:tr>
      <w:tr w:rsidR="00801550" w14:paraId="7DE1B0F9"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7A95E1C7" w14:textId="77777777" w:rsidR="00801550" w:rsidRDefault="00801550">
            <w:pPr>
              <w:pStyle w:val="Tabletext"/>
              <w:spacing w:before="0" w:after="0" w:line="240" w:lineRule="auto"/>
              <w:ind w:left="57" w:right="57"/>
            </w:pPr>
            <w:r>
              <w:t>Upper respiratory tract infection</w:t>
            </w:r>
          </w:p>
        </w:tc>
        <w:tc>
          <w:tcPr>
            <w:tcW w:w="836" w:type="pct"/>
            <w:tcBorders>
              <w:top w:val="single" w:sz="8" w:space="0" w:color="000000" w:themeColor="text1"/>
              <w:left w:val="single" w:sz="4" w:space="0" w:color="auto"/>
              <w:bottom w:val="single" w:sz="8" w:space="0" w:color="000000" w:themeColor="text1"/>
              <w:right w:val="single" w:sz="8" w:space="0" w:color="000000" w:themeColor="text1"/>
            </w:tcBorders>
            <w:hideMark/>
          </w:tcPr>
          <w:p w14:paraId="63037E1C" w14:textId="77777777" w:rsidR="00801550" w:rsidRDefault="00801550">
            <w:pPr>
              <w:pStyle w:val="Tabletext"/>
              <w:spacing w:before="0" w:after="0" w:line="240" w:lineRule="auto"/>
              <w:ind w:left="57" w:right="57"/>
              <w:jc w:val="center"/>
            </w:pPr>
            <w:r>
              <w:t>12</w:t>
            </w:r>
          </w:p>
        </w:tc>
        <w:tc>
          <w:tcPr>
            <w:tcW w:w="669"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809EAE4" w14:textId="77777777" w:rsidR="00801550" w:rsidRDefault="00801550">
            <w:pPr>
              <w:pStyle w:val="Tabletext"/>
              <w:spacing w:before="0" w:after="0" w:line="240" w:lineRule="auto"/>
              <w:ind w:left="57" w:right="57"/>
              <w:jc w:val="center"/>
            </w:pPr>
            <w:r>
              <w:t>0</w:t>
            </w:r>
          </w:p>
        </w:tc>
        <w:tc>
          <w:tcPr>
            <w:tcW w:w="66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F84E3D3" w14:textId="77777777" w:rsidR="00801550" w:rsidRDefault="00801550">
            <w:pPr>
              <w:pStyle w:val="Tabletext"/>
              <w:spacing w:before="0" w:after="0" w:line="240" w:lineRule="auto"/>
              <w:ind w:left="57" w:right="57"/>
              <w:jc w:val="center"/>
            </w:pPr>
            <w:r>
              <w:t>3</w:t>
            </w:r>
          </w:p>
        </w:tc>
        <w:tc>
          <w:tcPr>
            <w:tcW w:w="66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824FBEE" w14:textId="77777777" w:rsidR="00801550" w:rsidRDefault="00801550">
            <w:pPr>
              <w:pStyle w:val="Tabletext"/>
              <w:spacing w:before="0" w:after="0" w:line="240" w:lineRule="auto"/>
              <w:ind w:left="57" w:right="57"/>
              <w:jc w:val="center"/>
            </w:pPr>
            <w:r>
              <w:t>0</w:t>
            </w:r>
          </w:p>
        </w:tc>
      </w:tr>
      <w:tr w:rsidR="00801550" w14:paraId="1DE60DB1"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564F46A7" w14:textId="77777777" w:rsidR="00801550" w:rsidRDefault="00801550">
            <w:pPr>
              <w:pStyle w:val="Tabletext"/>
              <w:spacing w:before="0" w:after="0" w:line="240" w:lineRule="auto"/>
              <w:ind w:left="57" w:right="57"/>
              <w:rPr>
                <w:b/>
                <w:bCs/>
              </w:rPr>
            </w:pPr>
            <w:r>
              <w:rPr>
                <w:b/>
                <w:bCs/>
              </w:rPr>
              <w:t>Investigations</w:t>
            </w:r>
          </w:p>
        </w:tc>
        <w:tc>
          <w:tcPr>
            <w:tcW w:w="2835" w:type="pct"/>
            <w:gridSpan w:val="4"/>
            <w:tcBorders>
              <w:top w:val="single" w:sz="8" w:space="0" w:color="000000" w:themeColor="text1"/>
              <w:left w:val="single" w:sz="4" w:space="0" w:color="auto"/>
              <w:bottom w:val="single" w:sz="8" w:space="0" w:color="000000" w:themeColor="text1"/>
              <w:right w:val="single" w:sz="8" w:space="0" w:color="000000" w:themeColor="text1"/>
            </w:tcBorders>
          </w:tcPr>
          <w:p w14:paraId="3A565ACC" w14:textId="77777777" w:rsidR="00801550" w:rsidRDefault="00801550">
            <w:pPr>
              <w:pStyle w:val="Tabletext"/>
              <w:spacing w:before="0" w:after="0" w:line="240" w:lineRule="auto"/>
              <w:ind w:right="57"/>
              <w:jc w:val="center"/>
              <w:rPr>
                <w:b/>
                <w:bCs/>
              </w:rPr>
            </w:pPr>
          </w:p>
        </w:tc>
      </w:tr>
      <w:tr w:rsidR="00801550" w14:paraId="6E4F4333"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1DA80104" w14:textId="77777777" w:rsidR="00801550" w:rsidRDefault="00801550">
            <w:pPr>
              <w:pStyle w:val="Tabletext"/>
              <w:spacing w:before="0" w:after="0" w:line="240" w:lineRule="auto"/>
              <w:ind w:left="57" w:right="57"/>
            </w:pPr>
            <w:r>
              <w:t>Alanine aminotransferase increased</w:t>
            </w:r>
          </w:p>
        </w:tc>
        <w:tc>
          <w:tcPr>
            <w:tcW w:w="836" w:type="pct"/>
            <w:tcBorders>
              <w:top w:val="single" w:sz="8" w:space="0" w:color="000000" w:themeColor="text1"/>
              <w:left w:val="single" w:sz="4" w:space="0" w:color="auto"/>
              <w:bottom w:val="single" w:sz="8" w:space="0" w:color="000000" w:themeColor="text1"/>
              <w:right w:val="single" w:sz="8" w:space="0" w:color="000000" w:themeColor="text1"/>
            </w:tcBorders>
            <w:hideMark/>
          </w:tcPr>
          <w:p w14:paraId="513BB564" w14:textId="77777777" w:rsidR="00801550" w:rsidRDefault="00801550">
            <w:pPr>
              <w:pStyle w:val="Tabletext"/>
              <w:spacing w:before="0" w:after="0" w:line="240" w:lineRule="auto"/>
              <w:ind w:left="57" w:right="57"/>
              <w:jc w:val="center"/>
            </w:pPr>
            <w:r>
              <w:t>11</w:t>
            </w:r>
          </w:p>
        </w:tc>
        <w:tc>
          <w:tcPr>
            <w:tcW w:w="669"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AAAAD58" w14:textId="77777777" w:rsidR="00801550" w:rsidRDefault="00801550">
            <w:pPr>
              <w:pStyle w:val="Tabletext"/>
              <w:spacing w:before="0" w:after="0" w:line="240" w:lineRule="auto"/>
              <w:ind w:left="57" w:right="57"/>
              <w:jc w:val="center"/>
            </w:pPr>
            <w:r>
              <w:t>1</w:t>
            </w:r>
          </w:p>
        </w:tc>
        <w:tc>
          <w:tcPr>
            <w:tcW w:w="66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0C8F804" w14:textId="77777777" w:rsidR="00801550" w:rsidRDefault="00801550">
            <w:pPr>
              <w:pStyle w:val="Tabletext"/>
              <w:spacing w:before="0" w:after="0" w:line="240" w:lineRule="auto"/>
              <w:ind w:left="57" w:right="57"/>
              <w:jc w:val="center"/>
            </w:pPr>
            <w:r>
              <w:t>10</w:t>
            </w:r>
          </w:p>
        </w:tc>
        <w:tc>
          <w:tcPr>
            <w:tcW w:w="66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8DF6C6C" w14:textId="77777777" w:rsidR="00801550" w:rsidRDefault="00801550">
            <w:pPr>
              <w:pStyle w:val="Tabletext"/>
              <w:spacing w:before="0" w:after="0" w:line="240" w:lineRule="auto"/>
              <w:ind w:left="57" w:right="57"/>
              <w:jc w:val="center"/>
            </w:pPr>
            <w:r>
              <w:t>1</w:t>
            </w:r>
          </w:p>
        </w:tc>
      </w:tr>
      <w:tr w:rsidR="00801550" w14:paraId="5400A0FD"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71D1EA45" w14:textId="343901CE" w:rsidR="00801550" w:rsidRDefault="00801550">
            <w:pPr>
              <w:pStyle w:val="Tabletext"/>
              <w:spacing w:before="0" w:after="0" w:line="240" w:lineRule="auto"/>
              <w:ind w:left="57" w:right="57"/>
              <w:rPr>
                <w:b/>
                <w:bCs/>
              </w:rPr>
            </w:pPr>
            <w:r>
              <w:rPr>
                <w:b/>
                <w:bCs/>
              </w:rPr>
              <w:t xml:space="preserve">Metabolism </w:t>
            </w:r>
            <w:r w:rsidR="005B213C">
              <w:rPr>
                <w:b/>
                <w:bCs/>
              </w:rPr>
              <w:t>and</w:t>
            </w:r>
            <w:r>
              <w:rPr>
                <w:b/>
                <w:bCs/>
              </w:rPr>
              <w:t xml:space="preserve"> nutrition disorders</w:t>
            </w:r>
          </w:p>
        </w:tc>
        <w:tc>
          <w:tcPr>
            <w:tcW w:w="2835" w:type="pct"/>
            <w:gridSpan w:val="4"/>
            <w:tcBorders>
              <w:top w:val="single" w:sz="8" w:space="0" w:color="000000" w:themeColor="text1"/>
              <w:left w:val="single" w:sz="4" w:space="0" w:color="auto"/>
              <w:bottom w:val="single" w:sz="8" w:space="0" w:color="000000" w:themeColor="text1"/>
              <w:right w:val="single" w:sz="8" w:space="0" w:color="000000" w:themeColor="text1"/>
            </w:tcBorders>
          </w:tcPr>
          <w:p w14:paraId="1D1544E4" w14:textId="77777777" w:rsidR="00801550" w:rsidRDefault="00801550">
            <w:pPr>
              <w:pStyle w:val="Tabletext"/>
              <w:spacing w:before="0" w:after="0" w:line="240" w:lineRule="auto"/>
              <w:ind w:left="57" w:right="57"/>
              <w:jc w:val="center"/>
              <w:rPr>
                <w:b/>
                <w:bCs/>
              </w:rPr>
            </w:pPr>
          </w:p>
        </w:tc>
      </w:tr>
      <w:tr w:rsidR="00801550" w14:paraId="3D29D023"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372CF2A9" w14:textId="77777777" w:rsidR="00801550" w:rsidRDefault="00801550">
            <w:pPr>
              <w:pStyle w:val="Tabletext"/>
              <w:spacing w:before="0" w:after="0" w:line="240" w:lineRule="auto"/>
              <w:ind w:left="57" w:right="57"/>
            </w:pPr>
            <w:r>
              <w:t>Decreased appetite</w:t>
            </w:r>
          </w:p>
        </w:tc>
        <w:tc>
          <w:tcPr>
            <w:tcW w:w="836" w:type="pct"/>
            <w:tcBorders>
              <w:top w:val="single" w:sz="8" w:space="0" w:color="000000" w:themeColor="text1"/>
              <w:left w:val="single" w:sz="4" w:space="0" w:color="auto"/>
              <w:bottom w:val="single" w:sz="8" w:space="0" w:color="000000" w:themeColor="text1"/>
              <w:right w:val="single" w:sz="8" w:space="0" w:color="000000" w:themeColor="text1"/>
            </w:tcBorders>
            <w:hideMark/>
          </w:tcPr>
          <w:p w14:paraId="526614AF" w14:textId="77777777" w:rsidR="00801550" w:rsidRDefault="00801550">
            <w:pPr>
              <w:pStyle w:val="Tabletext"/>
              <w:spacing w:before="0" w:after="0" w:line="240" w:lineRule="auto"/>
              <w:ind w:left="57" w:right="57"/>
              <w:jc w:val="center"/>
            </w:pPr>
            <w:r>
              <w:t>28</w:t>
            </w:r>
          </w:p>
        </w:tc>
        <w:tc>
          <w:tcPr>
            <w:tcW w:w="669"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1346EDE" w14:textId="77777777" w:rsidR="00801550" w:rsidRDefault="00801550">
            <w:pPr>
              <w:pStyle w:val="Tabletext"/>
              <w:spacing w:before="0" w:after="0" w:line="240" w:lineRule="auto"/>
              <w:ind w:left="57" w:right="57"/>
              <w:jc w:val="center"/>
            </w:pPr>
            <w:r>
              <w:t>2</w:t>
            </w:r>
          </w:p>
        </w:tc>
        <w:tc>
          <w:tcPr>
            <w:tcW w:w="66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38E06B3" w14:textId="77777777" w:rsidR="00801550" w:rsidRDefault="00801550">
            <w:pPr>
              <w:pStyle w:val="Tabletext"/>
              <w:spacing w:before="0" w:after="0" w:line="240" w:lineRule="auto"/>
              <w:ind w:left="57" w:right="57"/>
              <w:jc w:val="center"/>
            </w:pPr>
            <w:r>
              <w:t>21</w:t>
            </w:r>
          </w:p>
        </w:tc>
        <w:tc>
          <w:tcPr>
            <w:tcW w:w="66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AA3E8E1" w14:textId="77777777" w:rsidR="00801550" w:rsidRDefault="00801550">
            <w:pPr>
              <w:pStyle w:val="Tabletext"/>
              <w:spacing w:before="0" w:after="0" w:line="240" w:lineRule="auto"/>
              <w:ind w:left="57" w:right="57"/>
              <w:jc w:val="center"/>
            </w:pPr>
            <w:r>
              <w:t>1</w:t>
            </w:r>
          </w:p>
        </w:tc>
      </w:tr>
      <w:tr w:rsidR="00801550" w14:paraId="0B5EF43E"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0822A4BC" w14:textId="77777777" w:rsidR="00801550" w:rsidRDefault="00801550">
            <w:pPr>
              <w:pStyle w:val="Tabletext"/>
              <w:spacing w:before="0" w:after="0" w:line="240" w:lineRule="auto"/>
              <w:ind w:left="57" w:right="57"/>
            </w:pPr>
            <w:r>
              <w:t>Hypokalaemia</w:t>
            </w:r>
          </w:p>
        </w:tc>
        <w:tc>
          <w:tcPr>
            <w:tcW w:w="836" w:type="pct"/>
            <w:tcBorders>
              <w:top w:val="single" w:sz="8" w:space="0" w:color="000000" w:themeColor="text1"/>
              <w:left w:val="single" w:sz="4" w:space="0" w:color="auto"/>
              <w:bottom w:val="single" w:sz="8" w:space="0" w:color="000000" w:themeColor="text1"/>
              <w:right w:val="single" w:sz="8" w:space="0" w:color="000000" w:themeColor="text1"/>
            </w:tcBorders>
            <w:hideMark/>
          </w:tcPr>
          <w:p w14:paraId="341687DB" w14:textId="77777777" w:rsidR="00801550" w:rsidRDefault="00801550">
            <w:pPr>
              <w:pStyle w:val="Tabletext"/>
              <w:spacing w:before="0" w:after="0" w:line="240" w:lineRule="auto"/>
              <w:ind w:left="57" w:right="57"/>
              <w:jc w:val="center"/>
            </w:pPr>
            <w:r>
              <w:t>16</w:t>
            </w:r>
          </w:p>
        </w:tc>
        <w:tc>
          <w:tcPr>
            <w:tcW w:w="669"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F66A1F1" w14:textId="77777777" w:rsidR="00801550" w:rsidRDefault="00801550">
            <w:pPr>
              <w:pStyle w:val="Tabletext"/>
              <w:spacing w:before="0" w:after="0" w:line="240" w:lineRule="auto"/>
              <w:ind w:left="57" w:right="57"/>
              <w:jc w:val="center"/>
            </w:pPr>
            <w:r>
              <w:t>3</w:t>
            </w:r>
          </w:p>
        </w:tc>
        <w:tc>
          <w:tcPr>
            <w:tcW w:w="66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F5F7C07" w14:textId="77777777" w:rsidR="00801550" w:rsidRDefault="00801550">
            <w:pPr>
              <w:pStyle w:val="Tabletext"/>
              <w:spacing w:before="0" w:after="0" w:line="240" w:lineRule="auto"/>
              <w:ind w:left="57" w:right="57"/>
              <w:jc w:val="center"/>
            </w:pPr>
            <w:r>
              <w:t>13</w:t>
            </w:r>
          </w:p>
        </w:tc>
        <w:tc>
          <w:tcPr>
            <w:tcW w:w="66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D2624D0" w14:textId="77777777" w:rsidR="00801550" w:rsidRDefault="00801550">
            <w:pPr>
              <w:pStyle w:val="Tabletext"/>
              <w:spacing w:before="0" w:after="0" w:line="240" w:lineRule="auto"/>
              <w:ind w:left="57" w:right="57"/>
              <w:jc w:val="center"/>
            </w:pPr>
            <w:r>
              <w:t>0.4</w:t>
            </w:r>
          </w:p>
        </w:tc>
      </w:tr>
      <w:tr w:rsidR="00801550" w14:paraId="5B0EE6B1"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54CC963C" w14:textId="77777777" w:rsidR="00801550" w:rsidRDefault="00801550">
            <w:pPr>
              <w:pStyle w:val="Tabletext"/>
              <w:spacing w:before="0" w:after="0" w:line="240" w:lineRule="auto"/>
              <w:ind w:left="57" w:right="57"/>
            </w:pPr>
            <w:r>
              <w:t>Hypomagnesaemia</w:t>
            </w:r>
          </w:p>
        </w:tc>
        <w:tc>
          <w:tcPr>
            <w:tcW w:w="836" w:type="pct"/>
            <w:tcBorders>
              <w:top w:val="single" w:sz="8" w:space="0" w:color="000000" w:themeColor="text1"/>
              <w:left w:val="single" w:sz="4" w:space="0" w:color="auto"/>
              <w:bottom w:val="single" w:sz="8" w:space="0" w:color="000000" w:themeColor="text1"/>
              <w:right w:val="single" w:sz="8" w:space="0" w:color="000000" w:themeColor="text1"/>
            </w:tcBorders>
            <w:hideMark/>
          </w:tcPr>
          <w:p w14:paraId="47AC5FFA" w14:textId="77777777" w:rsidR="00801550" w:rsidRDefault="00801550">
            <w:pPr>
              <w:pStyle w:val="Tabletext"/>
              <w:spacing w:before="0" w:after="0" w:line="240" w:lineRule="auto"/>
              <w:ind w:left="57" w:right="57"/>
              <w:jc w:val="center"/>
            </w:pPr>
            <w:r>
              <w:t>12</w:t>
            </w:r>
          </w:p>
        </w:tc>
        <w:tc>
          <w:tcPr>
            <w:tcW w:w="669"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AEACE0A" w14:textId="77777777" w:rsidR="00801550" w:rsidRDefault="00801550">
            <w:pPr>
              <w:pStyle w:val="Tabletext"/>
              <w:spacing w:before="0" w:after="0" w:line="240" w:lineRule="auto"/>
              <w:ind w:left="57" w:right="57"/>
              <w:jc w:val="center"/>
            </w:pPr>
            <w:r>
              <w:t>0</w:t>
            </w:r>
          </w:p>
        </w:tc>
        <w:tc>
          <w:tcPr>
            <w:tcW w:w="66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CEF35C4" w14:textId="77777777" w:rsidR="00801550" w:rsidRDefault="00801550">
            <w:pPr>
              <w:pStyle w:val="Tabletext"/>
              <w:spacing w:before="0" w:after="0" w:line="240" w:lineRule="auto"/>
              <w:ind w:left="57" w:right="57"/>
              <w:jc w:val="center"/>
            </w:pPr>
            <w:r>
              <w:t>6</w:t>
            </w:r>
          </w:p>
        </w:tc>
        <w:tc>
          <w:tcPr>
            <w:tcW w:w="66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FEE7BC4" w14:textId="77777777" w:rsidR="00801550" w:rsidRDefault="00801550">
            <w:pPr>
              <w:pStyle w:val="Tabletext"/>
              <w:spacing w:before="0" w:after="0" w:line="240" w:lineRule="auto"/>
              <w:ind w:left="57" w:right="57"/>
              <w:jc w:val="center"/>
            </w:pPr>
            <w:r>
              <w:t>0</w:t>
            </w:r>
          </w:p>
        </w:tc>
      </w:tr>
      <w:tr w:rsidR="00801550" w14:paraId="4C73B82A"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65B501FE" w14:textId="0A06FB9B" w:rsidR="00801550" w:rsidRDefault="00801550">
            <w:pPr>
              <w:pStyle w:val="Tabletext"/>
              <w:spacing w:before="0" w:after="0" w:line="240" w:lineRule="auto"/>
              <w:ind w:left="57" w:right="57"/>
              <w:rPr>
                <w:b/>
                <w:bCs/>
              </w:rPr>
            </w:pPr>
            <w:r>
              <w:rPr>
                <w:b/>
                <w:bCs/>
              </w:rPr>
              <w:t xml:space="preserve">Musculoskeletal </w:t>
            </w:r>
            <w:r w:rsidR="005B213C">
              <w:rPr>
                <w:b/>
                <w:bCs/>
              </w:rPr>
              <w:t>and</w:t>
            </w:r>
            <w:r>
              <w:rPr>
                <w:b/>
                <w:bCs/>
              </w:rPr>
              <w:t xml:space="preserve"> connective tissue disorders</w:t>
            </w:r>
          </w:p>
        </w:tc>
        <w:tc>
          <w:tcPr>
            <w:tcW w:w="2835" w:type="pct"/>
            <w:gridSpan w:val="4"/>
            <w:tcBorders>
              <w:top w:val="single" w:sz="8" w:space="0" w:color="000000" w:themeColor="text1"/>
              <w:left w:val="single" w:sz="4" w:space="0" w:color="auto"/>
              <w:bottom w:val="single" w:sz="8" w:space="0" w:color="000000" w:themeColor="text1"/>
              <w:right w:val="single" w:sz="8" w:space="0" w:color="000000" w:themeColor="text1"/>
            </w:tcBorders>
          </w:tcPr>
          <w:p w14:paraId="6C1A6A7A" w14:textId="77777777" w:rsidR="00801550" w:rsidRDefault="00801550">
            <w:pPr>
              <w:pStyle w:val="Tabletext"/>
              <w:spacing w:before="0" w:after="0" w:line="240" w:lineRule="auto"/>
              <w:ind w:left="57" w:right="57"/>
              <w:jc w:val="center"/>
              <w:rPr>
                <w:b/>
                <w:bCs/>
              </w:rPr>
            </w:pPr>
          </w:p>
        </w:tc>
      </w:tr>
      <w:tr w:rsidR="00801550" w14:paraId="7D3D4F60"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0E6D0831" w14:textId="77777777" w:rsidR="00801550" w:rsidRDefault="00801550">
            <w:pPr>
              <w:pStyle w:val="Tabletext"/>
              <w:spacing w:before="0" w:after="0" w:line="240" w:lineRule="auto"/>
              <w:ind w:left="57" w:right="57"/>
            </w:pPr>
            <w:r>
              <w:t>Back pain</w:t>
            </w:r>
          </w:p>
        </w:tc>
        <w:tc>
          <w:tcPr>
            <w:tcW w:w="836" w:type="pct"/>
            <w:tcBorders>
              <w:top w:val="single" w:sz="8" w:space="0" w:color="000000" w:themeColor="text1"/>
              <w:left w:val="single" w:sz="4" w:space="0" w:color="auto"/>
              <w:bottom w:val="single" w:sz="8" w:space="0" w:color="000000" w:themeColor="text1"/>
              <w:right w:val="single" w:sz="8" w:space="0" w:color="000000" w:themeColor="text1"/>
            </w:tcBorders>
            <w:hideMark/>
          </w:tcPr>
          <w:p w14:paraId="07DFE69E" w14:textId="77777777" w:rsidR="00801550" w:rsidRDefault="00801550">
            <w:pPr>
              <w:pStyle w:val="Tabletext"/>
              <w:spacing w:before="0" w:after="0" w:line="240" w:lineRule="auto"/>
              <w:ind w:left="57" w:right="57"/>
              <w:jc w:val="center"/>
            </w:pPr>
            <w:r>
              <w:t>16</w:t>
            </w:r>
          </w:p>
        </w:tc>
        <w:tc>
          <w:tcPr>
            <w:tcW w:w="669"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39EF252" w14:textId="77777777" w:rsidR="00801550" w:rsidRDefault="00801550">
            <w:pPr>
              <w:pStyle w:val="Tabletext"/>
              <w:spacing w:before="0" w:after="0" w:line="240" w:lineRule="auto"/>
              <w:ind w:left="57" w:right="57"/>
              <w:jc w:val="center"/>
            </w:pPr>
            <w:r>
              <w:t>1</w:t>
            </w:r>
          </w:p>
        </w:tc>
        <w:tc>
          <w:tcPr>
            <w:tcW w:w="66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3C31318" w14:textId="77777777" w:rsidR="00801550" w:rsidRDefault="00801550">
            <w:pPr>
              <w:pStyle w:val="Tabletext"/>
              <w:spacing w:before="0" w:after="0" w:line="240" w:lineRule="auto"/>
              <w:ind w:left="57" w:right="57"/>
              <w:jc w:val="center"/>
            </w:pPr>
            <w:r>
              <w:t>14</w:t>
            </w:r>
          </w:p>
        </w:tc>
        <w:tc>
          <w:tcPr>
            <w:tcW w:w="66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DC081B9" w14:textId="77777777" w:rsidR="00801550" w:rsidRDefault="00801550">
            <w:pPr>
              <w:pStyle w:val="Tabletext"/>
              <w:spacing w:before="0" w:after="0" w:line="240" w:lineRule="auto"/>
              <w:ind w:left="57" w:right="57"/>
              <w:jc w:val="center"/>
            </w:pPr>
            <w:r>
              <w:t>2</w:t>
            </w:r>
          </w:p>
        </w:tc>
      </w:tr>
      <w:tr w:rsidR="00801550" w14:paraId="060324D1"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341B066B" w14:textId="77777777" w:rsidR="00801550" w:rsidRDefault="00801550">
            <w:pPr>
              <w:pStyle w:val="Tabletext"/>
              <w:spacing w:before="0" w:after="0" w:line="240" w:lineRule="auto"/>
              <w:ind w:left="57" w:right="57"/>
            </w:pPr>
            <w:r>
              <w:t>Arthralgia</w:t>
            </w:r>
          </w:p>
        </w:tc>
        <w:tc>
          <w:tcPr>
            <w:tcW w:w="836" w:type="pct"/>
            <w:tcBorders>
              <w:top w:val="single" w:sz="8" w:space="0" w:color="000000" w:themeColor="text1"/>
              <w:left w:val="single" w:sz="4" w:space="0" w:color="auto"/>
              <w:bottom w:val="single" w:sz="8" w:space="0" w:color="000000" w:themeColor="text1"/>
              <w:right w:val="single" w:sz="8" w:space="0" w:color="000000" w:themeColor="text1"/>
            </w:tcBorders>
            <w:hideMark/>
          </w:tcPr>
          <w:p w14:paraId="0BD20A1F" w14:textId="77777777" w:rsidR="00801550" w:rsidRDefault="00801550">
            <w:pPr>
              <w:pStyle w:val="Tabletext"/>
              <w:spacing w:before="0" w:after="0" w:line="240" w:lineRule="auto"/>
              <w:ind w:left="57" w:right="57"/>
              <w:jc w:val="center"/>
            </w:pPr>
            <w:r>
              <w:t>12</w:t>
            </w:r>
          </w:p>
        </w:tc>
        <w:tc>
          <w:tcPr>
            <w:tcW w:w="669"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3DAF32C" w14:textId="77777777" w:rsidR="00801550" w:rsidRDefault="00801550">
            <w:pPr>
              <w:pStyle w:val="Tabletext"/>
              <w:spacing w:before="0" w:after="0" w:line="240" w:lineRule="auto"/>
              <w:ind w:left="57" w:right="57"/>
              <w:jc w:val="center"/>
            </w:pPr>
            <w:r>
              <w:t>0.4</w:t>
            </w:r>
          </w:p>
        </w:tc>
        <w:tc>
          <w:tcPr>
            <w:tcW w:w="66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1AFA365" w14:textId="77777777" w:rsidR="00801550" w:rsidRDefault="00801550">
            <w:pPr>
              <w:pStyle w:val="Tabletext"/>
              <w:spacing w:before="0" w:after="0" w:line="240" w:lineRule="auto"/>
              <w:ind w:left="57" w:right="57"/>
              <w:jc w:val="center"/>
            </w:pPr>
            <w:r>
              <w:t>7</w:t>
            </w:r>
          </w:p>
        </w:tc>
        <w:tc>
          <w:tcPr>
            <w:tcW w:w="66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A1C2D4F" w14:textId="77777777" w:rsidR="00801550" w:rsidRDefault="00801550">
            <w:pPr>
              <w:pStyle w:val="Tabletext"/>
              <w:spacing w:before="0" w:after="0" w:line="240" w:lineRule="auto"/>
              <w:ind w:left="57" w:right="57"/>
              <w:jc w:val="center"/>
            </w:pPr>
            <w:r>
              <w:t>0</w:t>
            </w:r>
          </w:p>
        </w:tc>
      </w:tr>
      <w:tr w:rsidR="00801550" w14:paraId="58F0451A"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41A815BB" w14:textId="77777777" w:rsidR="00801550" w:rsidRDefault="00801550">
            <w:pPr>
              <w:pStyle w:val="Tabletext"/>
              <w:spacing w:before="0" w:after="0" w:line="240" w:lineRule="auto"/>
              <w:ind w:left="57" w:right="57"/>
              <w:rPr>
                <w:b/>
                <w:bCs/>
              </w:rPr>
            </w:pPr>
            <w:r>
              <w:rPr>
                <w:b/>
                <w:bCs/>
              </w:rPr>
              <w:t>Nervous system disorders</w:t>
            </w:r>
          </w:p>
        </w:tc>
        <w:tc>
          <w:tcPr>
            <w:tcW w:w="2835" w:type="pct"/>
            <w:gridSpan w:val="4"/>
            <w:tcBorders>
              <w:top w:val="single" w:sz="8" w:space="0" w:color="000000" w:themeColor="text1"/>
              <w:left w:val="single" w:sz="4" w:space="0" w:color="auto"/>
              <w:bottom w:val="single" w:sz="8" w:space="0" w:color="000000" w:themeColor="text1"/>
              <w:right w:val="single" w:sz="8" w:space="0" w:color="000000" w:themeColor="text1"/>
            </w:tcBorders>
          </w:tcPr>
          <w:p w14:paraId="68567C6D" w14:textId="77777777" w:rsidR="00801550" w:rsidRDefault="00801550">
            <w:pPr>
              <w:pStyle w:val="Tabletext"/>
              <w:spacing w:before="0" w:after="0" w:line="240" w:lineRule="auto"/>
              <w:ind w:right="57"/>
              <w:jc w:val="center"/>
              <w:rPr>
                <w:b/>
                <w:bCs/>
              </w:rPr>
            </w:pPr>
          </w:p>
        </w:tc>
      </w:tr>
      <w:tr w:rsidR="00801550" w14:paraId="3238AA1C"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1497D8AE" w14:textId="77777777" w:rsidR="00801550" w:rsidRDefault="00801550">
            <w:pPr>
              <w:pStyle w:val="Tabletext"/>
              <w:spacing w:before="0" w:after="0" w:line="240" w:lineRule="auto"/>
              <w:ind w:left="57" w:right="57"/>
            </w:pPr>
            <w:r>
              <w:t>Headache</w:t>
            </w:r>
          </w:p>
        </w:tc>
        <w:tc>
          <w:tcPr>
            <w:tcW w:w="836" w:type="pct"/>
            <w:tcBorders>
              <w:top w:val="single" w:sz="8" w:space="0" w:color="000000" w:themeColor="text1"/>
              <w:left w:val="single" w:sz="4" w:space="0" w:color="auto"/>
              <w:bottom w:val="single" w:sz="8" w:space="0" w:color="000000" w:themeColor="text1"/>
              <w:right w:val="single" w:sz="8" w:space="0" w:color="000000" w:themeColor="text1"/>
            </w:tcBorders>
            <w:hideMark/>
          </w:tcPr>
          <w:p w14:paraId="206043B6" w14:textId="77777777" w:rsidR="00801550" w:rsidRDefault="00801550">
            <w:pPr>
              <w:pStyle w:val="Tabletext"/>
              <w:spacing w:before="0" w:after="0" w:line="240" w:lineRule="auto"/>
              <w:ind w:left="57" w:right="57"/>
              <w:jc w:val="center"/>
            </w:pPr>
            <w:r>
              <w:t>18</w:t>
            </w:r>
          </w:p>
        </w:tc>
        <w:tc>
          <w:tcPr>
            <w:tcW w:w="669"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8124EF2" w14:textId="77777777" w:rsidR="00801550" w:rsidRDefault="00801550">
            <w:pPr>
              <w:pStyle w:val="Tabletext"/>
              <w:spacing w:before="0" w:after="0" w:line="240" w:lineRule="auto"/>
              <w:ind w:left="57" w:right="57"/>
              <w:jc w:val="center"/>
            </w:pPr>
            <w:r>
              <w:t>0.8</w:t>
            </w:r>
          </w:p>
        </w:tc>
        <w:tc>
          <w:tcPr>
            <w:tcW w:w="66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16B6BBC" w14:textId="77777777" w:rsidR="00801550" w:rsidRDefault="00801550">
            <w:pPr>
              <w:pStyle w:val="Tabletext"/>
              <w:spacing w:before="0" w:after="0" w:line="240" w:lineRule="auto"/>
              <w:ind w:left="57" w:right="57"/>
              <w:jc w:val="center"/>
            </w:pPr>
            <w:r>
              <w:t>13</w:t>
            </w:r>
          </w:p>
        </w:tc>
        <w:tc>
          <w:tcPr>
            <w:tcW w:w="66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110F29F" w14:textId="77777777" w:rsidR="00801550" w:rsidRDefault="00801550">
            <w:pPr>
              <w:pStyle w:val="Tabletext"/>
              <w:spacing w:before="0" w:after="0" w:line="240" w:lineRule="auto"/>
              <w:ind w:left="57" w:right="57"/>
              <w:jc w:val="center"/>
            </w:pPr>
            <w:r>
              <w:t>0.4</w:t>
            </w:r>
          </w:p>
        </w:tc>
      </w:tr>
      <w:tr w:rsidR="00801550" w14:paraId="3ED4B779"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42E2C0D3" w14:textId="77777777" w:rsidR="00801550" w:rsidRDefault="00801550">
            <w:pPr>
              <w:pStyle w:val="Tabletext"/>
              <w:spacing w:before="0" w:after="0" w:line="240" w:lineRule="auto"/>
              <w:ind w:left="57" w:right="57"/>
              <w:rPr>
                <w:b/>
                <w:bCs/>
              </w:rPr>
            </w:pPr>
            <w:r>
              <w:rPr>
                <w:b/>
                <w:bCs/>
              </w:rPr>
              <w:t>Psychiatric disorders</w:t>
            </w:r>
          </w:p>
        </w:tc>
        <w:tc>
          <w:tcPr>
            <w:tcW w:w="2835" w:type="pct"/>
            <w:gridSpan w:val="4"/>
            <w:tcBorders>
              <w:top w:val="single" w:sz="8" w:space="0" w:color="000000" w:themeColor="text1"/>
              <w:left w:val="single" w:sz="4" w:space="0" w:color="auto"/>
              <w:bottom w:val="single" w:sz="8" w:space="0" w:color="000000" w:themeColor="text1"/>
              <w:right w:val="single" w:sz="8" w:space="0" w:color="000000" w:themeColor="text1"/>
            </w:tcBorders>
          </w:tcPr>
          <w:p w14:paraId="100C3187" w14:textId="77777777" w:rsidR="00801550" w:rsidRDefault="00801550">
            <w:pPr>
              <w:pStyle w:val="Tabletext"/>
              <w:spacing w:before="0" w:after="0" w:line="240" w:lineRule="auto"/>
              <w:ind w:right="57"/>
              <w:jc w:val="center"/>
              <w:rPr>
                <w:b/>
                <w:bCs/>
              </w:rPr>
            </w:pPr>
          </w:p>
        </w:tc>
      </w:tr>
      <w:tr w:rsidR="00801550" w14:paraId="6F09930E"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018F75FA" w14:textId="77777777" w:rsidR="00801550" w:rsidRDefault="00801550">
            <w:pPr>
              <w:pStyle w:val="Tabletext"/>
              <w:spacing w:before="0" w:after="0" w:line="240" w:lineRule="auto"/>
              <w:ind w:left="57" w:right="57"/>
            </w:pPr>
            <w:r>
              <w:t>Insomnia</w:t>
            </w:r>
          </w:p>
        </w:tc>
        <w:tc>
          <w:tcPr>
            <w:tcW w:w="836" w:type="pct"/>
            <w:tcBorders>
              <w:top w:val="single" w:sz="8" w:space="0" w:color="000000" w:themeColor="text1"/>
              <w:left w:val="single" w:sz="4" w:space="0" w:color="auto"/>
              <w:bottom w:val="single" w:sz="8" w:space="0" w:color="000000" w:themeColor="text1"/>
              <w:right w:val="single" w:sz="8" w:space="0" w:color="000000" w:themeColor="text1"/>
            </w:tcBorders>
            <w:hideMark/>
          </w:tcPr>
          <w:p w14:paraId="77ADA333" w14:textId="77777777" w:rsidR="00801550" w:rsidRDefault="00801550">
            <w:pPr>
              <w:pStyle w:val="Tabletext"/>
              <w:spacing w:before="0" w:after="0" w:line="240" w:lineRule="auto"/>
              <w:ind w:left="57" w:right="57"/>
              <w:jc w:val="center"/>
            </w:pPr>
            <w:r>
              <w:t>11</w:t>
            </w:r>
          </w:p>
        </w:tc>
        <w:tc>
          <w:tcPr>
            <w:tcW w:w="669"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B5AE240" w14:textId="77777777" w:rsidR="00801550" w:rsidRDefault="00801550">
            <w:pPr>
              <w:pStyle w:val="Tabletext"/>
              <w:spacing w:before="0" w:after="0" w:line="240" w:lineRule="auto"/>
              <w:ind w:left="57" w:right="57"/>
              <w:jc w:val="center"/>
            </w:pPr>
            <w:r>
              <w:t>0</w:t>
            </w:r>
          </w:p>
        </w:tc>
        <w:tc>
          <w:tcPr>
            <w:tcW w:w="66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8A686E5" w14:textId="77777777" w:rsidR="00801550" w:rsidRDefault="00801550">
            <w:pPr>
              <w:pStyle w:val="Tabletext"/>
              <w:spacing w:before="0" w:after="0" w:line="240" w:lineRule="auto"/>
              <w:ind w:left="57" w:right="57"/>
              <w:jc w:val="center"/>
            </w:pPr>
            <w:r>
              <w:t>5</w:t>
            </w:r>
          </w:p>
        </w:tc>
        <w:tc>
          <w:tcPr>
            <w:tcW w:w="66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791CA45" w14:textId="77777777" w:rsidR="00801550" w:rsidRDefault="00801550">
            <w:pPr>
              <w:pStyle w:val="Tabletext"/>
              <w:spacing w:before="0" w:after="0" w:line="240" w:lineRule="auto"/>
              <w:ind w:left="57" w:right="57"/>
              <w:jc w:val="center"/>
            </w:pPr>
            <w:r>
              <w:t>0</w:t>
            </w:r>
          </w:p>
        </w:tc>
      </w:tr>
      <w:tr w:rsidR="00801550" w14:paraId="77F2FA89"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5D5B5FB1" w14:textId="48EF0C86" w:rsidR="00801550" w:rsidRDefault="00801550">
            <w:pPr>
              <w:pStyle w:val="Tabletext"/>
              <w:spacing w:before="0" w:after="0" w:line="240" w:lineRule="auto"/>
              <w:ind w:left="57" w:right="57"/>
              <w:rPr>
                <w:b/>
                <w:bCs/>
              </w:rPr>
            </w:pPr>
            <w:r>
              <w:rPr>
                <w:b/>
                <w:bCs/>
              </w:rPr>
              <w:t xml:space="preserve">Respiratory, </w:t>
            </w:r>
            <w:proofErr w:type="gramStart"/>
            <w:r>
              <w:rPr>
                <w:b/>
                <w:bCs/>
              </w:rPr>
              <w:t>thoracic</w:t>
            </w:r>
            <w:proofErr w:type="gramEnd"/>
            <w:r>
              <w:rPr>
                <w:b/>
                <w:bCs/>
              </w:rPr>
              <w:t xml:space="preserve"> </w:t>
            </w:r>
            <w:r w:rsidR="005B213C">
              <w:rPr>
                <w:b/>
                <w:bCs/>
              </w:rPr>
              <w:t>and</w:t>
            </w:r>
            <w:r>
              <w:rPr>
                <w:b/>
                <w:bCs/>
              </w:rPr>
              <w:t xml:space="preserve"> mediastinal disorders</w:t>
            </w:r>
          </w:p>
        </w:tc>
        <w:tc>
          <w:tcPr>
            <w:tcW w:w="2835" w:type="pct"/>
            <w:gridSpan w:val="4"/>
            <w:tcBorders>
              <w:top w:val="single" w:sz="8" w:space="0" w:color="000000" w:themeColor="text1"/>
              <w:left w:val="single" w:sz="4" w:space="0" w:color="auto"/>
              <w:bottom w:val="single" w:sz="8" w:space="0" w:color="000000" w:themeColor="text1"/>
              <w:right w:val="single" w:sz="8" w:space="0" w:color="000000" w:themeColor="text1"/>
            </w:tcBorders>
          </w:tcPr>
          <w:p w14:paraId="157300D0" w14:textId="77777777" w:rsidR="00801550" w:rsidRDefault="00801550">
            <w:pPr>
              <w:pStyle w:val="Tabletext"/>
              <w:spacing w:before="0" w:after="0" w:line="240" w:lineRule="auto"/>
              <w:ind w:left="57" w:right="57"/>
              <w:jc w:val="center"/>
              <w:rPr>
                <w:b/>
                <w:bCs/>
              </w:rPr>
            </w:pPr>
          </w:p>
        </w:tc>
      </w:tr>
      <w:tr w:rsidR="00801550" w14:paraId="09582027"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3F8244D8" w14:textId="77777777" w:rsidR="00801550" w:rsidRDefault="00801550">
            <w:pPr>
              <w:pStyle w:val="Tabletext"/>
              <w:spacing w:before="0" w:after="0" w:line="240" w:lineRule="auto"/>
              <w:ind w:left="57" w:right="57"/>
            </w:pPr>
            <w:r>
              <w:lastRenderedPageBreak/>
              <w:t>Cough</w:t>
            </w:r>
          </w:p>
        </w:tc>
        <w:tc>
          <w:tcPr>
            <w:tcW w:w="836" w:type="pct"/>
            <w:tcBorders>
              <w:top w:val="single" w:sz="8" w:space="0" w:color="000000" w:themeColor="text1"/>
              <w:left w:val="single" w:sz="4" w:space="0" w:color="auto"/>
              <w:bottom w:val="single" w:sz="8" w:space="0" w:color="000000" w:themeColor="text1"/>
              <w:right w:val="single" w:sz="8" w:space="0" w:color="000000" w:themeColor="text1"/>
            </w:tcBorders>
            <w:hideMark/>
          </w:tcPr>
          <w:p w14:paraId="0397DBAD" w14:textId="77777777" w:rsidR="00801550" w:rsidRDefault="00801550">
            <w:pPr>
              <w:pStyle w:val="Tabletext"/>
              <w:spacing w:before="0" w:after="0" w:line="240" w:lineRule="auto"/>
              <w:ind w:left="57" w:right="57"/>
              <w:jc w:val="center"/>
            </w:pPr>
            <w:r>
              <w:t>24</w:t>
            </w:r>
          </w:p>
        </w:tc>
        <w:tc>
          <w:tcPr>
            <w:tcW w:w="669"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3D34114" w14:textId="77777777" w:rsidR="00801550" w:rsidRDefault="00801550">
            <w:pPr>
              <w:pStyle w:val="Tabletext"/>
              <w:spacing w:before="0" w:after="0" w:line="240" w:lineRule="auto"/>
              <w:ind w:left="57" w:right="57"/>
              <w:jc w:val="center"/>
            </w:pPr>
            <w:r>
              <w:t>0</w:t>
            </w:r>
          </w:p>
        </w:tc>
        <w:tc>
          <w:tcPr>
            <w:tcW w:w="66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A74962D" w14:textId="77777777" w:rsidR="00801550" w:rsidRDefault="00801550">
            <w:pPr>
              <w:pStyle w:val="Tabletext"/>
              <w:spacing w:before="0" w:after="0" w:line="240" w:lineRule="auto"/>
              <w:ind w:left="57" w:right="57"/>
              <w:jc w:val="center"/>
            </w:pPr>
            <w:r>
              <w:t>18</w:t>
            </w:r>
          </w:p>
        </w:tc>
        <w:tc>
          <w:tcPr>
            <w:tcW w:w="66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5B20434" w14:textId="77777777" w:rsidR="00801550" w:rsidRDefault="00801550">
            <w:pPr>
              <w:pStyle w:val="Tabletext"/>
              <w:spacing w:before="0" w:after="0" w:line="240" w:lineRule="auto"/>
              <w:ind w:left="57" w:right="57"/>
              <w:jc w:val="center"/>
            </w:pPr>
            <w:r>
              <w:t>0.4</w:t>
            </w:r>
          </w:p>
        </w:tc>
      </w:tr>
      <w:tr w:rsidR="00801550" w14:paraId="44DBD354"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14D622CE" w14:textId="15C058C2" w:rsidR="00801550" w:rsidRDefault="00801550">
            <w:pPr>
              <w:pStyle w:val="Tabletext"/>
              <w:spacing w:before="0" w:after="0" w:line="240" w:lineRule="auto"/>
              <w:ind w:left="57" w:right="57"/>
              <w:rPr>
                <w:b/>
                <w:bCs/>
              </w:rPr>
            </w:pPr>
            <w:r>
              <w:rPr>
                <w:b/>
                <w:bCs/>
              </w:rPr>
              <w:t xml:space="preserve">Skin </w:t>
            </w:r>
            <w:r w:rsidR="005B213C">
              <w:rPr>
                <w:b/>
                <w:bCs/>
              </w:rPr>
              <w:t>and</w:t>
            </w:r>
            <w:r>
              <w:rPr>
                <w:b/>
                <w:bCs/>
              </w:rPr>
              <w:t xml:space="preserve"> subcutaneous tissue disorders</w:t>
            </w:r>
          </w:p>
        </w:tc>
        <w:tc>
          <w:tcPr>
            <w:tcW w:w="2835" w:type="pct"/>
            <w:gridSpan w:val="4"/>
            <w:tcBorders>
              <w:top w:val="single" w:sz="8" w:space="0" w:color="000000" w:themeColor="text1"/>
              <w:left w:val="single" w:sz="4" w:space="0" w:color="auto"/>
              <w:bottom w:val="single" w:sz="8" w:space="0" w:color="000000" w:themeColor="text1"/>
              <w:right w:val="single" w:sz="8" w:space="0" w:color="000000" w:themeColor="text1"/>
            </w:tcBorders>
          </w:tcPr>
          <w:p w14:paraId="7601F9DF" w14:textId="77777777" w:rsidR="00801550" w:rsidRDefault="00801550">
            <w:pPr>
              <w:pStyle w:val="Tabletext"/>
              <w:spacing w:before="0" w:after="0" w:line="240" w:lineRule="auto"/>
              <w:ind w:left="57" w:right="57"/>
              <w:jc w:val="center"/>
              <w:rPr>
                <w:b/>
                <w:bCs/>
              </w:rPr>
            </w:pPr>
          </w:p>
        </w:tc>
      </w:tr>
      <w:tr w:rsidR="00801550" w14:paraId="60C72FD8"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404705F9" w14:textId="77777777" w:rsidR="00801550" w:rsidRDefault="00801550">
            <w:pPr>
              <w:pStyle w:val="Tabletext"/>
              <w:spacing w:before="0" w:after="0" w:line="240" w:lineRule="auto"/>
              <w:ind w:left="57" w:right="57"/>
            </w:pPr>
            <w:r>
              <w:t>Alopecia</w:t>
            </w:r>
          </w:p>
        </w:tc>
        <w:tc>
          <w:tcPr>
            <w:tcW w:w="836" w:type="pct"/>
            <w:tcBorders>
              <w:top w:val="single" w:sz="8" w:space="0" w:color="000000" w:themeColor="text1"/>
              <w:left w:val="single" w:sz="4" w:space="0" w:color="auto"/>
              <w:bottom w:val="single" w:sz="8" w:space="0" w:color="000000" w:themeColor="text1"/>
              <w:right w:val="single" w:sz="8" w:space="0" w:color="000000" w:themeColor="text1"/>
            </w:tcBorders>
            <w:hideMark/>
          </w:tcPr>
          <w:p w14:paraId="7FBCEDBB" w14:textId="77777777" w:rsidR="00801550" w:rsidRDefault="00801550">
            <w:pPr>
              <w:pStyle w:val="Tabletext"/>
              <w:spacing w:before="0" w:after="0" w:line="240" w:lineRule="auto"/>
              <w:ind w:left="57" w:right="57"/>
              <w:jc w:val="center"/>
            </w:pPr>
            <w:r>
              <w:t>47</w:t>
            </w:r>
          </w:p>
        </w:tc>
        <w:tc>
          <w:tcPr>
            <w:tcW w:w="669"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DF91BB1" w14:textId="77777777" w:rsidR="00801550" w:rsidRDefault="00801550">
            <w:pPr>
              <w:pStyle w:val="Tabletext"/>
              <w:spacing w:before="0" w:after="0" w:line="240" w:lineRule="auto"/>
              <w:ind w:left="57" w:right="57"/>
              <w:jc w:val="center"/>
            </w:pPr>
            <w:r>
              <w:t>0</w:t>
            </w:r>
          </w:p>
        </w:tc>
        <w:tc>
          <w:tcPr>
            <w:tcW w:w="66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8A8196A" w14:textId="77777777" w:rsidR="00801550" w:rsidRDefault="00801550">
            <w:pPr>
              <w:pStyle w:val="Tabletext"/>
              <w:spacing w:before="0" w:after="0" w:line="240" w:lineRule="auto"/>
              <w:ind w:left="57" w:right="57"/>
              <w:jc w:val="center"/>
            </w:pPr>
            <w:r>
              <w:t>16</w:t>
            </w:r>
          </w:p>
        </w:tc>
        <w:tc>
          <w:tcPr>
            <w:tcW w:w="66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3E3AF41" w14:textId="77777777" w:rsidR="00801550" w:rsidRDefault="00801550">
            <w:pPr>
              <w:pStyle w:val="Tabletext"/>
              <w:spacing w:before="0" w:after="0" w:line="240" w:lineRule="auto"/>
              <w:ind w:left="57" w:right="57"/>
              <w:jc w:val="center"/>
            </w:pPr>
            <w:r>
              <w:t>0</w:t>
            </w:r>
          </w:p>
        </w:tc>
      </w:tr>
      <w:tr w:rsidR="00801550" w14:paraId="0DDE78B3" w14:textId="77777777" w:rsidTr="00884D31">
        <w:trPr>
          <w:trHeight w:val="20"/>
        </w:trPr>
        <w:tc>
          <w:tcPr>
            <w:tcW w:w="2165" w:type="pct"/>
            <w:tcBorders>
              <w:top w:val="single" w:sz="8" w:space="0" w:color="000000" w:themeColor="text1"/>
              <w:left w:val="single" w:sz="8" w:space="0" w:color="000000" w:themeColor="text1"/>
              <w:bottom w:val="single" w:sz="8" w:space="0" w:color="000000" w:themeColor="text1"/>
              <w:right w:val="single" w:sz="4" w:space="0" w:color="000000" w:themeColor="text1"/>
            </w:tcBorders>
            <w:hideMark/>
          </w:tcPr>
          <w:p w14:paraId="54836C80" w14:textId="77777777" w:rsidR="00801550" w:rsidRDefault="00801550">
            <w:pPr>
              <w:pStyle w:val="Tabletext"/>
              <w:spacing w:before="0" w:after="0" w:line="240" w:lineRule="auto"/>
              <w:ind w:left="57" w:right="57"/>
            </w:pPr>
            <w:r>
              <w:t>Rash</w:t>
            </w:r>
          </w:p>
        </w:tc>
        <w:tc>
          <w:tcPr>
            <w:tcW w:w="836" w:type="pct"/>
            <w:tcBorders>
              <w:top w:val="single" w:sz="8" w:space="0" w:color="000000" w:themeColor="text1"/>
              <w:left w:val="single" w:sz="4" w:space="0" w:color="auto"/>
              <w:bottom w:val="single" w:sz="8" w:space="0" w:color="000000" w:themeColor="text1"/>
              <w:right w:val="single" w:sz="8" w:space="0" w:color="000000" w:themeColor="text1"/>
            </w:tcBorders>
            <w:hideMark/>
          </w:tcPr>
          <w:p w14:paraId="50E64E14" w14:textId="77777777" w:rsidR="00801550" w:rsidRDefault="00801550">
            <w:pPr>
              <w:pStyle w:val="Tabletext"/>
              <w:spacing w:before="0" w:after="0" w:line="240" w:lineRule="auto"/>
              <w:ind w:left="57" w:right="57"/>
              <w:jc w:val="center"/>
            </w:pPr>
            <w:r>
              <w:t>12</w:t>
            </w:r>
          </w:p>
        </w:tc>
        <w:tc>
          <w:tcPr>
            <w:tcW w:w="669"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E4E3E77" w14:textId="77777777" w:rsidR="00801550" w:rsidRDefault="00801550">
            <w:pPr>
              <w:pStyle w:val="Tabletext"/>
              <w:spacing w:before="0" w:after="0" w:line="240" w:lineRule="auto"/>
              <w:ind w:left="57" w:right="57"/>
              <w:jc w:val="center"/>
            </w:pPr>
            <w:r>
              <w:t>0.4</w:t>
            </w:r>
          </w:p>
        </w:tc>
        <w:tc>
          <w:tcPr>
            <w:tcW w:w="66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ABF35F9" w14:textId="77777777" w:rsidR="00801550" w:rsidRDefault="00801550">
            <w:pPr>
              <w:pStyle w:val="Tabletext"/>
              <w:spacing w:before="0" w:after="0" w:line="240" w:lineRule="auto"/>
              <w:ind w:left="57" w:right="57"/>
              <w:jc w:val="center"/>
            </w:pPr>
            <w:r>
              <w:t>5</w:t>
            </w:r>
          </w:p>
        </w:tc>
        <w:tc>
          <w:tcPr>
            <w:tcW w:w="66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48643A8" w14:textId="77777777" w:rsidR="00801550" w:rsidRDefault="00801550">
            <w:pPr>
              <w:pStyle w:val="Tabletext"/>
              <w:spacing w:before="0" w:after="0" w:line="240" w:lineRule="auto"/>
              <w:ind w:left="57" w:right="57"/>
              <w:jc w:val="center"/>
            </w:pPr>
            <w:r>
              <w:t>0.4</w:t>
            </w:r>
          </w:p>
        </w:tc>
      </w:tr>
      <w:tr w:rsidR="00801550" w14:paraId="412A2493" w14:textId="77777777" w:rsidTr="00884D31">
        <w:trPr>
          <w:trHeight w:val="20"/>
        </w:trPr>
        <w:tc>
          <w:tcPr>
            <w:tcW w:w="5000" w:type="pct"/>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AC91763" w14:textId="77777777" w:rsidR="00801550" w:rsidRDefault="00801550">
            <w:pPr>
              <w:pStyle w:val="TableDescription"/>
              <w:spacing w:before="0"/>
              <w:ind w:left="57" w:right="57"/>
            </w:pPr>
            <w:r>
              <w:t>Graded per NCI CTCAE v.5.0.</w:t>
            </w:r>
          </w:p>
          <w:p w14:paraId="7F92F8D1" w14:textId="77777777" w:rsidR="00801550" w:rsidRDefault="00801550">
            <w:pPr>
              <w:pStyle w:val="TableDescription"/>
              <w:spacing w:before="0"/>
              <w:ind w:left="57" w:right="57"/>
            </w:pPr>
            <w:proofErr w:type="spellStart"/>
            <w:r>
              <w:t>i</w:t>
            </w:r>
            <w:proofErr w:type="spellEnd"/>
            <w:r>
              <w:t>. Including neutropenia and neutrophil count decreased</w:t>
            </w:r>
          </w:p>
          <w:p w14:paraId="4460718C" w14:textId="77777777" w:rsidR="00801550" w:rsidRDefault="00801550">
            <w:pPr>
              <w:pStyle w:val="TableDescription"/>
              <w:spacing w:before="0"/>
              <w:ind w:left="57" w:right="57"/>
            </w:pPr>
            <w:r>
              <w:t>ii. Including anaemia, haemoglobin decreased, and red blood cell count decreased</w:t>
            </w:r>
          </w:p>
          <w:p w14:paraId="42F0D902" w14:textId="77777777" w:rsidR="00801550" w:rsidRDefault="00801550">
            <w:pPr>
              <w:pStyle w:val="TableDescription"/>
              <w:spacing w:before="0"/>
              <w:ind w:left="57" w:right="57"/>
            </w:pPr>
            <w:r>
              <w:t>iii. Including leukopenia and white blood cell count decreased</w:t>
            </w:r>
          </w:p>
          <w:p w14:paraId="2CC1F0B4" w14:textId="77777777" w:rsidR="00801550" w:rsidRDefault="00801550">
            <w:pPr>
              <w:pStyle w:val="TableDescription"/>
              <w:spacing w:before="0"/>
              <w:ind w:left="57" w:right="57"/>
            </w:pPr>
            <w:r>
              <w:t>iv. Including stomatitis, glossitis, mouth ulceration, and mucosal inflammation</w:t>
            </w:r>
          </w:p>
          <w:p w14:paraId="273BEE1A" w14:textId="77777777" w:rsidR="00801550" w:rsidRDefault="00801550">
            <w:pPr>
              <w:pStyle w:val="TableDescription"/>
              <w:spacing w:before="0"/>
              <w:ind w:left="57" w:right="57"/>
            </w:pPr>
            <w:r>
              <w:t>v. Including fatigue and asthenia</w:t>
            </w:r>
          </w:p>
        </w:tc>
      </w:tr>
    </w:tbl>
    <w:p w14:paraId="0D5270D0" w14:textId="5E6C0619" w:rsidR="00801550" w:rsidRDefault="00801550" w:rsidP="00801550">
      <w:pPr>
        <w:pStyle w:val="TableTitle"/>
      </w:pPr>
      <w:bookmarkStart w:id="58" w:name="_Ref90467780"/>
      <w:r>
        <w:t xml:space="preserve">Table </w:t>
      </w:r>
      <w:fldSimple w:instr=" SEQ Table \* ARABIC ">
        <w:r w:rsidR="007D09B2">
          <w:rPr>
            <w:noProof/>
          </w:rPr>
          <w:t>14</w:t>
        </w:r>
      </w:fldSimple>
      <w:bookmarkEnd w:id="58"/>
      <w:r>
        <w:t>:</w:t>
      </w:r>
      <w:r w:rsidR="00085020">
        <w:t xml:space="preserve"> </w:t>
      </w:r>
      <w:r w:rsidR="00262885">
        <w:t xml:space="preserve">United States Food and Drug Administration-approved product label; </w:t>
      </w:r>
      <w:r>
        <w:t>Select laboratory abnormalities in</w:t>
      </w:r>
      <w:r w:rsidR="005B3427">
        <w:t xml:space="preserve"> </w:t>
      </w:r>
      <w:r>
        <w:t>10%</w:t>
      </w:r>
      <w:r w:rsidR="00262885">
        <w:t xml:space="preserve"> or more</w:t>
      </w:r>
      <w:r>
        <w:t xml:space="preserve"> patients with m</w:t>
      </w:r>
      <w:r w:rsidR="00262885">
        <w:t>etastatic triple negative breast cancer</w:t>
      </w:r>
      <w:r>
        <w:t xml:space="preserve"> in </w:t>
      </w:r>
      <w:r w:rsidR="00262885">
        <w:t xml:space="preserve">the </w:t>
      </w:r>
      <w:r>
        <w:t>ASCENT</w:t>
      </w:r>
      <w:r w:rsidR="007C1D45">
        <w:t xml:space="preserve"> trial</w:t>
      </w:r>
    </w:p>
    <w:tbl>
      <w:tblPr>
        <w:tblStyle w:val="TableTGAblue"/>
        <w:tblW w:w="5012" w:type="pct"/>
        <w:tblLayout w:type="fixed"/>
        <w:tblCellMar>
          <w:left w:w="0" w:type="dxa"/>
          <w:right w:w="0" w:type="dxa"/>
        </w:tblCellMar>
        <w:tblLook w:val="01E0" w:firstRow="1" w:lastRow="1" w:firstColumn="1" w:lastColumn="1" w:noHBand="0" w:noVBand="0"/>
      </w:tblPr>
      <w:tblGrid>
        <w:gridCol w:w="3206"/>
        <w:gridCol w:w="1320"/>
        <w:gridCol w:w="1340"/>
        <w:gridCol w:w="1318"/>
        <w:gridCol w:w="1320"/>
      </w:tblGrid>
      <w:tr w:rsidR="00801550" w14:paraId="2BB0718B" w14:textId="77777777" w:rsidTr="00884D31">
        <w:trPr>
          <w:cnfStyle w:val="100000000000" w:firstRow="1" w:lastRow="0" w:firstColumn="0" w:lastColumn="0" w:oddVBand="0" w:evenVBand="0" w:oddHBand="0" w:evenHBand="0" w:firstRowFirstColumn="0" w:firstRowLastColumn="0" w:lastRowFirstColumn="0" w:lastRowLastColumn="0"/>
          <w:trHeight w:val="20"/>
        </w:trPr>
        <w:tc>
          <w:tcPr>
            <w:tcW w:w="1885" w:type="pct"/>
            <w:vMerge w:val="restart"/>
            <w:hideMark/>
          </w:tcPr>
          <w:p w14:paraId="2EBE9303" w14:textId="77777777" w:rsidR="00801550" w:rsidRDefault="00801550">
            <w:pPr>
              <w:pStyle w:val="Tabletext"/>
              <w:spacing w:before="0" w:after="0" w:line="240" w:lineRule="auto"/>
              <w:ind w:left="57" w:right="57"/>
            </w:pPr>
            <w:r>
              <w:t>Laboratory abnormality</w:t>
            </w:r>
          </w:p>
        </w:tc>
        <w:tc>
          <w:tcPr>
            <w:tcW w:w="1564" w:type="pct"/>
            <w:gridSpan w:val="2"/>
            <w:hideMark/>
          </w:tcPr>
          <w:p w14:paraId="601A9D73" w14:textId="45704D1C" w:rsidR="00801550" w:rsidRDefault="00262885">
            <w:pPr>
              <w:pStyle w:val="Tabletext"/>
              <w:spacing w:before="0" w:after="0" w:line="240" w:lineRule="auto"/>
              <w:ind w:left="57" w:right="57"/>
              <w:jc w:val="center"/>
            </w:pPr>
            <w:r>
              <w:t xml:space="preserve">Sacituzumab </w:t>
            </w:r>
            <w:proofErr w:type="spellStart"/>
            <w:r>
              <w:t>govitecan</w:t>
            </w:r>
            <w:proofErr w:type="spellEnd"/>
            <w:r w:rsidR="00801550">
              <w:t xml:space="preserve"> (</w:t>
            </w:r>
            <w:proofErr w:type="gramStart"/>
            <w:r w:rsidR="00801550">
              <w:t>n</w:t>
            </w:r>
            <w:r w:rsidR="00863E80">
              <w:t xml:space="preserve"> </w:t>
            </w:r>
            <w:r>
              <w:t> </w:t>
            </w:r>
            <w:r w:rsidR="00801550">
              <w:t>=</w:t>
            </w:r>
            <w:proofErr w:type="gramEnd"/>
            <w:r>
              <w:t> </w:t>
            </w:r>
            <w:r w:rsidR="00801550">
              <w:t>258)</w:t>
            </w:r>
          </w:p>
        </w:tc>
        <w:tc>
          <w:tcPr>
            <w:tcW w:w="1551" w:type="pct"/>
            <w:gridSpan w:val="2"/>
            <w:hideMark/>
          </w:tcPr>
          <w:p w14:paraId="781729ED" w14:textId="3C7957D8" w:rsidR="00801550" w:rsidRDefault="00801550">
            <w:pPr>
              <w:pStyle w:val="Tabletext"/>
              <w:spacing w:before="0" w:after="0" w:line="240" w:lineRule="auto"/>
              <w:ind w:left="57" w:right="57"/>
              <w:jc w:val="center"/>
            </w:pPr>
            <w:r>
              <w:t>TPC (n</w:t>
            </w:r>
            <w:r w:rsidR="00863E80">
              <w:t xml:space="preserve"> </w:t>
            </w:r>
            <w:r>
              <w:t>=</w:t>
            </w:r>
            <w:r w:rsidR="00863E80">
              <w:t xml:space="preserve"> </w:t>
            </w:r>
            <w:r>
              <w:t>224)</w:t>
            </w:r>
          </w:p>
        </w:tc>
      </w:tr>
      <w:tr w:rsidR="00917D67" w14:paraId="01EDB4AA" w14:textId="77777777" w:rsidTr="00262885">
        <w:trPr>
          <w:trHeight w:val="20"/>
        </w:trPr>
        <w:tc>
          <w:tcPr>
            <w:tcW w:w="1885" w:type="pct"/>
            <w:vMerge/>
            <w:tcBorders>
              <w:top w:val="single" w:sz="8" w:space="0" w:color="000000" w:themeColor="text1"/>
              <w:left w:val="single" w:sz="8" w:space="0" w:color="000000" w:themeColor="text1"/>
              <w:bottom w:val="single" w:sz="8" w:space="0" w:color="000000" w:themeColor="text1"/>
              <w:right w:val="nil"/>
            </w:tcBorders>
            <w:vAlign w:val="center"/>
            <w:hideMark/>
          </w:tcPr>
          <w:p w14:paraId="2B00B27F" w14:textId="77777777" w:rsidR="00801550" w:rsidRDefault="00801550">
            <w:pPr>
              <w:spacing w:before="0" w:after="0" w:line="240" w:lineRule="auto"/>
              <w:ind w:left="0" w:right="0"/>
              <w:rPr>
                <w:b/>
                <w:color w:val="FFFFFF" w:themeColor="background1"/>
                <w:sz w:val="19"/>
              </w:rPr>
            </w:pPr>
          </w:p>
        </w:tc>
        <w:tc>
          <w:tcPr>
            <w:tcW w:w="77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DA7"/>
            <w:hideMark/>
          </w:tcPr>
          <w:p w14:paraId="54CC732C" w14:textId="77777777" w:rsidR="00801550" w:rsidRPr="00884D31" w:rsidRDefault="00801550">
            <w:pPr>
              <w:pStyle w:val="Tabletext"/>
              <w:spacing w:before="0" w:after="0" w:line="240" w:lineRule="auto"/>
              <w:ind w:left="57" w:right="57"/>
              <w:jc w:val="center"/>
              <w:rPr>
                <w:b/>
                <w:bCs/>
                <w:color w:val="FFFFFF" w:themeColor="background1"/>
              </w:rPr>
            </w:pPr>
            <w:r w:rsidRPr="00884D31">
              <w:rPr>
                <w:b/>
                <w:bCs/>
                <w:color w:val="FFFFFF" w:themeColor="background1"/>
              </w:rPr>
              <w:t>All Grades (%)</w:t>
            </w:r>
          </w:p>
        </w:tc>
        <w:tc>
          <w:tcPr>
            <w:tcW w:w="78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DA7"/>
            <w:hideMark/>
          </w:tcPr>
          <w:p w14:paraId="426B524D" w14:textId="004B1666" w:rsidR="00801550" w:rsidRPr="00884D31" w:rsidRDefault="00801550">
            <w:pPr>
              <w:pStyle w:val="Tabletext"/>
              <w:spacing w:before="0" w:after="0" w:line="240" w:lineRule="auto"/>
              <w:ind w:left="57" w:right="57"/>
              <w:jc w:val="center"/>
              <w:rPr>
                <w:b/>
                <w:bCs/>
                <w:color w:val="FFFFFF" w:themeColor="background1"/>
              </w:rPr>
            </w:pPr>
            <w:r w:rsidRPr="00884D31">
              <w:rPr>
                <w:b/>
                <w:bCs/>
                <w:color w:val="FFFFFF" w:themeColor="background1"/>
              </w:rPr>
              <w:t>Grade 3</w:t>
            </w:r>
            <w:r w:rsidR="00262885">
              <w:rPr>
                <w:b/>
                <w:bCs/>
                <w:color w:val="FFFFFF" w:themeColor="background1"/>
              </w:rPr>
              <w:t>/</w:t>
            </w:r>
            <w:r w:rsidRPr="00884D31">
              <w:rPr>
                <w:b/>
                <w:bCs/>
                <w:color w:val="FFFFFF" w:themeColor="background1"/>
              </w:rPr>
              <w:t>4 (%)</w:t>
            </w:r>
          </w:p>
        </w:tc>
        <w:tc>
          <w:tcPr>
            <w:tcW w:w="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DA7"/>
            <w:hideMark/>
          </w:tcPr>
          <w:p w14:paraId="2A411C5B" w14:textId="77777777" w:rsidR="00801550" w:rsidRPr="00884D31" w:rsidRDefault="00801550">
            <w:pPr>
              <w:pStyle w:val="Tabletext"/>
              <w:spacing w:before="0" w:after="0" w:line="240" w:lineRule="auto"/>
              <w:ind w:left="57" w:right="57"/>
              <w:jc w:val="center"/>
              <w:rPr>
                <w:b/>
                <w:bCs/>
                <w:color w:val="FFFFFF" w:themeColor="background1"/>
              </w:rPr>
            </w:pPr>
            <w:r w:rsidRPr="00884D31">
              <w:rPr>
                <w:b/>
                <w:bCs/>
                <w:color w:val="FFFFFF" w:themeColor="background1"/>
              </w:rPr>
              <w:t>All Grades (%)</w:t>
            </w:r>
          </w:p>
        </w:tc>
        <w:tc>
          <w:tcPr>
            <w:tcW w:w="77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DA7"/>
            <w:hideMark/>
          </w:tcPr>
          <w:p w14:paraId="1EE9945F" w14:textId="5BA6F7C2" w:rsidR="00801550" w:rsidRPr="00884D31" w:rsidRDefault="00801550">
            <w:pPr>
              <w:pStyle w:val="Tabletext"/>
              <w:spacing w:before="0" w:after="0" w:line="240" w:lineRule="auto"/>
              <w:ind w:left="57" w:right="57"/>
              <w:jc w:val="center"/>
              <w:rPr>
                <w:b/>
                <w:bCs/>
                <w:color w:val="FFFFFF" w:themeColor="background1"/>
              </w:rPr>
            </w:pPr>
            <w:r w:rsidRPr="00884D31">
              <w:rPr>
                <w:b/>
                <w:bCs/>
                <w:color w:val="FFFFFF" w:themeColor="background1"/>
              </w:rPr>
              <w:t>Grade 3</w:t>
            </w:r>
            <w:r w:rsidR="00262885">
              <w:rPr>
                <w:b/>
                <w:bCs/>
                <w:color w:val="FFFFFF" w:themeColor="background1"/>
              </w:rPr>
              <w:t>/</w:t>
            </w:r>
            <w:r w:rsidRPr="00884D31">
              <w:rPr>
                <w:b/>
                <w:bCs/>
                <w:color w:val="FFFFFF" w:themeColor="background1"/>
              </w:rPr>
              <w:t>4 (%)</w:t>
            </w:r>
          </w:p>
        </w:tc>
      </w:tr>
      <w:tr w:rsidR="00801550" w14:paraId="64F71B97" w14:textId="77777777" w:rsidTr="00884D31">
        <w:trPr>
          <w:trHeight w:val="20"/>
        </w:trPr>
        <w:tc>
          <w:tcPr>
            <w:tcW w:w="1885"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738A16C" w14:textId="77777777" w:rsidR="00801550" w:rsidRDefault="00801550">
            <w:pPr>
              <w:pStyle w:val="Tabletext"/>
              <w:spacing w:before="0" w:after="0" w:line="240" w:lineRule="auto"/>
              <w:ind w:left="57" w:right="57"/>
            </w:pPr>
            <w:r>
              <w:t>Decreased haemoglobin</w:t>
            </w:r>
          </w:p>
        </w:tc>
        <w:tc>
          <w:tcPr>
            <w:tcW w:w="776"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2956089" w14:textId="77777777" w:rsidR="00801550" w:rsidRDefault="00801550">
            <w:pPr>
              <w:pStyle w:val="Tabletext"/>
              <w:spacing w:before="0" w:after="0" w:line="240" w:lineRule="auto"/>
              <w:ind w:left="57" w:right="57"/>
              <w:jc w:val="center"/>
            </w:pPr>
            <w:r>
              <w:t>94</w:t>
            </w:r>
          </w:p>
        </w:tc>
        <w:tc>
          <w:tcPr>
            <w:tcW w:w="78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7A5505E" w14:textId="77777777" w:rsidR="00801550" w:rsidRDefault="00801550">
            <w:pPr>
              <w:pStyle w:val="Tabletext"/>
              <w:spacing w:before="0" w:after="0" w:line="240" w:lineRule="auto"/>
              <w:ind w:left="57" w:right="57"/>
              <w:jc w:val="center"/>
            </w:pPr>
            <w:r>
              <w:t>9</w:t>
            </w:r>
          </w:p>
        </w:tc>
        <w:tc>
          <w:tcPr>
            <w:tcW w:w="775"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C0915DE" w14:textId="77777777" w:rsidR="00801550" w:rsidRDefault="00801550">
            <w:pPr>
              <w:pStyle w:val="Tabletext"/>
              <w:spacing w:before="0" w:after="0" w:line="240" w:lineRule="auto"/>
              <w:ind w:left="57" w:right="57"/>
              <w:jc w:val="center"/>
            </w:pPr>
            <w:r>
              <w:t>57</w:t>
            </w:r>
          </w:p>
        </w:tc>
        <w:tc>
          <w:tcPr>
            <w:tcW w:w="776"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398B8D2" w14:textId="77777777" w:rsidR="00801550" w:rsidRDefault="00801550">
            <w:pPr>
              <w:pStyle w:val="Tabletext"/>
              <w:spacing w:before="0" w:after="0" w:line="240" w:lineRule="auto"/>
              <w:ind w:left="57" w:right="57"/>
              <w:jc w:val="center"/>
            </w:pPr>
            <w:r>
              <w:t>6</w:t>
            </w:r>
          </w:p>
        </w:tc>
      </w:tr>
      <w:tr w:rsidR="00801550" w14:paraId="46E8A7B5" w14:textId="77777777" w:rsidTr="00884D31">
        <w:trPr>
          <w:trHeight w:val="20"/>
        </w:trPr>
        <w:tc>
          <w:tcPr>
            <w:tcW w:w="1885"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6EA5EBF" w14:textId="77777777" w:rsidR="00801550" w:rsidRDefault="00801550">
            <w:pPr>
              <w:pStyle w:val="Tabletext"/>
              <w:spacing w:before="0" w:after="0" w:line="240" w:lineRule="auto"/>
              <w:ind w:left="57" w:right="57"/>
            </w:pPr>
            <w:r>
              <w:t>Decreased leukocytes</w:t>
            </w:r>
          </w:p>
        </w:tc>
        <w:tc>
          <w:tcPr>
            <w:tcW w:w="776"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841BF00" w14:textId="77777777" w:rsidR="00801550" w:rsidRDefault="00801550">
            <w:pPr>
              <w:pStyle w:val="Tabletext"/>
              <w:spacing w:before="0" w:after="0" w:line="240" w:lineRule="auto"/>
              <w:ind w:left="57" w:right="57"/>
              <w:jc w:val="center"/>
            </w:pPr>
            <w:r>
              <w:t>86</w:t>
            </w:r>
          </w:p>
        </w:tc>
        <w:tc>
          <w:tcPr>
            <w:tcW w:w="78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D490EFC" w14:textId="77777777" w:rsidR="00801550" w:rsidRDefault="00801550">
            <w:pPr>
              <w:pStyle w:val="Tabletext"/>
              <w:spacing w:before="0" w:after="0" w:line="240" w:lineRule="auto"/>
              <w:ind w:left="57" w:right="57"/>
              <w:jc w:val="center"/>
            </w:pPr>
            <w:r>
              <w:t>41</w:t>
            </w:r>
          </w:p>
        </w:tc>
        <w:tc>
          <w:tcPr>
            <w:tcW w:w="775"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6D0A4EC" w14:textId="77777777" w:rsidR="00801550" w:rsidRDefault="00801550">
            <w:pPr>
              <w:pStyle w:val="Tabletext"/>
              <w:spacing w:before="0" w:after="0" w:line="240" w:lineRule="auto"/>
              <w:ind w:left="57" w:right="57"/>
              <w:jc w:val="center"/>
            </w:pPr>
            <w:r>
              <w:t>53</w:t>
            </w:r>
          </w:p>
        </w:tc>
        <w:tc>
          <w:tcPr>
            <w:tcW w:w="776"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D53E798" w14:textId="77777777" w:rsidR="00801550" w:rsidRDefault="00801550">
            <w:pPr>
              <w:pStyle w:val="Tabletext"/>
              <w:spacing w:before="0" w:after="0" w:line="240" w:lineRule="auto"/>
              <w:ind w:left="57" w:right="57"/>
              <w:jc w:val="center"/>
            </w:pPr>
            <w:r>
              <w:t>25</w:t>
            </w:r>
          </w:p>
        </w:tc>
      </w:tr>
      <w:tr w:rsidR="00801550" w14:paraId="194F4899" w14:textId="77777777" w:rsidTr="00884D31">
        <w:trPr>
          <w:trHeight w:val="20"/>
        </w:trPr>
        <w:tc>
          <w:tcPr>
            <w:tcW w:w="1885"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6769D66" w14:textId="77777777" w:rsidR="00801550" w:rsidRDefault="00801550">
            <w:pPr>
              <w:pStyle w:val="Tabletext"/>
              <w:spacing w:before="0" w:after="0" w:line="240" w:lineRule="auto"/>
              <w:ind w:left="57" w:right="57"/>
            </w:pPr>
            <w:r>
              <w:t>Decreased neutrophils</w:t>
            </w:r>
          </w:p>
        </w:tc>
        <w:tc>
          <w:tcPr>
            <w:tcW w:w="776"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F81394E" w14:textId="77777777" w:rsidR="00801550" w:rsidRDefault="00801550">
            <w:pPr>
              <w:pStyle w:val="Tabletext"/>
              <w:spacing w:before="0" w:after="0" w:line="240" w:lineRule="auto"/>
              <w:ind w:left="57" w:right="57"/>
              <w:jc w:val="center"/>
            </w:pPr>
            <w:r>
              <w:t>78</w:t>
            </w:r>
          </w:p>
        </w:tc>
        <w:tc>
          <w:tcPr>
            <w:tcW w:w="78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B804AB7" w14:textId="77777777" w:rsidR="00801550" w:rsidRDefault="00801550">
            <w:pPr>
              <w:pStyle w:val="Tabletext"/>
              <w:spacing w:before="0" w:after="0" w:line="240" w:lineRule="auto"/>
              <w:ind w:left="57" w:right="57"/>
              <w:jc w:val="center"/>
            </w:pPr>
            <w:r>
              <w:t>49</w:t>
            </w:r>
          </w:p>
        </w:tc>
        <w:tc>
          <w:tcPr>
            <w:tcW w:w="775"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3BF1F2E" w14:textId="77777777" w:rsidR="00801550" w:rsidRDefault="00801550">
            <w:pPr>
              <w:pStyle w:val="Tabletext"/>
              <w:spacing w:before="0" w:after="0" w:line="240" w:lineRule="auto"/>
              <w:ind w:left="57" w:right="57"/>
              <w:jc w:val="center"/>
            </w:pPr>
            <w:r>
              <w:t>48</w:t>
            </w:r>
          </w:p>
        </w:tc>
        <w:tc>
          <w:tcPr>
            <w:tcW w:w="776"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61BF33E" w14:textId="77777777" w:rsidR="00801550" w:rsidRDefault="00801550">
            <w:pPr>
              <w:pStyle w:val="Tabletext"/>
              <w:spacing w:before="0" w:after="0" w:line="240" w:lineRule="auto"/>
              <w:ind w:left="57" w:right="57"/>
              <w:jc w:val="center"/>
            </w:pPr>
            <w:r>
              <w:t>36</w:t>
            </w:r>
          </w:p>
        </w:tc>
      </w:tr>
      <w:tr w:rsidR="00801550" w14:paraId="7984CCA8" w14:textId="77777777" w:rsidTr="00884D31">
        <w:trPr>
          <w:trHeight w:val="20"/>
        </w:trPr>
        <w:tc>
          <w:tcPr>
            <w:tcW w:w="1885"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1A0DC78" w14:textId="77777777" w:rsidR="00801550" w:rsidRDefault="00801550">
            <w:pPr>
              <w:pStyle w:val="Tabletext"/>
              <w:spacing w:before="0" w:after="0" w:line="240" w:lineRule="auto"/>
              <w:ind w:left="57" w:right="57"/>
            </w:pPr>
            <w:r>
              <w:t>Decreased lymphocytes</w:t>
            </w:r>
          </w:p>
        </w:tc>
        <w:tc>
          <w:tcPr>
            <w:tcW w:w="776"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33694A0" w14:textId="77777777" w:rsidR="00801550" w:rsidRDefault="00801550">
            <w:pPr>
              <w:pStyle w:val="Tabletext"/>
              <w:spacing w:before="0" w:after="0" w:line="240" w:lineRule="auto"/>
              <w:ind w:left="57" w:right="57"/>
              <w:jc w:val="center"/>
            </w:pPr>
            <w:r>
              <w:t>88</w:t>
            </w:r>
          </w:p>
        </w:tc>
        <w:tc>
          <w:tcPr>
            <w:tcW w:w="78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FF09E55" w14:textId="77777777" w:rsidR="00801550" w:rsidRDefault="00801550">
            <w:pPr>
              <w:pStyle w:val="Tabletext"/>
              <w:spacing w:before="0" w:after="0" w:line="240" w:lineRule="auto"/>
              <w:ind w:left="57" w:right="57"/>
              <w:jc w:val="center"/>
            </w:pPr>
            <w:r>
              <w:t>31</w:t>
            </w:r>
          </w:p>
        </w:tc>
        <w:tc>
          <w:tcPr>
            <w:tcW w:w="775"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CF7056A" w14:textId="77777777" w:rsidR="00801550" w:rsidRDefault="00801550">
            <w:pPr>
              <w:pStyle w:val="Tabletext"/>
              <w:spacing w:before="0" w:after="0" w:line="240" w:lineRule="auto"/>
              <w:ind w:left="57" w:right="57"/>
              <w:jc w:val="center"/>
            </w:pPr>
            <w:r>
              <w:t>40</w:t>
            </w:r>
          </w:p>
        </w:tc>
        <w:tc>
          <w:tcPr>
            <w:tcW w:w="776"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B976183" w14:textId="77777777" w:rsidR="00801550" w:rsidRDefault="00801550">
            <w:pPr>
              <w:pStyle w:val="Tabletext"/>
              <w:spacing w:before="0" w:after="0" w:line="240" w:lineRule="auto"/>
              <w:ind w:left="57" w:right="57"/>
              <w:jc w:val="center"/>
            </w:pPr>
            <w:r>
              <w:t>24</w:t>
            </w:r>
          </w:p>
        </w:tc>
      </w:tr>
      <w:tr w:rsidR="00801550" w14:paraId="7AFE7F2B" w14:textId="77777777" w:rsidTr="00884D31">
        <w:trPr>
          <w:trHeight w:val="20"/>
        </w:trPr>
        <w:tc>
          <w:tcPr>
            <w:tcW w:w="1885"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6AC42C9" w14:textId="77777777" w:rsidR="00801550" w:rsidRDefault="00801550">
            <w:pPr>
              <w:pStyle w:val="Tabletext"/>
              <w:spacing w:before="0" w:after="0" w:line="240" w:lineRule="auto"/>
              <w:ind w:left="57" w:right="57"/>
            </w:pPr>
            <w:r>
              <w:t>Decreased platelets</w:t>
            </w:r>
          </w:p>
        </w:tc>
        <w:tc>
          <w:tcPr>
            <w:tcW w:w="776"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98B1FAA" w14:textId="77777777" w:rsidR="00801550" w:rsidRDefault="00801550">
            <w:pPr>
              <w:pStyle w:val="Tabletext"/>
              <w:spacing w:before="0" w:after="0" w:line="240" w:lineRule="auto"/>
              <w:ind w:left="57" w:right="57"/>
              <w:jc w:val="center"/>
            </w:pPr>
            <w:r>
              <w:t>23</w:t>
            </w:r>
          </w:p>
        </w:tc>
        <w:tc>
          <w:tcPr>
            <w:tcW w:w="788"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94AA654" w14:textId="77777777" w:rsidR="00801550" w:rsidRDefault="00801550">
            <w:pPr>
              <w:pStyle w:val="Tabletext"/>
              <w:spacing w:before="0" w:after="0" w:line="240" w:lineRule="auto"/>
              <w:ind w:left="57" w:right="57"/>
              <w:jc w:val="center"/>
            </w:pPr>
            <w:r>
              <w:t>1.2</w:t>
            </w:r>
          </w:p>
        </w:tc>
        <w:tc>
          <w:tcPr>
            <w:tcW w:w="775"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FDBE219" w14:textId="77777777" w:rsidR="00801550" w:rsidRDefault="00801550">
            <w:pPr>
              <w:pStyle w:val="Tabletext"/>
              <w:spacing w:before="0" w:after="0" w:line="240" w:lineRule="auto"/>
              <w:ind w:left="57" w:right="57"/>
              <w:jc w:val="center"/>
            </w:pPr>
            <w:r>
              <w:t>25</w:t>
            </w:r>
          </w:p>
        </w:tc>
        <w:tc>
          <w:tcPr>
            <w:tcW w:w="776"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17D9D0A" w14:textId="77777777" w:rsidR="00801550" w:rsidRDefault="00801550">
            <w:pPr>
              <w:pStyle w:val="Tabletext"/>
              <w:spacing w:before="0" w:after="0" w:line="240" w:lineRule="auto"/>
              <w:ind w:left="57" w:right="57"/>
              <w:jc w:val="center"/>
            </w:pPr>
            <w:r>
              <w:t>2.7</w:t>
            </w:r>
          </w:p>
        </w:tc>
      </w:tr>
    </w:tbl>
    <w:p w14:paraId="1BEEBE65" w14:textId="16CA7CCA" w:rsidR="00B13D59" w:rsidRDefault="00B13D59" w:rsidP="00B13D59">
      <w:pPr>
        <w:pStyle w:val="Heading5"/>
      </w:pPr>
      <w:r>
        <w:t xml:space="preserve">Pooled safety data including </w:t>
      </w:r>
      <w:r w:rsidR="00262885">
        <w:t xml:space="preserve">data </w:t>
      </w:r>
      <w:r>
        <w:t>from Study IMMU-132-01</w:t>
      </w:r>
    </w:p>
    <w:p w14:paraId="310AEA41" w14:textId="2F7BA9DE" w:rsidR="00B13D59" w:rsidRDefault="00B13D59" w:rsidP="00B13D59">
      <w:r>
        <w:t xml:space="preserve">Safety data was submitted for two pooled safety populations incorporating patients treated in </w:t>
      </w:r>
      <w:r w:rsidR="00262885">
        <w:t>Study-132-05 (</w:t>
      </w:r>
      <w:r>
        <w:t xml:space="preserve">ASCENT </w:t>
      </w:r>
      <w:r w:rsidR="007C1D45">
        <w:t>trial</w:t>
      </w:r>
      <w:r w:rsidR="00262885">
        <w:t>; described above)</w:t>
      </w:r>
      <w:r w:rsidR="007C1D45">
        <w:t xml:space="preserve"> </w:t>
      </w:r>
      <w:r>
        <w:t>and those treated in Study</w:t>
      </w:r>
      <w:r w:rsidR="00262885">
        <w:t> </w:t>
      </w:r>
      <w:r>
        <w:t>IMMU-132-01 (the earlier phase, basket study), which included a group of patients with m</w:t>
      </w:r>
      <w:r w:rsidR="00262885">
        <w:t xml:space="preserve">etastatic </w:t>
      </w:r>
      <w:r>
        <w:t>TNBC:</w:t>
      </w:r>
    </w:p>
    <w:p w14:paraId="0AC996FC" w14:textId="7A62AFEC" w:rsidR="00B13D59" w:rsidRDefault="00B13D59" w:rsidP="00B13D59">
      <w:pPr>
        <w:pStyle w:val="ListBullet"/>
      </w:pPr>
      <w:r>
        <w:t xml:space="preserve">Overall </w:t>
      </w:r>
      <w:r w:rsidR="00262885">
        <w:t>t</w:t>
      </w:r>
      <w:r>
        <w:t>arget TNBC pool (N</w:t>
      </w:r>
      <w:r w:rsidR="00863E80">
        <w:t xml:space="preserve"> </w:t>
      </w:r>
      <w:r>
        <w:t>=</w:t>
      </w:r>
      <w:r w:rsidR="00863E80">
        <w:t xml:space="preserve"> </w:t>
      </w:r>
      <w:r>
        <w:t>366)</w:t>
      </w:r>
    </w:p>
    <w:p w14:paraId="5F89AFCF" w14:textId="41EDB63A" w:rsidR="00175529" w:rsidRDefault="00B13D59" w:rsidP="001E3239">
      <w:pPr>
        <w:pStyle w:val="ListBullet2"/>
      </w:pPr>
      <w:r>
        <w:t>All m</w:t>
      </w:r>
      <w:r w:rsidR="00262885">
        <w:t xml:space="preserve">etastatic </w:t>
      </w:r>
      <w:r>
        <w:t xml:space="preserve">TNBC patients who received a starting dose of 10 mg/kg </w:t>
      </w:r>
      <w:proofErr w:type="spellStart"/>
      <w:r w:rsidR="00262885">
        <w:t>sacituzumab</w:t>
      </w:r>
      <w:proofErr w:type="spellEnd"/>
      <w:r w:rsidR="00262885">
        <w:t xml:space="preserve"> </w:t>
      </w:r>
      <w:proofErr w:type="spellStart"/>
      <w:r w:rsidR="00262885">
        <w:t>govitecan</w:t>
      </w:r>
      <w:proofErr w:type="spellEnd"/>
      <w:r>
        <w:t xml:space="preserve"> in Study IMMU-132-01 and all patients treated with </w:t>
      </w:r>
      <w:proofErr w:type="spellStart"/>
      <w:r w:rsidR="00262885">
        <w:t>sacituzumab</w:t>
      </w:r>
      <w:proofErr w:type="spellEnd"/>
      <w:r w:rsidR="00262885">
        <w:t xml:space="preserve"> </w:t>
      </w:r>
      <w:proofErr w:type="spellStart"/>
      <w:r w:rsidR="00262885">
        <w:t>govitecan</w:t>
      </w:r>
      <w:proofErr w:type="spellEnd"/>
      <w:r>
        <w:t xml:space="preserve"> in Study IMMU-132-05</w:t>
      </w:r>
      <w:r w:rsidR="00175529">
        <w:t>.</w:t>
      </w:r>
    </w:p>
    <w:p w14:paraId="2EE10690" w14:textId="4B26EEBD" w:rsidR="00B13D59" w:rsidRDefault="00B13D59" w:rsidP="00B13D59">
      <w:pPr>
        <w:pStyle w:val="ListBullet"/>
      </w:pPr>
      <w:r>
        <w:t xml:space="preserve">All </w:t>
      </w:r>
      <w:r w:rsidR="00262885">
        <w:t>t</w:t>
      </w:r>
      <w:r>
        <w:t>reated pool (N</w:t>
      </w:r>
      <w:r w:rsidR="00863E80">
        <w:t xml:space="preserve"> </w:t>
      </w:r>
      <w:r>
        <w:t>=</w:t>
      </w:r>
      <w:r w:rsidR="00863E80">
        <w:t xml:space="preserve"> </w:t>
      </w:r>
      <w:r>
        <w:t>660)</w:t>
      </w:r>
    </w:p>
    <w:p w14:paraId="402A7350" w14:textId="1CD9C148" w:rsidR="00175529" w:rsidRDefault="00B13D59" w:rsidP="001E3239">
      <w:pPr>
        <w:pStyle w:val="ListBullet2"/>
      </w:pPr>
      <w:r>
        <w:t xml:space="preserve">All patients who received a starting dose of 10 mg/kg </w:t>
      </w:r>
      <w:proofErr w:type="spellStart"/>
      <w:r w:rsidR="00262885">
        <w:t>sacituzumab</w:t>
      </w:r>
      <w:proofErr w:type="spellEnd"/>
      <w:r w:rsidR="00262885">
        <w:t xml:space="preserve"> </w:t>
      </w:r>
      <w:proofErr w:type="spellStart"/>
      <w:r w:rsidR="00262885">
        <w:t>govitecan</w:t>
      </w:r>
      <w:proofErr w:type="spellEnd"/>
      <w:r>
        <w:t xml:space="preserve"> regardless of tumour type in Study IMMU-132-01 and all patients treated with </w:t>
      </w:r>
      <w:proofErr w:type="spellStart"/>
      <w:r w:rsidR="00262885">
        <w:t>sacituzumab</w:t>
      </w:r>
      <w:proofErr w:type="spellEnd"/>
      <w:r w:rsidR="00262885">
        <w:t xml:space="preserve"> </w:t>
      </w:r>
      <w:proofErr w:type="spellStart"/>
      <w:r w:rsidR="00262885">
        <w:t>govitecan</w:t>
      </w:r>
      <w:proofErr w:type="spellEnd"/>
      <w:r>
        <w:t xml:space="preserve"> in Study IMMU-132-05</w:t>
      </w:r>
      <w:r w:rsidR="00175529">
        <w:t>.</w:t>
      </w:r>
    </w:p>
    <w:p w14:paraId="796C7F39" w14:textId="27FF924E" w:rsidR="00B13D59" w:rsidRDefault="00B13D59" w:rsidP="00B13D59">
      <w:r>
        <w:t>The tumour types conferring eligibility for enrolment in Study IMMU-132-01 were a range of advanced, relapsed or refractory epithelial cancers: ovarian, endometrial, cervical, m</w:t>
      </w:r>
      <w:r w:rsidR="00262885">
        <w:t xml:space="preserve">etastatic </w:t>
      </w:r>
      <w:r>
        <w:t>TNBC, HR+/HER2- m</w:t>
      </w:r>
      <w:r w:rsidR="00262885">
        <w:t>etastatic breast cancer</w:t>
      </w:r>
      <w:r>
        <w:t xml:space="preserve">, castration-resistant prostate cancer, colorectal cancer, non-small cell lung cancer (NSCLC), small cell lung cancer, head and neck squamous cell cancer, oesophageal, gastric, pancreatic, hepatocellular, renal (clear cell), thyroid (papillary), and metastatic urothelial cancer. Patients with </w:t>
      </w:r>
      <w:r w:rsidR="00262885">
        <w:t>glioblastoma</w:t>
      </w:r>
      <w:r>
        <w:t xml:space="preserve"> were also eligible but were not required to have metastatic disease.</w:t>
      </w:r>
    </w:p>
    <w:p w14:paraId="32897402" w14:textId="5BAD9B3A" w:rsidR="00B13D59" w:rsidRDefault="00B13D59" w:rsidP="00B13D59">
      <w:r>
        <w:t xml:space="preserve">The safety profile for </w:t>
      </w:r>
      <w:proofErr w:type="spellStart"/>
      <w:r w:rsidR="00262885">
        <w:t>sacituzumab</w:t>
      </w:r>
      <w:proofErr w:type="spellEnd"/>
      <w:r w:rsidR="00262885">
        <w:t xml:space="preserve"> </w:t>
      </w:r>
      <w:proofErr w:type="spellStart"/>
      <w:r w:rsidR="00262885">
        <w:t>govitecan</w:t>
      </w:r>
      <w:proofErr w:type="spellEnd"/>
      <w:r>
        <w:t xml:space="preserve"> seen in Study IMMU-132-01 and the </w:t>
      </w:r>
      <w:r w:rsidR="00262885">
        <w:t>ov</w:t>
      </w:r>
      <w:r>
        <w:t xml:space="preserve">erall </w:t>
      </w:r>
      <w:r w:rsidR="00262885">
        <w:t>t</w:t>
      </w:r>
      <w:r>
        <w:t xml:space="preserve">arget TNBC and </w:t>
      </w:r>
      <w:r w:rsidR="00262885">
        <w:t>a</w:t>
      </w:r>
      <w:r>
        <w:t xml:space="preserve">ll </w:t>
      </w:r>
      <w:r w:rsidR="00262885">
        <w:t>t</w:t>
      </w:r>
      <w:r>
        <w:t xml:space="preserve">reated pools was consistent with that seen in </w:t>
      </w:r>
      <w:r w:rsidR="00262885">
        <w:t xml:space="preserve">the </w:t>
      </w:r>
      <w:r>
        <w:t>ASCENT</w:t>
      </w:r>
      <w:r w:rsidR="007C1D45">
        <w:t xml:space="preserve"> trial</w:t>
      </w:r>
      <w:r>
        <w:t>.</w:t>
      </w:r>
    </w:p>
    <w:p w14:paraId="6DA09BB3" w14:textId="77777777" w:rsidR="00B13D59" w:rsidRDefault="00B13D59" w:rsidP="00B13D59">
      <w:pPr>
        <w:pStyle w:val="Heading5"/>
      </w:pPr>
      <w:r>
        <w:t>Immunogenicity</w:t>
      </w:r>
    </w:p>
    <w:p w14:paraId="458201DC" w14:textId="5A748A5E" w:rsidR="00B13D59" w:rsidRDefault="00B13D59" w:rsidP="00B13D59">
      <w:r>
        <w:t>Serum samples from 106 patients with m</w:t>
      </w:r>
      <w:r w:rsidR="00262885">
        <w:t xml:space="preserve">etastatic </w:t>
      </w:r>
      <w:r>
        <w:t xml:space="preserve">TNBC in the </w:t>
      </w:r>
      <w:r w:rsidR="00BC1556">
        <w:t>P</w:t>
      </w:r>
      <w:r>
        <w:t>hase I/II Study</w:t>
      </w:r>
      <w:r w:rsidR="00262885">
        <w:t> </w:t>
      </w:r>
      <w:r>
        <w:t>IMMU</w:t>
      </w:r>
      <w:r w:rsidR="00262885">
        <w:noBreakHyphen/>
      </w:r>
      <w:r>
        <w:t>132-01 were evaluated for anti-drug antibodies</w:t>
      </w:r>
      <w:r w:rsidR="00262885">
        <w:t xml:space="preserve"> (ADA)</w:t>
      </w:r>
      <w:r>
        <w:t xml:space="preserve"> using an </w:t>
      </w:r>
      <w:r>
        <w:lastRenderedPageBreak/>
        <w:t xml:space="preserve">electrochemiluminescence (ECL)-based immunoassay. Samples were collected at </w:t>
      </w:r>
      <w:r w:rsidR="00C117D5">
        <w:t>B</w:t>
      </w:r>
      <w:r>
        <w:t xml:space="preserve">aseline and </w:t>
      </w:r>
      <w:proofErr w:type="spellStart"/>
      <w:r>
        <w:t>preinfusion</w:t>
      </w:r>
      <w:proofErr w:type="spellEnd"/>
      <w:r>
        <w:t xml:space="preserve"> on Day 1 of even treatment cycles.</w:t>
      </w:r>
    </w:p>
    <w:p w14:paraId="278E3B0D" w14:textId="78426F4E" w:rsidR="00B13D59" w:rsidRDefault="00B13D59" w:rsidP="00B13D59">
      <w:r>
        <w:t>Antidrug antibodies were assessed using a validated, 3-tier assay, consisting of Tier 1 (screening), Tier 2 (confirmatory), and Tier 3 (titr</w:t>
      </w:r>
      <w:r w:rsidR="00262885">
        <w:t>e</w:t>
      </w:r>
      <w:r>
        <w:t xml:space="preserve"> assessment). Persistent anti</w:t>
      </w:r>
      <w:r>
        <w:noBreakHyphen/>
      </w:r>
      <w:proofErr w:type="spellStart"/>
      <w:r w:rsidR="00262885">
        <w:t>sacituzumab</w:t>
      </w:r>
      <w:proofErr w:type="spellEnd"/>
      <w:r w:rsidR="00262885">
        <w:t xml:space="preserve"> </w:t>
      </w:r>
      <w:proofErr w:type="spellStart"/>
      <w:r w:rsidR="00262885">
        <w:t>govitecan</w:t>
      </w:r>
      <w:proofErr w:type="spellEnd"/>
      <w:r w:rsidR="00262885">
        <w:t xml:space="preserve"> </w:t>
      </w:r>
      <w:r>
        <w:t>antibodies developed in two patients (2%). The limited available data are not adequate to evaluate the impact of immunogenicity on PK, efficacy, or safety.</w:t>
      </w:r>
    </w:p>
    <w:p w14:paraId="197DEBFA" w14:textId="09823AFD" w:rsidR="00F377D5" w:rsidRPr="00B13D59" w:rsidRDefault="00B13D59" w:rsidP="004B5176">
      <w:pPr>
        <w:rPr>
          <w:rFonts w:ascii="Calibri" w:eastAsiaTheme="minorHAnsi" w:hAnsi="Calibri"/>
        </w:rPr>
      </w:pPr>
      <w:r>
        <w:t>An analysis of the potential effect of drug tolerance on the detection of ADA indicated that the total hRS7 IgG drug tolerance of the prior ADA assay (≤</w:t>
      </w:r>
      <w:r w:rsidR="00262885">
        <w:t> </w:t>
      </w:r>
      <w:r>
        <w:t>25</w:t>
      </w:r>
      <w:r w:rsidR="00327B84">
        <w:t> </w:t>
      </w:r>
      <w:r>
        <w:t xml:space="preserve">μg/mL) was inadequate. This does not invalidate the above finding from Study IMMU-132-01, however, immunogenicity data from Study IMMU-132-05 are currently not available. Upon completion of sample analysis from Studies IMMU-132-01 and IMMU-132-05, the impact of immunogenicity on PK, safety, and efficacy will be assessed, and the </w:t>
      </w:r>
      <w:r w:rsidR="005D2BF1">
        <w:t>s</w:t>
      </w:r>
      <w:r>
        <w:t xml:space="preserve">ponsor has indicated their intention to provide analysis results to </w:t>
      </w:r>
      <w:r w:rsidR="00BC1556">
        <w:t xml:space="preserve">the </w:t>
      </w:r>
      <w:r>
        <w:t xml:space="preserve">TGA </w:t>
      </w:r>
      <w:r>
        <w:rPr>
          <w:lang w:val="en-US"/>
        </w:rPr>
        <w:t>when</w:t>
      </w:r>
      <w:r>
        <w:rPr>
          <w:color w:val="000000"/>
          <w:lang w:val="en-US"/>
        </w:rPr>
        <w:t xml:space="preserve"> </w:t>
      </w:r>
      <w:r>
        <w:rPr>
          <w:lang w:val="en-US"/>
        </w:rPr>
        <w:t>they become available</w:t>
      </w:r>
      <w:r>
        <w:t>.</w:t>
      </w:r>
    </w:p>
    <w:p w14:paraId="206C0A95" w14:textId="34EC8201" w:rsidR="008E7846" w:rsidRDefault="00386150" w:rsidP="007B6132">
      <w:pPr>
        <w:pStyle w:val="Heading3"/>
        <w:rPr>
          <w:lang w:eastAsia="en-AU"/>
        </w:rPr>
      </w:pPr>
      <w:bookmarkStart w:id="59" w:name="_Toc91147299"/>
      <w:r>
        <w:rPr>
          <w:lang w:eastAsia="en-AU"/>
        </w:rPr>
        <w:t>Risk m</w:t>
      </w:r>
      <w:r w:rsidR="008E7846">
        <w:rPr>
          <w:lang w:eastAsia="en-AU"/>
        </w:rPr>
        <w:t xml:space="preserve">anagement </w:t>
      </w:r>
      <w:r>
        <w:rPr>
          <w:lang w:eastAsia="en-AU"/>
        </w:rPr>
        <w:t>p</w:t>
      </w:r>
      <w:r w:rsidR="008E7846">
        <w:rPr>
          <w:lang w:eastAsia="en-AU"/>
        </w:rPr>
        <w:t>lan</w:t>
      </w:r>
      <w:bookmarkEnd w:id="41"/>
      <w:bookmarkEnd w:id="59"/>
    </w:p>
    <w:p w14:paraId="181736C9" w14:textId="5FE17187" w:rsidR="00C96BD0" w:rsidRPr="00C96BD0" w:rsidRDefault="00C96BD0" w:rsidP="00C96BD0">
      <w:pPr>
        <w:rPr>
          <w:szCs w:val="24"/>
        </w:rPr>
      </w:pPr>
      <w:r w:rsidRPr="00C96BD0">
        <w:t xml:space="preserve">The TGA has assessed </w:t>
      </w:r>
      <w:r w:rsidR="00BC1556">
        <w:t>European Union risk management plan (</w:t>
      </w:r>
      <w:r w:rsidRPr="00C96BD0">
        <w:t>EU-RMP</w:t>
      </w:r>
      <w:r w:rsidR="00BC1556">
        <w:t>)</w:t>
      </w:r>
      <w:r w:rsidRPr="00C96BD0">
        <w:t xml:space="preserve"> version 0.1 (7</w:t>
      </w:r>
      <w:r w:rsidR="00262885">
        <w:t> </w:t>
      </w:r>
      <w:r w:rsidRPr="00C96BD0">
        <w:t xml:space="preserve">January 2021; </w:t>
      </w:r>
      <w:r w:rsidR="00BC1556">
        <w:t>data lock point (</w:t>
      </w:r>
      <w:r w:rsidRPr="00C96BD0">
        <w:t>DLP</w:t>
      </w:r>
      <w:r w:rsidR="00BC1556">
        <w:t>)</w:t>
      </w:r>
      <w:r w:rsidRPr="00C96BD0">
        <w:t xml:space="preserve"> 18 September 2020) and </w:t>
      </w:r>
      <w:r w:rsidR="00BC1556">
        <w:t>Australian Specific Annex (</w:t>
      </w:r>
      <w:r w:rsidRPr="00C96BD0">
        <w:t>ASA</w:t>
      </w:r>
      <w:r w:rsidR="00BC1556">
        <w:t>)</w:t>
      </w:r>
      <w:r w:rsidRPr="00C96BD0">
        <w:t xml:space="preserve"> version 1.0 (7 January 2021) in support of this application. With the response to the Rolling Questions (sent to sponsor 18 June 2021), the sponsor submitted updated ASA version 0.2 (date 18 June 2021). In response to the</w:t>
      </w:r>
      <w:r w:rsidR="00D34CFD">
        <w:t xml:space="preserve"> </w:t>
      </w:r>
      <w:proofErr w:type="gramStart"/>
      <w:r w:rsidR="00D34CFD">
        <w:t>second round</w:t>
      </w:r>
      <w:proofErr w:type="gramEnd"/>
      <w:r w:rsidR="00D34CFD">
        <w:t xml:space="preserve"> evaluation</w:t>
      </w:r>
      <w:r w:rsidRPr="00C96BD0">
        <w:t xml:space="preserve"> recommendation the sponsor submitted EU RMP version 0.1 (16 February 2021, DLP 18</w:t>
      </w:r>
      <w:r w:rsidR="00262885">
        <w:t> </w:t>
      </w:r>
      <w:r w:rsidRPr="00C96BD0">
        <w:t>September 2020).</w:t>
      </w:r>
    </w:p>
    <w:p w14:paraId="5C957D82" w14:textId="15A4AA10" w:rsidR="007D53B6" w:rsidRDefault="007D53B6" w:rsidP="007D53B6">
      <w:r>
        <w:t xml:space="preserve">The summary of safety concerns and their associated risk monitoring and mitigation strategies are summarised in </w:t>
      </w:r>
      <w:r w:rsidR="00C96BD0">
        <w:fldChar w:fldCharType="begin"/>
      </w:r>
      <w:r w:rsidR="00C96BD0">
        <w:instrText xml:space="preserve"> REF _Ref90547228 \h </w:instrText>
      </w:r>
      <w:r w:rsidR="00C96BD0">
        <w:fldChar w:fldCharType="separate"/>
      </w:r>
      <w:r w:rsidR="00C96BD0">
        <w:t xml:space="preserve">Table </w:t>
      </w:r>
      <w:r w:rsidR="00C96BD0">
        <w:rPr>
          <w:noProof/>
        </w:rPr>
        <w:t>15</w:t>
      </w:r>
      <w:r w:rsidR="00C96BD0">
        <w:fldChar w:fldCharType="end"/>
      </w:r>
      <w:r w:rsidR="00C96BD0">
        <w:t>.</w:t>
      </w:r>
      <w:r w:rsidR="00125B08">
        <w:rPr>
          <w:rStyle w:val="FootnoteReference"/>
        </w:rPr>
        <w:footnoteReference w:id="15"/>
      </w:r>
    </w:p>
    <w:p w14:paraId="410DE0F6" w14:textId="58663FAB" w:rsidR="00C96BD0" w:rsidRDefault="00C96BD0" w:rsidP="00C96BD0">
      <w:pPr>
        <w:pStyle w:val="TableTitle"/>
      </w:pPr>
      <w:bookmarkStart w:id="60" w:name="_Ref90547228"/>
      <w:r>
        <w:t xml:space="preserve">Table </w:t>
      </w:r>
      <w:fldSimple w:instr=" SEQ Table \* ARABIC ">
        <w:r w:rsidR="007D09B2">
          <w:rPr>
            <w:noProof/>
          </w:rPr>
          <w:t>15</w:t>
        </w:r>
      </w:fldSimple>
      <w:bookmarkEnd w:id="60"/>
      <w:r>
        <w:t>:</w:t>
      </w:r>
      <w:r w:rsidR="0076299A">
        <w:t xml:space="preserve"> </w:t>
      </w:r>
      <w:r>
        <w:t>Summary of safety concerns</w:t>
      </w:r>
    </w:p>
    <w:tbl>
      <w:tblPr>
        <w:tblStyle w:val="TableTGAblue"/>
        <w:tblW w:w="5298" w:type="pct"/>
        <w:tblLayout w:type="fixed"/>
        <w:tblLook w:val="04A0" w:firstRow="1" w:lastRow="0" w:firstColumn="1" w:lastColumn="0" w:noHBand="0" w:noVBand="1"/>
      </w:tblPr>
      <w:tblGrid>
        <w:gridCol w:w="1700"/>
        <w:gridCol w:w="1832"/>
        <w:gridCol w:w="1277"/>
        <w:gridCol w:w="1417"/>
        <w:gridCol w:w="1277"/>
        <w:gridCol w:w="1487"/>
      </w:tblGrid>
      <w:tr w:rsidR="005F3E98" w:rsidRPr="00BF52F4" w14:paraId="3814DD7A" w14:textId="77777777" w:rsidTr="002E4389">
        <w:trPr>
          <w:cnfStyle w:val="100000000000" w:firstRow="1" w:lastRow="0" w:firstColumn="0" w:lastColumn="0" w:oddVBand="0" w:evenVBand="0" w:oddHBand="0" w:evenHBand="0" w:firstRowFirstColumn="0" w:firstRowLastColumn="0" w:lastRowFirstColumn="0" w:lastRowLastColumn="0"/>
          <w:trHeight w:val="133"/>
        </w:trPr>
        <w:tc>
          <w:tcPr>
            <w:tcW w:w="1964" w:type="pct"/>
            <w:gridSpan w:val="2"/>
            <w:vMerge w:val="restart"/>
          </w:tcPr>
          <w:p w14:paraId="31A0A384" w14:textId="77777777" w:rsidR="00C96BD0" w:rsidRPr="00BF52F4" w:rsidRDefault="00C96BD0" w:rsidP="006B458B">
            <w:pPr>
              <w:pStyle w:val="Tabletext"/>
              <w:spacing w:line="276" w:lineRule="auto"/>
              <w:rPr>
                <w:b w:val="0"/>
              </w:rPr>
            </w:pPr>
            <w:r w:rsidRPr="00BF52F4">
              <w:t>Summary of safety concerns</w:t>
            </w:r>
          </w:p>
        </w:tc>
        <w:tc>
          <w:tcPr>
            <w:tcW w:w="1498" w:type="pct"/>
            <w:gridSpan w:val="2"/>
          </w:tcPr>
          <w:p w14:paraId="7AADCF0C" w14:textId="77777777" w:rsidR="00C96BD0" w:rsidRPr="00BF52F4" w:rsidRDefault="00C96BD0" w:rsidP="006B458B">
            <w:pPr>
              <w:pStyle w:val="Tabletext"/>
              <w:spacing w:line="276" w:lineRule="auto"/>
              <w:rPr>
                <w:b w:val="0"/>
                <w:sz w:val="18"/>
              </w:rPr>
            </w:pPr>
            <w:r w:rsidRPr="00BF52F4">
              <w:rPr>
                <w:sz w:val="18"/>
              </w:rPr>
              <w:t>Pharmacovigilance</w:t>
            </w:r>
          </w:p>
        </w:tc>
        <w:tc>
          <w:tcPr>
            <w:tcW w:w="1537" w:type="pct"/>
            <w:gridSpan w:val="2"/>
          </w:tcPr>
          <w:p w14:paraId="78ED063A" w14:textId="77777777" w:rsidR="00C96BD0" w:rsidRPr="00BF52F4" w:rsidRDefault="00C96BD0" w:rsidP="006B458B">
            <w:pPr>
              <w:pStyle w:val="Tabletext"/>
              <w:spacing w:line="276" w:lineRule="auto"/>
              <w:rPr>
                <w:b w:val="0"/>
                <w:sz w:val="18"/>
              </w:rPr>
            </w:pPr>
            <w:r w:rsidRPr="00BF52F4">
              <w:rPr>
                <w:sz w:val="18"/>
              </w:rPr>
              <w:t>Risk Minimisation</w:t>
            </w:r>
          </w:p>
        </w:tc>
      </w:tr>
      <w:tr w:rsidR="005F3E98" w:rsidRPr="00BF52F4" w14:paraId="2117F548" w14:textId="77777777" w:rsidTr="002E4389">
        <w:trPr>
          <w:trHeight w:val="153"/>
        </w:trPr>
        <w:tc>
          <w:tcPr>
            <w:tcW w:w="1964" w:type="pct"/>
            <w:gridSpan w:val="2"/>
            <w:vMerge/>
          </w:tcPr>
          <w:p w14:paraId="13815549" w14:textId="77777777" w:rsidR="00C96BD0" w:rsidRPr="00BF52F4" w:rsidRDefault="00C96BD0" w:rsidP="006B458B">
            <w:pPr>
              <w:pStyle w:val="Tabletext"/>
              <w:spacing w:line="276" w:lineRule="auto"/>
              <w:rPr>
                <w:b/>
              </w:rPr>
            </w:pPr>
          </w:p>
        </w:tc>
        <w:tc>
          <w:tcPr>
            <w:tcW w:w="710" w:type="pct"/>
            <w:shd w:val="clear" w:color="auto" w:fill="006DA7"/>
          </w:tcPr>
          <w:p w14:paraId="63B17B54" w14:textId="77777777" w:rsidR="00C96BD0" w:rsidRPr="002E4389" w:rsidRDefault="00C96BD0" w:rsidP="006B458B">
            <w:pPr>
              <w:pStyle w:val="Tabletext"/>
              <w:spacing w:line="276" w:lineRule="auto"/>
              <w:rPr>
                <w:color w:val="FFFFFF" w:themeColor="background1"/>
                <w:sz w:val="18"/>
              </w:rPr>
            </w:pPr>
            <w:r w:rsidRPr="002E4389">
              <w:rPr>
                <w:color w:val="FFFFFF" w:themeColor="background1"/>
                <w:sz w:val="18"/>
              </w:rPr>
              <w:t>Routine</w:t>
            </w:r>
          </w:p>
        </w:tc>
        <w:tc>
          <w:tcPr>
            <w:tcW w:w="788" w:type="pct"/>
            <w:shd w:val="clear" w:color="auto" w:fill="006DA7"/>
          </w:tcPr>
          <w:p w14:paraId="2AD52CFE" w14:textId="77777777" w:rsidR="00C96BD0" w:rsidRPr="002E4389" w:rsidRDefault="00C96BD0" w:rsidP="006B458B">
            <w:pPr>
              <w:pStyle w:val="Tabletext"/>
              <w:spacing w:line="276" w:lineRule="auto"/>
              <w:rPr>
                <w:color w:val="FFFFFF" w:themeColor="background1"/>
                <w:sz w:val="18"/>
              </w:rPr>
            </w:pPr>
            <w:r w:rsidRPr="002E4389">
              <w:rPr>
                <w:color w:val="FFFFFF" w:themeColor="background1"/>
                <w:sz w:val="18"/>
              </w:rPr>
              <w:t>Additional</w:t>
            </w:r>
          </w:p>
        </w:tc>
        <w:tc>
          <w:tcPr>
            <w:tcW w:w="710" w:type="pct"/>
            <w:shd w:val="clear" w:color="auto" w:fill="006DA7"/>
          </w:tcPr>
          <w:p w14:paraId="4F2BE031" w14:textId="77777777" w:rsidR="00C96BD0" w:rsidRPr="002E4389" w:rsidRDefault="00C96BD0" w:rsidP="006B458B">
            <w:pPr>
              <w:pStyle w:val="Tabletext"/>
              <w:spacing w:line="276" w:lineRule="auto"/>
              <w:rPr>
                <w:color w:val="FFFFFF" w:themeColor="background1"/>
                <w:sz w:val="18"/>
              </w:rPr>
            </w:pPr>
            <w:r w:rsidRPr="002E4389">
              <w:rPr>
                <w:color w:val="FFFFFF" w:themeColor="background1"/>
                <w:sz w:val="18"/>
              </w:rPr>
              <w:t>Routine</w:t>
            </w:r>
          </w:p>
        </w:tc>
        <w:tc>
          <w:tcPr>
            <w:tcW w:w="827" w:type="pct"/>
            <w:shd w:val="clear" w:color="auto" w:fill="006DA7"/>
          </w:tcPr>
          <w:p w14:paraId="6144A26C" w14:textId="77777777" w:rsidR="00C96BD0" w:rsidRPr="002E4389" w:rsidRDefault="00C96BD0" w:rsidP="006B458B">
            <w:pPr>
              <w:pStyle w:val="Tabletext"/>
              <w:spacing w:line="276" w:lineRule="auto"/>
              <w:rPr>
                <w:color w:val="FFFFFF" w:themeColor="background1"/>
                <w:sz w:val="18"/>
              </w:rPr>
            </w:pPr>
            <w:r w:rsidRPr="002E4389">
              <w:rPr>
                <w:color w:val="FFFFFF" w:themeColor="background1"/>
                <w:sz w:val="18"/>
              </w:rPr>
              <w:t>Additional</w:t>
            </w:r>
          </w:p>
        </w:tc>
      </w:tr>
      <w:tr w:rsidR="005F3E98" w:rsidRPr="00BF52F4" w14:paraId="47A61F8E" w14:textId="77777777" w:rsidTr="002E4389">
        <w:trPr>
          <w:trHeight w:val="139"/>
        </w:trPr>
        <w:tc>
          <w:tcPr>
            <w:tcW w:w="945" w:type="pct"/>
            <w:vMerge w:val="restart"/>
          </w:tcPr>
          <w:p w14:paraId="2F29A226" w14:textId="77777777" w:rsidR="00C96BD0" w:rsidRPr="00BF52F4" w:rsidRDefault="00C96BD0" w:rsidP="006B458B">
            <w:pPr>
              <w:pStyle w:val="Tabletext"/>
              <w:spacing w:line="276" w:lineRule="auto"/>
              <w:rPr>
                <w:b/>
              </w:rPr>
            </w:pPr>
            <w:r w:rsidRPr="00BF52F4">
              <w:rPr>
                <w:b/>
              </w:rPr>
              <w:t>Important identified risks</w:t>
            </w:r>
          </w:p>
        </w:tc>
        <w:tc>
          <w:tcPr>
            <w:tcW w:w="1019" w:type="pct"/>
          </w:tcPr>
          <w:p w14:paraId="6B3E6138" w14:textId="77777777" w:rsidR="00C96BD0" w:rsidRPr="00BF52F4" w:rsidRDefault="00C96BD0" w:rsidP="006B458B">
            <w:pPr>
              <w:pStyle w:val="Tabletext"/>
              <w:spacing w:line="276" w:lineRule="auto"/>
            </w:pPr>
            <w:r>
              <w:t>Neutropenia</w:t>
            </w:r>
          </w:p>
        </w:tc>
        <w:tc>
          <w:tcPr>
            <w:tcW w:w="710" w:type="pct"/>
          </w:tcPr>
          <w:p w14:paraId="5324A43E" w14:textId="77777777" w:rsidR="00C96BD0" w:rsidRPr="00384B4B" w:rsidRDefault="00C96BD0" w:rsidP="006B458B">
            <w:pPr>
              <w:pStyle w:val="Tabletext"/>
              <w:spacing w:line="276" w:lineRule="auto"/>
              <w:jc w:val="center"/>
            </w:pPr>
            <w:r w:rsidRPr="00384B4B">
              <w:sym w:font="Wingdings" w:char="F0FC"/>
            </w:r>
          </w:p>
        </w:tc>
        <w:tc>
          <w:tcPr>
            <w:tcW w:w="788" w:type="pct"/>
          </w:tcPr>
          <w:p w14:paraId="3FBDC4F3" w14:textId="77777777" w:rsidR="00C96BD0" w:rsidRPr="00BF52F4" w:rsidRDefault="00C96BD0" w:rsidP="006B458B">
            <w:pPr>
              <w:pStyle w:val="Tabletext"/>
              <w:spacing w:line="276" w:lineRule="auto"/>
              <w:jc w:val="center"/>
              <w:rPr>
                <w:color w:val="00B050"/>
              </w:rPr>
            </w:pPr>
            <w:r w:rsidRPr="006C390F">
              <w:t>–</w:t>
            </w:r>
          </w:p>
        </w:tc>
        <w:tc>
          <w:tcPr>
            <w:tcW w:w="710" w:type="pct"/>
          </w:tcPr>
          <w:p w14:paraId="6E3983BA" w14:textId="77777777" w:rsidR="00C96BD0" w:rsidRPr="006C390F" w:rsidRDefault="00C96BD0" w:rsidP="006B458B">
            <w:pPr>
              <w:pStyle w:val="Tabletext"/>
              <w:spacing w:line="276" w:lineRule="auto"/>
              <w:jc w:val="center"/>
            </w:pPr>
            <w:r w:rsidRPr="006C390F">
              <w:sym w:font="Wingdings" w:char="F0FC"/>
            </w:r>
          </w:p>
        </w:tc>
        <w:tc>
          <w:tcPr>
            <w:tcW w:w="827" w:type="pct"/>
          </w:tcPr>
          <w:p w14:paraId="2F7F7487" w14:textId="77777777" w:rsidR="00C96BD0" w:rsidRPr="006C390F" w:rsidRDefault="00C96BD0" w:rsidP="006B458B">
            <w:pPr>
              <w:pStyle w:val="Tabletext"/>
              <w:spacing w:line="276" w:lineRule="auto"/>
              <w:jc w:val="center"/>
            </w:pPr>
            <w:r w:rsidRPr="006C390F">
              <w:t>–</w:t>
            </w:r>
          </w:p>
        </w:tc>
      </w:tr>
      <w:tr w:rsidR="005F3E98" w:rsidRPr="00BF52F4" w14:paraId="0E6E45F0" w14:textId="77777777" w:rsidTr="002E4389">
        <w:trPr>
          <w:trHeight w:val="95"/>
        </w:trPr>
        <w:tc>
          <w:tcPr>
            <w:tcW w:w="945" w:type="pct"/>
            <w:vMerge/>
          </w:tcPr>
          <w:p w14:paraId="4B15737C" w14:textId="77777777" w:rsidR="00C96BD0" w:rsidRPr="00BF52F4" w:rsidRDefault="00C96BD0" w:rsidP="006B458B">
            <w:pPr>
              <w:pStyle w:val="Tabletext"/>
              <w:spacing w:line="276" w:lineRule="auto"/>
              <w:rPr>
                <w:b/>
              </w:rPr>
            </w:pPr>
          </w:p>
        </w:tc>
        <w:tc>
          <w:tcPr>
            <w:tcW w:w="1019" w:type="pct"/>
          </w:tcPr>
          <w:p w14:paraId="10FC4147" w14:textId="77777777" w:rsidR="00C96BD0" w:rsidRPr="00BF52F4" w:rsidRDefault="00C96BD0" w:rsidP="006B458B">
            <w:pPr>
              <w:pStyle w:val="Tabletext"/>
              <w:spacing w:line="276" w:lineRule="auto"/>
            </w:pPr>
            <w:r>
              <w:t>Severe diarrhoea</w:t>
            </w:r>
          </w:p>
        </w:tc>
        <w:tc>
          <w:tcPr>
            <w:tcW w:w="710" w:type="pct"/>
          </w:tcPr>
          <w:p w14:paraId="3861037B" w14:textId="77777777" w:rsidR="00C96BD0" w:rsidRPr="00384B4B" w:rsidRDefault="00C96BD0" w:rsidP="006B458B">
            <w:pPr>
              <w:pStyle w:val="Tabletext"/>
              <w:spacing w:line="276" w:lineRule="auto"/>
              <w:jc w:val="center"/>
            </w:pPr>
            <w:r w:rsidRPr="00384B4B">
              <w:sym w:font="Wingdings" w:char="F0FC"/>
            </w:r>
          </w:p>
        </w:tc>
        <w:tc>
          <w:tcPr>
            <w:tcW w:w="788" w:type="pct"/>
          </w:tcPr>
          <w:p w14:paraId="7CCF527B" w14:textId="77777777" w:rsidR="00C96BD0" w:rsidRPr="00BF52F4" w:rsidRDefault="00C96BD0" w:rsidP="006B458B">
            <w:pPr>
              <w:pStyle w:val="Tabletext"/>
              <w:spacing w:line="276" w:lineRule="auto"/>
              <w:jc w:val="center"/>
              <w:rPr>
                <w:color w:val="00B050"/>
              </w:rPr>
            </w:pPr>
            <w:r w:rsidRPr="006C390F">
              <w:t>–</w:t>
            </w:r>
          </w:p>
        </w:tc>
        <w:tc>
          <w:tcPr>
            <w:tcW w:w="710" w:type="pct"/>
          </w:tcPr>
          <w:p w14:paraId="389C3FDB" w14:textId="77777777" w:rsidR="00C96BD0" w:rsidRPr="006C390F" w:rsidRDefault="00C96BD0" w:rsidP="006B458B">
            <w:pPr>
              <w:pStyle w:val="Tabletext"/>
              <w:spacing w:line="276" w:lineRule="auto"/>
              <w:jc w:val="center"/>
            </w:pPr>
            <w:r w:rsidRPr="006C390F">
              <w:sym w:font="Wingdings" w:char="F0FC"/>
            </w:r>
          </w:p>
        </w:tc>
        <w:tc>
          <w:tcPr>
            <w:tcW w:w="827" w:type="pct"/>
          </w:tcPr>
          <w:p w14:paraId="5D4A821C" w14:textId="77777777" w:rsidR="00C96BD0" w:rsidRPr="006C390F" w:rsidRDefault="00C96BD0" w:rsidP="006B458B">
            <w:pPr>
              <w:pStyle w:val="Tabletext"/>
              <w:spacing w:line="276" w:lineRule="auto"/>
              <w:jc w:val="center"/>
            </w:pPr>
            <w:r w:rsidRPr="006C390F">
              <w:t>–</w:t>
            </w:r>
          </w:p>
        </w:tc>
      </w:tr>
      <w:tr w:rsidR="005F3E98" w:rsidRPr="00BF52F4" w14:paraId="45537BEE" w14:textId="77777777" w:rsidTr="002E4389">
        <w:trPr>
          <w:trHeight w:val="190"/>
        </w:trPr>
        <w:tc>
          <w:tcPr>
            <w:tcW w:w="945" w:type="pct"/>
            <w:vMerge/>
          </w:tcPr>
          <w:p w14:paraId="377DD2E4" w14:textId="77777777" w:rsidR="00C96BD0" w:rsidRPr="00BF52F4" w:rsidRDefault="00C96BD0" w:rsidP="006B458B">
            <w:pPr>
              <w:pStyle w:val="Tabletext"/>
              <w:spacing w:line="276" w:lineRule="auto"/>
              <w:rPr>
                <w:b/>
              </w:rPr>
            </w:pPr>
          </w:p>
        </w:tc>
        <w:tc>
          <w:tcPr>
            <w:tcW w:w="1019" w:type="pct"/>
          </w:tcPr>
          <w:p w14:paraId="71105256" w14:textId="77777777" w:rsidR="00C96BD0" w:rsidRPr="00BF52F4" w:rsidRDefault="00C96BD0" w:rsidP="006B458B">
            <w:pPr>
              <w:pStyle w:val="Tabletext"/>
              <w:spacing w:line="276" w:lineRule="auto"/>
            </w:pPr>
            <w:r>
              <w:t xml:space="preserve">Hypersensitivity </w:t>
            </w:r>
          </w:p>
        </w:tc>
        <w:tc>
          <w:tcPr>
            <w:tcW w:w="710" w:type="pct"/>
          </w:tcPr>
          <w:p w14:paraId="1A33A175" w14:textId="77777777" w:rsidR="00C96BD0" w:rsidRPr="00384B4B" w:rsidRDefault="00C96BD0" w:rsidP="006B458B">
            <w:pPr>
              <w:pStyle w:val="Tabletext"/>
              <w:spacing w:line="276" w:lineRule="auto"/>
              <w:jc w:val="center"/>
            </w:pPr>
            <w:r w:rsidRPr="00384B4B">
              <w:sym w:font="Wingdings" w:char="F0FC"/>
            </w:r>
          </w:p>
        </w:tc>
        <w:tc>
          <w:tcPr>
            <w:tcW w:w="788" w:type="pct"/>
          </w:tcPr>
          <w:p w14:paraId="49C5D4DA" w14:textId="77777777" w:rsidR="00C96BD0" w:rsidRPr="00BF52F4" w:rsidRDefault="00C96BD0" w:rsidP="006B458B">
            <w:pPr>
              <w:pStyle w:val="Tabletext"/>
              <w:spacing w:line="276" w:lineRule="auto"/>
              <w:jc w:val="center"/>
              <w:rPr>
                <w:color w:val="00B050"/>
              </w:rPr>
            </w:pPr>
            <w:r w:rsidRPr="006C390F">
              <w:t>–</w:t>
            </w:r>
          </w:p>
        </w:tc>
        <w:tc>
          <w:tcPr>
            <w:tcW w:w="710" w:type="pct"/>
          </w:tcPr>
          <w:p w14:paraId="458396BF" w14:textId="77777777" w:rsidR="00C96BD0" w:rsidRPr="006C390F" w:rsidRDefault="00C96BD0" w:rsidP="006B458B">
            <w:pPr>
              <w:pStyle w:val="Tabletext"/>
              <w:spacing w:line="276" w:lineRule="auto"/>
              <w:jc w:val="center"/>
            </w:pPr>
            <w:r w:rsidRPr="006C390F">
              <w:sym w:font="Wingdings" w:char="F0FC"/>
            </w:r>
          </w:p>
        </w:tc>
        <w:tc>
          <w:tcPr>
            <w:tcW w:w="827" w:type="pct"/>
          </w:tcPr>
          <w:p w14:paraId="643AF846" w14:textId="77777777" w:rsidR="00C96BD0" w:rsidRPr="006C390F" w:rsidRDefault="00C96BD0" w:rsidP="006B458B">
            <w:pPr>
              <w:pStyle w:val="Tabletext"/>
              <w:spacing w:line="276" w:lineRule="auto"/>
              <w:jc w:val="center"/>
            </w:pPr>
            <w:r w:rsidRPr="006C390F">
              <w:t>–</w:t>
            </w:r>
          </w:p>
        </w:tc>
      </w:tr>
      <w:tr w:rsidR="005F3E98" w:rsidRPr="00BF52F4" w14:paraId="05F7C113" w14:textId="77777777" w:rsidTr="002E4389">
        <w:trPr>
          <w:trHeight w:val="162"/>
        </w:trPr>
        <w:tc>
          <w:tcPr>
            <w:tcW w:w="945" w:type="pct"/>
          </w:tcPr>
          <w:p w14:paraId="2EC645E2" w14:textId="77777777" w:rsidR="00C96BD0" w:rsidRPr="00BF52F4" w:rsidRDefault="00C96BD0" w:rsidP="006B458B">
            <w:pPr>
              <w:pStyle w:val="Tabletext"/>
              <w:spacing w:line="276" w:lineRule="auto"/>
              <w:rPr>
                <w:b/>
              </w:rPr>
            </w:pPr>
            <w:r w:rsidRPr="00BF52F4">
              <w:rPr>
                <w:b/>
              </w:rPr>
              <w:lastRenderedPageBreak/>
              <w:t>Important potential risks</w:t>
            </w:r>
          </w:p>
        </w:tc>
        <w:tc>
          <w:tcPr>
            <w:tcW w:w="1019" w:type="pct"/>
          </w:tcPr>
          <w:p w14:paraId="0773C293" w14:textId="669C8CA4" w:rsidR="00C96BD0" w:rsidRPr="00BF52F4" w:rsidRDefault="00C96BD0" w:rsidP="006B458B">
            <w:pPr>
              <w:pStyle w:val="Tabletext"/>
              <w:spacing w:line="276" w:lineRule="auto"/>
            </w:pPr>
            <w:r>
              <w:t xml:space="preserve">Embryofetal toxicity </w:t>
            </w:r>
          </w:p>
        </w:tc>
        <w:tc>
          <w:tcPr>
            <w:tcW w:w="710" w:type="pct"/>
          </w:tcPr>
          <w:p w14:paraId="7EFC4236" w14:textId="77777777" w:rsidR="00C96BD0" w:rsidRPr="00384B4B" w:rsidRDefault="00C96BD0" w:rsidP="006B458B">
            <w:pPr>
              <w:pStyle w:val="Tabletext"/>
              <w:spacing w:line="276" w:lineRule="auto"/>
              <w:jc w:val="center"/>
            </w:pPr>
            <w:r w:rsidRPr="00384B4B">
              <w:t xml:space="preserve">  </w:t>
            </w:r>
            <w:r w:rsidRPr="00384B4B">
              <w:sym w:font="Wingdings" w:char="F0FC"/>
            </w:r>
            <w:r w:rsidRPr="00384B4B">
              <w:t>*</w:t>
            </w:r>
          </w:p>
        </w:tc>
        <w:tc>
          <w:tcPr>
            <w:tcW w:w="788" w:type="pct"/>
          </w:tcPr>
          <w:p w14:paraId="2E851664" w14:textId="77777777" w:rsidR="00C96BD0" w:rsidRPr="00BF52F4" w:rsidRDefault="00C96BD0" w:rsidP="006B458B">
            <w:pPr>
              <w:pStyle w:val="Tabletext"/>
              <w:spacing w:line="276" w:lineRule="auto"/>
              <w:jc w:val="center"/>
              <w:rPr>
                <w:color w:val="00B050"/>
              </w:rPr>
            </w:pPr>
            <w:r w:rsidRPr="006C390F">
              <w:t>–</w:t>
            </w:r>
          </w:p>
        </w:tc>
        <w:tc>
          <w:tcPr>
            <w:tcW w:w="710" w:type="pct"/>
          </w:tcPr>
          <w:p w14:paraId="42B8CF12" w14:textId="77777777" w:rsidR="00C96BD0" w:rsidRPr="006C390F" w:rsidRDefault="00C96BD0" w:rsidP="006B458B">
            <w:pPr>
              <w:pStyle w:val="Tabletext"/>
              <w:spacing w:line="276" w:lineRule="auto"/>
              <w:jc w:val="center"/>
            </w:pPr>
            <w:r w:rsidRPr="006C390F">
              <w:sym w:font="Wingdings" w:char="F0FC"/>
            </w:r>
          </w:p>
        </w:tc>
        <w:tc>
          <w:tcPr>
            <w:tcW w:w="827" w:type="pct"/>
          </w:tcPr>
          <w:p w14:paraId="46ECD016" w14:textId="77777777" w:rsidR="00C96BD0" w:rsidRPr="006C390F" w:rsidRDefault="00C96BD0" w:rsidP="006B458B">
            <w:pPr>
              <w:pStyle w:val="Tabletext"/>
              <w:spacing w:line="276" w:lineRule="auto"/>
              <w:jc w:val="center"/>
            </w:pPr>
            <w:r w:rsidRPr="006C390F">
              <w:t>–</w:t>
            </w:r>
          </w:p>
        </w:tc>
      </w:tr>
      <w:tr w:rsidR="005F3E98" w:rsidRPr="00BF52F4" w14:paraId="4B0E2558" w14:textId="77777777" w:rsidTr="002E4389">
        <w:trPr>
          <w:trHeight w:val="181"/>
        </w:trPr>
        <w:tc>
          <w:tcPr>
            <w:tcW w:w="945" w:type="pct"/>
          </w:tcPr>
          <w:p w14:paraId="0CB6AAA8" w14:textId="77777777" w:rsidR="00C96BD0" w:rsidRPr="00BF52F4" w:rsidRDefault="00C96BD0" w:rsidP="006B458B">
            <w:pPr>
              <w:pStyle w:val="Tabletext"/>
              <w:spacing w:line="276" w:lineRule="auto"/>
              <w:rPr>
                <w:b/>
              </w:rPr>
            </w:pPr>
            <w:r w:rsidRPr="00BF52F4">
              <w:rPr>
                <w:b/>
              </w:rPr>
              <w:t>Missing information</w:t>
            </w:r>
          </w:p>
        </w:tc>
        <w:tc>
          <w:tcPr>
            <w:tcW w:w="1019" w:type="pct"/>
          </w:tcPr>
          <w:p w14:paraId="56BD9DB6" w14:textId="77777777" w:rsidR="00C96BD0" w:rsidRPr="00BF52F4" w:rsidRDefault="00C96BD0" w:rsidP="006B458B">
            <w:pPr>
              <w:pStyle w:val="Tabletext"/>
              <w:spacing w:line="276" w:lineRule="auto"/>
            </w:pPr>
            <w:r>
              <w:t xml:space="preserve">Use in patients with hepatic impairment </w:t>
            </w:r>
          </w:p>
        </w:tc>
        <w:tc>
          <w:tcPr>
            <w:tcW w:w="710" w:type="pct"/>
          </w:tcPr>
          <w:p w14:paraId="43582F2D" w14:textId="77777777" w:rsidR="00C96BD0" w:rsidRPr="00384B4B" w:rsidRDefault="00C96BD0" w:rsidP="006B458B">
            <w:pPr>
              <w:pStyle w:val="Tabletext"/>
              <w:spacing w:line="276" w:lineRule="auto"/>
              <w:jc w:val="center"/>
            </w:pPr>
            <w:r w:rsidRPr="00384B4B">
              <w:sym w:font="Wingdings" w:char="F0FC"/>
            </w:r>
          </w:p>
        </w:tc>
        <w:tc>
          <w:tcPr>
            <w:tcW w:w="788" w:type="pct"/>
          </w:tcPr>
          <w:p w14:paraId="2916A5F2" w14:textId="77777777" w:rsidR="00C96BD0" w:rsidRPr="00BF52F4" w:rsidRDefault="00C96BD0" w:rsidP="006B458B">
            <w:pPr>
              <w:pStyle w:val="Tabletext"/>
              <w:spacing w:line="276" w:lineRule="auto"/>
              <w:jc w:val="center"/>
              <w:rPr>
                <w:color w:val="00B050"/>
              </w:rPr>
            </w:pPr>
            <w:r w:rsidRPr="006C390F">
              <w:sym w:font="Wingdings" w:char="F0FC"/>
            </w:r>
            <w:r w:rsidRPr="00BF52F4">
              <w:t>†</w:t>
            </w:r>
          </w:p>
        </w:tc>
        <w:tc>
          <w:tcPr>
            <w:tcW w:w="710" w:type="pct"/>
          </w:tcPr>
          <w:p w14:paraId="64E8EB29" w14:textId="77777777" w:rsidR="00C96BD0" w:rsidRPr="006C390F" w:rsidRDefault="00C96BD0" w:rsidP="006B458B">
            <w:pPr>
              <w:pStyle w:val="Tabletext"/>
              <w:spacing w:line="276" w:lineRule="auto"/>
              <w:jc w:val="center"/>
            </w:pPr>
            <w:r w:rsidRPr="006C390F">
              <w:sym w:font="Wingdings" w:char="F0FC"/>
            </w:r>
          </w:p>
        </w:tc>
        <w:tc>
          <w:tcPr>
            <w:tcW w:w="827" w:type="pct"/>
          </w:tcPr>
          <w:p w14:paraId="56927137" w14:textId="77777777" w:rsidR="00C96BD0" w:rsidRPr="006C390F" w:rsidRDefault="00C96BD0" w:rsidP="006B458B">
            <w:pPr>
              <w:pStyle w:val="Tabletext"/>
              <w:spacing w:line="276" w:lineRule="auto"/>
              <w:jc w:val="center"/>
            </w:pPr>
            <w:r w:rsidRPr="006C390F">
              <w:t>–</w:t>
            </w:r>
          </w:p>
        </w:tc>
      </w:tr>
    </w:tbl>
    <w:p w14:paraId="78BB7D0D" w14:textId="77777777" w:rsidR="00C96BD0" w:rsidRPr="002F67A1" w:rsidRDefault="00C96BD0" w:rsidP="00C96BD0">
      <w:pPr>
        <w:pStyle w:val="Bulletlist"/>
        <w:numPr>
          <w:ilvl w:val="0"/>
          <w:numId w:val="0"/>
        </w:numPr>
        <w:spacing w:line="276" w:lineRule="auto"/>
        <w:rPr>
          <w:sz w:val="20"/>
          <w:szCs w:val="20"/>
        </w:rPr>
      </w:pPr>
      <w:r w:rsidRPr="002F67A1">
        <w:rPr>
          <w:sz w:val="20"/>
          <w:szCs w:val="20"/>
        </w:rPr>
        <w:t>*Pr</w:t>
      </w:r>
      <w:r>
        <w:rPr>
          <w:sz w:val="20"/>
          <w:szCs w:val="20"/>
        </w:rPr>
        <w:t>egnancy follow-up questionnaire;</w:t>
      </w:r>
      <w:r w:rsidRPr="002F67A1">
        <w:rPr>
          <w:sz w:val="20"/>
          <w:szCs w:val="20"/>
        </w:rPr>
        <w:t xml:space="preserve"> †</w:t>
      </w:r>
      <w:r>
        <w:rPr>
          <w:sz w:val="20"/>
          <w:szCs w:val="20"/>
        </w:rPr>
        <w:t>Open-label dose-escalation study</w:t>
      </w:r>
      <w:r w:rsidRPr="002F67A1">
        <w:rPr>
          <w:sz w:val="20"/>
          <w:szCs w:val="20"/>
        </w:rPr>
        <w:t xml:space="preserve"> </w:t>
      </w:r>
    </w:p>
    <w:p w14:paraId="0D855E83" w14:textId="75FADAE2" w:rsidR="00C96BD0" w:rsidRPr="00C61E77" w:rsidRDefault="00C96BD0" w:rsidP="001E3239">
      <w:pPr>
        <w:pStyle w:val="ListBullet"/>
        <w:numPr>
          <w:ilvl w:val="0"/>
          <w:numId w:val="0"/>
        </w:numPr>
        <w:ind w:left="360"/>
      </w:pPr>
      <w:r w:rsidRPr="00C61E77">
        <w:t xml:space="preserve">From an RMP perspective, the summary of safety concerns is considered acceptable. The sponsor has committed to addressing, in a revised ASA, any safety concerns raised by the </w:t>
      </w:r>
      <w:r w:rsidR="00D34CFD">
        <w:t>D</w:t>
      </w:r>
      <w:r w:rsidRPr="00C61E77">
        <w:t>elegate, that impact on the safety specifications</w:t>
      </w:r>
      <w:r>
        <w:t>.</w:t>
      </w:r>
    </w:p>
    <w:p w14:paraId="7A85A2B6" w14:textId="0EE1B78C" w:rsidR="00175529" w:rsidRDefault="00C96BD0" w:rsidP="001E3239">
      <w:pPr>
        <w:pStyle w:val="ListBullet"/>
        <w:numPr>
          <w:ilvl w:val="0"/>
          <w:numId w:val="0"/>
        </w:numPr>
        <w:ind w:left="360"/>
      </w:pPr>
      <w:r>
        <w:t>The sponsor has proposed r</w:t>
      </w:r>
      <w:r w:rsidRPr="00384B4B">
        <w:t>outine pharmacovigilance activities for all safety concerns</w:t>
      </w:r>
      <w:r>
        <w:t xml:space="preserve">, </w:t>
      </w:r>
      <w:r w:rsidRPr="00C61E77">
        <w:t xml:space="preserve">which includes a pregnancy follow-up questionnaire to address embryofetal toxicity.  The sponsor has included an additional pharmacovigilance activity, at </w:t>
      </w:r>
      <w:r w:rsidR="005D2BF1">
        <w:t xml:space="preserve">the </w:t>
      </w:r>
      <w:r w:rsidRPr="00C61E77">
        <w:t>TGA</w:t>
      </w:r>
      <w:r w:rsidR="005D2BF1">
        <w:t>’s</w:t>
      </w:r>
      <w:r w:rsidRPr="00C61E77">
        <w:t xml:space="preserve"> request, related to </w:t>
      </w:r>
      <w:r w:rsidRPr="00C96BD0">
        <w:t xml:space="preserve">the efficacy and safety of </w:t>
      </w:r>
      <w:proofErr w:type="spellStart"/>
      <w:r w:rsidR="00C72D03">
        <w:t>sacituzumab</w:t>
      </w:r>
      <w:proofErr w:type="spellEnd"/>
      <w:r w:rsidR="00C72D03">
        <w:t xml:space="preserve"> </w:t>
      </w:r>
      <w:proofErr w:type="spellStart"/>
      <w:r w:rsidR="00C72D03">
        <w:t>govitecan</w:t>
      </w:r>
      <w:proofErr w:type="spellEnd"/>
      <w:r w:rsidRPr="00C96BD0">
        <w:t xml:space="preserve"> in patients with brain metastases</w:t>
      </w:r>
      <w:r w:rsidR="005D2BF1">
        <w:t>,</w:t>
      </w:r>
      <w:r w:rsidRPr="00C96BD0">
        <w:t xml:space="preserve"> and</w:t>
      </w:r>
      <w:r w:rsidRPr="00C61E77">
        <w:t xml:space="preserve"> has agreed to submit this data to the TGA upon completion of the study</w:t>
      </w:r>
      <w:r w:rsidR="00175529">
        <w:t>.</w:t>
      </w:r>
    </w:p>
    <w:p w14:paraId="19C01A45" w14:textId="1F4C1351" w:rsidR="00175529" w:rsidRDefault="00C96BD0" w:rsidP="001E3239">
      <w:pPr>
        <w:pStyle w:val="ListBullet"/>
        <w:numPr>
          <w:ilvl w:val="0"/>
          <w:numId w:val="0"/>
        </w:numPr>
        <w:ind w:left="360"/>
      </w:pPr>
      <w:r w:rsidRPr="00C96BD0">
        <w:t>Only routine risk minimisation activities through the PI and</w:t>
      </w:r>
      <w:r w:rsidRPr="00C61E77">
        <w:t xml:space="preserve"> </w:t>
      </w:r>
      <w:r w:rsidRPr="00C96BD0">
        <w:t>Consumer Medicine Information (CMI) for all safety concerns have been proposed.</w:t>
      </w:r>
      <w:r w:rsidRPr="00C61E77">
        <w:t xml:space="preserve"> </w:t>
      </w:r>
      <w:r w:rsidRPr="00C96BD0">
        <w:t xml:space="preserve">The sponsor has provided justification to remove the box warning for neutropenia proposed in the initial draft PI and CMI. This has been referred for the </w:t>
      </w:r>
      <w:r w:rsidR="005D2BF1">
        <w:t>D</w:t>
      </w:r>
      <w:r w:rsidRPr="00C96BD0">
        <w:t>elegate’s consideration</w:t>
      </w:r>
      <w:bookmarkStart w:id="61" w:name="_Toc247691531"/>
      <w:bookmarkStart w:id="62" w:name="_Toc314842515"/>
      <w:bookmarkStart w:id="63" w:name="_Toc91147300"/>
      <w:bookmarkStart w:id="64" w:name="_Toc196046505"/>
      <w:bookmarkStart w:id="65" w:name="_Toc196046949"/>
      <w:r w:rsidR="00175529">
        <w:t>.</w:t>
      </w:r>
    </w:p>
    <w:p w14:paraId="70689201" w14:textId="77777777" w:rsidR="008E7846" w:rsidRDefault="00AA0ED0" w:rsidP="008E7846">
      <w:pPr>
        <w:pStyle w:val="Heading3"/>
      </w:pPr>
      <w:r>
        <w:t>Risk-benefit a</w:t>
      </w:r>
      <w:r w:rsidR="008E7846">
        <w:t>nalysis</w:t>
      </w:r>
      <w:bookmarkEnd w:id="61"/>
      <w:bookmarkEnd w:id="62"/>
      <w:bookmarkEnd w:id="63"/>
    </w:p>
    <w:p w14:paraId="76B619A2" w14:textId="448DDE0C" w:rsidR="00D23139" w:rsidRDefault="00D77044" w:rsidP="00D23139">
      <w:pPr>
        <w:pStyle w:val="Heading4"/>
      </w:pPr>
      <w:r>
        <w:t>Delegate’s summary</w:t>
      </w:r>
    </w:p>
    <w:p w14:paraId="79BC8681" w14:textId="72EFD283" w:rsidR="00175529" w:rsidRDefault="00E86D02" w:rsidP="00E86D02">
      <w:r w:rsidRPr="00E86D02">
        <w:t>The pivotal registration study (</w:t>
      </w:r>
      <w:r w:rsidR="00C72D03">
        <w:t>Study IMMU-132-05/</w:t>
      </w:r>
      <w:r w:rsidRPr="00E86D02">
        <w:t>ASCENT</w:t>
      </w:r>
      <w:r w:rsidR="007C1D45">
        <w:t xml:space="preserve"> trial</w:t>
      </w:r>
      <w:r w:rsidRPr="00E86D02">
        <w:t>) was a Phase</w:t>
      </w:r>
      <w:r w:rsidR="00D34CFD">
        <w:t xml:space="preserve"> III</w:t>
      </w:r>
      <w:r w:rsidRPr="00E86D02">
        <w:t xml:space="preserve"> </w:t>
      </w:r>
      <w:r w:rsidR="008307EA">
        <w:t>randomised controlled trial</w:t>
      </w:r>
      <w:r w:rsidRPr="00E86D02">
        <w:t xml:space="preserve"> of </w:t>
      </w:r>
      <w:proofErr w:type="spellStart"/>
      <w:r w:rsidR="00C72D03">
        <w:t>sacituzumab</w:t>
      </w:r>
      <w:proofErr w:type="spellEnd"/>
      <w:r w:rsidR="00C72D03">
        <w:t xml:space="preserve"> </w:t>
      </w:r>
      <w:proofErr w:type="spellStart"/>
      <w:r w:rsidR="00C72D03">
        <w:t>govitecan</w:t>
      </w:r>
      <w:proofErr w:type="spellEnd"/>
      <w:r w:rsidRPr="00E86D02">
        <w:t xml:space="preserve"> (n</w:t>
      </w:r>
      <w:r w:rsidR="00863E80">
        <w:t xml:space="preserve"> </w:t>
      </w:r>
      <w:r w:rsidRPr="00E86D02">
        <w:t>=</w:t>
      </w:r>
      <w:r w:rsidR="00863E80">
        <w:t xml:space="preserve"> </w:t>
      </w:r>
      <w:r w:rsidRPr="00E86D02">
        <w:t>267) versus treatment of physician choice (TPC; n</w:t>
      </w:r>
      <w:r w:rsidR="00863E80">
        <w:t xml:space="preserve"> </w:t>
      </w:r>
      <w:r w:rsidRPr="00E86D02">
        <w:t>=</w:t>
      </w:r>
      <w:r w:rsidR="00863E80">
        <w:t xml:space="preserve"> </w:t>
      </w:r>
      <w:r w:rsidRPr="00E86D02">
        <w:t xml:space="preserve">262) in patients with at least </w:t>
      </w:r>
      <w:r w:rsidR="00C117D5">
        <w:t>two</w:t>
      </w:r>
      <w:r w:rsidRPr="00E86D02">
        <w:t xml:space="preserve"> previous lines of chemotherapy. Following a protocol amendment, </w:t>
      </w:r>
      <w:r w:rsidR="00C117D5">
        <w:t>one</w:t>
      </w:r>
      <w:r w:rsidRPr="00E86D02">
        <w:t xml:space="preserve"> of the </w:t>
      </w:r>
      <w:r w:rsidR="00C117D5">
        <w:t>two</w:t>
      </w:r>
      <w:r w:rsidRPr="00E86D02">
        <w:t xml:space="preserve"> previous lines of treatment could have been in the neoadjuvant/adjuvant setting</w:t>
      </w:r>
      <w:r w:rsidR="00175529">
        <w:t>.</w:t>
      </w:r>
    </w:p>
    <w:p w14:paraId="059300BE" w14:textId="2EECE23D" w:rsidR="00E86D02" w:rsidRPr="00E86D02" w:rsidRDefault="00E86D02" w:rsidP="00E86D02">
      <w:r w:rsidRPr="00E86D02">
        <w:t xml:space="preserve">The study met its primary endpoint: PFS according to RECIST v1.1 </w:t>
      </w:r>
      <w:proofErr w:type="gramStart"/>
      <w:r w:rsidRPr="00E86D02">
        <w:t>criteria</w:t>
      </w:r>
      <w:proofErr w:type="gramEnd"/>
      <w:r w:rsidRPr="00E86D02">
        <w:t xml:space="preserve"> by BICR in patients without brain metastases (</w:t>
      </w:r>
      <w:r w:rsidR="00C72D03">
        <w:t>brain metastasis</w:t>
      </w:r>
      <w:r w:rsidRPr="00E86D02">
        <w:t xml:space="preserve">-negative group: 87% of the intent-to-treat </w:t>
      </w:r>
      <w:r w:rsidR="001E3239">
        <w:t>(</w:t>
      </w:r>
      <w:r w:rsidRPr="00E86D02">
        <w:t>ITT</w:t>
      </w:r>
      <w:r w:rsidR="001E3239">
        <w:t>)</w:t>
      </w:r>
      <w:r w:rsidR="00C72D03">
        <w:t xml:space="preserve"> </w:t>
      </w:r>
      <w:r w:rsidRPr="00E86D02">
        <w:t xml:space="preserve">population). The </w:t>
      </w:r>
      <w:r w:rsidR="00C72D03">
        <w:t>hazard ratio</w:t>
      </w:r>
      <w:r w:rsidR="000B612E">
        <w:t xml:space="preserve"> </w:t>
      </w:r>
      <w:r w:rsidRPr="00E86D02">
        <w:t>for PFS comparing SG to TPC was 0.41 (95% CI: 0.33, 0.52); p</w:t>
      </w:r>
      <w:r w:rsidR="00C72D03">
        <w:t> </w:t>
      </w:r>
      <w:r w:rsidRPr="00E86D02">
        <w:t>&lt;</w:t>
      </w:r>
      <w:r w:rsidR="00C72D03">
        <w:t> </w:t>
      </w:r>
      <w:r w:rsidRPr="00E86D02">
        <w:t>0.0001; medians: 6 months v</w:t>
      </w:r>
      <w:r w:rsidR="00D34CFD">
        <w:t>ersu</w:t>
      </w:r>
      <w:r w:rsidRPr="00E86D02">
        <w:t>s 2 months).</w:t>
      </w:r>
    </w:p>
    <w:p w14:paraId="73901C16" w14:textId="2A3DA875" w:rsidR="00E86D02" w:rsidRPr="00E86D02" w:rsidRDefault="00E86D02" w:rsidP="00E86D02">
      <w:r w:rsidRPr="00E86D02">
        <w:t xml:space="preserve">Pre-specified hierarchical statistical testing also showed statistically significant and clinically relevant results (in order) for </w:t>
      </w:r>
      <w:r w:rsidR="00C72D03">
        <w:t>overall survival</w:t>
      </w:r>
      <w:r w:rsidRPr="00E86D02">
        <w:t xml:space="preserve"> in the </w:t>
      </w:r>
      <w:r w:rsidR="00C72D03">
        <w:t>brain metastasis</w:t>
      </w:r>
      <w:r w:rsidRPr="00E86D02">
        <w:t xml:space="preserve">-negative group, PFS in the ITT group and </w:t>
      </w:r>
      <w:r w:rsidR="00C72D03">
        <w:t>overall survival</w:t>
      </w:r>
      <w:r w:rsidRPr="00E86D02">
        <w:t xml:space="preserve"> in the ITT.</w:t>
      </w:r>
    </w:p>
    <w:p w14:paraId="7A92787E" w14:textId="0D2DA856" w:rsidR="00E86D02" w:rsidRPr="00E86D02" w:rsidRDefault="00E86D02" w:rsidP="00E86D02">
      <w:r w:rsidRPr="00E86D02">
        <w:t xml:space="preserve">The </w:t>
      </w:r>
      <w:r w:rsidR="00C72D03">
        <w:t>hazard ratio</w:t>
      </w:r>
      <w:r w:rsidRPr="00E86D02">
        <w:t xml:space="preserve"> for </w:t>
      </w:r>
      <w:r w:rsidR="00C72D03">
        <w:t>overall survival</w:t>
      </w:r>
      <w:r w:rsidRPr="00E86D02">
        <w:t xml:space="preserve"> in the ITT was 0.51 (0.41, 0.62), p</w:t>
      </w:r>
      <w:r w:rsidR="005B3427">
        <w:t xml:space="preserve"> </w:t>
      </w:r>
      <w:r w:rsidRPr="00E86D02">
        <w:t>&lt;</w:t>
      </w:r>
      <w:r w:rsidR="005B3427">
        <w:t xml:space="preserve"> </w:t>
      </w:r>
      <w:r w:rsidRPr="00E86D02">
        <w:t>0.0001; median 12 months v</w:t>
      </w:r>
      <w:r w:rsidR="00D34CFD">
        <w:t>ersu</w:t>
      </w:r>
      <w:r w:rsidRPr="00E86D02">
        <w:t>s 7</w:t>
      </w:r>
      <w:r w:rsidR="00C72D03">
        <w:t> </w:t>
      </w:r>
      <w:r w:rsidRPr="00E86D02">
        <w:t>months.</w:t>
      </w:r>
    </w:p>
    <w:p w14:paraId="60256764" w14:textId="25ACE99D" w:rsidR="00E86D02" w:rsidRPr="00E86D02" w:rsidRDefault="00E86D02" w:rsidP="00E86D02">
      <w:r w:rsidRPr="00E86D02">
        <w:t xml:space="preserve">Objective response rates (ORR) in the ITT group were </w:t>
      </w:r>
      <w:proofErr w:type="spellStart"/>
      <w:r w:rsidR="00C72D03">
        <w:t>sacituzumab</w:t>
      </w:r>
      <w:proofErr w:type="spellEnd"/>
      <w:r w:rsidR="00C72D03">
        <w:t xml:space="preserve"> </w:t>
      </w:r>
      <w:proofErr w:type="spellStart"/>
      <w:r w:rsidR="00C72D03">
        <w:t>govitecan</w:t>
      </w:r>
      <w:proofErr w:type="spellEnd"/>
      <w:r w:rsidRPr="00E86D02">
        <w:t>: 31%; TPC:</w:t>
      </w:r>
      <w:r w:rsidR="00C72D03">
        <w:t> </w:t>
      </w:r>
      <w:r w:rsidRPr="009204C1">
        <w:t>3</w:t>
      </w:r>
      <w:r w:rsidRPr="00E86D02">
        <w:t>%.</w:t>
      </w:r>
    </w:p>
    <w:p w14:paraId="15FC5DA5" w14:textId="758AE893" w:rsidR="00E86D02" w:rsidRPr="00E86D02" w:rsidRDefault="00E86D02" w:rsidP="00E86D02">
      <w:r w:rsidRPr="00E86D02">
        <w:t xml:space="preserve">An exploratory analysis was conducted in the </w:t>
      </w:r>
      <w:r w:rsidR="00C72D03">
        <w:t>brain metastasis</w:t>
      </w:r>
      <w:r w:rsidRPr="00E86D02">
        <w:t>-positive subgroup:</w:t>
      </w:r>
    </w:p>
    <w:p w14:paraId="0DA12F27" w14:textId="00D19310" w:rsidR="00E86D02" w:rsidRPr="00E86D02" w:rsidRDefault="00D34CFD" w:rsidP="000C2020">
      <w:pPr>
        <w:pStyle w:val="ListBullet2"/>
      </w:pPr>
      <w:r>
        <w:t xml:space="preserve"> </w:t>
      </w:r>
      <w:r w:rsidR="00E86D02" w:rsidRPr="00E86D02">
        <w:t xml:space="preserve">ORR: </w:t>
      </w:r>
      <w:proofErr w:type="spellStart"/>
      <w:r w:rsidR="00C72D03">
        <w:t>sacituzumab</w:t>
      </w:r>
      <w:proofErr w:type="spellEnd"/>
      <w:r w:rsidR="00C72D03">
        <w:t xml:space="preserve"> </w:t>
      </w:r>
      <w:proofErr w:type="spellStart"/>
      <w:r w:rsidR="00C72D03">
        <w:t>govitecan</w:t>
      </w:r>
      <w:proofErr w:type="spellEnd"/>
      <w:r w:rsidR="00E86D02" w:rsidRPr="00E86D02">
        <w:t xml:space="preserve"> 12% (32</w:t>
      </w:r>
      <w:r w:rsidR="00C72D03">
        <w:t xml:space="preserve"> </w:t>
      </w:r>
      <w:r w:rsidR="005B3BC2">
        <w:t>out of</w:t>
      </w:r>
      <w:r w:rsidR="00C72D03">
        <w:t xml:space="preserve"> </w:t>
      </w:r>
      <w:r w:rsidR="00E86D02" w:rsidRPr="00E86D02">
        <w:t>267), TPC 11% (29</w:t>
      </w:r>
      <w:r w:rsidR="00C72D03">
        <w:t xml:space="preserve"> </w:t>
      </w:r>
      <w:r w:rsidR="005B3BC2">
        <w:t>out of</w:t>
      </w:r>
      <w:r w:rsidR="00C72D03">
        <w:t xml:space="preserve"> </w:t>
      </w:r>
      <w:r w:rsidR="00E86D02" w:rsidRPr="00E86D02">
        <w:t>262)</w:t>
      </w:r>
    </w:p>
    <w:p w14:paraId="7B9AA516" w14:textId="5D3044AA" w:rsidR="00E86D02" w:rsidRPr="00E86D02" w:rsidRDefault="00C72D03" w:rsidP="000C2020">
      <w:pPr>
        <w:pStyle w:val="ListBullet2"/>
      </w:pPr>
      <w:r>
        <w:lastRenderedPageBreak/>
        <w:t xml:space="preserve">hazard ratio </w:t>
      </w:r>
      <w:r w:rsidR="00E86D02" w:rsidRPr="00E86D02">
        <w:t>(PFS) = 0.65 (0.35, 1.22); median</w:t>
      </w:r>
      <w:r w:rsidRPr="00C72D03">
        <w:t xml:space="preserve"> </w:t>
      </w:r>
      <w:proofErr w:type="spellStart"/>
      <w:r>
        <w:t>sacituzumab</w:t>
      </w:r>
      <w:proofErr w:type="spellEnd"/>
      <w:r>
        <w:t xml:space="preserve"> </w:t>
      </w:r>
      <w:proofErr w:type="spellStart"/>
      <w:r>
        <w:t>govitecan</w:t>
      </w:r>
      <w:proofErr w:type="spellEnd"/>
      <w:r w:rsidR="00E86D02" w:rsidRPr="00E86D02">
        <w:t xml:space="preserve"> 2.8 months v</w:t>
      </w:r>
      <w:r w:rsidR="00D34CFD">
        <w:t>ersu</w:t>
      </w:r>
      <w:r w:rsidR="00E86D02" w:rsidRPr="00E86D02">
        <w:t>s TPC 1.6</w:t>
      </w:r>
      <w:r>
        <w:t> </w:t>
      </w:r>
      <w:r w:rsidR="00E86D02" w:rsidRPr="00E86D02">
        <w:t xml:space="preserve">months </w:t>
      </w:r>
    </w:p>
    <w:p w14:paraId="76BC267D" w14:textId="12428A5A" w:rsidR="00E86D02" w:rsidRPr="00E86D02" w:rsidRDefault="00D34CFD" w:rsidP="000C2020">
      <w:pPr>
        <w:pStyle w:val="ListBullet2"/>
      </w:pPr>
      <w:r>
        <w:t xml:space="preserve"> </w:t>
      </w:r>
      <w:r w:rsidR="00C72D03">
        <w:t>hazard ratio (overall survival)</w:t>
      </w:r>
      <w:r w:rsidR="00E86D02" w:rsidRPr="00E86D02">
        <w:t xml:space="preserve"> = 0.87 (0.47, 1.63); median SG 6.8 months v</w:t>
      </w:r>
      <w:r>
        <w:t>ersu</w:t>
      </w:r>
      <w:r w:rsidR="00E86D02" w:rsidRPr="00E86D02">
        <w:t>s TPC 7.5 months</w:t>
      </w:r>
    </w:p>
    <w:p w14:paraId="508100F8" w14:textId="285B9ABD" w:rsidR="00175529" w:rsidRDefault="00E86D02" w:rsidP="00E86D02">
      <w:r w:rsidRPr="00E86D02">
        <w:t xml:space="preserve">No signal for a detrimental effect of </w:t>
      </w:r>
      <w:proofErr w:type="spellStart"/>
      <w:r w:rsidR="00C72D03">
        <w:t>sacituzumab</w:t>
      </w:r>
      <w:proofErr w:type="spellEnd"/>
      <w:r w:rsidR="00C72D03">
        <w:t xml:space="preserve"> </w:t>
      </w:r>
      <w:proofErr w:type="spellStart"/>
      <w:proofErr w:type="gramStart"/>
      <w:r w:rsidR="00C72D03">
        <w:t>govitecan</w:t>
      </w:r>
      <w:proofErr w:type="spellEnd"/>
      <w:r w:rsidR="00C72D03" w:rsidRPr="00E86D02" w:rsidDel="00C72D03">
        <w:t xml:space="preserve"> </w:t>
      </w:r>
      <w:r w:rsidRPr="00E86D02">
        <w:t xml:space="preserve"> on</w:t>
      </w:r>
      <w:proofErr w:type="gramEnd"/>
      <w:r w:rsidRPr="00E86D02">
        <w:t xml:space="preserve"> PFS or </w:t>
      </w:r>
      <w:r w:rsidR="00C72D03">
        <w:t>overall survival</w:t>
      </w:r>
      <w:r w:rsidRPr="00E86D02">
        <w:t xml:space="preserve"> was reported for any of the subgroups analysed, including patients with brain metastases and patients who had received only </w:t>
      </w:r>
      <w:r w:rsidR="00C117D5">
        <w:t>one</w:t>
      </w:r>
      <w:r w:rsidRPr="00E86D02">
        <w:t xml:space="preserve"> prior line of systemic therapy in the metastatic setting (in addition to having disease recurrence or progression within 12 months of neoadjuvant/adjuvant systemic therapy) </w:t>
      </w:r>
      <w:r>
        <w:t>(</w:t>
      </w:r>
      <w:r w:rsidR="00C72D03">
        <w:t xml:space="preserve">see </w:t>
      </w:r>
      <w:r>
        <w:fldChar w:fldCharType="begin"/>
      </w:r>
      <w:r>
        <w:instrText xml:space="preserve"> REF _Ref90385219 \h </w:instrText>
      </w:r>
      <w:r>
        <w:fldChar w:fldCharType="separate"/>
      </w:r>
      <w:r>
        <w:t xml:space="preserve">Table </w:t>
      </w:r>
      <w:r>
        <w:rPr>
          <w:noProof/>
        </w:rPr>
        <w:t>12</w:t>
      </w:r>
      <w:r>
        <w:fldChar w:fldCharType="end"/>
      </w:r>
      <w:r>
        <w:t>)</w:t>
      </w:r>
      <w:r w:rsidR="00175529">
        <w:t>.</w:t>
      </w:r>
    </w:p>
    <w:p w14:paraId="25C52E56" w14:textId="4B3551F1" w:rsidR="00E86D02" w:rsidRPr="00E86D02" w:rsidRDefault="00C72D03" w:rsidP="00E86D02">
      <w:r>
        <w:t xml:space="preserve">Sacituzumab </w:t>
      </w:r>
      <w:proofErr w:type="spellStart"/>
      <w:r>
        <w:t>govitecan</w:t>
      </w:r>
      <w:proofErr w:type="spellEnd"/>
      <w:r w:rsidR="00E86D02" w:rsidRPr="00E86D02">
        <w:t xml:space="preserve"> has toxic effects that require surveillance and active management. The cytotoxic component is SN-38, which is the active metabolite of irinotecan. Unusually for a targeted agent, </w:t>
      </w:r>
      <w:proofErr w:type="spellStart"/>
      <w:r>
        <w:t>sacituzumab</w:t>
      </w:r>
      <w:proofErr w:type="spellEnd"/>
      <w:r>
        <w:t xml:space="preserve"> </w:t>
      </w:r>
      <w:proofErr w:type="spellStart"/>
      <w:r>
        <w:t>govitecan</w:t>
      </w:r>
      <w:proofErr w:type="spellEnd"/>
      <w:r w:rsidR="00E86D02" w:rsidRPr="00E86D02">
        <w:t xml:space="preserve"> does not have a favourable safety profile compared to non-targeted monotherapy with the same cytotoxic agent. Myelosuppression, particularly neutropenia, and diarrhoea are the two most frequent and severe events.</w:t>
      </w:r>
    </w:p>
    <w:p w14:paraId="188F7003" w14:textId="03D0FF39" w:rsidR="00E86D02" w:rsidRPr="00E86D02" w:rsidRDefault="00E86D02" w:rsidP="00E86D02">
      <w:r w:rsidRPr="00E86D02">
        <w:t xml:space="preserve">The incidence of treatment discontinuation due to </w:t>
      </w:r>
      <w:r w:rsidR="00D34CFD">
        <w:t>AEs</w:t>
      </w:r>
      <w:r w:rsidRPr="00E86D02">
        <w:t xml:space="preserve"> was low (5%) in both the </w:t>
      </w:r>
      <w:proofErr w:type="spellStart"/>
      <w:r w:rsidR="00C72D03">
        <w:t>sacituzumab</w:t>
      </w:r>
      <w:proofErr w:type="spellEnd"/>
      <w:r w:rsidR="00C72D03">
        <w:t xml:space="preserve"> </w:t>
      </w:r>
      <w:proofErr w:type="spellStart"/>
      <w:r w:rsidR="00C72D03">
        <w:t>govitecan</w:t>
      </w:r>
      <w:proofErr w:type="spellEnd"/>
      <w:r w:rsidRPr="00E86D02">
        <w:t xml:space="preserve"> and TPC groups, but time on treatment was short (median</w:t>
      </w:r>
      <w:r w:rsidR="00C72D03">
        <w:t xml:space="preserve">: </w:t>
      </w:r>
      <w:proofErr w:type="spellStart"/>
      <w:r w:rsidR="00C72D03">
        <w:t>sacituzumab</w:t>
      </w:r>
      <w:proofErr w:type="spellEnd"/>
      <w:r w:rsidR="00C72D03">
        <w:t xml:space="preserve"> </w:t>
      </w:r>
      <w:proofErr w:type="spellStart"/>
      <w:r w:rsidR="00C72D03">
        <w:t>govitecan</w:t>
      </w:r>
      <w:proofErr w:type="spellEnd"/>
      <w:r w:rsidRPr="00E86D02">
        <w:t xml:space="preserve"> 4 months, TPC 2 months). The main reason for treatment discontinuation was progressive disease.</w:t>
      </w:r>
    </w:p>
    <w:p w14:paraId="51C8E39A" w14:textId="03DBD44D" w:rsidR="00E86D02" w:rsidRPr="00E86D02" w:rsidRDefault="00E86D02" w:rsidP="00E86D02">
      <w:r w:rsidRPr="00E86D02">
        <w:t xml:space="preserve">Dose reductions due to </w:t>
      </w:r>
      <w:r w:rsidR="00D34CFD">
        <w:t>AEs</w:t>
      </w:r>
      <w:r w:rsidRPr="00E86D02">
        <w:t xml:space="preserve"> occurred with similar frequency in the two groups (22% of the patients who received </w:t>
      </w:r>
      <w:proofErr w:type="spellStart"/>
      <w:r w:rsidR="00C72D03">
        <w:t>sacituzumab</w:t>
      </w:r>
      <w:proofErr w:type="spellEnd"/>
      <w:r w:rsidR="00C72D03">
        <w:t xml:space="preserve"> </w:t>
      </w:r>
      <w:proofErr w:type="spellStart"/>
      <w:r w:rsidR="00C72D03">
        <w:t>govitecan</w:t>
      </w:r>
      <w:proofErr w:type="spellEnd"/>
      <w:r w:rsidRPr="00E86D02">
        <w:t xml:space="preserve"> and 26% of those who received TPC).</w:t>
      </w:r>
    </w:p>
    <w:p w14:paraId="22D073D9" w14:textId="6FC05B99" w:rsidR="00E86D02" w:rsidRPr="00E86D02" w:rsidRDefault="00E86D02" w:rsidP="00E86D02">
      <w:r w:rsidRPr="00E86D02">
        <w:t>Key Grade 3</w:t>
      </w:r>
      <w:r w:rsidR="000B2A42">
        <w:t xml:space="preserve"> to </w:t>
      </w:r>
      <w:r w:rsidRPr="00E86D02">
        <w:t>4 adverse events with</w:t>
      </w:r>
      <w:r w:rsidR="00C72D03" w:rsidRPr="00C72D03">
        <w:t xml:space="preserve"> </w:t>
      </w:r>
      <w:proofErr w:type="spellStart"/>
      <w:r w:rsidR="00C72D03">
        <w:t>sacituzumab</w:t>
      </w:r>
      <w:proofErr w:type="spellEnd"/>
      <w:r w:rsidR="00C72D03">
        <w:t xml:space="preserve"> </w:t>
      </w:r>
      <w:proofErr w:type="spellStart"/>
      <w:r w:rsidR="00C72D03">
        <w:t>govitecan</w:t>
      </w:r>
      <w:proofErr w:type="spellEnd"/>
      <w:r w:rsidRPr="00E86D02">
        <w:t xml:space="preserve"> </w:t>
      </w:r>
      <w:r w:rsidRPr="005B0B82">
        <w:t>were neutropenia (5</w:t>
      </w:r>
      <w:r w:rsidRPr="00043757">
        <w:t xml:space="preserve">2% with </w:t>
      </w:r>
      <w:proofErr w:type="spellStart"/>
      <w:r w:rsidR="00C72D03">
        <w:t>sacituzumab</w:t>
      </w:r>
      <w:proofErr w:type="spellEnd"/>
      <w:r w:rsidR="00C72D03">
        <w:t xml:space="preserve"> </w:t>
      </w:r>
      <w:proofErr w:type="spellStart"/>
      <w:r w:rsidR="00C72D03">
        <w:t>govitecan</w:t>
      </w:r>
      <w:proofErr w:type="spellEnd"/>
      <w:r w:rsidR="00C72D03" w:rsidRPr="00043757" w:rsidDel="00C72D03">
        <w:t xml:space="preserve"> </w:t>
      </w:r>
      <w:r w:rsidRPr="00043757">
        <w:t xml:space="preserve">and 34% with TPC), </w:t>
      </w:r>
      <w:r w:rsidRPr="00B47313">
        <w:t>leukopenia (11% and 6%)</w:t>
      </w:r>
      <w:r w:rsidRPr="00E86D02">
        <w:t>, diarrhoea (11% and 1%) and anaemia (9% and 6%). Grade 3 or higher febrile neutropenia was seen in 6% of</w:t>
      </w:r>
      <w:r w:rsidR="00C72D03" w:rsidRPr="00C72D03">
        <w:t xml:space="preserve"> </w:t>
      </w:r>
      <w:proofErr w:type="spellStart"/>
      <w:r w:rsidR="00C72D03">
        <w:t>sacituzumab</w:t>
      </w:r>
      <w:proofErr w:type="spellEnd"/>
      <w:r w:rsidR="00C72D03">
        <w:t xml:space="preserve"> </w:t>
      </w:r>
      <w:proofErr w:type="spellStart"/>
      <w:r w:rsidR="00C72D03">
        <w:t>govitecan</w:t>
      </w:r>
      <w:proofErr w:type="spellEnd"/>
      <w:r w:rsidR="00C72D03">
        <w:t xml:space="preserve"> </w:t>
      </w:r>
      <w:r w:rsidRPr="00E86D02">
        <w:t>patients and 2% of TPC patients.</w:t>
      </w:r>
    </w:p>
    <w:p w14:paraId="31F90AB3" w14:textId="4186FD9C" w:rsidR="00E86D02" w:rsidRPr="00E86D02" w:rsidRDefault="00E86D02" w:rsidP="00E86D02">
      <w:r w:rsidRPr="00E86D02">
        <w:t xml:space="preserve">Concomitant growth-factor support was given to 49% of the patients treated with </w:t>
      </w:r>
      <w:proofErr w:type="spellStart"/>
      <w:r w:rsidR="00C72D03">
        <w:t>sacituzumab</w:t>
      </w:r>
      <w:proofErr w:type="spellEnd"/>
      <w:r w:rsidR="00C72D03">
        <w:t xml:space="preserve"> </w:t>
      </w:r>
      <w:proofErr w:type="spellStart"/>
      <w:r w:rsidR="00C72D03">
        <w:t>govitecan</w:t>
      </w:r>
      <w:proofErr w:type="spellEnd"/>
      <w:r w:rsidR="00C72D03" w:rsidRPr="00E86D02" w:rsidDel="00C72D03">
        <w:t xml:space="preserve"> </w:t>
      </w:r>
      <w:r w:rsidRPr="00E86D02">
        <w:t>and 23% of those treated with TPC.</w:t>
      </w:r>
    </w:p>
    <w:p w14:paraId="3A1C37B7" w14:textId="3574B83B" w:rsidR="00E86D02" w:rsidRPr="00D77044" w:rsidRDefault="00E86D02" w:rsidP="00E86D02">
      <w:r w:rsidRPr="00E86D02">
        <w:t>Toxicity (principally, neutropenia and diarrhoea) appeared worse with</w:t>
      </w:r>
      <w:r w:rsidR="00C72D03">
        <w:t xml:space="preserve"> </w:t>
      </w:r>
      <w:proofErr w:type="spellStart"/>
      <w:r w:rsidR="00C72D03">
        <w:t>sacituzumab</w:t>
      </w:r>
      <w:proofErr w:type="spellEnd"/>
      <w:r w:rsidR="00C72D03">
        <w:t xml:space="preserve"> </w:t>
      </w:r>
      <w:proofErr w:type="spellStart"/>
      <w:r w:rsidR="00C72D03">
        <w:t>govitecan</w:t>
      </w:r>
      <w:proofErr w:type="spellEnd"/>
      <w:r w:rsidR="00C72D03">
        <w:t xml:space="preserve"> </w:t>
      </w:r>
      <w:r w:rsidRPr="00E86D02">
        <w:t xml:space="preserve">than TPC in </w:t>
      </w:r>
      <w:r w:rsidR="00C72D03">
        <w:t xml:space="preserve">the </w:t>
      </w:r>
      <w:r w:rsidRPr="00E86D02">
        <w:t>ASCENT</w:t>
      </w:r>
      <w:r w:rsidR="007C1D45">
        <w:t xml:space="preserve"> trial</w:t>
      </w:r>
      <w:r w:rsidRPr="00E86D02">
        <w:t xml:space="preserve">. As this is an agent that includes a targeting monoclonal antibody, it is unusual that its toxicity profile is not favourable compared to single-agent chemotherapy. These toxicities </w:t>
      </w:r>
      <w:r w:rsidRPr="00D77044">
        <w:t xml:space="preserve">can be </w:t>
      </w:r>
      <w:r w:rsidR="005D2BF1" w:rsidRPr="00D77044">
        <w:t>life-threatening but</w:t>
      </w:r>
      <w:r w:rsidRPr="00D77044">
        <w:t xml:space="preserve"> are manageable with patient education and surveillance. Implementation of a boxed warning in the PI was considered, based on concerns over </w:t>
      </w:r>
      <w:proofErr w:type="spellStart"/>
      <w:r w:rsidR="00C72D03">
        <w:t>sacituzumab</w:t>
      </w:r>
      <w:proofErr w:type="spellEnd"/>
      <w:r w:rsidR="00C72D03">
        <w:t xml:space="preserve"> </w:t>
      </w:r>
      <w:proofErr w:type="spellStart"/>
      <w:r w:rsidR="00C72D03">
        <w:t>govitecan</w:t>
      </w:r>
      <w:proofErr w:type="spellEnd"/>
      <w:r w:rsidR="00C72D03" w:rsidRPr="00D77044" w:rsidDel="00C72D03">
        <w:t xml:space="preserve"> </w:t>
      </w:r>
      <w:r w:rsidRPr="00D77044">
        <w:t>being recognised as a cytotoxic drug in non-tertiary settings</w:t>
      </w:r>
      <w:r w:rsidR="00D77044" w:rsidRPr="000C2020">
        <w:t>.</w:t>
      </w:r>
    </w:p>
    <w:p w14:paraId="67923448" w14:textId="59CC79B0" w:rsidR="00E86D02" w:rsidRPr="00E86D02" w:rsidRDefault="00E86D02" w:rsidP="00E86D02">
      <w:r w:rsidRPr="00D77044">
        <w:t>Pneumonitis is a known, rare toxicity of irinotecan</w:t>
      </w:r>
      <w:r w:rsidRPr="00E86D02">
        <w:t xml:space="preserve">. One patient in the </w:t>
      </w:r>
      <w:proofErr w:type="spellStart"/>
      <w:r w:rsidR="00C72D03">
        <w:t>sacituzumab</w:t>
      </w:r>
      <w:proofErr w:type="spellEnd"/>
      <w:r w:rsidR="00C72D03">
        <w:t xml:space="preserve"> </w:t>
      </w:r>
      <w:proofErr w:type="spellStart"/>
      <w:r w:rsidR="00C72D03">
        <w:t>govitecan</w:t>
      </w:r>
      <w:proofErr w:type="spellEnd"/>
      <w:r w:rsidR="00C72D03" w:rsidRPr="00E86D02" w:rsidDel="00C72D03">
        <w:t xml:space="preserve"> </w:t>
      </w:r>
      <w:r w:rsidRPr="00E86D02">
        <w:t>arm developed pneumonitis (</w:t>
      </w:r>
      <w:r w:rsidR="00D34CFD">
        <w:t>G</w:t>
      </w:r>
      <w:r w:rsidRPr="00E86D02">
        <w:t>rade 3), which resolved after treatment with antibiotics and IV steroids.</w:t>
      </w:r>
    </w:p>
    <w:p w14:paraId="000EF88C" w14:textId="349C8E19" w:rsidR="00175529" w:rsidRDefault="00E86D02" w:rsidP="00E86D02">
      <w:r w:rsidRPr="00E86D02">
        <w:t xml:space="preserve">There were two deaths in the </w:t>
      </w:r>
      <w:proofErr w:type="spellStart"/>
      <w:r w:rsidR="00C72D03">
        <w:t>sacituzumab</w:t>
      </w:r>
      <w:proofErr w:type="spellEnd"/>
      <w:r w:rsidR="00C72D03">
        <w:t xml:space="preserve"> </w:t>
      </w:r>
      <w:proofErr w:type="spellStart"/>
      <w:r w:rsidR="00C72D03">
        <w:t>govitecan</w:t>
      </w:r>
      <w:proofErr w:type="spellEnd"/>
      <w:r w:rsidR="00C72D03" w:rsidRPr="00E86D02" w:rsidDel="00C72D03">
        <w:t xml:space="preserve"> </w:t>
      </w:r>
      <w:r w:rsidRPr="00E86D02">
        <w:t xml:space="preserve">arm of the ASCENT trial due to adverse events of respiratory failure, in the context of neutropenia and infection. The myelosuppression caused by </w:t>
      </w:r>
      <w:proofErr w:type="spellStart"/>
      <w:r w:rsidR="00C72D03">
        <w:t>sacituzumab</w:t>
      </w:r>
      <w:proofErr w:type="spellEnd"/>
      <w:r w:rsidR="00C72D03">
        <w:t xml:space="preserve"> </w:t>
      </w:r>
      <w:proofErr w:type="spellStart"/>
      <w:r w:rsidR="00C72D03">
        <w:t>govitecan</w:t>
      </w:r>
      <w:proofErr w:type="spellEnd"/>
      <w:r w:rsidR="00C72D03" w:rsidRPr="00E86D02" w:rsidDel="00C72D03">
        <w:t xml:space="preserve"> </w:t>
      </w:r>
      <w:r w:rsidRPr="00E86D02">
        <w:t>therapy may have contributed to these two deaths</w:t>
      </w:r>
      <w:r w:rsidR="00175529">
        <w:t>.</w:t>
      </w:r>
    </w:p>
    <w:p w14:paraId="430263FF" w14:textId="38D72FF5" w:rsidR="00456765" w:rsidRPr="00E86D02" w:rsidRDefault="00E86D02" w:rsidP="00E86D02">
      <w:pPr>
        <w:rPr>
          <w:i/>
        </w:rPr>
      </w:pPr>
      <w:r w:rsidRPr="00E86D02">
        <w:t>As with irinotecan, patients homozygous for UGT1A1*28 allele are at increased risk of experiencing myelosuppression (</w:t>
      </w:r>
      <w:r w:rsidR="00D34CFD">
        <w:t>for example,</w:t>
      </w:r>
      <w:r w:rsidRPr="00E86D02">
        <w:t xml:space="preserve"> neutropenia, anaemia), and possibly other adverse events, with </w:t>
      </w:r>
      <w:proofErr w:type="spellStart"/>
      <w:r w:rsidR="00C72D03">
        <w:t>sacituzumab</w:t>
      </w:r>
      <w:proofErr w:type="spellEnd"/>
      <w:r w:rsidR="00C72D03">
        <w:t xml:space="preserve"> </w:t>
      </w:r>
      <w:proofErr w:type="spellStart"/>
      <w:r w:rsidR="00C72D03">
        <w:t>govitecan</w:t>
      </w:r>
      <w:proofErr w:type="spellEnd"/>
      <w:r w:rsidR="00C72D03" w:rsidRPr="00E86D02" w:rsidDel="00C72D03">
        <w:t xml:space="preserve"> </w:t>
      </w:r>
      <w:r w:rsidRPr="00E86D02">
        <w:t>treatment.</w:t>
      </w:r>
    </w:p>
    <w:p w14:paraId="4DC30920" w14:textId="402E845E" w:rsidR="00D23139" w:rsidRDefault="00D23139" w:rsidP="00D23139">
      <w:pPr>
        <w:pStyle w:val="Heading4"/>
      </w:pPr>
      <w:r w:rsidRPr="00D23139">
        <w:t>Proposed action</w:t>
      </w:r>
    </w:p>
    <w:p w14:paraId="507C8215" w14:textId="0AC2278A" w:rsidR="009B3CED" w:rsidRDefault="009B3CED" w:rsidP="009B3CED">
      <w:r>
        <w:t>The Delegate proposed to approve the registration of the product, and to impose additional conditions of registration following the wording recommended by the RMP evaluator</w:t>
      </w:r>
      <w:r w:rsidR="00A8115D">
        <w:t>.</w:t>
      </w:r>
    </w:p>
    <w:p w14:paraId="53975198" w14:textId="7A9FCDAC" w:rsidR="009B3CED" w:rsidRDefault="009B3CED" w:rsidP="009B3CED">
      <w:r>
        <w:lastRenderedPageBreak/>
        <w:t>In addition, the Delegate proposed the following additional condition of registration:</w:t>
      </w:r>
    </w:p>
    <w:p w14:paraId="5398DA2C" w14:textId="32578A38" w:rsidR="009B3CED" w:rsidRPr="009B3CED" w:rsidRDefault="009B3CED" w:rsidP="009B3CED">
      <w:pPr>
        <w:pStyle w:val="ListBullet"/>
      </w:pPr>
      <w:r>
        <w:t xml:space="preserve">A report that evaluates the impact of immunogenicity on PK, </w:t>
      </w:r>
      <w:proofErr w:type="gramStart"/>
      <w:r>
        <w:t>efficacy</w:t>
      </w:r>
      <w:proofErr w:type="gramEnd"/>
      <w:r>
        <w:t xml:space="preserve"> and safety of </w:t>
      </w:r>
      <w:proofErr w:type="spellStart"/>
      <w:r>
        <w:t>sacituzumab</w:t>
      </w:r>
      <w:proofErr w:type="spellEnd"/>
      <w:r>
        <w:t xml:space="preserve"> </w:t>
      </w:r>
      <w:proofErr w:type="spellStart"/>
      <w:r w:rsidR="00920EB6">
        <w:t>govitecan</w:t>
      </w:r>
      <w:proofErr w:type="spellEnd"/>
      <w:r>
        <w:t xml:space="preserve"> in patients will be submitted when available (expected availability in 2023).</w:t>
      </w:r>
    </w:p>
    <w:p w14:paraId="408278DA" w14:textId="3BC74694" w:rsidR="00F65B21" w:rsidRDefault="00D34CFD" w:rsidP="00F65B21">
      <w:pPr>
        <w:pStyle w:val="Heading5"/>
        <w:rPr>
          <w:lang w:eastAsia="en-AU"/>
        </w:rPr>
      </w:pPr>
      <w:r>
        <w:rPr>
          <w:lang w:eastAsia="en-AU"/>
        </w:rPr>
        <w:t>Delegate’s c</w:t>
      </w:r>
      <w:r w:rsidR="00F65B21" w:rsidRPr="00F65B21">
        <w:rPr>
          <w:lang w:eastAsia="en-AU"/>
        </w:rPr>
        <w:t xml:space="preserve">ontext for </w:t>
      </w:r>
      <w:r w:rsidR="006C09F7">
        <w:rPr>
          <w:lang w:eastAsia="en-AU"/>
        </w:rPr>
        <w:t xml:space="preserve">seeking </w:t>
      </w:r>
      <w:r w:rsidR="00F65B21" w:rsidRPr="00F65B21">
        <w:rPr>
          <w:lang w:eastAsia="en-AU"/>
        </w:rPr>
        <w:t>independent expert advice</w:t>
      </w:r>
    </w:p>
    <w:p w14:paraId="7328B8FE" w14:textId="77777777" w:rsidR="00F65B21" w:rsidRDefault="00F65B21" w:rsidP="00F65B21">
      <w:pPr>
        <w:pStyle w:val="Heading6"/>
        <w:rPr>
          <w:lang w:eastAsia="en-AU"/>
        </w:rPr>
      </w:pPr>
      <w:r>
        <w:rPr>
          <w:lang w:eastAsia="en-AU"/>
        </w:rPr>
        <w:t>Patients with brain metastases</w:t>
      </w:r>
    </w:p>
    <w:p w14:paraId="7C4DDD75" w14:textId="48ED41D8" w:rsidR="00F65B21" w:rsidRDefault="00F65B21" w:rsidP="00F65B21">
      <w:pPr>
        <w:rPr>
          <w:lang w:eastAsia="en-AU"/>
        </w:rPr>
      </w:pPr>
      <w:r>
        <w:rPr>
          <w:lang w:eastAsia="en-AU"/>
        </w:rPr>
        <w:t xml:space="preserve">Based on pre-specified hierarchical testing, statistically significant (and clinically significant) results were obtained for BICR PFS in the </w:t>
      </w:r>
      <w:r w:rsidR="005065BC">
        <w:rPr>
          <w:lang w:eastAsia="en-AU"/>
        </w:rPr>
        <w:t>brain metastasis</w:t>
      </w:r>
      <w:r>
        <w:rPr>
          <w:lang w:eastAsia="en-AU"/>
        </w:rPr>
        <w:t xml:space="preserve">-negative group, BICR PFS in the ITT group, </w:t>
      </w:r>
      <w:r w:rsidR="005065BC">
        <w:rPr>
          <w:lang w:eastAsia="en-AU"/>
        </w:rPr>
        <w:t>overall survival</w:t>
      </w:r>
      <w:r>
        <w:rPr>
          <w:lang w:eastAsia="en-AU"/>
        </w:rPr>
        <w:t xml:space="preserve"> in </w:t>
      </w:r>
      <w:r w:rsidR="005065BC">
        <w:rPr>
          <w:lang w:eastAsia="en-AU"/>
        </w:rPr>
        <w:t xml:space="preserve">the brain metastasis </w:t>
      </w:r>
      <w:r>
        <w:rPr>
          <w:lang w:eastAsia="en-AU"/>
        </w:rPr>
        <w:t xml:space="preserve">negative group, and </w:t>
      </w:r>
      <w:r w:rsidR="005065BC">
        <w:rPr>
          <w:lang w:eastAsia="en-AU"/>
        </w:rPr>
        <w:t>overall survival</w:t>
      </w:r>
      <w:r>
        <w:rPr>
          <w:lang w:eastAsia="en-AU"/>
        </w:rPr>
        <w:t xml:space="preserve"> in the ITT group.</w:t>
      </w:r>
    </w:p>
    <w:p w14:paraId="5235D501" w14:textId="43BF426C" w:rsidR="00F65B21" w:rsidRDefault="005065BC" w:rsidP="00F65B21">
      <w:pPr>
        <w:rPr>
          <w:lang w:eastAsia="en-AU"/>
        </w:rPr>
      </w:pPr>
      <w:r>
        <w:rPr>
          <w:lang w:eastAsia="en-AU"/>
        </w:rPr>
        <w:t>Brain metastasis</w:t>
      </w:r>
      <w:r w:rsidR="00F65B21">
        <w:rPr>
          <w:lang w:eastAsia="en-AU"/>
        </w:rPr>
        <w:t xml:space="preserve">-positive patients were included in the ITT group (with overall statistically and clinically significant results for both PFS and </w:t>
      </w:r>
      <w:r>
        <w:rPr>
          <w:lang w:eastAsia="en-AU"/>
        </w:rPr>
        <w:t>overall survival</w:t>
      </w:r>
      <w:r w:rsidR="00F65B21">
        <w:rPr>
          <w:lang w:eastAsia="en-AU"/>
        </w:rPr>
        <w:t xml:space="preserve">). However, because </w:t>
      </w:r>
      <w:r>
        <w:t>metastasis</w:t>
      </w:r>
      <w:r w:rsidR="00F65B21">
        <w:rPr>
          <w:lang w:eastAsia="en-AU"/>
        </w:rPr>
        <w:t xml:space="preserve">-positive patients are a distinct subgroup with a particularly poor prognosis, they were also analysed separately: </w:t>
      </w:r>
    </w:p>
    <w:p w14:paraId="763958CF" w14:textId="74FBD30B" w:rsidR="00F65B21" w:rsidRDefault="00F65B21" w:rsidP="00F65B21">
      <w:pPr>
        <w:pStyle w:val="ListBullet"/>
        <w:rPr>
          <w:lang w:eastAsia="en-AU"/>
        </w:rPr>
      </w:pPr>
      <w:r>
        <w:rPr>
          <w:lang w:eastAsia="en-AU"/>
        </w:rPr>
        <w:t>32</w:t>
      </w:r>
      <w:r w:rsidR="005065BC">
        <w:rPr>
          <w:lang w:eastAsia="en-AU"/>
        </w:rPr>
        <w:t xml:space="preserve"> </w:t>
      </w:r>
      <w:r w:rsidR="007706C6">
        <w:rPr>
          <w:lang w:eastAsia="en-AU"/>
        </w:rPr>
        <w:t xml:space="preserve">out of </w:t>
      </w:r>
      <w:r>
        <w:rPr>
          <w:lang w:eastAsia="en-AU"/>
        </w:rPr>
        <w:t xml:space="preserve">267 (12%) of patients in the </w:t>
      </w:r>
      <w:proofErr w:type="spellStart"/>
      <w:r w:rsidR="005065BC">
        <w:t>sacituzumab</w:t>
      </w:r>
      <w:proofErr w:type="spellEnd"/>
      <w:r w:rsidR="005065BC">
        <w:t xml:space="preserve"> </w:t>
      </w:r>
      <w:proofErr w:type="spellStart"/>
      <w:r w:rsidR="005065BC">
        <w:t>govitecan</w:t>
      </w:r>
      <w:proofErr w:type="spellEnd"/>
      <w:r>
        <w:rPr>
          <w:lang w:eastAsia="en-AU"/>
        </w:rPr>
        <w:t xml:space="preserve"> arm were </w:t>
      </w:r>
      <w:r w:rsidR="005065BC">
        <w:rPr>
          <w:lang w:eastAsia="en-AU"/>
        </w:rPr>
        <w:t>brain metastasis</w:t>
      </w:r>
      <w:r>
        <w:rPr>
          <w:lang w:eastAsia="en-AU"/>
        </w:rPr>
        <w:t>-positive; the corresponding numbers in the TPC arm were 29</w:t>
      </w:r>
      <w:r w:rsidR="007706C6">
        <w:rPr>
          <w:lang w:eastAsia="en-AU"/>
        </w:rPr>
        <w:t xml:space="preserve"> out of</w:t>
      </w:r>
      <w:r w:rsidR="005065BC">
        <w:rPr>
          <w:lang w:eastAsia="en-AU"/>
        </w:rPr>
        <w:t xml:space="preserve"> </w:t>
      </w:r>
      <w:r>
        <w:rPr>
          <w:lang w:eastAsia="en-AU"/>
        </w:rPr>
        <w:t>262 (11%)</w:t>
      </w:r>
      <w:r w:rsidR="005065BC">
        <w:rPr>
          <w:lang w:eastAsia="en-AU"/>
        </w:rPr>
        <w:t xml:space="preserve"> (t</w:t>
      </w:r>
      <w:r>
        <w:rPr>
          <w:lang w:eastAsia="en-AU"/>
        </w:rPr>
        <w:t>o be eligible for enrolment in ASCENT</w:t>
      </w:r>
      <w:r w:rsidR="007C1D45">
        <w:rPr>
          <w:lang w:eastAsia="en-AU"/>
        </w:rPr>
        <w:t xml:space="preserve"> trial</w:t>
      </w:r>
      <w:r>
        <w:rPr>
          <w:lang w:eastAsia="en-AU"/>
        </w:rPr>
        <w:t>, the brain met</w:t>
      </w:r>
      <w:r w:rsidR="00D34CFD">
        <w:rPr>
          <w:lang w:eastAsia="en-AU"/>
        </w:rPr>
        <w:t>astasi</w:t>
      </w:r>
      <w:r w:rsidR="00920EB6">
        <w:rPr>
          <w:lang w:eastAsia="en-AU"/>
        </w:rPr>
        <w:t>s</w:t>
      </w:r>
      <w:r>
        <w:rPr>
          <w:lang w:eastAsia="en-AU"/>
        </w:rPr>
        <w:t xml:space="preserve"> had to be stable for at least </w:t>
      </w:r>
      <w:r w:rsidR="00C117D5">
        <w:rPr>
          <w:lang w:eastAsia="en-AU"/>
        </w:rPr>
        <w:t>four</w:t>
      </w:r>
      <w:r>
        <w:rPr>
          <w:lang w:eastAsia="en-AU"/>
        </w:rPr>
        <w:t xml:space="preserve"> weeks</w:t>
      </w:r>
      <w:r w:rsidR="005065BC">
        <w:rPr>
          <w:lang w:eastAsia="en-AU"/>
        </w:rPr>
        <w:t>).</w:t>
      </w:r>
    </w:p>
    <w:p w14:paraId="1110E80D" w14:textId="0B3E7DEA" w:rsidR="00F65B21" w:rsidRDefault="00F65B21" w:rsidP="00F65B21">
      <w:pPr>
        <w:pStyle w:val="ListBullet"/>
        <w:rPr>
          <w:lang w:eastAsia="en-AU"/>
        </w:rPr>
      </w:pPr>
      <w:r>
        <w:rPr>
          <w:lang w:eastAsia="en-AU"/>
        </w:rPr>
        <w:t xml:space="preserve">Due to the small sample size, the point estimates for </w:t>
      </w:r>
      <w:r w:rsidR="005065BC">
        <w:rPr>
          <w:lang w:eastAsia="en-AU"/>
        </w:rPr>
        <w:t>overall survival</w:t>
      </w:r>
      <w:r>
        <w:rPr>
          <w:lang w:eastAsia="en-AU"/>
        </w:rPr>
        <w:t xml:space="preserve"> and PFS in brain met</w:t>
      </w:r>
      <w:r w:rsidR="005065BC">
        <w:rPr>
          <w:lang w:eastAsia="en-AU"/>
        </w:rPr>
        <w:t>astasis</w:t>
      </w:r>
      <w:r>
        <w:rPr>
          <w:lang w:eastAsia="en-AU"/>
        </w:rPr>
        <w:t xml:space="preserve">-positive subgroup were imprecisely estimated with wide confidence intervals: </w:t>
      </w:r>
      <w:r w:rsidR="005065BC">
        <w:rPr>
          <w:lang w:eastAsia="en-AU"/>
        </w:rPr>
        <w:t>overall survival hazard ratio</w:t>
      </w:r>
      <w:r>
        <w:rPr>
          <w:lang w:eastAsia="en-AU"/>
        </w:rPr>
        <w:t xml:space="preserve"> (95%</w:t>
      </w:r>
      <w:r w:rsidR="005065BC">
        <w:rPr>
          <w:lang w:eastAsia="en-AU"/>
        </w:rPr>
        <w:t xml:space="preserve"> CI</w:t>
      </w:r>
      <w:r>
        <w:rPr>
          <w:lang w:eastAsia="en-AU"/>
        </w:rPr>
        <w:t xml:space="preserve">): 0.87 (0.47, 1.63); PFS </w:t>
      </w:r>
      <w:r w:rsidR="005065BC">
        <w:rPr>
          <w:lang w:eastAsia="en-AU"/>
        </w:rPr>
        <w:t>hazard ratio</w:t>
      </w:r>
      <w:r>
        <w:rPr>
          <w:lang w:eastAsia="en-AU"/>
        </w:rPr>
        <w:t xml:space="preserve"> (95%</w:t>
      </w:r>
      <w:r w:rsidR="005065BC">
        <w:rPr>
          <w:lang w:eastAsia="en-AU"/>
        </w:rPr>
        <w:t xml:space="preserve"> CI</w:t>
      </w:r>
      <w:r>
        <w:rPr>
          <w:lang w:eastAsia="en-AU"/>
        </w:rPr>
        <w:t>): 0.65 (0.35, 1.22).</w:t>
      </w:r>
    </w:p>
    <w:p w14:paraId="50A2EF19" w14:textId="5F5A4150" w:rsidR="00F65B21" w:rsidRDefault="00F65B21" w:rsidP="00F65B21">
      <w:pPr>
        <w:rPr>
          <w:lang w:eastAsia="en-AU"/>
        </w:rPr>
      </w:pPr>
      <w:r>
        <w:rPr>
          <w:lang w:eastAsia="en-AU"/>
        </w:rPr>
        <w:t xml:space="preserve">The sponsor has a post-marketing commitment with the </w:t>
      </w:r>
      <w:r w:rsidR="005065BC">
        <w:rPr>
          <w:lang w:eastAsia="en-AU"/>
        </w:rPr>
        <w:t xml:space="preserve">US </w:t>
      </w:r>
      <w:r>
        <w:rPr>
          <w:lang w:eastAsia="en-AU"/>
        </w:rPr>
        <w:t xml:space="preserve">FDA as follows: </w:t>
      </w:r>
      <w:r w:rsidR="001F4877">
        <w:rPr>
          <w:rStyle w:val="FootnoteReference"/>
          <w:lang w:eastAsia="en-AU"/>
        </w:rPr>
        <w:footnoteReference w:id="16"/>
      </w:r>
    </w:p>
    <w:p w14:paraId="51F7309B" w14:textId="49722294" w:rsidR="00F65B21" w:rsidRDefault="00F65B21" w:rsidP="00F65B21">
      <w:pPr>
        <w:ind w:left="720"/>
        <w:rPr>
          <w:lang w:eastAsia="en-AU"/>
        </w:rPr>
      </w:pPr>
      <w:r>
        <w:rPr>
          <w:lang w:eastAsia="en-AU"/>
        </w:rPr>
        <w:t xml:space="preserve">Submit the </w:t>
      </w:r>
      <w:proofErr w:type="gramStart"/>
      <w:r>
        <w:rPr>
          <w:lang w:eastAsia="en-AU"/>
        </w:rPr>
        <w:t>final results</w:t>
      </w:r>
      <w:proofErr w:type="gramEnd"/>
      <w:r>
        <w:rPr>
          <w:lang w:eastAsia="en-AU"/>
        </w:rPr>
        <w:t xml:space="preserve"> from the ongoing study </w:t>
      </w:r>
      <w:r w:rsidR="00F96519">
        <w:rPr>
          <w:lang w:eastAsia="en-AU"/>
        </w:rPr>
        <w:t>‘</w:t>
      </w:r>
      <w:r>
        <w:rPr>
          <w:lang w:eastAsia="en-AU"/>
        </w:rPr>
        <w:t xml:space="preserve">Testing Sacituzumab </w:t>
      </w:r>
      <w:proofErr w:type="spellStart"/>
      <w:r>
        <w:rPr>
          <w:lang w:eastAsia="en-AU"/>
        </w:rPr>
        <w:t>Govitecan</w:t>
      </w:r>
      <w:proofErr w:type="spellEnd"/>
      <w:r>
        <w:rPr>
          <w:lang w:eastAsia="en-AU"/>
        </w:rPr>
        <w:t xml:space="preserve"> Therapy in Patients with HER2-Negative Breast Cancer and Brain Metastases</w:t>
      </w:r>
      <w:r w:rsidR="00F96519">
        <w:rPr>
          <w:lang w:eastAsia="en-AU"/>
        </w:rPr>
        <w:t>’</w:t>
      </w:r>
      <w:r>
        <w:rPr>
          <w:lang w:eastAsia="en-AU"/>
        </w:rPr>
        <w:t xml:space="preserve"> (NCT04647916) or another trial that includes triple negative breast cancer (TNBC) patients with brain metastases that may further inform the efficacy and safety of </w:t>
      </w:r>
      <w:proofErr w:type="spellStart"/>
      <w:r>
        <w:rPr>
          <w:lang w:eastAsia="en-AU"/>
        </w:rPr>
        <w:t>sacituzumab</w:t>
      </w:r>
      <w:proofErr w:type="spellEnd"/>
      <w:r>
        <w:rPr>
          <w:lang w:eastAsia="en-AU"/>
        </w:rPr>
        <w:t xml:space="preserve"> </w:t>
      </w:r>
      <w:proofErr w:type="spellStart"/>
      <w:r>
        <w:rPr>
          <w:lang w:eastAsia="en-AU"/>
        </w:rPr>
        <w:t>govitecan</w:t>
      </w:r>
      <w:proofErr w:type="spellEnd"/>
      <w:r>
        <w:rPr>
          <w:lang w:eastAsia="en-AU"/>
        </w:rPr>
        <w:t xml:space="preserve"> in a brain metastases population in TNBC.</w:t>
      </w:r>
    </w:p>
    <w:p w14:paraId="13107D08" w14:textId="0D50B114" w:rsidR="00F65B21" w:rsidRDefault="00F65B21" w:rsidP="00F65B21">
      <w:pPr>
        <w:ind w:left="720"/>
        <w:rPr>
          <w:lang w:eastAsia="en-AU"/>
        </w:rPr>
      </w:pPr>
      <w:r>
        <w:rPr>
          <w:lang w:eastAsia="en-AU"/>
        </w:rPr>
        <w:t>The timetable you</w:t>
      </w:r>
      <w:r w:rsidR="00432368">
        <w:rPr>
          <w:lang w:eastAsia="en-AU"/>
        </w:rPr>
        <w:t xml:space="preserve"> [the sponsor]</w:t>
      </w:r>
      <w:r>
        <w:rPr>
          <w:lang w:eastAsia="en-AU"/>
        </w:rPr>
        <w:t xml:space="preserve"> submitted on March 24, 2021, states that you</w:t>
      </w:r>
      <w:r w:rsidR="00432368">
        <w:rPr>
          <w:lang w:eastAsia="en-AU"/>
        </w:rPr>
        <w:t xml:space="preserve"> [the sponsor]</w:t>
      </w:r>
      <w:r>
        <w:rPr>
          <w:lang w:eastAsia="en-AU"/>
        </w:rPr>
        <w:t xml:space="preserve"> will conduct this study according to the following schedule: </w:t>
      </w:r>
    </w:p>
    <w:p w14:paraId="7A9963C2" w14:textId="77713E1D" w:rsidR="00F65B21" w:rsidRDefault="00F65B21" w:rsidP="00F65B21">
      <w:pPr>
        <w:ind w:firstLine="720"/>
        <w:rPr>
          <w:lang w:eastAsia="en-AU"/>
        </w:rPr>
      </w:pPr>
      <w:r>
        <w:rPr>
          <w:lang w:eastAsia="en-AU"/>
        </w:rPr>
        <w:t xml:space="preserve">Final Protocol Submission: 7/2020 (completed) </w:t>
      </w:r>
    </w:p>
    <w:p w14:paraId="69951118" w14:textId="77777777" w:rsidR="00F65B21" w:rsidRDefault="00F65B21" w:rsidP="00F65B21">
      <w:pPr>
        <w:ind w:firstLine="720"/>
        <w:rPr>
          <w:lang w:eastAsia="en-AU"/>
        </w:rPr>
      </w:pPr>
      <w:r>
        <w:rPr>
          <w:lang w:eastAsia="en-AU"/>
        </w:rPr>
        <w:t xml:space="preserve">Trial Completion: 12/2024 </w:t>
      </w:r>
    </w:p>
    <w:p w14:paraId="16BDBD3B" w14:textId="4E68E302" w:rsidR="00F65B21" w:rsidRDefault="00F65B21" w:rsidP="00F65B21">
      <w:pPr>
        <w:ind w:firstLine="720"/>
        <w:rPr>
          <w:lang w:eastAsia="en-AU"/>
        </w:rPr>
      </w:pPr>
      <w:r>
        <w:rPr>
          <w:lang w:eastAsia="en-AU"/>
        </w:rPr>
        <w:t xml:space="preserve">Final Report Submission: 2/2025 </w:t>
      </w:r>
    </w:p>
    <w:p w14:paraId="1C389881" w14:textId="145B05BF" w:rsidR="00F65B21" w:rsidRDefault="00F65B21" w:rsidP="006F52D1">
      <w:pPr>
        <w:rPr>
          <w:lang w:eastAsia="en-AU"/>
        </w:rPr>
      </w:pPr>
      <w:r>
        <w:rPr>
          <w:lang w:eastAsia="en-AU"/>
        </w:rPr>
        <w:t>The submission of data to confirm efficacy and safety in patients with brain metastases will be a condition of registration in Australia.</w:t>
      </w:r>
    </w:p>
    <w:p w14:paraId="4CE9686F" w14:textId="28D9A2F6" w:rsidR="001F4877" w:rsidRDefault="001F4877" w:rsidP="001F4877">
      <w:pPr>
        <w:pStyle w:val="Heading6"/>
        <w:rPr>
          <w:lang w:eastAsia="en-AU"/>
        </w:rPr>
      </w:pPr>
      <w:r>
        <w:rPr>
          <w:lang w:eastAsia="en-AU"/>
        </w:rPr>
        <w:t xml:space="preserve">Unresectable, locally advanced </w:t>
      </w:r>
      <w:r w:rsidR="00B47056">
        <w:rPr>
          <w:lang w:eastAsia="en-AU"/>
        </w:rPr>
        <w:t>triple negative breast cancer</w:t>
      </w:r>
    </w:p>
    <w:p w14:paraId="5961CD27" w14:textId="7A0218D9" w:rsidR="00175529" w:rsidRDefault="001F4877" w:rsidP="001F4877">
      <w:pPr>
        <w:rPr>
          <w:lang w:eastAsia="en-AU"/>
        </w:rPr>
      </w:pPr>
      <w:r>
        <w:rPr>
          <w:lang w:eastAsia="en-AU"/>
        </w:rPr>
        <w:t>Only one patient enrolled in the pivotal registration study (ASCENT</w:t>
      </w:r>
      <w:r w:rsidR="007C1D45">
        <w:rPr>
          <w:lang w:eastAsia="en-AU"/>
        </w:rPr>
        <w:t xml:space="preserve"> trial</w:t>
      </w:r>
      <w:r>
        <w:rPr>
          <w:lang w:eastAsia="en-AU"/>
        </w:rPr>
        <w:t>) had unresectable, locally advanced TNBC. However, unresectable, locally advanced disease is treated similarly to metastatic disease</w:t>
      </w:r>
      <w:r w:rsidR="00175529">
        <w:rPr>
          <w:lang w:eastAsia="en-AU"/>
        </w:rPr>
        <w:t>.</w:t>
      </w:r>
    </w:p>
    <w:p w14:paraId="02F8389F" w14:textId="30DB60A9" w:rsidR="001F4877" w:rsidRDefault="001F4877" w:rsidP="001F4877">
      <w:pPr>
        <w:rPr>
          <w:lang w:eastAsia="en-AU"/>
        </w:rPr>
      </w:pPr>
      <w:r>
        <w:rPr>
          <w:lang w:eastAsia="en-AU"/>
        </w:rPr>
        <w:t>The Delegate propose</w:t>
      </w:r>
      <w:r w:rsidR="00432368">
        <w:rPr>
          <w:lang w:eastAsia="en-AU"/>
        </w:rPr>
        <w:t>s</w:t>
      </w:r>
      <w:r>
        <w:rPr>
          <w:lang w:eastAsia="en-AU"/>
        </w:rPr>
        <w:t xml:space="preserve"> not to specifically exclude patients with unresectable, locally advanced disease from the indication.</w:t>
      </w:r>
    </w:p>
    <w:p w14:paraId="1B35588E" w14:textId="77777777" w:rsidR="001F4877" w:rsidRDefault="001F4877" w:rsidP="001F4877">
      <w:pPr>
        <w:pStyle w:val="Heading6"/>
        <w:rPr>
          <w:lang w:eastAsia="en-AU"/>
        </w:rPr>
      </w:pPr>
      <w:r>
        <w:rPr>
          <w:lang w:eastAsia="en-AU"/>
        </w:rPr>
        <w:lastRenderedPageBreak/>
        <w:t>Prior lines of treatment</w:t>
      </w:r>
    </w:p>
    <w:p w14:paraId="6893063E" w14:textId="783FDBA4" w:rsidR="001F4877" w:rsidRDefault="001F4877" w:rsidP="001F4877">
      <w:pPr>
        <w:rPr>
          <w:lang w:eastAsia="en-AU"/>
        </w:rPr>
      </w:pPr>
      <w:r>
        <w:rPr>
          <w:lang w:eastAsia="en-AU"/>
        </w:rPr>
        <w:t xml:space="preserve">In the ITT population, 13% of patients in the </w:t>
      </w:r>
      <w:proofErr w:type="spellStart"/>
      <w:r w:rsidR="00B47056">
        <w:t>sacituzumab</w:t>
      </w:r>
      <w:proofErr w:type="spellEnd"/>
      <w:r w:rsidR="00B47056">
        <w:t xml:space="preserve"> </w:t>
      </w:r>
      <w:proofErr w:type="spellStart"/>
      <w:r w:rsidR="00B47056">
        <w:t>govitecan</w:t>
      </w:r>
      <w:proofErr w:type="spellEnd"/>
      <w:r w:rsidR="00B47056" w:rsidDel="00B47056">
        <w:rPr>
          <w:lang w:eastAsia="en-AU"/>
        </w:rPr>
        <w:t xml:space="preserve"> </w:t>
      </w:r>
      <w:r>
        <w:rPr>
          <w:lang w:eastAsia="en-AU"/>
        </w:rPr>
        <w:t xml:space="preserve">arm (35 patients) had received only </w:t>
      </w:r>
      <w:r w:rsidR="00C117D5">
        <w:rPr>
          <w:lang w:eastAsia="en-AU"/>
        </w:rPr>
        <w:t>one</w:t>
      </w:r>
      <w:r w:rsidR="00B47056">
        <w:rPr>
          <w:lang w:eastAsia="en-AU"/>
        </w:rPr>
        <w:t xml:space="preserve"> </w:t>
      </w:r>
      <w:r>
        <w:rPr>
          <w:lang w:eastAsia="en-AU"/>
        </w:rPr>
        <w:t xml:space="preserve">prior line of therapy in the metastatic setting. Per protocol, this was allowed if a patient also had another prior line given in the neo/adjuvant setting, </w:t>
      </w:r>
      <w:proofErr w:type="gramStart"/>
      <w:r>
        <w:rPr>
          <w:lang w:eastAsia="en-AU"/>
        </w:rPr>
        <w:t>as long as</w:t>
      </w:r>
      <w:proofErr w:type="gramEnd"/>
      <w:r>
        <w:rPr>
          <w:lang w:eastAsia="en-AU"/>
        </w:rPr>
        <w:t xml:space="preserve"> recurrence/progression occurred within 12 months of the neo/adjuvant regimen.</w:t>
      </w:r>
    </w:p>
    <w:p w14:paraId="6B635D60" w14:textId="48EFA9FE" w:rsidR="001F4877" w:rsidRDefault="001F4877" w:rsidP="001F4877">
      <w:pPr>
        <w:rPr>
          <w:lang w:eastAsia="en-AU"/>
        </w:rPr>
      </w:pPr>
      <w:r>
        <w:rPr>
          <w:lang w:eastAsia="en-AU"/>
        </w:rPr>
        <w:t xml:space="preserve">An exploratory subgroup analysis of BICR-assessed PFS in the subgroup who had received only </w:t>
      </w:r>
      <w:r w:rsidR="00C117D5">
        <w:rPr>
          <w:lang w:eastAsia="en-AU"/>
        </w:rPr>
        <w:t>one</w:t>
      </w:r>
      <w:r>
        <w:rPr>
          <w:lang w:eastAsia="en-AU"/>
        </w:rPr>
        <w:t xml:space="preserve"> prior line of therapy in the metastatic setting showed a </w:t>
      </w:r>
      <w:r w:rsidR="00B47056">
        <w:rPr>
          <w:lang w:eastAsia="en-AU"/>
        </w:rPr>
        <w:t>hazard ratio</w:t>
      </w:r>
      <w:r>
        <w:rPr>
          <w:lang w:eastAsia="en-AU"/>
        </w:rPr>
        <w:t xml:space="preserve"> of 0.42 (95%</w:t>
      </w:r>
      <w:r w:rsidR="00B47056">
        <w:rPr>
          <w:lang w:eastAsia="en-AU"/>
        </w:rPr>
        <w:t> </w:t>
      </w:r>
      <w:r>
        <w:rPr>
          <w:lang w:eastAsia="en-AU"/>
        </w:rPr>
        <w:t xml:space="preserve">CI: 0.23-0.77) for PFS and 0.56 (95% CI: 0.32-0.99) for </w:t>
      </w:r>
      <w:r w:rsidR="00B47056">
        <w:rPr>
          <w:lang w:eastAsia="en-AU"/>
        </w:rPr>
        <w:t>overall survival</w:t>
      </w:r>
      <w:r>
        <w:rPr>
          <w:lang w:eastAsia="en-AU"/>
        </w:rPr>
        <w:t>. These findings do not raise a signal for poorer efficacy in this patient subgroup.</w:t>
      </w:r>
    </w:p>
    <w:p w14:paraId="3EF46420" w14:textId="31500CC2" w:rsidR="001F4877" w:rsidRDefault="001F4877" w:rsidP="001F4877">
      <w:pPr>
        <w:rPr>
          <w:lang w:eastAsia="en-AU"/>
        </w:rPr>
      </w:pPr>
      <w:r>
        <w:rPr>
          <w:lang w:eastAsia="en-AU"/>
        </w:rPr>
        <w:t>The Delegate proposes to word the indication such that usage is indicated for patients who have received two or more prior systemic therapies, at least one of them for metastatic disease.</w:t>
      </w:r>
    </w:p>
    <w:p w14:paraId="6817189D" w14:textId="2D593EEE" w:rsidR="001F4877" w:rsidRDefault="001F4877" w:rsidP="001F4877">
      <w:pPr>
        <w:pStyle w:val="Heading6"/>
        <w:rPr>
          <w:lang w:eastAsia="en-AU"/>
        </w:rPr>
      </w:pPr>
      <w:r>
        <w:rPr>
          <w:lang w:eastAsia="en-AU"/>
        </w:rPr>
        <w:t xml:space="preserve">Men with </w:t>
      </w:r>
      <w:r w:rsidR="00B47056">
        <w:rPr>
          <w:lang w:eastAsia="en-AU"/>
        </w:rPr>
        <w:t>triple negative breast cancer</w:t>
      </w:r>
    </w:p>
    <w:p w14:paraId="67063C8D" w14:textId="5543ABE9" w:rsidR="001F4877" w:rsidRDefault="001F4877" w:rsidP="001F4877">
      <w:pPr>
        <w:rPr>
          <w:lang w:eastAsia="en-AU"/>
        </w:rPr>
      </w:pPr>
      <w:r>
        <w:rPr>
          <w:lang w:eastAsia="en-AU"/>
        </w:rPr>
        <w:t>Two men with TNBC were enrolled in</w:t>
      </w:r>
      <w:r w:rsidR="00B47056">
        <w:rPr>
          <w:lang w:eastAsia="en-AU"/>
        </w:rPr>
        <w:t xml:space="preserve"> the</w:t>
      </w:r>
      <w:r>
        <w:rPr>
          <w:lang w:eastAsia="en-AU"/>
        </w:rPr>
        <w:t xml:space="preserve"> ASCENT</w:t>
      </w:r>
      <w:r w:rsidR="007C1D45">
        <w:rPr>
          <w:lang w:eastAsia="en-AU"/>
        </w:rPr>
        <w:t xml:space="preserve"> trial</w:t>
      </w:r>
      <w:r>
        <w:rPr>
          <w:lang w:eastAsia="en-AU"/>
        </w:rPr>
        <w:t>. Although the data are limited, this is in keeping with the rarity of breast cancer in males, and the Delegate proposes not to specifically exclude men from the indication.</w:t>
      </w:r>
    </w:p>
    <w:p w14:paraId="45FB1752" w14:textId="77777777" w:rsidR="001F4877" w:rsidRDefault="001F4877" w:rsidP="001F4877">
      <w:pPr>
        <w:pStyle w:val="Heading6"/>
        <w:rPr>
          <w:lang w:eastAsia="en-AU"/>
        </w:rPr>
      </w:pPr>
      <w:r>
        <w:rPr>
          <w:lang w:eastAsia="en-AU"/>
        </w:rPr>
        <w:t>Adverse events related to UGT1A1 status</w:t>
      </w:r>
    </w:p>
    <w:p w14:paraId="18083726" w14:textId="277CD8AC" w:rsidR="00175529" w:rsidRDefault="001F4877" w:rsidP="001F4877">
      <w:pPr>
        <w:rPr>
          <w:lang w:eastAsia="en-AU"/>
        </w:rPr>
      </w:pPr>
      <w:r>
        <w:rPr>
          <w:lang w:eastAsia="en-AU"/>
        </w:rPr>
        <w:t xml:space="preserve">The cytotoxic component of </w:t>
      </w:r>
      <w:proofErr w:type="spellStart"/>
      <w:r w:rsidR="00B47056">
        <w:t>sacituzumab</w:t>
      </w:r>
      <w:proofErr w:type="spellEnd"/>
      <w:r w:rsidR="00B47056">
        <w:t xml:space="preserve"> </w:t>
      </w:r>
      <w:proofErr w:type="spellStart"/>
      <w:r w:rsidR="00B47056">
        <w:t>govitecan</w:t>
      </w:r>
      <w:proofErr w:type="spellEnd"/>
      <w:r>
        <w:rPr>
          <w:lang w:eastAsia="en-AU"/>
        </w:rPr>
        <w:t xml:space="preserve"> is SN-38, which is the active metabolite of irinotecan. As with irinotecan, patients homozygous for the uridine diphosphate-</w:t>
      </w:r>
      <w:proofErr w:type="spellStart"/>
      <w:r>
        <w:rPr>
          <w:lang w:eastAsia="en-AU"/>
        </w:rPr>
        <w:t>glucuronosyl</w:t>
      </w:r>
      <w:proofErr w:type="spellEnd"/>
      <w:r>
        <w:rPr>
          <w:lang w:eastAsia="en-AU"/>
        </w:rPr>
        <w:t xml:space="preserve"> transferase 1A1 28 allele (UGT1A1*28) are at increased risk for neutropenia, febrile neutropenia, and anaemia; and may be at increased risk for other </w:t>
      </w:r>
      <w:r w:rsidR="00F96519">
        <w:rPr>
          <w:lang w:eastAsia="en-AU"/>
        </w:rPr>
        <w:t>AEs</w:t>
      </w:r>
      <w:r>
        <w:rPr>
          <w:lang w:eastAsia="en-AU"/>
        </w:rPr>
        <w:t xml:space="preserve">, such as diarrhoea, when treated with </w:t>
      </w:r>
      <w:proofErr w:type="spellStart"/>
      <w:r w:rsidR="00B47056">
        <w:t>sacituzumab</w:t>
      </w:r>
      <w:proofErr w:type="spellEnd"/>
      <w:r w:rsidR="00B47056">
        <w:t xml:space="preserve"> </w:t>
      </w:r>
      <w:proofErr w:type="spellStart"/>
      <w:r w:rsidR="00B47056">
        <w:t>govitecan</w:t>
      </w:r>
      <w:proofErr w:type="spellEnd"/>
      <w:r w:rsidR="00175529">
        <w:rPr>
          <w:lang w:eastAsia="en-AU"/>
        </w:rPr>
        <w:t>.</w:t>
      </w:r>
    </w:p>
    <w:p w14:paraId="7D6A32FF" w14:textId="066230B8" w:rsidR="001F4877" w:rsidRDefault="001F4877" w:rsidP="001F4877">
      <w:pPr>
        <w:rPr>
          <w:lang w:eastAsia="en-AU"/>
        </w:rPr>
      </w:pPr>
      <w:r>
        <w:rPr>
          <w:lang w:eastAsia="en-AU"/>
        </w:rPr>
        <w:t xml:space="preserve">The incidence of neutropenia and anaemia was evaluated in 577 patients who received </w:t>
      </w:r>
      <w:proofErr w:type="spellStart"/>
      <w:r w:rsidR="00B47056">
        <w:t>sacituzumab</w:t>
      </w:r>
      <w:proofErr w:type="spellEnd"/>
      <w:r w:rsidR="00B47056">
        <w:t xml:space="preserve"> </w:t>
      </w:r>
      <w:proofErr w:type="spellStart"/>
      <w:r w:rsidR="00B47056">
        <w:t>govitecan</w:t>
      </w:r>
      <w:proofErr w:type="spellEnd"/>
      <w:r>
        <w:rPr>
          <w:lang w:eastAsia="en-AU"/>
        </w:rPr>
        <w:t xml:space="preserve"> and had UGT1A1 genotype results. Incidence of </w:t>
      </w:r>
      <w:r w:rsidR="00F96519">
        <w:rPr>
          <w:lang w:eastAsia="en-AU"/>
        </w:rPr>
        <w:t>G</w:t>
      </w:r>
      <w:r>
        <w:rPr>
          <w:lang w:eastAsia="en-AU"/>
        </w:rPr>
        <w:t>rade 3</w:t>
      </w:r>
      <w:r w:rsidR="007706C6">
        <w:rPr>
          <w:lang w:eastAsia="en-AU"/>
        </w:rPr>
        <w:t xml:space="preserve"> to</w:t>
      </w:r>
      <w:r>
        <w:rPr>
          <w:lang w:eastAsia="en-AU"/>
        </w:rPr>
        <w:t xml:space="preserve">4 events according to UGT1A1 status is summarised in </w:t>
      </w:r>
      <w:r w:rsidR="003E1449">
        <w:rPr>
          <w:lang w:eastAsia="en-AU"/>
        </w:rPr>
        <w:fldChar w:fldCharType="begin"/>
      </w:r>
      <w:r w:rsidR="003E1449">
        <w:rPr>
          <w:lang w:eastAsia="en-AU"/>
        </w:rPr>
        <w:instrText xml:space="preserve"> REF _Ref90893209 \h </w:instrText>
      </w:r>
      <w:r w:rsidR="003E1449">
        <w:rPr>
          <w:lang w:eastAsia="en-AU"/>
        </w:rPr>
      </w:r>
      <w:r w:rsidR="003E1449">
        <w:rPr>
          <w:lang w:eastAsia="en-AU"/>
        </w:rPr>
        <w:fldChar w:fldCharType="separate"/>
      </w:r>
      <w:r w:rsidR="003E1449">
        <w:t xml:space="preserve">Table </w:t>
      </w:r>
      <w:r w:rsidR="003E1449">
        <w:rPr>
          <w:noProof/>
        </w:rPr>
        <w:t>16</w:t>
      </w:r>
      <w:r w:rsidR="003E1449">
        <w:rPr>
          <w:lang w:eastAsia="en-AU"/>
        </w:rPr>
        <w:fldChar w:fldCharType="end"/>
      </w:r>
      <w:r>
        <w:rPr>
          <w:lang w:eastAsia="en-AU"/>
        </w:rPr>
        <w:t>.</w:t>
      </w:r>
    </w:p>
    <w:p w14:paraId="1F5311E8" w14:textId="608E7B9B" w:rsidR="001F4877" w:rsidRPr="004B7E0B" w:rsidRDefault="003E1449" w:rsidP="003E1449">
      <w:pPr>
        <w:pStyle w:val="TableTitle"/>
      </w:pPr>
      <w:bookmarkStart w:id="66" w:name="_Ref90893209"/>
      <w:r>
        <w:t xml:space="preserve">Table </w:t>
      </w:r>
      <w:fldSimple w:instr=" SEQ Table \* ARABIC ">
        <w:r w:rsidR="007D09B2">
          <w:rPr>
            <w:noProof/>
          </w:rPr>
          <w:t>16</w:t>
        </w:r>
      </w:fldSimple>
      <w:bookmarkEnd w:id="66"/>
      <w:r>
        <w:t xml:space="preserve"> :</w:t>
      </w:r>
      <w:r w:rsidR="001F4877" w:rsidRPr="004B7E0B">
        <w:t xml:space="preserve"> </w:t>
      </w:r>
      <w:r w:rsidR="00B47056">
        <w:t xml:space="preserve">Study IMMU-132-05 (ASCENT trial) </w:t>
      </w:r>
      <w:r w:rsidR="001F4877">
        <w:t xml:space="preserve">Incidence of </w:t>
      </w:r>
      <w:r w:rsidR="004C0D29">
        <w:t>G</w:t>
      </w:r>
      <w:r w:rsidR="001F4877">
        <w:t>rade 3</w:t>
      </w:r>
      <w:r w:rsidR="00B47056">
        <w:t xml:space="preserve"> or </w:t>
      </w:r>
      <w:r w:rsidR="001F4877">
        <w:t>4 events of neutropenia and anaemia</w:t>
      </w:r>
      <w:r w:rsidR="00B47056">
        <w:t xml:space="preserve">, </w:t>
      </w:r>
      <w:r w:rsidR="001F4877">
        <w:t>by UGT1A1*28 status</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977"/>
        <w:gridCol w:w="1984"/>
        <w:gridCol w:w="1985"/>
        <w:gridCol w:w="1985"/>
      </w:tblGrid>
      <w:tr w:rsidR="001F4877" w:rsidRPr="004B7E0B" w14:paraId="005CAC43" w14:textId="77777777" w:rsidTr="00BF5875">
        <w:trPr>
          <w:trHeight w:val="20"/>
          <w:tblHeader/>
        </w:trPr>
        <w:tc>
          <w:tcPr>
            <w:tcW w:w="2977" w:type="dxa"/>
            <w:tcBorders>
              <w:right w:val="single" w:sz="4" w:space="0" w:color="auto"/>
            </w:tcBorders>
            <w:shd w:val="clear" w:color="auto" w:fill="006DA7" w:themeFill="accent3"/>
            <w:vAlign w:val="bottom"/>
          </w:tcPr>
          <w:p w14:paraId="50E2A2F5" w14:textId="5528D461" w:rsidR="001F4877" w:rsidRPr="009949B2" w:rsidRDefault="001F4877" w:rsidP="00BF5875">
            <w:pPr>
              <w:pStyle w:val="Tabletext"/>
              <w:rPr>
                <w:b/>
                <w:bCs/>
                <w:color w:val="FFFFFF" w:themeColor="background1"/>
              </w:rPr>
            </w:pPr>
            <w:r w:rsidRPr="009949B2">
              <w:rPr>
                <w:b/>
                <w:bCs/>
                <w:color w:val="FFFFFF" w:themeColor="background1"/>
              </w:rPr>
              <w:t>Incidence</w:t>
            </w:r>
          </w:p>
        </w:tc>
        <w:tc>
          <w:tcPr>
            <w:tcW w:w="1984" w:type="dxa"/>
            <w:tcBorders>
              <w:right w:val="single" w:sz="4" w:space="0" w:color="auto"/>
            </w:tcBorders>
            <w:shd w:val="clear" w:color="auto" w:fill="006DA7" w:themeFill="accent3"/>
            <w:vAlign w:val="bottom"/>
          </w:tcPr>
          <w:p w14:paraId="21927B41" w14:textId="77777777" w:rsidR="001F4877" w:rsidRPr="009949B2" w:rsidRDefault="001F4877" w:rsidP="00BF5875">
            <w:pPr>
              <w:pStyle w:val="Tabletext"/>
              <w:jc w:val="center"/>
              <w:rPr>
                <w:b/>
                <w:bCs/>
                <w:color w:val="FFFFFF" w:themeColor="background1"/>
              </w:rPr>
            </w:pPr>
            <w:r w:rsidRPr="009949B2">
              <w:rPr>
                <w:b/>
                <w:bCs/>
                <w:color w:val="FFFFFF" w:themeColor="background1"/>
              </w:rPr>
              <w:t>UGT1A1*28</w:t>
            </w:r>
          </w:p>
          <w:p w14:paraId="0B8F35D2" w14:textId="77777777" w:rsidR="001F4877" w:rsidRPr="009949B2" w:rsidRDefault="001F4877" w:rsidP="00BF5875">
            <w:pPr>
              <w:pStyle w:val="Tabletext"/>
              <w:jc w:val="center"/>
              <w:rPr>
                <w:b/>
                <w:bCs/>
                <w:color w:val="FFFFFF" w:themeColor="background1"/>
              </w:rPr>
            </w:pPr>
            <w:r w:rsidRPr="009949B2">
              <w:rPr>
                <w:b/>
                <w:bCs/>
                <w:color w:val="FFFFFF" w:themeColor="background1"/>
              </w:rPr>
              <w:t>homozygous</w:t>
            </w:r>
          </w:p>
          <w:p w14:paraId="10107E87" w14:textId="5F9B6DB5" w:rsidR="001F4877" w:rsidRPr="009949B2" w:rsidRDefault="001F4877" w:rsidP="00BF5875">
            <w:pPr>
              <w:pStyle w:val="Tabletext"/>
              <w:jc w:val="center"/>
              <w:rPr>
                <w:b/>
                <w:bCs/>
                <w:color w:val="FFFFFF" w:themeColor="background1"/>
              </w:rPr>
            </w:pPr>
            <w:r w:rsidRPr="009949B2">
              <w:rPr>
                <w:b/>
                <w:bCs/>
                <w:color w:val="FFFFFF" w:themeColor="background1"/>
              </w:rPr>
              <w:t>N</w:t>
            </w:r>
            <w:r w:rsidR="002D3272">
              <w:rPr>
                <w:b/>
                <w:bCs/>
                <w:color w:val="FFFFFF" w:themeColor="background1"/>
              </w:rPr>
              <w:t xml:space="preserve"> </w:t>
            </w:r>
            <w:r w:rsidRPr="009949B2">
              <w:rPr>
                <w:b/>
                <w:bCs/>
                <w:color w:val="FFFFFF" w:themeColor="background1"/>
              </w:rPr>
              <w:t>=</w:t>
            </w:r>
            <w:r w:rsidR="002D3272">
              <w:rPr>
                <w:b/>
                <w:bCs/>
                <w:color w:val="FFFFFF" w:themeColor="background1"/>
              </w:rPr>
              <w:t xml:space="preserve"> </w:t>
            </w:r>
            <w:r w:rsidRPr="009949B2">
              <w:rPr>
                <w:b/>
                <w:bCs/>
                <w:color w:val="FFFFFF" w:themeColor="background1"/>
              </w:rPr>
              <w:t>70</w:t>
            </w:r>
          </w:p>
        </w:tc>
        <w:tc>
          <w:tcPr>
            <w:tcW w:w="1985" w:type="dxa"/>
            <w:tcBorders>
              <w:right w:val="single" w:sz="4" w:space="0" w:color="auto"/>
            </w:tcBorders>
            <w:shd w:val="clear" w:color="auto" w:fill="006DA7" w:themeFill="accent3"/>
            <w:vAlign w:val="bottom"/>
          </w:tcPr>
          <w:p w14:paraId="63D2AE39" w14:textId="77777777" w:rsidR="001F4877" w:rsidRPr="009949B2" w:rsidRDefault="001F4877" w:rsidP="00BF5875">
            <w:pPr>
              <w:pStyle w:val="Tabletext"/>
              <w:jc w:val="center"/>
              <w:rPr>
                <w:b/>
                <w:bCs/>
                <w:color w:val="FFFFFF" w:themeColor="background1"/>
              </w:rPr>
            </w:pPr>
            <w:r w:rsidRPr="009949B2">
              <w:rPr>
                <w:b/>
                <w:bCs/>
                <w:color w:val="FFFFFF" w:themeColor="background1"/>
              </w:rPr>
              <w:t>UGT1A1*28</w:t>
            </w:r>
          </w:p>
          <w:p w14:paraId="2472AEDB" w14:textId="77777777" w:rsidR="001F4877" w:rsidRPr="009949B2" w:rsidRDefault="001F4877" w:rsidP="00BF5875">
            <w:pPr>
              <w:pStyle w:val="Tabletext"/>
              <w:jc w:val="center"/>
              <w:rPr>
                <w:b/>
                <w:bCs/>
                <w:color w:val="FFFFFF" w:themeColor="background1"/>
              </w:rPr>
            </w:pPr>
            <w:r w:rsidRPr="009949B2">
              <w:rPr>
                <w:b/>
                <w:bCs/>
                <w:color w:val="FFFFFF" w:themeColor="background1"/>
              </w:rPr>
              <w:t>heterozygous</w:t>
            </w:r>
          </w:p>
          <w:p w14:paraId="5EAABB7B" w14:textId="0F7ED096" w:rsidR="001F4877" w:rsidRPr="009949B2" w:rsidRDefault="001F4877" w:rsidP="00BF5875">
            <w:pPr>
              <w:pStyle w:val="Tabletext"/>
              <w:jc w:val="center"/>
              <w:rPr>
                <w:b/>
                <w:bCs/>
                <w:color w:val="FFFFFF" w:themeColor="background1"/>
              </w:rPr>
            </w:pPr>
            <w:r w:rsidRPr="009949B2">
              <w:rPr>
                <w:b/>
                <w:bCs/>
                <w:color w:val="FFFFFF" w:themeColor="background1"/>
              </w:rPr>
              <w:t>N</w:t>
            </w:r>
            <w:r w:rsidR="002D3272">
              <w:rPr>
                <w:b/>
                <w:bCs/>
                <w:color w:val="FFFFFF" w:themeColor="background1"/>
              </w:rPr>
              <w:t xml:space="preserve"> </w:t>
            </w:r>
            <w:r w:rsidRPr="009949B2">
              <w:rPr>
                <w:b/>
                <w:bCs/>
                <w:color w:val="FFFFFF" w:themeColor="background1"/>
              </w:rPr>
              <w:t>=</w:t>
            </w:r>
            <w:r w:rsidR="002D3272">
              <w:rPr>
                <w:b/>
                <w:bCs/>
                <w:color w:val="FFFFFF" w:themeColor="background1"/>
              </w:rPr>
              <w:t xml:space="preserve"> </w:t>
            </w:r>
            <w:r w:rsidRPr="009949B2">
              <w:rPr>
                <w:b/>
                <w:bCs/>
                <w:color w:val="FFFFFF" w:themeColor="background1"/>
              </w:rPr>
              <w:t>246</w:t>
            </w:r>
          </w:p>
        </w:tc>
        <w:tc>
          <w:tcPr>
            <w:tcW w:w="1985" w:type="dxa"/>
            <w:tcBorders>
              <w:left w:val="single" w:sz="4" w:space="0" w:color="auto"/>
              <w:right w:val="single" w:sz="4" w:space="0" w:color="auto"/>
            </w:tcBorders>
            <w:shd w:val="clear" w:color="auto" w:fill="006DA7" w:themeFill="accent3"/>
            <w:vAlign w:val="bottom"/>
          </w:tcPr>
          <w:p w14:paraId="56E7592A" w14:textId="77777777" w:rsidR="001F4877" w:rsidRPr="009949B2" w:rsidRDefault="001F4877" w:rsidP="00BF5875">
            <w:pPr>
              <w:pStyle w:val="Tabletext"/>
              <w:jc w:val="center"/>
              <w:rPr>
                <w:b/>
                <w:bCs/>
                <w:color w:val="FFFFFF" w:themeColor="background1"/>
              </w:rPr>
            </w:pPr>
            <w:r w:rsidRPr="009949B2">
              <w:rPr>
                <w:b/>
                <w:bCs/>
                <w:color w:val="FFFFFF" w:themeColor="background1"/>
              </w:rPr>
              <w:t xml:space="preserve">UGT1A1 </w:t>
            </w:r>
            <w:proofErr w:type="gramStart"/>
            <w:r w:rsidRPr="009949B2">
              <w:rPr>
                <w:b/>
                <w:bCs/>
                <w:color w:val="FFFFFF" w:themeColor="background1"/>
              </w:rPr>
              <w:t>wild-type</w:t>
            </w:r>
            <w:proofErr w:type="gramEnd"/>
          </w:p>
          <w:p w14:paraId="0454874A" w14:textId="77777777" w:rsidR="001F4877" w:rsidRPr="009949B2" w:rsidRDefault="001F4877" w:rsidP="00BF5875">
            <w:pPr>
              <w:pStyle w:val="Tabletext"/>
              <w:jc w:val="center"/>
              <w:rPr>
                <w:b/>
                <w:bCs/>
                <w:color w:val="FFFFFF" w:themeColor="background1"/>
              </w:rPr>
            </w:pPr>
            <w:r w:rsidRPr="009949B2">
              <w:rPr>
                <w:b/>
                <w:bCs/>
                <w:color w:val="FFFFFF" w:themeColor="background1"/>
              </w:rPr>
              <w:t>homozygous</w:t>
            </w:r>
          </w:p>
          <w:p w14:paraId="39D6CBFE" w14:textId="2AF0B772" w:rsidR="001F4877" w:rsidRPr="009949B2" w:rsidRDefault="001F4877" w:rsidP="00BF5875">
            <w:pPr>
              <w:pStyle w:val="Tabletext"/>
              <w:jc w:val="center"/>
              <w:rPr>
                <w:b/>
                <w:bCs/>
                <w:color w:val="FFFFFF" w:themeColor="background1"/>
              </w:rPr>
            </w:pPr>
            <w:r w:rsidRPr="009949B2">
              <w:rPr>
                <w:b/>
                <w:bCs/>
                <w:color w:val="FFFFFF" w:themeColor="background1"/>
              </w:rPr>
              <w:t>N</w:t>
            </w:r>
            <w:r w:rsidR="002D3272">
              <w:rPr>
                <w:b/>
                <w:bCs/>
                <w:color w:val="FFFFFF" w:themeColor="background1"/>
              </w:rPr>
              <w:t xml:space="preserve"> </w:t>
            </w:r>
            <w:r w:rsidRPr="009949B2">
              <w:rPr>
                <w:b/>
                <w:bCs/>
                <w:color w:val="FFFFFF" w:themeColor="background1"/>
              </w:rPr>
              <w:t>=</w:t>
            </w:r>
            <w:r w:rsidR="002D3272">
              <w:rPr>
                <w:b/>
                <w:bCs/>
                <w:color w:val="FFFFFF" w:themeColor="background1"/>
              </w:rPr>
              <w:t xml:space="preserve"> </w:t>
            </w:r>
            <w:r w:rsidRPr="009949B2">
              <w:rPr>
                <w:b/>
                <w:bCs/>
                <w:color w:val="FFFFFF" w:themeColor="background1"/>
              </w:rPr>
              <w:t>261</w:t>
            </w:r>
          </w:p>
        </w:tc>
      </w:tr>
      <w:tr w:rsidR="001F4877" w:rsidRPr="004B7E0B" w14:paraId="11E89FD3" w14:textId="77777777" w:rsidTr="00BF5875">
        <w:trPr>
          <w:trHeight w:val="20"/>
        </w:trPr>
        <w:tc>
          <w:tcPr>
            <w:tcW w:w="2977" w:type="dxa"/>
            <w:tcBorders>
              <w:right w:val="single" w:sz="4" w:space="0" w:color="auto"/>
            </w:tcBorders>
          </w:tcPr>
          <w:p w14:paraId="7E4949C6" w14:textId="77777777" w:rsidR="001F4877" w:rsidRPr="004B7E0B" w:rsidRDefault="001F4877" w:rsidP="00BF5875">
            <w:pPr>
              <w:pStyle w:val="Tabletext"/>
            </w:pPr>
            <w:r>
              <w:t>Grade 3-4 neutropenia</w:t>
            </w:r>
          </w:p>
        </w:tc>
        <w:tc>
          <w:tcPr>
            <w:tcW w:w="1984" w:type="dxa"/>
            <w:tcBorders>
              <w:right w:val="single" w:sz="4" w:space="0" w:color="auto"/>
            </w:tcBorders>
          </w:tcPr>
          <w:p w14:paraId="5CA01D0D" w14:textId="3585F690" w:rsidR="001F4877" w:rsidRPr="004B7E0B" w:rsidRDefault="00B12966" w:rsidP="00BF5875">
            <w:pPr>
              <w:pStyle w:val="Tabletext"/>
              <w:jc w:val="center"/>
            </w:pPr>
            <w:r>
              <w:t>57</w:t>
            </w:r>
            <w:r w:rsidR="001F4877">
              <w:t>%</w:t>
            </w:r>
          </w:p>
        </w:tc>
        <w:tc>
          <w:tcPr>
            <w:tcW w:w="1985" w:type="dxa"/>
            <w:tcBorders>
              <w:right w:val="single" w:sz="4" w:space="0" w:color="auto"/>
            </w:tcBorders>
          </w:tcPr>
          <w:p w14:paraId="05876826" w14:textId="09616998" w:rsidR="001F4877" w:rsidRPr="004B7E0B" w:rsidRDefault="00B12966" w:rsidP="00BF5875">
            <w:pPr>
              <w:pStyle w:val="Tabletext"/>
              <w:jc w:val="center"/>
            </w:pPr>
            <w:r>
              <w:t>47</w:t>
            </w:r>
            <w:r w:rsidR="001F4877">
              <w:t>%</w:t>
            </w:r>
          </w:p>
        </w:tc>
        <w:tc>
          <w:tcPr>
            <w:tcW w:w="1985" w:type="dxa"/>
            <w:tcBorders>
              <w:left w:val="single" w:sz="4" w:space="0" w:color="auto"/>
              <w:right w:val="single" w:sz="4" w:space="0" w:color="auto"/>
            </w:tcBorders>
          </w:tcPr>
          <w:p w14:paraId="36B326EA" w14:textId="5AC27A5A" w:rsidR="001F4877" w:rsidRPr="004B7E0B" w:rsidRDefault="00B12966" w:rsidP="00BF5875">
            <w:pPr>
              <w:pStyle w:val="Tabletext"/>
              <w:jc w:val="center"/>
            </w:pPr>
            <w:r>
              <w:t>45</w:t>
            </w:r>
            <w:r w:rsidR="001F4877">
              <w:t>%</w:t>
            </w:r>
          </w:p>
        </w:tc>
      </w:tr>
      <w:tr w:rsidR="001F4877" w:rsidRPr="004B7E0B" w14:paraId="20A6E6E4" w14:textId="77777777" w:rsidTr="00BF5875">
        <w:trPr>
          <w:trHeight w:val="20"/>
        </w:trPr>
        <w:tc>
          <w:tcPr>
            <w:tcW w:w="2977" w:type="dxa"/>
            <w:tcBorders>
              <w:right w:val="single" w:sz="4" w:space="0" w:color="auto"/>
            </w:tcBorders>
          </w:tcPr>
          <w:p w14:paraId="244819B3" w14:textId="77777777" w:rsidR="001F4877" w:rsidRPr="004B7E0B" w:rsidRDefault="001F4877" w:rsidP="00BF5875">
            <w:pPr>
              <w:pStyle w:val="Tabletext"/>
            </w:pPr>
            <w:r>
              <w:t>Grade 3-4 anaemia</w:t>
            </w:r>
          </w:p>
        </w:tc>
        <w:tc>
          <w:tcPr>
            <w:tcW w:w="1984" w:type="dxa"/>
            <w:tcBorders>
              <w:right w:val="single" w:sz="4" w:space="0" w:color="auto"/>
            </w:tcBorders>
          </w:tcPr>
          <w:p w14:paraId="7D0EBCC5" w14:textId="77777777" w:rsidR="001F4877" w:rsidRPr="004B7E0B" w:rsidRDefault="001F4877" w:rsidP="00BF5875">
            <w:pPr>
              <w:pStyle w:val="Tabletext"/>
              <w:jc w:val="center"/>
            </w:pPr>
            <w:r>
              <w:t>24%</w:t>
            </w:r>
          </w:p>
        </w:tc>
        <w:tc>
          <w:tcPr>
            <w:tcW w:w="1985" w:type="dxa"/>
            <w:tcBorders>
              <w:right w:val="single" w:sz="4" w:space="0" w:color="auto"/>
            </w:tcBorders>
          </w:tcPr>
          <w:p w14:paraId="396CBC1D" w14:textId="77777777" w:rsidR="001F4877" w:rsidRPr="004B7E0B" w:rsidRDefault="001F4877" w:rsidP="00BF5875">
            <w:pPr>
              <w:pStyle w:val="Tabletext"/>
              <w:jc w:val="center"/>
            </w:pPr>
            <w:r>
              <w:t>8%</w:t>
            </w:r>
          </w:p>
        </w:tc>
        <w:tc>
          <w:tcPr>
            <w:tcW w:w="1985" w:type="dxa"/>
            <w:tcBorders>
              <w:left w:val="single" w:sz="4" w:space="0" w:color="auto"/>
              <w:right w:val="single" w:sz="4" w:space="0" w:color="auto"/>
            </w:tcBorders>
          </w:tcPr>
          <w:p w14:paraId="1B7989C4" w14:textId="77777777" w:rsidR="001F4877" w:rsidRPr="004B7E0B" w:rsidRDefault="001F4877" w:rsidP="00BF5875">
            <w:pPr>
              <w:pStyle w:val="Tabletext"/>
              <w:jc w:val="center"/>
            </w:pPr>
            <w:r>
              <w:t>10%</w:t>
            </w:r>
          </w:p>
        </w:tc>
      </w:tr>
    </w:tbl>
    <w:p w14:paraId="0E387617" w14:textId="3A4E5507" w:rsidR="00175529" w:rsidRDefault="003E1449" w:rsidP="003E1449">
      <w:pPr>
        <w:rPr>
          <w:lang w:eastAsia="en-AU"/>
        </w:rPr>
      </w:pPr>
      <w:r>
        <w:rPr>
          <w:lang w:eastAsia="en-AU"/>
        </w:rPr>
        <w:t>Although patients with homozygous UGT1A1*28 genotype are more likely to experience neutropenia and anaemia, the sponsor is not recommending a starting dose reduction. Lowering the starting dose to match SN-38 exposure may lead to decreased targeting and lower efficacy</w:t>
      </w:r>
      <w:r w:rsidR="00175529">
        <w:rPr>
          <w:lang w:eastAsia="en-AU"/>
        </w:rPr>
        <w:t>.</w:t>
      </w:r>
    </w:p>
    <w:p w14:paraId="0A7D2843" w14:textId="77777777" w:rsidR="003E1449" w:rsidRDefault="003E1449" w:rsidP="003E1449">
      <w:pPr>
        <w:rPr>
          <w:lang w:eastAsia="en-AU"/>
        </w:rPr>
      </w:pPr>
      <w:r>
        <w:rPr>
          <w:lang w:eastAsia="en-AU"/>
        </w:rPr>
        <w:t>Medical oncologists in Australia have been managing irinotecan toxicity for many years.</w:t>
      </w:r>
    </w:p>
    <w:p w14:paraId="7E7E40DE" w14:textId="6A20BB17" w:rsidR="003E1449" w:rsidRDefault="003E1449" w:rsidP="003E1449">
      <w:pPr>
        <w:rPr>
          <w:lang w:eastAsia="en-AU"/>
        </w:rPr>
      </w:pPr>
      <w:r>
        <w:rPr>
          <w:lang w:eastAsia="en-AU"/>
        </w:rPr>
        <w:t xml:space="preserve">The Delegate proposes to mitigate the risk of increased toxicity of </w:t>
      </w:r>
      <w:proofErr w:type="spellStart"/>
      <w:r w:rsidR="00B47056">
        <w:t>sacituzumab</w:t>
      </w:r>
      <w:proofErr w:type="spellEnd"/>
      <w:r w:rsidR="00B47056">
        <w:t xml:space="preserve"> </w:t>
      </w:r>
      <w:proofErr w:type="spellStart"/>
      <w:r w:rsidR="00B47056">
        <w:t>govitecan</w:t>
      </w:r>
      <w:proofErr w:type="spellEnd"/>
      <w:r>
        <w:rPr>
          <w:lang w:eastAsia="en-AU"/>
        </w:rPr>
        <w:t xml:space="preserve"> by statements in the PI along the lines of:</w:t>
      </w:r>
    </w:p>
    <w:p w14:paraId="589676A9" w14:textId="0E996468" w:rsidR="001F4877" w:rsidRDefault="003E1449" w:rsidP="003E1449">
      <w:pPr>
        <w:ind w:left="720"/>
        <w:rPr>
          <w:lang w:eastAsia="en-AU"/>
        </w:rPr>
      </w:pPr>
      <w:r>
        <w:rPr>
          <w:lang w:eastAsia="en-AU"/>
        </w:rPr>
        <w:t xml:space="preserve">Closely monitor patients with known reduced UGT1A1 activity for adverse reactions. Withhold or permanently discontinue </w:t>
      </w:r>
      <w:proofErr w:type="spellStart"/>
      <w:r>
        <w:rPr>
          <w:lang w:eastAsia="en-AU"/>
        </w:rPr>
        <w:t>T</w:t>
      </w:r>
      <w:r w:rsidR="00432368">
        <w:rPr>
          <w:lang w:eastAsia="en-AU"/>
        </w:rPr>
        <w:t>rodelvy</w:t>
      </w:r>
      <w:proofErr w:type="spellEnd"/>
      <w:r>
        <w:rPr>
          <w:lang w:eastAsia="en-AU"/>
        </w:rPr>
        <w:t xml:space="preserve"> based on severity of the observed adverse reactions in patients with evidence of acute early-onset or unusually severe adverse reactions, which may indicate UGT1A1 reduced function.</w:t>
      </w:r>
    </w:p>
    <w:p w14:paraId="6A38BFBD" w14:textId="77777777" w:rsidR="006C09F7" w:rsidRDefault="006C09F7" w:rsidP="006C09F7">
      <w:pPr>
        <w:pStyle w:val="Heading4"/>
      </w:pPr>
      <w:bookmarkStart w:id="67" w:name="_Ref90909880"/>
      <w:r>
        <w:lastRenderedPageBreak/>
        <w:t>Independent expert advice</w:t>
      </w:r>
    </w:p>
    <w:p w14:paraId="1E20AB00" w14:textId="77777777" w:rsidR="006C09F7" w:rsidRDefault="006C09F7" w:rsidP="006C09F7">
      <w:r>
        <w:t>The Delegate received the following independent expert advice. The advice was received from three separate, independent Australian clinicians, expert in the treatment of breast cancer.</w:t>
      </w:r>
    </w:p>
    <w:p w14:paraId="664CE3B5" w14:textId="77777777" w:rsidR="006C09F7" w:rsidRPr="00183A62" w:rsidRDefault="006C09F7" w:rsidP="006C09F7">
      <w:pPr>
        <w:pStyle w:val="Numberbullet0"/>
        <w:rPr>
          <w:b/>
          <w:bCs/>
          <w:i/>
          <w:iCs/>
          <w:lang w:eastAsia="en-AU"/>
        </w:rPr>
      </w:pPr>
      <w:r w:rsidRPr="00183A62">
        <w:rPr>
          <w:b/>
          <w:bCs/>
          <w:i/>
          <w:iCs/>
          <w:lang w:eastAsia="en-AU"/>
        </w:rPr>
        <w:t>Extent of the indication</w:t>
      </w:r>
    </w:p>
    <w:p w14:paraId="2EC88640" w14:textId="77777777" w:rsidR="006C09F7" w:rsidRPr="00183A62" w:rsidRDefault="006C09F7" w:rsidP="006C09F7">
      <w:pPr>
        <w:rPr>
          <w:b/>
          <w:bCs/>
          <w:i/>
          <w:iCs/>
        </w:rPr>
      </w:pPr>
      <w:r w:rsidRPr="00183A62">
        <w:rPr>
          <w:b/>
          <w:bCs/>
          <w:i/>
          <w:iCs/>
        </w:rPr>
        <w:t>Should the indication include:</w:t>
      </w:r>
    </w:p>
    <w:p w14:paraId="5DD30384" w14:textId="77777777" w:rsidR="006C09F7" w:rsidRPr="00183A62" w:rsidRDefault="006C09F7" w:rsidP="006C09F7">
      <w:pPr>
        <w:pStyle w:val="Numberbullet2"/>
        <w:rPr>
          <w:b/>
          <w:bCs/>
          <w:i/>
          <w:iCs/>
          <w:lang w:eastAsia="en-AU"/>
        </w:rPr>
      </w:pPr>
      <w:r w:rsidRPr="00183A62">
        <w:rPr>
          <w:b/>
          <w:bCs/>
          <w:i/>
          <w:iCs/>
          <w:lang w:eastAsia="en-AU"/>
        </w:rPr>
        <w:t>Patients with brain metastases?</w:t>
      </w:r>
    </w:p>
    <w:p w14:paraId="033AB6A0" w14:textId="77777777" w:rsidR="006C09F7" w:rsidRPr="00183A62" w:rsidRDefault="006C09F7" w:rsidP="006C09F7">
      <w:pPr>
        <w:pStyle w:val="Numberbullet2"/>
        <w:rPr>
          <w:b/>
          <w:bCs/>
          <w:i/>
          <w:iCs/>
          <w:lang w:eastAsia="en-AU"/>
        </w:rPr>
      </w:pPr>
      <w:r w:rsidRPr="00183A62">
        <w:rPr>
          <w:b/>
          <w:bCs/>
          <w:i/>
          <w:iCs/>
          <w:lang w:eastAsia="en-AU"/>
        </w:rPr>
        <w:t>Patients with locally advanced disease?</w:t>
      </w:r>
    </w:p>
    <w:p w14:paraId="7E7CB92A" w14:textId="77777777" w:rsidR="006C09F7" w:rsidRPr="00183A62" w:rsidRDefault="006C09F7" w:rsidP="006C09F7">
      <w:pPr>
        <w:pStyle w:val="Numberbullet2"/>
        <w:rPr>
          <w:b/>
          <w:bCs/>
          <w:i/>
          <w:iCs/>
          <w:lang w:eastAsia="en-AU"/>
        </w:rPr>
      </w:pPr>
      <w:r w:rsidRPr="00183A62">
        <w:rPr>
          <w:b/>
          <w:bCs/>
          <w:i/>
          <w:iCs/>
          <w:lang w:eastAsia="en-AU"/>
        </w:rPr>
        <w:t xml:space="preserve">Patients who failed one line of therapy in the neoadjuvant/adjuvant setting? </w:t>
      </w:r>
    </w:p>
    <w:p w14:paraId="11D88470" w14:textId="77777777" w:rsidR="006C09F7" w:rsidRDefault="006C09F7" w:rsidP="006C09F7">
      <w:pPr>
        <w:pStyle w:val="Numberbullet2"/>
        <w:rPr>
          <w:b/>
          <w:bCs/>
          <w:i/>
          <w:iCs/>
          <w:lang w:eastAsia="en-AU"/>
        </w:rPr>
      </w:pPr>
      <w:r w:rsidRPr="00183A62">
        <w:rPr>
          <w:b/>
          <w:bCs/>
          <w:i/>
          <w:iCs/>
          <w:lang w:eastAsia="en-AU"/>
        </w:rPr>
        <w:t xml:space="preserve">Men? </w:t>
      </w:r>
    </w:p>
    <w:p w14:paraId="3A5D70C3" w14:textId="77777777" w:rsidR="006C09F7" w:rsidRDefault="006C09F7" w:rsidP="006C09F7">
      <w:pPr>
        <w:rPr>
          <w:lang w:eastAsia="en-AU"/>
        </w:rPr>
      </w:pPr>
      <w:r>
        <w:rPr>
          <w:lang w:eastAsia="en-AU"/>
        </w:rPr>
        <w:t>N</w:t>
      </w:r>
      <w:r w:rsidRPr="00B61A5B">
        <w:rPr>
          <w:lang w:eastAsia="en-AU"/>
        </w:rPr>
        <w:t>one of the above-listed groups should be excluded from the indication.</w:t>
      </w:r>
    </w:p>
    <w:p w14:paraId="2DBBCBE6" w14:textId="77777777" w:rsidR="006C09F7" w:rsidRPr="00183A62" w:rsidRDefault="006C09F7" w:rsidP="006C09F7">
      <w:pPr>
        <w:pStyle w:val="Numberbullet0"/>
        <w:rPr>
          <w:b/>
          <w:bCs/>
          <w:i/>
          <w:iCs/>
          <w:lang w:eastAsia="en-AU"/>
        </w:rPr>
      </w:pPr>
      <w:r w:rsidRPr="00183A62">
        <w:rPr>
          <w:b/>
          <w:bCs/>
          <w:i/>
          <w:iCs/>
          <w:lang w:eastAsia="en-AU"/>
        </w:rPr>
        <w:t>Adverse events related to UGT1A1 status</w:t>
      </w:r>
    </w:p>
    <w:p w14:paraId="1889EEFA" w14:textId="04B6617D" w:rsidR="006C09F7" w:rsidRPr="00183A62" w:rsidRDefault="006C09F7" w:rsidP="006C09F7">
      <w:pPr>
        <w:rPr>
          <w:b/>
          <w:bCs/>
          <w:i/>
          <w:iCs/>
        </w:rPr>
      </w:pPr>
      <w:r w:rsidRPr="00183A62">
        <w:rPr>
          <w:b/>
          <w:bCs/>
          <w:i/>
          <w:iCs/>
        </w:rPr>
        <w:t xml:space="preserve">Please comment on the proposal to mitigate the risk of increased toxicity of </w:t>
      </w:r>
      <w:proofErr w:type="spellStart"/>
      <w:r w:rsidR="00B47056" w:rsidRPr="00B47056">
        <w:rPr>
          <w:b/>
          <w:bCs/>
          <w:i/>
          <w:iCs/>
        </w:rPr>
        <w:t>sacituzumab</w:t>
      </w:r>
      <w:proofErr w:type="spellEnd"/>
      <w:r w:rsidR="00B47056" w:rsidRPr="00B47056">
        <w:rPr>
          <w:b/>
          <w:bCs/>
          <w:i/>
          <w:iCs/>
        </w:rPr>
        <w:t xml:space="preserve"> </w:t>
      </w:r>
      <w:proofErr w:type="spellStart"/>
      <w:r w:rsidR="00B47056" w:rsidRPr="00B47056">
        <w:rPr>
          <w:b/>
          <w:bCs/>
          <w:i/>
          <w:iCs/>
        </w:rPr>
        <w:t>govitecan</w:t>
      </w:r>
      <w:proofErr w:type="spellEnd"/>
      <w:r w:rsidRPr="00183A62">
        <w:rPr>
          <w:b/>
          <w:bCs/>
          <w:i/>
          <w:iCs/>
        </w:rPr>
        <w:t xml:space="preserve"> according to UGFT1A1 status by statements in the PI along the lines of:</w:t>
      </w:r>
    </w:p>
    <w:p w14:paraId="7EA1BE0A" w14:textId="77777777" w:rsidR="006C09F7" w:rsidRDefault="006C09F7" w:rsidP="006C09F7">
      <w:pPr>
        <w:ind w:left="720"/>
        <w:rPr>
          <w:b/>
          <w:bCs/>
          <w:i/>
          <w:iCs/>
        </w:rPr>
      </w:pPr>
      <w:r w:rsidRPr="00183A62">
        <w:rPr>
          <w:b/>
          <w:bCs/>
          <w:i/>
          <w:iCs/>
        </w:rPr>
        <w:t xml:space="preserve">Closely monitor patients with known reduced UGT1A1 activity for adverse reactions. Withhold or permanently discontinue </w:t>
      </w:r>
      <w:proofErr w:type="spellStart"/>
      <w:r w:rsidRPr="00183A62">
        <w:rPr>
          <w:b/>
          <w:bCs/>
          <w:i/>
          <w:iCs/>
        </w:rPr>
        <w:t>T</w:t>
      </w:r>
      <w:r>
        <w:rPr>
          <w:b/>
          <w:bCs/>
          <w:i/>
          <w:iCs/>
        </w:rPr>
        <w:t>rodelvy</w:t>
      </w:r>
      <w:proofErr w:type="spellEnd"/>
      <w:r w:rsidRPr="00183A62">
        <w:rPr>
          <w:b/>
          <w:bCs/>
          <w:i/>
          <w:iCs/>
        </w:rPr>
        <w:t xml:space="preserve"> based on severity of the observed adverse reactions in patients with evidence of acute early-onset or unusually severe adverse reactions, which may indicate UGT1A1 reduced function.</w:t>
      </w:r>
    </w:p>
    <w:p w14:paraId="1E0481F1" w14:textId="77777777" w:rsidR="006C09F7" w:rsidRDefault="006C09F7" w:rsidP="006C09F7">
      <w:pPr>
        <w:rPr>
          <w:lang w:eastAsia="en-AU"/>
        </w:rPr>
      </w:pPr>
      <w:r>
        <w:rPr>
          <w:lang w:eastAsia="en-AU"/>
        </w:rPr>
        <w:t>Inclusion of such a statement is appropriate.</w:t>
      </w:r>
    </w:p>
    <w:p w14:paraId="6D2B4007" w14:textId="63C69CC0" w:rsidR="007D09B2" w:rsidRDefault="007D09B2" w:rsidP="007D09B2">
      <w:pPr>
        <w:pStyle w:val="Heading4"/>
        <w:rPr>
          <w:lang w:eastAsia="en-AU"/>
        </w:rPr>
      </w:pPr>
      <w:bookmarkStart w:id="68" w:name="_Ref91084129"/>
      <w:r w:rsidRPr="007D09B2">
        <w:rPr>
          <w:lang w:eastAsia="en-AU"/>
        </w:rPr>
        <w:t xml:space="preserve">Review of </w:t>
      </w:r>
      <w:r w:rsidR="007842D5">
        <w:rPr>
          <w:lang w:eastAsia="en-AU"/>
        </w:rPr>
        <w:t xml:space="preserve">aspects of the </w:t>
      </w:r>
      <w:r w:rsidR="00B47056">
        <w:rPr>
          <w:lang w:eastAsia="en-AU"/>
        </w:rPr>
        <w:t>Product Information</w:t>
      </w:r>
      <w:bookmarkEnd w:id="67"/>
      <w:bookmarkEnd w:id="68"/>
    </w:p>
    <w:p w14:paraId="5BCA3022" w14:textId="77777777" w:rsidR="007D09B2" w:rsidRDefault="007D09B2" w:rsidP="007D09B2">
      <w:pPr>
        <w:pStyle w:val="Heading5"/>
        <w:rPr>
          <w:lang w:eastAsia="en-AU"/>
        </w:rPr>
      </w:pPr>
      <w:r>
        <w:rPr>
          <w:lang w:eastAsia="en-AU"/>
        </w:rPr>
        <w:t>Severe neutropenia dose modification advice</w:t>
      </w:r>
    </w:p>
    <w:p w14:paraId="76A5804F" w14:textId="55784F42" w:rsidR="007D09B2" w:rsidRDefault="007D09B2" w:rsidP="007D09B2">
      <w:pPr>
        <w:rPr>
          <w:lang w:eastAsia="en-AU"/>
        </w:rPr>
      </w:pPr>
      <w:r>
        <w:rPr>
          <w:lang w:eastAsia="en-AU"/>
        </w:rPr>
        <w:t>The proposed dose modification advice for severe neutropenia,</w:t>
      </w:r>
      <w:r w:rsidR="00F96519">
        <w:rPr>
          <w:lang w:eastAsia="en-AU"/>
        </w:rPr>
        <w:t xml:space="preserve"> that is,</w:t>
      </w:r>
      <w:r>
        <w:rPr>
          <w:lang w:eastAsia="en-AU"/>
        </w:rPr>
        <w:t xml:space="preserve"> for addition of G</w:t>
      </w:r>
      <w:r w:rsidR="00B47056">
        <w:rPr>
          <w:lang w:eastAsia="en-AU"/>
        </w:rPr>
        <w:noBreakHyphen/>
      </w:r>
      <w:r>
        <w:rPr>
          <w:lang w:eastAsia="en-AU"/>
        </w:rPr>
        <w:t xml:space="preserve">CSF without dose reduction on the first instance, is different from what has been accepted by the FDA. Additional data on management of severe neutropenia in </w:t>
      </w:r>
      <w:r w:rsidR="00B47056">
        <w:rPr>
          <w:lang w:eastAsia="en-AU"/>
        </w:rPr>
        <w:t xml:space="preserve">the </w:t>
      </w:r>
      <w:r>
        <w:rPr>
          <w:lang w:eastAsia="en-AU"/>
        </w:rPr>
        <w:t>ASCENT</w:t>
      </w:r>
      <w:r w:rsidR="007C1D45">
        <w:rPr>
          <w:lang w:eastAsia="en-AU"/>
        </w:rPr>
        <w:t xml:space="preserve"> trial</w:t>
      </w:r>
      <w:r>
        <w:rPr>
          <w:lang w:eastAsia="en-AU"/>
        </w:rPr>
        <w:t xml:space="preserve"> was provided by the </w:t>
      </w:r>
      <w:r w:rsidR="00F505C4">
        <w:rPr>
          <w:lang w:eastAsia="en-AU"/>
        </w:rPr>
        <w:t>s</w:t>
      </w:r>
      <w:r>
        <w:rPr>
          <w:lang w:eastAsia="en-AU"/>
        </w:rPr>
        <w:t xml:space="preserve">ponsor and indicated that there was considerable variability of approach even within </w:t>
      </w:r>
      <w:r w:rsidR="00B47056">
        <w:rPr>
          <w:lang w:eastAsia="en-AU"/>
        </w:rPr>
        <w:t xml:space="preserve">the </w:t>
      </w:r>
      <w:r>
        <w:rPr>
          <w:lang w:eastAsia="en-AU"/>
        </w:rPr>
        <w:t>ASCENT</w:t>
      </w:r>
      <w:r w:rsidR="007C1D45">
        <w:rPr>
          <w:lang w:eastAsia="en-AU"/>
        </w:rPr>
        <w:t xml:space="preserve"> trial</w:t>
      </w:r>
      <w:r>
        <w:rPr>
          <w:lang w:eastAsia="en-AU"/>
        </w:rPr>
        <w:t>, combining expectant management, dose delay, use of G-CSF and dose reduction. This is in keeping with the expert prescriber group who are well versed in the patient-specific clinical management of neutropenia. For seven patients for whom G-CSF was given with a non-reduced next dose after an initial severe neutropenia (with or without dose delay), per the proposed dose modification PI advice, five did not subsequently require dose reduction for neutropenia. The other two had reduced doses for further severe neutropenia which resolved.</w:t>
      </w:r>
    </w:p>
    <w:p w14:paraId="15CAB0AA" w14:textId="794E1A64" w:rsidR="007D09B2" w:rsidRDefault="007D09B2" w:rsidP="007D09B2">
      <w:pPr>
        <w:rPr>
          <w:lang w:eastAsia="en-AU"/>
        </w:rPr>
      </w:pPr>
      <w:r>
        <w:rPr>
          <w:lang w:eastAsia="en-AU"/>
        </w:rPr>
        <w:t>The proposed dose modification advice and the neutropenia management data were reviewed by an independent Australian oncologist with breast cancer expertise, who considered the proposed PI advice acceptable, given the expert prescriber group who will be comfortable managing severe neutropenia within this advice and proceeding to dose reduction earlier if clinically indicated.</w:t>
      </w:r>
    </w:p>
    <w:p w14:paraId="5D338F30" w14:textId="15ED0CED" w:rsidR="007D09B2" w:rsidRDefault="007D09B2" w:rsidP="007D09B2">
      <w:pPr>
        <w:pStyle w:val="Heading5"/>
        <w:rPr>
          <w:lang w:eastAsia="en-AU"/>
        </w:rPr>
      </w:pPr>
      <w:r>
        <w:rPr>
          <w:lang w:eastAsia="en-AU"/>
        </w:rPr>
        <w:t>Boxed warning</w:t>
      </w:r>
    </w:p>
    <w:p w14:paraId="44576012" w14:textId="09DBFC0F" w:rsidR="007D09B2" w:rsidRDefault="007D09B2" w:rsidP="007D09B2">
      <w:pPr>
        <w:rPr>
          <w:lang w:eastAsia="en-AU"/>
        </w:rPr>
      </w:pPr>
      <w:r>
        <w:rPr>
          <w:lang w:eastAsia="en-AU"/>
        </w:rPr>
        <w:t xml:space="preserve">The </w:t>
      </w:r>
      <w:r w:rsidR="00F505C4">
        <w:rPr>
          <w:lang w:eastAsia="en-AU"/>
        </w:rPr>
        <w:t>s</w:t>
      </w:r>
      <w:r>
        <w:rPr>
          <w:lang w:eastAsia="en-AU"/>
        </w:rPr>
        <w:t>ponsor provided feedback on an initial overview draft that noted the TGA</w:t>
      </w:r>
      <w:r w:rsidR="00F505C4">
        <w:rPr>
          <w:lang w:eastAsia="en-AU"/>
        </w:rPr>
        <w:t>’s</w:t>
      </w:r>
      <w:r>
        <w:rPr>
          <w:lang w:eastAsia="en-AU"/>
        </w:rPr>
        <w:t xml:space="preserve"> intention to include a boxed warning regarding neutropenia in the PI. The </w:t>
      </w:r>
      <w:r w:rsidR="00F505C4">
        <w:rPr>
          <w:lang w:eastAsia="en-AU"/>
        </w:rPr>
        <w:t>s</w:t>
      </w:r>
      <w:r>
        <w:rPr>
          <w:lang w:eastAsia="en-AU"/>
        </w:rPr>
        <w:t xml:space="preserve">ponsor expressed a view that this should not be implemented and raised </w:t>
      </w:r>
      <w:proofErr w:type="gramStart"/>
      <w:r>
        <w:rPr>
          <w:lang w:eastAsia="en-AU"/>
        </w:rPr>
        <w:t>a number of</w:t>
      </w:r>
      <w:proofErr w:type="gramEnd"/>
      <w:r>
        <w:rPr>
          <w:lang w:eastAsia="en-AU"/>
        </w:rPr>
        <w:t xml:space="preserve"> issues for the Delegate to consider. The Delegate’s assessment of each consideration is presented in </w:t>
      </w:r>
      <w:r>
        <w:rPr>
          <w:lang w:eastAsia="en-AU"/>
        </w:rPr>
        <w:fldChar w:fldCharType="begin"/>
      </w:r>
      <w:r>
        <w:rPr>
          <w:lang w:eastAsia="en-AU"/>
        </w:rPr>
        <w:instrText xml:space="preserve"> REF _Ref90894209 \h </w:instrText>
      </w:r>
      <w:r>
        <w:rPr>
          <w:lang w:eastAsia="en-AU"/>
        </w:rPr>
      </w:r>
      <w:r>
        <w:rPr>
          <w:lang w:eastAsia="en-AU"/>
        </w:rPr>
        <w:fldChar w:fldCharType="separate"/>
      </w:r>
      <w:r>
        <w:t xml:space="preserve">Table </w:t>
      </w:r>
      <w:r>
        <w:rPr>
          <w:noProof/>
        </w:rPr>
        <w:t>17</w:t>
      </w:r>
      <w:r>
        <w:rPr>
          <w:lang w:eastAsia="en-AU"/>
        </w:rPr>
        <w:fldChar w:fldCharType="end"/>
      </w:r>
      <w:r>
        <w:rPr>
          <w:lang w:eastAsia="en-AU"/>
        </w:rPr>
        <w:t>.</w:t>
      </w:r>
    </w:p>
    <w:p w14:paraId="3F9E75D2" w14:textId="03858B32" w:rsidR="007D09B2" w:rsidRDefault="007D09B2" w:rsidP="007D09B2">
      <w:pPr>
        <w:pStyle w:val="TableTitle"/>
      </w:pPr>
      <w:bookmarkStart w:id="69" w:name="_Ref90894209"/>
      <w:r>
        <w:lastRenderedPageBreak/>
        <w:t xml:space="preserve">Table </w:t>
      </w:r>
      <w:fldSimple w:instr=" SEQ Table \* ARABIC ">
        <w:r>
          <w:rPr>
            <w:noProof/>
          </w:rPr>
          <w:t>17</w:t>
        </w:r>
      </w:fldSimple>
      <w:bookmarkEnd w:id="69"/>
      <w:r>
        <w:t>: Delegate’s assessment of black box rationale</w:t>
      </w:r>
    </w:p>
    <w:tbl>
      <w:tblPr>
        <w:tblStyle w:val="TableTGAblue"/>
        <w:tblW w:w="0" w:type="auto"/>
        <w:tblLook w:val="04A0" w:firstRow="1" w:lastRow="0" w:firstColumn="1" w:lastColumn="0" w:noHBand="0" w:noVBand="1"/>
      </w:tblPr>
      <w:tblGrid>
        <w:gridCol w:w="4061"/>
        <w:gridCol w:w="4423"/>
      </w:tblGrid>
      <w:tr w:rsidR="007D09B2" w:rsidRPr="00A8206E" w14:paraId="20E3803A" w14:textId="77777777" w:rsidTr="005B5A3D">
        <w:trPr>
          <w:cnfStyle w:val="100000000000" w:firstRow="1" w:lastRow="0" w:firstColumn="0" w:lastColumn="0" w:oddVBand="0" w:evenVBand="0" w:oddHBand="0" w:evenHBand="0" w:firstRowFirstColumn="0" w:firstRowLastColumn="0" w:lastRowFirstColumn="0" w:lastRowLastColumn="0"/>
        </w:trPr>
        <w:tc>
          <w:tcPr>
            <w:tcW w:w="4061" w:type="dxa"/>
          </w:tcPr>
          <w:p w14:paraId="3D1AD7A0" w14:textId="77777777" w:rsidR="007D09B2" w:rsidRPr="00A8206E" w:rsidRDefault="007D09B2" w:rsidP="00BF5875">
            <w:r w:rsidRPr="00A8206E">
              <w:t xml:space="preserve">Sponsor’s </w:t>
            </w:r>
            <w:r>
              <w:t>rationale</w:t>
            </w:r>
          </w:p>
        </w:tc>
        <w:tc>
          <w:tcPr>
            <w:tcW w:w="4423" w:type="dxa"/>
          </w:tcPr>
          <w:p w14:paraId="49CEE2E6" w14:textId="77777777" w:rsidR="007D09B2" w:rsidRPr="00A8206E" w:rsidRDefault="007D09B2" w:rsidP="00BF5875">
            <w:r w:rsidRPr="00A8206E">
              <w:t>Delegate assessment</w:t>
            </w:r>
          </w:p>
        </w:tc>
      </w:tr>
      <w:tr w:rsidR="007D09B2" w:rsidRPr="00A8206E" w14:paraId="0B885A35" w14:textId="77777777" w:rsidTr="005B5A3D">
        <w:tc>
          <w:tcPr>
            <w:tcW w:w="4061" w:type="dxa"/>
          </w:tcPr>
          <w:p w14:paraId="52BAEF69" w14:textId="77777777" w:rsidR="007D09B2" w:rsidRPr="00A8206E" w:rsidRDefault="007D09B2" w:rsidP="00BF5875">
            <w:pPr>
              <w:ind w:left="50"/>
            </w:pPr>
            <w:r w:rsidRPr="00A8206E">
              <w:t xml:space="preserve">As treatment induced neutropenia is a well-known adverse reaction with the use of oncology therapies, there is no regulatory precedent for neutropenia boxed warnings in </w:t>
            </w:r>
            <w:proofErr w:type="gramStart"/>
            <w:r w:rsidRPr="00A8206E">
              <w:t>Australia;</w:t>
            </w:r>
            <w:proofErr w:type="gramEnd"/>
            <w:r w:rsidRPr="00A8206E">
              <w:t xml:space="preserve"> </w:t>
            </w:r>
          </w:p>
          <w:p w14:paraId="687F6DC7" w14:textId="04FD49B8" w:rsidR="007D09B2" w:rsidRPr="00A8206E" w:rsidRDefault="007D09B2" w:rsidP="00BF5875">
            <w:pPr>
              <w:ind w:left="50"/>
            </w:pPr>
            <w:r w:rsidRPr="00A8206E">
              <w:t>Many other therapies used to treat advanced breast cancer also cause neutropenia and do not contain a boxed warning. For example: neutropenia and febrile neutropenia are very common (≥</w:t>
            </w:r>
            <w:r w:rsidR="00B47056">
              <w:t> </w:t>
            </w:r>
            <w:r w:rsidRPr="00A8206E">
              <w:t xml:space="preserve">1/10) adverse reactions within the capecitabine and docetaxel PIs, and neutropenia is a very common treatment emergent adverse event within the </w:t>
            </w:r>
            <w:proofErr w:type="spellStart"/>
            <w:r w:rsidRPr="00A8206E">
              <w:t>Halaven</w:t>
            </w:r>
            <w:proofErr w:type="spellEnd"/>
            <w:r w:rsidRPr="00A8206E">
              <w:t xml:space="preserve"> (</w:t>
            </w:r>
            <w:proofErr w:type="spellStart"/>
            <w:r w:rsidRPr="00A8206E">
              <w:t>eribulin</w:t>
            </w:r>
            <w:proofErr w:type="spellEnd"/>
            <w:r w:rsidRPr="00A8206E">
              <w:t xml:space="preserve"> mesylate) PI, all of which do not contain a boxed warning. </w:t>
            </w:r>
          </w:p>
        </w:tc>
        <w:tc>
          <w:tcPr>
            <w:tcW w:w="4423" w:type="dxa"/>
          </w:tcPr>
          <w:p w14:paraId="7BA354F0" w14:textId="557611B9" w:rsidR="007D09B2" w:rsidRPr="00A8206E" w:rsidRDefault="007D09B2" w:rsidP="00BF5875">
            <w:pPr>
              <w:ind w:left="0"/>
            </w:pPr>
            <w:r w:rsidRPr="00A8206E">
              <w:t>Capecitabine monotherapy is not associated with high rates of neutropenia.</w:t>
            </w:r>
            <w:r w:rsidR="00EB4B98">
              <w:rPr>
                <w:rStyle w:val="FootnoteReference"/>
              </w:rPr>
              <w:footnoteReference w:id="17"/>
            </w:r>
          </w:p>
          <w:p w14:paraId="43FE7FBC" w14:textId="77777777" w:rsidR="007D09B2" w:rsidRPr="00A8206E" w:rsidRDefault="007D09B2" w:rsidP="00BF5875">
            <w:pPr>
              <w:ind w:left="0"/>
            </w:pPr>
            <w:r w:rsidRPr="00A8206E">
              <w:t>Docetaxel is associated with high rates of neutropenia. It is also an old drug, with a safety profile that is well known to oncologists and non-oncologists.</w:t>
            </w:r>
          </w:p>
          <w:p w14:paraId="2716F632" w14:textId="6871A236" w:rsidR="00175529" w:rsidRDefault="007D09B2" w:rsidP="00BF5875">
            <w:r w:rsidRPr="00A8206E">
              <w:t xml:space="preserve">The neutropenia seen with </w:t>
            </w:r>
            <w:proofErr w:type="spellStart"/>
            <w:r w:rsidRPr="00A8206E">
              <w:t>eribulin</w:t>
            </w:r>
            <w:proofErr w:type="spellEnd"/>
            <w:r w:rsidRPr="00A8206E">
              <w:t xml:space="preserve"> is also very high</w:t>
            </w:r>
            <w:r>
              <w:t xml:space="preserve"> – the </w:t>
            </w:r>
            <w:r w:rsidR="009148DD">
              <w:t>G</w:t>
            </w:r>
            <w:r>
              <w:t>rade 3</w:t>
            </w:r>
            <w:r w:rsidR="007706C6">
              <w:t xml:space="preserve"> to</w:t>
            </w:r>
            <w:r>
              <w:t xml:space="preserve">4 rate (57%) is in keeping with that seen with </w:t>
            </w:r>
            <w:proofErr w:type="spellStart"/>
            <w:r w:rsidR="00B47056">
              <w:t>sacituzumab</w:t>
            </w:r>
            <w:proofErr w:type="spellEnd"/>
            <w:r w:rsidR="00B47056">
              <w:t xml:space="preserve"> </w:t>
            </w:r>
            <w:proofErr w:type="spellStart"/>
            <w:r w:rsidR="00B47056">
              <w:t>govitecan</w:t>
            </w:r>
            <w:proofErr w:type="spellEnd"/>
            <w:r w:rsidRPr="00A8206E">
              <w:t>.</w:t>
            </w:r>
            <w:r w:rsidR="00D9012E">
              <w:rPr>
                <w:rStyle w:val="FootnoteReference"/>
              </w:rPr>
              <w:footnoteReference w:id="18"/>
            </w:r>
            <w:r w:rsidRPr="00A8206E">
              <w:t xml:space="preserve"> This is a more relevant comparator </w:t>
            </w:r>
            <w:r>
              <w:t>but is not new to market (</w:t>
            </w:r>
            <w:r w:rsidRPr="00A8206E">
              <w:t>first approved in 2012</w:t>
            </w:r>
            <w:r>
              <w:t>)</w:t>
            </w:r>
            <w:r w:rsidR="00175529">
              <w:t>.</w:t>
            </w:r>
          </w:p>
          <w:p w14:paraId="194F1FEC" w14:textId="6A68E1A2" w:rsidR="007D09B2" w:rsidRPr="00A8206E" w:rsidRDefault="007D09B2" w:rsidP="00BF5875">
            <w:pPr>
              <w:ind w:left="0"/>
            </w:pPr>
            <w:r w:rsidRPr="00A8206E">
              <w:t xml:space="preserve">Unlike </w:t>
            </w:r>
            <w:proofErr w:type="spellStart"/>
            <w:r w:rsidR="00B47056">
              <w:t>sacituzumab</w:t>
            </w:r>
            <w:proofErr w:type="spellEnd"/>
            <w:r w:rsidR="00B47056">
              <w:t xml:space="preserve"> </w:t>
            </w:r>
            <w:proofErr w:type="spellStart"/>
            <w:r w:rsidR="00B47056">
              <w:t>govitecan</w:t>
            </w:r>
            <w:proofErr w:type="spellEnd"/>
            <w:r w:rsidRPr="00A8206E">
              <w:t>, all three of these drugs are non-targeted cytotoxic agents.</w:t>
            </w:r>
            <w:r>
              <w:t xml:space="preserve"> T</w:t>
            </w:r>
            <w:r w:rsidRPr="00A8206E">
              <w:t>reatment</w:t>
            </w:r>
            <w:r>
              <w:t>-</w:t>
            </w:r>
            <w:r w:rsidRPr="00A8206E">
              <w:t xml:space="preserve">induced neutropenia is a well-known adverse reaction with the use of </w:t>
            </w:r>
            <w:r w:rsidRPr="00E00786">
              <w:t>cytotoxic</w:t>
            </w:r>
            <w:r>
              <w:t xml:space="preserve"> </w:t>
            </w:r>
            <w:r w:rsidRPr="00A8206E">
              <w:t>oncology therapies</w:t>
            </w:r>
            <w:r>
              <w:t xml:space="preserve"> but is not expected for targeted agents.</w:t>
            </w:r>
          </w:p>
        </w:tc>
      </w:tr>
      <w:tr w:rsidR="007D09B2" w:rsidRPr="00A8206E" w14:paraId="1401C9B0" w14:textId="77777777" w:rsidTr="005B5A3D">
        <w:tc>
          <w:tcPr>
            <w:tcW w:w="4061" w:type="dxa"/>
          </w:tcPr>
          <w:p w14:paraId="08F962F2" w14:textId="2E0D0BA8" w:rsidR="007D09B2" w:rsidRPr="00A8206E" w:rsidRDefault="007D09B2" w:rsidP="00BF5875">
            <w:pPr>
              <w:ind w:left="50"/>
            </w:pPr>
            <w:r w:rsidRPr="00A8206E">
              <w:t xml:space="preserve">The Australian PI for </w:t>
            </w:r>
            <w:proofErr w:type="spellStart"/>
            <w:r w:rsidRPr="00A8206E">
              <w:t>Camp</w:t>
            </w:r>
            <w:r w:rsidR="00F505C4">
              <w:t>tosar</w:t>
            </w:r>
            <w:proofErr w:type="spellEnd"/>
            <w:r w:rsidRPr="00A8206E">
              <w:t xml:space="preserve"> (irinotecan hydrochloride) has warnings and precautions for neutropenia and diarrh</w:t>
            </w:r>
            <w:r w:rsidR="009148DD">
              <w:t>o</w:t>
            </w:r>
            <w:r w:rsidRPr="00A8206E">
              <w:t xml:space="preserve">ea and does not contain a boxed warning. SN-38, the small molecule moiety of </w:t>
            </w:r>
            <w:proofErr w:type="spellStart"/>
            <w:r w:rsidRPr="00A8206E">
              <w:t>T</w:t>
            </w:r>
            <w:r w:rsidR="00F505C4">
              <w:t>rodelvy</w:t>
            </w:r>
            <w:proofErr w:type="spellEnd"/>
            <w:r w:rsidRPr="00A8206E">
              <w:t>, is the active metabolite of irinotecan.</w:t>
            </w:r>
          </w:p>
        </w:tc>
        <w:tc>
          <w:tcPr>
            <w:tcW w:w="4423" w:type="dxa"/>
          </w:tcPr>
          <w:p w14:paraId="6255A086" w14:textId="54A4F2E5" w:rsidR="007D09B2" w:rsidRDefault="007D09B2" w:rsidP="00BF5875">
            <w:pPr>
              <w:ind w:left="0"/>
            </w:pPr>
            <w:r w:rsidRPr="00260E7A">
              <w:t xml:space="preserve">The rates of neutropenia reported in the PI for irinotecan monotherapy </w:t>
            </w:r>
            <w:r w:rsidR="00F505C4">
              <w:t>(</w:t>
            </w:r>
            <w:proofErr w:type="spellStart"/>
            <w:r w:rsidR="00F505C4">
              <w:t>Camptosar</w:t>
            </w:r>
            <w:proofErr w:type="spellEnd"/>
            <w:r w:rsidR="00F505C4">
              <w:t xml:space="preserve">) </w:t>
            </w:r>
            <w:r w:rsidRPr="00260E7A">
              <w:t xml:space="preserve">are 54% with weekly dosing, </w:t>
            </w:r>
            <w:r>
              <w:t>with</w:t>
            </w:r>
            <w:r w:rsidRPr="00260E7A">
              <w:t xml:space="preserve"> </w:t>
            </w:r>
            <w:r w:rsidR="009148DD">
              <w:t>G</w:t>
            </w:r>
            <w:r w:rsidRPr="00260E7A">
              <w:t>rade 3</w:t>
            </w:r>
            <w:r w:rsidR="007706C6">
              <w:t xml:space="preserve"> to</w:t>
            </w:r>
            <w:r w:rsidR="00B47056">
              <w:t xml:space="preserve"> </w:t>
            </w:r>
            <w:r w:rsidRPr="00260E7A">
              <w:t xml:space="preserve">4 event rates </w:t>
            </w:r>
            <w:r>
              <w:t xml:space="preserve">from 26% to </w:t>
            </w:r>
            <w:r w:rsidRPr="00260E7A">
              <w:t>14%</w:t>
            </w:r>
            <w:r>
              <w:t xml:space="preserve">, </w:t>
            </w:r>
            <w:r w:rsidRPr="00260E7A">
              <w:t>depending on dosing schedule (weekly versus 3 weekly).</w:t>
            </w:r>
            <w:r w:rsidRPr="00260E7A">
              <w:rPr>
                <w:rStyle w:val="EndnoteReference"/>
              </w:rPr>
              <w:t xml:space="preserve"> </w:t>
            </w:r>
            <w:r w:rsidR="00D9012E">
              <w:rPr>
                <w:rStyle w:val="FootnoteReference"/>
              </w:rPr>
              <w:footnoteReference w:id="19"/>
            </w:r>
          </w:p>
          <w:p w14:paraId="09FC20E1" w14:textId="57071C5F" w:rsidR="007D09B2" w:rsidRDefault="007D09B2" w:rsidP="00BF5875">
            <w:pPr>
              <w:ind w:left="0"/>
            </w:pPr>
            <w:r>
              <w:t xml:space="preserve">The rates of diarrhoea are reported separately for early and late diarrhoea: early diarrhoea occurred in 51% of patients with weekly dosing (8% </w:t>
            </w:r>
            <w:r w:rsidR="009148DD">
              <w:t>G</w:t>
            </w:r>
            <w:r>
              <w:t>rade 3</w:t>
            </w:r>
            <w:r w:rsidR="007706C6">
              <w:t xml:space="preserve"> to</w:t>
            </w:r>
            <w:r>
              <w:t xml:space="preserve">4), and late diarrhoea occurred in 88% of patients with weekly dosing (31% </w:t>
            </w:r>
            <w:r w:rsidR="009148DD">
              <w:t>G</w:t>
            </w:r>
            <w:r>
              <w:t>rade 3-4).</w:t>
            </w:r>
          </w:p>
          <w:p w14:paraId="2886164E" w14:textId="46D858E7" w:rsidR="007D09B2" w:rsidRPr="00260E7A" w:rsidRDefault="007D09B2" w:rsidP="00BF5875">
            <w:pPr>
              <w:ind w:left="0"/>
            </w:pPr>
            <w:r>
              <w:t xml:space="preserve">With 3-weekly dosing, the rates of </w:t>
            </w:r>
            <w:r w:rsidR="009148DD">
              <w:t>G</w:t>
            </w:r>
            <w:r>
              <w:t>rade 3</w:t>
            </w:r>
            <w:r w:rsidR="007706C6">
              <w:t xml:space="preserve"> to</w:t>
            </w:r>
            <w:r>
              <w:t>4 diarrhoea were 5-6% (early) and 22% (late)</w:t>
            </w:r>
            <w:r w:rsidRPr="00260E7A">
              <w:t>.</w:t>
            </w:r>
          </w:p>
          <w:p w14:paraId="36EFAB97" w14:textId="53FF96E6" w:rsidR="00175529" w:rsidRDefault="007D09B2" w:rsidP="00BF5875">
            <w:r w:rsidRPr="00260E7A">
              <w:t xml:space="preserve">The rates of neutropenia </w:t>
            </w:r>
            <w:r>
              <w:t xml:space="preserve">with </w:t>
            </w:r>
            <w:proofErr w:type="spellStart"/>
            <w:r w:rsidR="00B47056">
              <w:t>sacituzumab</w:t>
            </w:r>
            <w:proofErr w:type="spellEnd"/>
            <w:r w:rsidR="00B47056">
              <w:t xml:space="preserve"> </w:t>
            </w:r>
            <w:proofErr w:type="spellStart"/>
            <w:r w:rsidR="00B47056">
              <w:t>govitecan</w:t>
            </w:r>
            <w:proofErr w:type="spellEnd"/>
            <w:r>
              <w:t xml:space="preserve"> in </w:t>
            </w:r>
            <w:r w:rsidR="00B47056">
              <w:t xml:space="preserve">the </w:t>
            </w:r>
            <w:r>
              <w:t>ASCENT</w:t>
            </w:r>
            <w:r w:rsidR="00263D63">
              <w:t xml:space="preserve"> trial</w:t>
            </w:r>
            <w:r>
              <w:t xml:space="preserve"> </w:t>
            </w:r>
            <w:r w:rsidRPr="00260E7A">
              <w:t xml:space="preserve">(64%: 52% </w:t>
            </w:r>
            <w:r w:rsidR="009148DD">
              <w:t>G</w:t>
            </w:r>
            <w:r w:rsidRPr="00260E7A">
              <w:t>rade 3</w:t>
            </w:r>
            <w:r w:rsidR="007706C6">
              <w:t xml:space="preserve"> to</w:t>
            </w:r>
            <w:r w:rsidRPr="00260E7A">
              <w:t>4) were higher than for monotherapy irinotecan.</w:t>
            </w:r>
            <w:r>
              <w:t xml:space="preserve"> </w:t>
            </w:r>
            <w:r>
              <w:lastRenderedPageBreak/>
              <w:t>Grade 3</w:t>
            </w:r>
            <w:r w:rsidR="007706C6">
              <w:t xml:space="preserve"> to</w:t>
            </w:r>
            <w:r>
              <w:t>4 events were markedly more common</w:t>
            </w:r>
            <w:r w:rsidR="00175529">
              <w:t>.</w:t>
            </w:r>
          </w:p>
          <w:p w14:paraId="4F192DE0" w14:textId="14B99975" w:rsidR="007D09B2" w:rsidRPr="00260E7A" w:rsidRDefault="007D09B2" w:rsidP="00BF5875">
            <w:pPr>
              <w:ind w:left="0"/>
            </w:pPr>
            <w:r w:rsidRPr="00260E7A">
              <w:t xml:space="preserve">The rate of diarrhoea (59%: 11% </w:t>
            </w:r>
            <w:r w:rsidR="00B47056">
              <w:t>G</w:t>
            </w:r>
            <w:r w:rsidRPr="00260E7A">
              <w:t>rade 3</w:t>
            </w:r>
            <w:r w:rsidR="007706C6">
              <w:t xml:space="preserve"> to</w:t>
            </w:r>
            <w:r w:rsidR="00B47056">
              <w:t xml:space="preserve"> </w:t>
            </w:r>
            <w:r w:rsidRPr="00260E7A">
              <w:t>4)</w:t>
            </w:r>
            <w:r>
              <w:t xml:space="preserve"> appears to be lower than weekly irinotecan, and higher than 3-weekly irinotecan. </w:t>
            </w:r>
            <w:r w:rsidRPr="00260E7A">
              <w:t xml:space="preserve"> </w:t>
            </w:r>
          </w:p>
        </w:tc>
      </w:tr>
      <w:tr w:rsidR="007D09B2" w:rsidRPr="00A8206E" w14:paraId="6CE9ACE4" w14:textId="77777777" w:rsidTr="005B5A3D">
        <w:trPr>
          <w:trHeight w:val="5776"/>
        </w:trPr>
        <w:tc>
          <w:tcPr>
            <w:tcW w:w="4061" w:type="dxa"/>
          </w:tcPr>
          <w:p w14:paraId="23A31A37" w14:textId="3B6EFE50" w:rsidR="007D09B2" w:rsidRPr="00A8206E" w:rsidRDefault="007D09B2" w:rsidP="00BF5875">
            <w:pPr>
              <w:ind w:left="50"/>
            </w:pPr>
            <w:r w:rsidRPr="00A8206E">
              <w:lastRenderedPageBreak/>
              <w:t xml:space="preserve">The proposed </w:t>
            </w:r>
            <w:proofErr w:type="spellStart"/>
            <w:r w:rsidRPr="00A8206E">
              <w:t>T</w:t>
            </w:r>
            <w:r w:rsidR="00F505C4">
              <w:t>rodelvy</w:t>
            </w:r>
            <w:proofErr w:type="spellEnd"/>
            <w:r w:rsidRPr="00A8206E">
              <w:t xml:space="preserve"> PI currently contains adequate warnings and precautions to allow for safe administration of therapy without the need for a boxed warning. This aligns with the approach proposed in Europe, the </w:t>
            </w:r>
            <w:r w:rsidR="004C0D29">
              <w:t>UK</w:t>
            </w:r>
            <w:r w:rsidRPr="00A8206E">
              <w:t xml:space="preserve"> and Switzerland. This is also aligned with the proposed EU-Risk Management Plan and ASA.</w:t>
            </w:r>
          </w:p>
          <w:p w14:paraId="43316913" w14:textId="3E93B363" w:rsidR="007D09B2" w:rsidRPr="00A8206E" w:rsidRDefault="007D09B2" w:rsidP="00BF5875">
            <w:pPr>
              <w:ind w:left="50"/>
            </w:pPr>
            <w:r w:rsidRPr="00A8206E">
              <w:t>Other therapies that have serious adverse events requiring dose reduction/modification do not have the associated boxed warning (</w:t>
            </w:r>
            <w:r w:rsidR="009148DD">
              <w:t>for example,</w:t>
            </w:r>
            <w:r w:rsidRPr="00A8206E">
              <w:t xml:space="preserve"> </w:t>
            </w:r>
            <w:proofErr w:type="spellStart"/>
            <w:r w:rsidRPr="00A8206E">
              <w:t>alpelisib</w:t>
            </w:r>
            <w:proofErr w:type="spellEnd"/>
            <w:r w:rsidRPr="00A8206E">
              <w:t>). These warnings are listed in the warnings and precautions sections of the PI. Some therapies have contraindications or common serious adverse events (</w:t>
            </w:r>
            <w:r w:rsidR="009148DD">
              <w:t>for example,</w:t>
            </w:r>
            <w:r w:rsidRPr="00A8206E">
              <w:t xml:space="preserve"> congestive heart failure with Herceptin (trastuzumab)) and again, do not contain boxed warnings. </w:t>
            </w:r>
          </w:p>
        </w:tc>
        <w:tc>
          <w:tcPr>
            <w:tcW w:w="4423" w:type="dxa"/>
          </w:tcPr>
          <w:p w14:paraId="5998E77A" w14:textId="4355AD5D" w:rsidR="007D09B2" w:rsidRDefault="007D09B2" w:rsidP="00BF5875">
            <w:pPr>
              <w:ind w:left="0"/>
            </w:pPr>
            <w:r w:rsidRPr="00A8206E">
              <w:t xml:space="preserve">Agreement to the </w:t>
            </w:r>
            <w:r w:rsidR="00F505C4">
              <w:t>s</w:t>
            </w:r>
            <w:r w:rsidRPr="00A8206E">
              <w:t>ponsor’s proposed approaches to risk management in jurisdictions other than the USA have not been finalised by the respective regulators.</w:t>
            </w:r>
          </w:p>
          <w:p w14:paraId="59F50A89" w14:textId="63716E62" w:rsidR="007D09B2" w:rsidRPr="00A8206E" w:rsidRDefault="009148DD" w:rsidP="00BF5875">
            <w:pPr>
              <w:ind w:left="0"/>
            </w:pPr>
            <w:r>
              <w:t>The Delegate</w:t>
            </w:r>
            <w:r w:rsidR="007D09B2">
              <w:t xml:space="preserve"> agree</w:t>
            </w:r>
            <w:r>
              <w:t>d</w:t>
            </w:r>
            <w:r w:rsidR="007D09B2">
              <w:t xml:space="preserve"> with the </w:t>
            </w:r>
            <w:r w:rsidR="000C2020">
              <w:t>s</w:t>
            </w:r>
            <w:r w:rsidR="007D09B2">
              <w:t xml:space="preserve">ponsor’s observation that boxed warnings have a different purpose to the warnings and precautions section of the PI. </w:t>
            </w:r>
            <w:r w:rsidR="007D09B2" w:rsidRPr="00A8206E">
              <w:t xml:space="preserve">The purpose of the boxed warning in Australia is to bring special attention to events that are </w:t>
            </w:r>
            <w:r w:rsidR="007D09B2">
              <w:t>unusual or une</w:t>
            </w:r>
            <w:r w:rsidR="007D09B2" w:rsidRPr="00A8206E">
              <w:t>xpected for the drug and require action to avoid very severe consequences or death.</w:t>
            </w:r>
          </w:p>
          <w:p w14:paraId="28A21418" w14:textId="77777777" w:rsidR="007D09B2" w:rsidRPr="00A8206E" w:rsidRDefault="007D09B2" w:rsidP="00BF5875">
            <w:pPr>
              <w:ind w:left="0"/>
            </w:pPr>
            <w:r w:rsidRPr="00A8206E">
              <w:t xml:space="preserve">Decisions </w:t>
            </w:r>
            <w:r>
              <w:t>for the application or removal of</w:t>
            </w:r>
            <w:r w:rsidRPr="00A8206E">
              <w:t xml:space="preserve"> a boxed warning are made </w:t>
            </w:r>
            <w:r>
              <w:t xml:space="preserve">by each decision Delegate for each product and each submission </w:t>
            </w:r>
            <w:r w:rsidRPr="00A8206E">
              <w:t xml:space="preserve">on a </w:t>
            </w:r>
            <w:proofErr w:type="gramStart"/>
            <w:r w:rsidRPr="00A8206E">
              <w:t>case by case</w:t>
            </w:r>
            <w:proofErr w:type="gramEnd"/>
            <w:r w:rsidRPr="00A8206E">
              <w:t xml:space="preserve"> basis. </w:t>
            </w:r>
          </w:p>
        </w:tc>
      </w:tr>
      <w:tr w:rsidR="007D09B2" w:rsidRPr="00A8206E" w14:paraId="0FC8FA1C" w14:textId="77777777" w:rsidTr="005B5A3D">
        <w:tc>
          <w:tcPr>
            <w:tcW w:w="4061" w:type="dxa"/>
          </w:tcPr>
          <w:p w14:paraId="5B9A8E4E" w14:textId="11A48B82" w:rsidR="007D09B2" w:rsidRPr="00A8206E" w:rsidRDefault="007D09B2" w:rsidP="00BF5875">
            <w:pPr>
              <w:ind w:left="50"/>
            </w:pPr>
            <w:r w:rsidRPr="00A8206E">
              <w:t>In the US</w:t>
            </w:r>
            <w:r w:rsidR="009148DD">
              <w:t>A</w:t>
            </w:r>
            <w:r w:rsidRPr="00A8206E">
              <w:t xml:space="preserve">, </w:t>
            </w:r>
            <w:proofErr w:type="gramStart"/>
            <w:r w:rsidRPr="00A8206E">
              <w:t>the majority of</w:t>
            </w:r>
            <w:proofErr w:type="gramEnd"/>
            <w:r w:rsidRPr="00A8206E">
              <w:t xml:space="preserve"> oncology agents do contain a boxed warning, however, these are not reflected in </w:t>
            </w:r>
            <w:r w:rsidR="009148DD">
              <w:t xml:space="preserve">the </w:t>
            </w:r>
            <w:r w:rsidRPr="00A8206E">
              <w:t>TGA approved PIs (</w:t>
            </w:r>
            <w:r w:rsidR="009148DD">
              <w:t>for example,</w:t>
            </w:r>
            <w:r w:rsidRPr="00A8206E">
              <w:t xml:space="preserve"> docetaxel).</w:t>
            </w:r>
          </w:p>
        </w:tc>
        <w:tc>
          <w:tcPr>
            <w:tcW w:w="4423" w:type="dxa"/>
          </w:tcPr>
          <w:p w14:paraId="53521A54" w14:textId="77777777" w:rsidR="007D09B2" w:rsidRPr="00A8206E" w:rsidRDefault="007D09B2" w:rsidP="00BF5875">
            <w:pPr>
              <w:ind w:left="0"/>
            </w:pPr>
            <w:r>
              <w:t>Past differences between decisions made in the USA and Australia regarding application of boxed warnings for individual products are a</w:t>
            </w:r>
            <w:r w:rsidRPr="00A8206E">
              <w:t>cknowledged.</w:t>
            </w:r>
            <w:r>
              <w:t xml:space="preserve"> This has no bearing on an individual Australian decision.</w:t>
            </w:r>
          </w:p>
        </w:tc>
      </w:tr>
    </w:tbl>
    <w:p w14:paraId="12DE60B2" w14:textId="77777777" w:rsidR="005B5A3D" w:rsidRDefault="005B5A3D" w:rsidP="005B5A3D">
      <w:r>
        <w:t>Conclusions regarding boxed warning for neutropenia:</w:t>
      </w:r>
    </w:p>
    <w:p w14:paraId="78305AA9" w14:textId="63C6688E" w:rsidR="005B5A3D" w:rsidRDefault="005B5A3D" w:rsidP="005B5A3D">
      <w:pPr>
        <w:pStyle w:val="ListBullet"/>
      </w:pPr>
      <w:r>
        <w:t>This is a new, first</w:t>
      </w:r>
      <w:r w:rsidR="000B2A42">
        <w:t xml:space="preserve"> </w:t>
      </w:r>
      <w:r>
        <w:t>in</w:t>
      </w:r>
      <w:r w:rsidR="000B2A42">
        <w:t xml:space="preserve"> </w:t>
      </w:r>
      <w:r>
        <w:t>class drug. The toxicity profile is not yet well understood throughout the medical community.</w:t>
      </w:r>
    </w:p>
    <w:p w14:paraId="721308F7" w14:textId="713AE94B" w:rsidR="005B5A3D" w:rsidRDefault="005B5A3D" w:rsidP="005B5A3D">
      <w:pPr>
        <w:pStyle w:val="ListBullet"/>
      </w:pPr>
      <w:r>
        <w:t>Neutropenia is extremely common with</w:t>
      </w:r>
      <w:r w:rsidR="00B47056">
        <w:t xml:space="preserve"> </w:t>
      </w:r>
      <w:proofErr w:type="spellStart"/>
      <w:r w:rsidR="00B47056">
        <w:t>sacituzumab</w:t>
      </w:r>
      <w:proofErr w:type="spellEnd"/>
      <w:r w:rsidR="00B47056">
        <w:t xml:space="preserve"> </w:t>
      </w:r>
      <w:proofErr w:type="spellStart"/>
      <w:r w:rsidR="00B47056">
        <w:t>govitecan</w:t>
      </w:r>
      <w:proofErr w:type="spellEnd"/>
      <w:r>
        <w:t xml:space="preserve"> treatment, and the majority are high grade events. This is potentially life-threatening and even in the </w:t>
      </w:r>
      <w:proofErr w:type="gramStart"/>
      <w:r>
        <w:t>highly-managed</w:t>
      </w:r>
      <w:proofErr w:type="gramEnd"/>
      <w:r>
        <w:t xml:space="preserve"> trial setting, may have contributed to two fatal adverse events. The incidences are not unusual for a cytotoxic agent but are unusual for a targeted therapy.</w:t>
      </w:r>
    </w:p>
    <w:p w14:paraId="5F4BEA6F" w14:textId="7A46153F" w:rsidR="005B5A3D" w:rsidRDefault="005B5A3D" w:rsidP="005B5A3D">
      <w:pPr>
        <w:pStyle w:val="ListBullet"/>
      </w:pPr>
      <w:r>
        <w:t xml:space="preserve">The rates of these toxicities with </w:t>
      </w:r>
      <w:proofErr w:type="spellStart"/>
      <w:r w:rsidR="00B47056">
        <w:t>sacituzumab</w:t>
      </w:r>
      <w:proofErr w:type="spellEnd"/>
      <w:r w:rsidR="00B47056">
        <w:t xml:space="preserve"> </w:t>
      </w:r>
      <w:proofErr w:type="spellStart"/>
      <w:r w:rsidR="00B47056">
        <w:t>govitecan</w:t>
      </w:r>
      <w:proofErr w:type="spellEnd"/>
      <w:r w:rsidR="00B47056" w:rsidDel="00B47056">
        <w:t xml:space="preserve"> </w:t>
      </w:r>
      <w:r>
        <w:t>treatment</w:t>
      </w:r>
      <w:r w:rsidR="00B47056">
        <w:t>,</w:t>
      </w:r>
      <w:r>
        <w:t xml:space="preserve"> particularly neutropenia</w:t>
      </w:r>
      <w:r w:rsidR="00B47056">
        <w:t xml:space="preserve">, </w:t>
      </w:r>
      <w:r>
        <w:t>appear to be higher than seen with irinotecan monotherapy, subject to the limitations of cross-trial comparison. They are higher than the rates seen in the single-agent chemotherapy comparator arm in ASCENT</w:t>
      </w:r>
      <w:r w:rsidR="00263D63">
        <w:t xml:space="preserve"> trial</w:t>
      </w:r>
      <w:r>
        <w:t>.</w:t>
      </w:r>
    </w:p>
    <w:p w14:paraId="7E6D8427" w14:textId="6DA9FDA2" w:rsidR="005B5A3D" w:rsidRDefault="005B5A3D" w:rsidP="005B5A3D">
      <w:pPr>
        <w:pStyle w:val="ListBullet"/>
      </w:pPr>
      <w:r>
        <w:t>Whilst the commencement of</w:t>
      </w:r>
      <w:r w:rsidR="00B47056" w:rsidRPr="00B47056">
        <w:t xml:space="preserve"> </w:t>
      </w:r>
      <w:proofErr w:type="spellStart"/>
      <w:r w:rsidR="00B47056">
        <w:t>sacituzumab</w:t>
      </w:r>
      <w:proofErr w:type="spellEnd"/>
      <w:r w:rsidR="00B47056">
        <w:t xml:space="preserve"> </w:t>
      </w:r>
      <w:proofErr w:type="spellStart"/>
      <w:r w:rsidR="00B47056">
        <w:t>govitecan</w:t>
      </w:r>
      <w:proofErr w:type="spellEnd"/>
      <w:r>
        <w:t xml:space="preserve"> by non-oncologists is unlikely, it is likely that the PI will be relevant to the practice of non-oncologists - particularly in </w:t>
      </w:r>
      <w:r>
        <w:lastRenderedPageBreak/>
        <w:t>settings such as emergency departments or general practice, including rural and remote locations.</w:t>
      </w:r>
    </w:p>
    <w:p w14:paraId="4A73D895" w14:textId="6F2DB308" w:rsidR="005B5A3D" w:rsidRDefault="005B5A3D" w:rsidP="005B5A3D">
      <w:pPr>
        <w:pStyle w:val="ListBullet"/>
      </w:pPr>
      <w:r>
        <w:t xml:space="preserve">It is not immediately clear from its name that </w:t>
      </w:r>
      <w:proofErr w:type="spellStart"/>
      <w:r w:rsidR="00B47056">
        <w:t>sacituzumab</w:t>
      </w:r>
      <w:proofErr w:type="spellEnd"/>
      <w:r w:rsidR="00B47056">
        <w:t xml:space="preserve"> </w:t>
      </w:r>
      <w:proofErr w:type="spellStart"/>
      <w:r w:rsidR="00B47056">
        <w:t>govitecan</w:t>
      </w:r>
      <w:proofErr w:type="spellEnd"/>
      <w:r>
        <w:t xml:space="preserve"> contains a cytotoxic agent, and there is a risk (notably, if shorthand such as </w:t>
      </w:r>
      <w:r w:rsidR="00C117D5">
        <w:t>‘</w:t>
      </w:r>
      <w:proofErr w:type="spellStart"/>
      <w:r>
        <w:t>sacituzumab</w:t>
      </w:r>
      <w:proofErr w:type="spellEnd"/>
      <w:r w:rsidR="00C117D5">
        <w:t>’</w:t>
      </w:r>
      <w:r>
        <w:t xml:space="preserve"> has been used in medical documentation) that a health professional (particularly a non-oncologist) may not realise </w:t>
      </w:r>
      <w:proofErr w:type="spellStart"/>
      <w:r w:rsidR="00B47056">
        <w:t>sacituzumab</w:t>
      </w:r>
      <w:proofErr w:type="spellEnd"/>
      <w:r w:rsidR="00B47056">
        <w:t xml:space="preserve"> </w:t>
      </w:r>
      <w:proofErr w:type="spellStart"/>
      <w:r w:rsidR="00B47056">
        <w:t>govitecan</w:t>
      </w:r>
      <w:proofErr w:type="spellEnd"/>
      <w:r w:rsidR="00B47056" w:rsidDel="00B47056">
        <w:t xml:space="preserve"> </w:t>
      </w:r>
      <w:r>
        <w:t xml:space="preserve">contains a cytotoxic </w:t>
      </w:r>
      <w:proofErr w:type="gramStart"/>
      <w:r>
        <w:t>payload, or</w:t>
      </w:r>
      <w:proofErr w:type="gramEnd"/>
      <w:r>
        <w:t xml:space="preserve"> might assume that because of the presence of a targeting monoclonal antibody, toxicity should be expected to be reduced. Monoclonal antibodies are not usually associated with chemotherapy-like toxicities. Although the usual warning and precautions approach to labelling may eventually be consulted, there is a risk of delay to therapy which in the setting of neutropenic sepsis can easily be fatal.</w:t>
      </w:r>
    </w:p>
    <w:p w14:paraId="2C2FC5BC" w14:textId="473A3DC8" w:rsidR="007D09B2" w:rsidRDefault="005B5A3D" w:rsidP="005B5A3D">
      <w:pPr>
        <w:pStyle w:val="ListBullet2"/>
      </w:pPr>
      <w:r>
        <w:t xml:space="preserve">In this instance, the use of a boxed warning in the Australian PI is considered appropriate. The box should state that </w:t>
      </w:r>
      <w:proofErr w:type="spellStart"/>
      <w:r w:rsidR="00B47056">
        <w:t>sacituzumab</w:t>
      </w:r>
      <w:proofErr w:type="spellEnd"/>
      <w:r w:rsidR="00B47056">
        <w:t xml:space="preserve"> </w:t>
      </w:r>
      <w:proofErr w:type="spellStart"/>
      <w:r w:rsidR="00B47056">
        <w:t>govitecan</w:t>
      </w:r>
      <w:proofErr w:type="spellEnd"/>
      <w:r w:rsidR="00B47056" w:rsidDel="00B47056">
        <w:t xml:space="preserve"> </w:t>
      </w:r>
      <w:r>
        <w:t>contains a cytotoxic component and causes chemotherapy</w:t>
      </w:r>
      <w:r w:rsidR="009148DD">
        <w:t xml:space="preserve"> </w:t>
      </w:r>
      <w:r>
        <w:t>like toxicities.</w:t>
      </w:r>
    </w:p>
    <w:p w14:paraId="2B6A3989" w14:textId="2EA6C3F4" w:rsidR="00F505C4" w:rsidRDefault="00F505C4" w:rsidP="00F505C4">
      <w:pPr>
        <w:pStyle w:val="Heading6"/>
      </w:pPr>
      <w:r>
        <w:t>Sponsor’s response to the above rationale</w:t>
      </w:r>
    </w:p>
    <w:p w14:paraId="3A16B874" w14:textId="2BD66518" w:rsidR="005B5A3D" w:rsidRDefault="005B5A3D" w:rsidP="005B5A3D">
      <w:pPr>
        <w:rPr>
          <w:lang w:eastAsia="en-AU"/>
        </w:rPr>
      </w:pPr>
      <w:r>
        <w:rPr>
          <w:lang w:eastAsia="en-AU"/>
        </w:rPr>
        <w:t xml:space="preserve">A response to the above rationale was received from the </w:t>
      </w:r>
      <w:r w:rsidR="00F505C4">
        <w:rPr>
          <w:lang w:eastAsia="en-AU"/>
        </w:rPr>
        <w:t>s</w:t>
      </w:r>
      <w:r>
        <w:rPr>
          <w:lang w:eastAsia="en-AU"/>
        </w:rPr>
        <w:t>ponsor</w:t>
      </w:r>
      <w:r w:rsidR="009148DD">
        <w:rPr>
          <w:lang w:eastAsia="en-AU"/>
        </w:rPr>
        <w:t>. It</w:t>
      </w:r>
      <w:r>
        <w:rPr>
          <w:lang w:eastAsia="en-AU"/>
        </w:rPr>
        <w:t xml:space="preserve"> included additional rationale for not applying a boxed warning to highlight the chemotherapy-like toxicities of </w:t>
      </w:r>
      <w:proofErr w:type="spellStart"/>
      <w:r w:rsidR="00F505C4">
        <w:rPr>
          <w:lang w:eastAsia="en-AU"/>
        </w:rPr>
        <w:t>Trodelvy</w:t>
      </w:r>
      <w:proofErr w:type="spellEnd"/>
      <w:r>
        <w:rPr>
          <w:lang w:eastAsia="en-AU"/>
        </w:rPr>
        <w:t xml:space="preserve">. The </w:t>
      </w:r>
      <w:r w:rsidR="00F505C4">
        <w:rPr>
          <w:lang w:eastAsia="en-AU"/>
        </w:rPr>
        <w:t>s</w:t>
      </w:r>
      <w:r>
        <w:rPr>
          <w:lang w:eastAsia="en-AU"/>
        </w:rPr>
        <w:t>ponsor noted:</w:t>
      </w:r>
    </w:p>
    <w:p w14:paraId="14AF1C99" w14:textId="27AD2F18" w:rsidR="005B5A3D" w:rsidRDefault="005B5A3D" w:rsidP="005B5A3D">
      <w:pPr>
        <w:pStyle w:val="ListBullet"/>
        <w:rPr>
          <w:lang w:eastAsia="en-AU"/>
        </w:rPr>
      </w:pPr>
      <w:r>
        <w:rPr>
          <w:lang w:eastAsia="en-AU"/>
        </w:rPr>
        <w:t>A boxed warning is not being applied in Europe, the UK or Switzerland.</w:t>
      </w:r>
    </w:p>
    <w:p w14:paraId="1CE8E6FC" w14:textId="6D962704" w:rsidR="005B5A3D" w:rsidRDefault="005B5A3D" w:rsidP="005B5A3D">
      <w:pPr>
        <w:pStyle w:val="ListBullet"/>
        <w:rPr>
          <w:lang w:eastAsia="en-AU"/>
        </w:rPr>
      </w:pPr>
      <w:r>
        <w:rPr>
          <w:lang w:eastAsia="en-AU"/>
        </w:rPr>
        <w:t xml:space="preserve">The inclusion of a boxed warning would be </w:t>
      </w:r>
      <w:r w:rsidR="009148DD">
        <w:rPr>
          <w:lang w:eastAsia="en-AU"/>
        </w:rPr>
        <w:t>‘</w:t>
      </w:r>
      <w:r>
        <w:rPr>
          <w:lang w:eastAsia="en-AU"/>
        </w:rPr>
        <w:t>procedurally inconsistent with the regulatory precedent for boxed warnings in Australia</w:t>
      </w:r>
      <w:r w:rsidR="009148DD">
        <w:rPr>
          <w:lang w:eastAsia="en-AU"/>
        </w:rPr>
        <w:t>’</w:t>
      </w:r>
      <w:r>
        <w:rPr>
          <w:lang w:eastAsia="en-AU"/>
        </w:rPr>
        <w:t xml:space="preserve"> based on examples of other new drugs with high risk of neutropenia which do not have boxed warnings:</w:t>
      </w:r>
    </w:p>
    <w:p w14:paraId="2DF21D60" w14:textId="3FAECC70" w:rsidR="005B5A3D" w:rsidRDefault="005B5A3D" w:rsidP="005B5A3D">
      <w:pPr>
        <w:pStyle w:val="ListBullet2"/>
        <w:rPr>
          <w:lang w:eastAsia="en-AU"/>
        </w:rPr>
      </w:pPr>
      <w:r>
        <w:rPr>
          <w:lang w:eastAsia="en-AU"/>
        </w:rPr>
        <w:t>Trastuzumab emtansine (</w:t>
      </w:r>
      <w:proofErr w:type="spellStart"/>
      <w:r w:rsidR="009148DD">
        <w:rPr>
          <w:lang w:eastAsia="en-AU"/>
        </w:rPr>
        <w:t>Kadcyla</w:t>
      </w:r>
      <w:proofErr w:type="spellEnd"/>
      <w:r>
        <w:rPr>
          <w:lang w:eastAsia="en-AU"/>
        </w:rPr>
        <w:t>: a HER2-targeted antibody-drug conjugate that contains small molecule cytotoxin, DM1) which was TGA approved in 2013.</w:t>
      </w:r>
    </w:p>
    <w:p w14:paraId="3C5DBED2" w14:textId="4D01A599" w:rsidR="005B5A3D" w:rsidRDefault="005B5A3D" w:rsidP="005B5A3D">
      <w:pPr>
        <w:pStyle w:val="ListBullet3"/>
        <w:rPr>
          <w:lang w:eastAsia="en-AU"/>
        </w:rPr>
      </w:pPr>
      <w:r>
        <w:rPr>
          <w:lang w:eastAsia="en-AU"/>
        </w:rPr>
        <w:t>Risk of thrombocytopenia (Grade ≥</w:t>
      </w:r>
      <w:r w:rsidR="00C117D5">
        <w:rPr>
          <w:lang w:eastAsia="en-AU"/>
        </w:rPr>
        <w:t xml:space="preserve"> </w:t>
      </w:r>
      <w:r>
        <w:rPr>
          <w:lang w:eastAsia="en-AU"/>
        </w:rPr>
        <w:t>3</w:t>
      </w:r>
      <w:r w:rsidR="00B47056">
        <w:rPr>
          <w:lang w:eastAsia="en-AU"/>
        </w:rPr>
        <w:t xml:space="preserve"> events</w:t>
      </w:r>
      <w:r>
        <w:rPr>
          <w:lang w:eastAsia="en-AU"/>
        </w:rPr>
        <w:t xml:space="preserve"> 14.5% with </w:t>
      </w:r>
      <w:proofErr w:type="spellStart"/>
      <w:r w:rsidR="009148DD">
        <w:rPr>
          <w:lang w:eastAsia="en-AU"/>
        </w:rPr>
        <w:t>Kadcyla</w:t>
      </w:r>
      <w:proofErr w:type="spellEnd"/>
      <w:r w:rsidR="009148DD">
        <w:rPr>
          <w:lang w:eastAsia="en-AU"/>
        </w:rPr>
        <w:t xml:space="preserve"> </w:t>
      </w:r>
      <w:r>
        <w:rPr>
          <w:lang w:eastAsia="en-AU"/>
        </w:rPr>
        <w:t>and 0.4% with the comparator) and haemorrhage (including bleeding events with fatal outcomes)</w:t>
      </w:r>
    </w:p>
    <w:p w14:paraId="736E5B0C" w14:textId="3463C15C" w:rsidR="005B5A3D" w:rsidRDefault="005B5A3D" w:rsidP="005B5A3D">
      <w:pPr>
        <w:pStyle w:val="ListBullet2"/>
        <w:rPr>
          <w:lang w:eastAsia="en-AU"/>
        </w:rPr>
      </w:pPr>
      <w:proofErr w:type="spellStart"/>
      <w:r>
        <w:rPr>
          <w:lang w:eastAsia="en-AU"/>
        </w:rPr>
        <w:t>Polatuzumab</w:t>
      </w:r>
      <w:proofErr w:type="spellEnd"/>
      <w:r>
        <w:rPr>
          <w:lang w:eastAsia="en-AU"/>
        </w:rPr>
        <w:t xml:space="preserve"> </w:t>
      </w:r>
      <w:proofErr w:type="spellStart"/>
      <w:r>
        <w:rPr>
          <w:lang w:eastAsia="en-AU"/>
        </w:rPr>
        <w:t>vedotin</w:t>
      </w:r>
      <w:proofErr w:type="spellEnd"/>
      <w:r>
        <w:rPr>
          <w:lang w:eastAsia="en-AU"/>
        </w:rPr>
        <w:t xml:space="preserve"> (</w:t>
      </w:r>
      <w:proofErr w:type="spellStart"/>
      <w:r w:rsidR="009148DD">
        <w:rPr>
          <w:lang w:eastAsia="en-AU"/>
        </w:rPr>
        <w:t>Polivy</w:t>
      </w:r>
      <w:proofErr w:type="spellEnd"/>
      <w:r>
        <w:rPr>
          <w:lang w:eastAsia="en-AU"/>
        </w:rPr>
        <w:t xml:space="preserve">: a CD79b-targeted antibody-drug conjugate that preferentially delivers an anti-mitotic agent (monomethyl auristatin E, or MMAE) to B-cells) which was </w:t>
      </w:r>
      <w:r w:rsidR="009148DD">
        <w:rPr>
          <w:lang w:eastAsia="en-AU"/>
        </w:rPr>
        <w:t xml:space="preserve">approved by the </w:t>
      </w:r>
      <w:r>
        <w:rPr>
          <w:lang w:eastAsia="en-AU"/>
        </w:rPr>
        <w:t xml:space="preserve">TGA in 2019 in combination with </w:t>
      </w:r>
      <w:proofErr w:type="spellStart"/>
      <w:r>
        <w:rPr>
          <w:lang w:eastAsia="en-AU"/>
        </w:rPr>
        <w:t>bendamustine</w:t>
      </w:r>
      <w:proofErr w:type="spellEnd"/>
      <w:r>
        <w:rPr>
          <w:lang w:eastAsia="en-AU"/>
        </w:rPr>
        <w:t xml:space="preserve"> and rituximab for diffuse large B-cell lymphoma</w:t>
      </w:r>
    </w:p>
    <w:p w14:paraId="6BA7D69D" w14:textId="2060EF82" w:rsidR="005B5A3D" w:rsidRDefault="005B5A3D" w:rsidP="005B5A3D">
      <w:pPr>
        <w:pStyle w:val="ListBullet3"/>
        <w:rPr>
          <w:lang w:eastAsia="en-AU"/>
        </w:rPr>
      </w:pPr>
      <w:r>
        <w:rPr>
          <w:lang w:eastAsia="en-AU"/>
        </w:rPr>
        <w:t xml:space="preserve">Risk of myelosuppression in the </w:t>
      </w:r>
      <w:proofErr w:type="spellStart"/>
      <w:r w:rsidR="009148DD">
        <w:rPr>
          <w:lang w:eastAsia="en-AU"/>
        </w:rPr>
        <w:t>Polivy</w:t>
      </w:r>
      <w:proofErr w:type="spellEnd"/>
      <w:r>
        <w:rPr>
          <w:lang w:eastAsia="en-AU"/>
        </w:rPr>
        <w:t xml:space="preserve">-added arm compared to </w:t>
      </w:r>
      <w:proofErr w:type="spellStart"/>
      <w:r>
        <w:rPr>
          <w:lang w:eastAsia="en-AU"/>
        </w:rPr>
        <w:t>bendamustine</w:t>
      </w:r>
      <w:proofErr w:type="spellEnd"/>
      <w:r>
        <w:rPr>
          <w:lang w:eastAsia="en-AU"/>
        </w:rPr>
        <w:t xml:space="preserve"> and rituximab alone (Grade 3</w:t>
      </w:r>
      <w:r w:rsidR="007706C6">
        <w:rPr>
          <w:lang w:eastAsia="en-AU"/>
        </w:rPr>
        <w:t xml:space="preserve"> to</w:t>
      </w:r>
      <w:r>
        <w:rPr>
          <w:lang w:eastAsia="en-AU"/>
        </w:rPr>
        <w:t xml:space="preserve">4 neutropenia, thrombocytopenia, and anaemia of 40.4%, 37.8%, and 24.4%, respectively, compared to 35.9%, 25.6%, and 17.9%, respectively, with </w:t>
      </w:r>
      <w:proofErr w:type="spellStart"/>
      <w:r>
        <w:rPr>
          <w:lang w:eastAsia="en-AU"/>
        </w:rPr>
        <w:t>bendamustine</w:t>
      </w:r>
      <w:proofErr w:type="spellEnd"/>
      <w:r>
        <w:rPr>
          <w:lang w:eastAsia="en-AU"/>
        </w:rPr>
        <w:t xml:space="preserve"> + rituximab)</w:t>
      </w:r>
    </w:p>
    <w:p w14:paraId="20E13D99" w14:textId="5BEA391D" w:rsidR="005B5A3D" w:rsidRDefault="005B5A3D" w:rsidP="005B5A3D">
      <w:pPr>
        <w:pStyle w:val="ListBullet2"/>
        <w:rPr>
          <w:lang w:eastAsia="en-AU"/>
        </w:rPr>
      </w:pPr>
      <w:r>
        <w:rPr>
          <w:lang w:eastAsia="en-AU"/>
        </w:rPr>
        <w:t>Anti-PD-(L)1 agents pembrolizumab (Keytruda), durvalumab (Imfinzi), atezolizumab (</w:t>
      </w:r>
      <w:proofErr w:type="spellStart"/>
      <w:r>
        <w:rPr>
          <w:lang w:eastAsia="en-AU"/>
        </w:rPr>
        <w:t>Tecentriq</w:t>
      </w:r>
      <w:proofErr w:type="spellEnd"/>
      <w:r>
        <w:rPr>
          <w:lang w:eastAsia="en-AU"/>
        </w:rPr>
        <w:t xml:space="preserve">), and Avelumab (Bavencio) </w:t>
      </w:r>
    </w:p>
    <w:p w14:paraId="7C04D418" w14:textId="1F3D3775" w:rsidR="005B5A3D" w:rsidRDefault="005B5A3D" w:rsidP="005B5A3D">
      <w:pPr>
        <w:pStyle w:val="ListBullet3"/>
        <w:rPr>
          <w:lang w:eastAsia="en-AU"/>
        </w:rPr>
      </w:pPr>
      <w:r>
        <w:rPr>
          <w:lang w:eastAsia="en-AU"/>
        </w:rPr>
        <w:t xml:space="preserve">immune-mediated adverse reactions </w:t>
      </w:r>
    </w:p>
    <w:p w14:paraId="6049A1CA" w14:textId="2D9AA977" w:rsidR="005B5A3D" w:rsidRDefault="009148DD" w:rsidP="005B5A3D">
      <w:pPr>
        <w:pStyle w:val="ListBullet3"/>
        <w:rPr>
          <w:lang w:eastAsia="en-AU"/>
        </w:rPr>
      </w:pPr>
      <w:r>
        <w:rPr>
          <w:lang w:eastAsia="en-AU"/>
        </w:rPr>
        <w:t>‘</w:t>
      </w:r>
      <w:r w:rsidR="005B5A3D">
        <w:rPr>
          <w:lang w:eastAsia="en-AU"/>
        </w:rPr>
        <w:t>Although non-oncologists may not be familiar with identifying and managing these immune-mediated toxicities that may require prompt diagnosis and treatment including with corticosteroids, these monoclonal antibodies do not have boxed warnings.</w:t>
      </w:r>
      <w:r w:rsidR="004C0D29">
        <w:rPr>
          <w:lang w:eastAsia="en-AU"/>
        </w:rPr>
        <w:t>’</w:t>
      </w:r>
    </w:p>
    <w:p w14:paraId="03D0B301" w14:textId="523D5080" w:rsidR="005B5A3D" w:rsidRDefault="005B5A3D" w:rsidP="005B5A3D">
      <w:pPr>
        <w:pStyle w:val="ListBullet"/>
        <w:rPr>
          <w:lang w:eastAsia="en-AU"/>
        </w:rPr>
      </w:pPr>
      <w:r>
        <w:rPr>
          <w:lang w:eastAsia="en-AU"/>
        </w:rPr>
        <w:t>Addition risk mitigation on top of the PI content that reduce the risk of non-timely management of neutropenia are present:</w:t>
      </w:r>
    </w:p>
    <w:p w14:paraId="786FE110" w14:textId="40708D20" w:rsidR="005B5A3D" w:rsidRDefault="005B5A3D" w:rsidP="005B5A3D">
      <w:pPr>
        <w:pStyle w:val="ListBullet2"/>
        <w:rPr>
          <w:lang w:eastAsia="en-AU"/>
        </w:rPr>
      </w:pPr>
      <w:r>
        <w:rPr>
          <w:lang w:eastAsia="en-AU"/>
        </w:rPr>
        <w:t xml:space="preserve">Inclusion in the black triangle scheme </w:t>
      </w:r>
    </w:p>
    <w:p w14:paraId="0A3D8C10" w14:textId="0E659816" w:rsidR="007D09B2" w:rsidRDefault="005B5A3D" w:rsidP="005B5A3D">
      <w:pPr>
        <w:pStyle w:val="ListBullet2"/>
        <w:rPr>
          <w:lang w:eastAsia="en-AU"/>
        </w:rPr>
      </w:pPr>
      <w:r>
        <w:rPr>
          <w:lang w:eastAsia="en-AU"/>
        </w:rPr>
        <w:t xml:space="preserve">The outer packaging (carton and vial) state </w:t>
      </w:r>
      <w:r w:rsidR="00FB0BE8">
        <w:rPr>
          <w:lang w:eastAsia="en-AU"/>
        </w:rPr>
        <w:t>‘</w:t>
      </w:r>
      <w:r>
        <w:rPr>
          <w:lang w:eastAsia="en-AU"/>
        </w:rPr>
        <w:t>CAUTION: Cytotoxic agent</w:t>
      </w:r>
      <w:r w:rsidR="00FB0BE8">
        <w:rPr>
          <w:lang w:eastAsia="en-AU"/>
        </w:rPr>
        <w:t>’</w:t>
      </w:r>
      <w:r>
        <w:rPr>
          <w:lang w:eastAsia="en-AU"/>
        </w:rPr>
        <w:t xml:space="preserve"> on the main panel</w:t>
      </w:r>
    </w:p>
    <w:p w14:paraId="10CF78A5" w14:textId="2163F401" w:rsidR="005B5A3D" w:rsidRDefault="005B5A3D" w:rsidP="000C2020">
      <w:pPr>
        <w:pStyle w:val="Heading4"/>
        <w:rPr>
          <w:lang w:eastAsia="en-AU"/>
        </w:rPr>
      </w:pPr>
      <w:r>
        <w:rPr>
          <w:lang w:eastAsia="en-AU"/>
        </w:rPr>
        <w:lastRenderedPageBreak/>
        <w:t>Delegate</w:t>
      </w:r>
      <w:r w:rsidR="00F505C4">
        <w:rPr>
          <w:lang w:eastAsia="en-AU"/>
        </w:rPr>
        <w:t>’s</w:t>
      </w:r>
      <w:r>
        <w:rPr>
          <w:lang w:eastAsia="en-AU"/>
        </w:rPr>
        <w:t xml:space="preserve"> final assessment</w:t>
      </w:r>
    </w:p>
    <w:p w14:paraId="02541D79" w14:textId="77777777" w:rsidR="005B5A3D" w:rsidRDefault="005B5A3D" w:rsidP="005B5A3D">
      <w:pPr>
        <w:rPr>
          <w:lang w:eastAsia="en-AU"/>
        </w:rPr>
      </w:pPr>
      <w:r>
        <w:rPr>
          <w:lang w:eastAsia="en-AU"/>
        </w:rPr>
        <w:t>The Delegate’s concerns are specific to the risk of missed timely management of neutropenia in non-tertiary and particularly remote settings.</w:t>
      </w:r>
    </w:p>
    <w:p w14:paraId="23968803" w14:textId="078B1F59" w:rsidR="00175529" w:rsidRDefault="005B5A3D" w:rsidP="005B5A3D">
      <w:pPr>
        <w:rPr>
          <w:lang w:eastAsia="en-AU"/>
        </w:rPr>
      </w:pPr>
      <w:r>
        <w:rPr>
          <w:lang w:eastAsia="en-AU"/>
        </w:rPr>
        <w:t xml:space="preserve">As discussed in the earlier table, the actions of other regulators may not be finalised, and are not considered relevant. ‘Regulatory precedent’ is also not a significant consideration. Each decision is made on a </w:t>
      </w:r>
      <w:proofErr w:type="gramStart"/>
      <w:r>
        <w:rPr>
          <w:lang w:eastAsia="en-AU"/>
        </w:rPr>
        <w:t>case by case</w:t>
      </w:r>
      <w:proofErr w:type="gramEnd"/>
      <w:r>
        <w:rPr>
          <w:lang w:eastAsia="en-AU"/>
        </w:rPr>
        <w:t xml:space="preserve"> basis, and the decisions made by other </w:t>
      </w:r>
      <w:r w:rsidR="004C0D29">
        <w:rPr>
          <w:lang w:eastAsia="en-AU"/>
        </w:rPr>
        <w:t>D</w:t>
      </w:r>
      <w:r>
        <w:rPr>
          <w:lang w:eastAsia="en-AU"/>
        </w:rPr>
        <w:t>elegates for other products are irrelevant</w:t>
      </w:r>
      <w:r w:rsidR="00175529">
        <w:rPr>
          <w:lang w:eastAsia="en-AU"/>
        </w:rPr>
        <w:t>.</w:t>
      </w:r>
    </w:p>
    <w:p w14:paraId="19EC93CB" w14:textId="2F5568D0" w:rsidR="005B5A3D" w:rsidRDefault="005B5A3D" w:rsidP="005B5A3D">
      <w:pPr>
        <w:rPr>
          <w:lang w:eastAsia="en-AU"/>
        </w:rPr>
      </w:pPr>
      <w:r>
        <w:rPr>
          <w:lang w:eastAsia="en-AU"/>
        </w:rPr>
        <w:t>The Delegate, however, reconsidered the need for a boxed warning, taking into consideration the following:</w:t>
      </w:r>
    </w:p>
    <w:p w14:paraId="23EE96DC" w14:textId="77777777" w:rsidR="005B5A3D" w:rsidRDefault="005B5A3D" w:rsidP="00EF5E54">
      <w:pPr>
        <w:pStyle w:val="ListBullet"/>
        <w:rPr>
          <w:lang w:eastAsia="en-AU"/>
        </w:rPr>
      </w:pPr>
      <w:r>
        <w:rPr>
          <w:lang w:eastAsia="en-AU"/>
        </w:rPr>
        <w:t>The IV formulation and dosing schedule for this product make it unlikely that treatment will be ongoing in an extremely remote location.</w:t>
      </w:r>
    </w:p>
    <w:p w14:paraId="131E2DAC" w14:textId="77777777" w:rsidR="005B5A3D" w:rsidRDefault="005B5A3D" w:rsidP="00EF5E54">
      <w:pPr>
        <w:pStyle w:val="ListBullet"/>
        <w:rPr>
          <w:lang w:eastAsia="en-AU"/>
        </w:rPr>
      </w:pPr>
      <w:r>
        <w:rPr>
          <w:lang w:eastAsia="en-AU"/>
        </w:rPr>
        <w:t>It is likely that, with the knowledge that a patient has cancer, non-oncologist emergency clinicians will consider the possible presence of a cytotoxic element in any therapeutic regimen, despite newer targeted therapies, and have a low threshold of suspicion for neutropenic sepsis.</w:t>
      </w:r>
    </w:p>
    <w:p w14:paraId="60ECB1DB" w14:textId="11A5AEF0" w:rsidR="00175529" w:rsidRDefault="005B5A3D" w:rsidP="00EF5E54">
      <w:pPr>
        <w:pStyle w:val="ListBullet"/>
        <w:rPr>
          <w:lang w:eastAsia="en-AU"/>
        </w:rPr>
      </w:pPr>
      <w:r>
        <w:rPr>
          <w:lang w:eastAsia="en-AU"/>
        </w:rPr>
        <w:t xml:space="preserve">If a clinician has access to the name of the drug, whether abbreviated to just </w:t>
      </w:r>
      <w:r w:rsidR="004C0D29">
        <w:rPr>
          <w:lang w:eastAsia="en-AU"/>
        </w:rPr>
        <w:t>‘</w:t>
      </w:r>
      <w:proofErr w:type="spellStart"/>
      <w:r>
        <w:rPr>
          <w:lang w:eastAsia="en-AU"/>
        </w:rPr>
        <w:t>sacituzumab</w:t>
      </w:r>
      <w:proofErr w:type="spellEnd"/>
      <w:r w:rsidR="004C0D29">
        <w:rPr>
          <w:lang w:eastAsia="en-AU"/>
        </w:rPr>
        <w:t>’</w:t>
      </w:r>
      <w:r>
        <w:rPr>
          <w:lang w:eastAsia="en-AU"/>
        </w:rPr>
        <w:t xml:space="preserve"> or not, they are extremely likely to be able to access information that reflects the cytotoxic nature of the therapy and the risk of neutropenia. A clinician that would be expected to access such information as standard practice if it was unfamiliar to them</w:t>
      </w:r>
      <w:r w:rsidR="00175529">
        <w:rPr>
          <w:lang w:eastAsia="en-AU"/>
        </w:rPr>
        <w:t>.</w:t>
      </w:r>
    </w:p>
    <w:p w14:paraId="7370056F" w14:textId="35565784" w:rsidR="00175529" w:rsidRDefault="005B5A3D" w:rsidP="00EF5E54">
      <w:pPr>
        <w:pStyle w:val="ListBullet"/>
        <w:rPr>
          <w:lang w:eastAsia="en-AU"/>
        </w:rPr>
      </w:pPr>
      <w:r>
        <w:rPr>
          <w:lang w:eastAsia="en-AU"/>
        </w:rPr>
        <w:t xml:space="preserve">Clinician behaviour is not within </w:t>
      </w:r>
      <w:r w:rsidR="004C0D29">
        <w:rPr>
          <w:lang w:eastAsia="en-AU"/>
        </w:rPr>
        <w:t xml:space="preserve">the </w:t>
      </w:r>
      <w:r>
        <w:rPr>
          <w:lang w:eastAsia="en-AU"/>
        </w:rPr>
        <w:t>TGA’s remit for regulation, and possible clandestine presentation of neutropenic sepsis in cancer patients would be expected knowledge for clinicians working independently, both in non-tertiary and remote settings in Australia</w:t>
      </w:r>
      <w:r w:rsidR="00175529">
        <w:rPr>
          <w:lang w:eastAsia="en-AU"/>
        </w:rPr>
        <w:t>.</w:t>
      </w:r>
    </w:p>
    <w:p w14:paraId="6071881B" w14:textId="047248F6" w:rsidR="005B5A3D" w:rsidRPr="007D09B2" w:rsidRDefault="005B5A3D" w:rsidP="005B5A3D">
      <w:pPr>
        <w:rPr>
          <w:lang w:eastAsia="en-AU"/>
        </w:rPr>
      </w:pPr>
      <w:r>
        <w:rPr>
          <w:lang w:eastAsia="en-AU"/>
        </w:rPr>
        <w:t>The Delegate therefore accept</w:t>
      </w:r>
      <w:r w:rsidR="00B22E9F">
        <w:rPr>
          <w:lang w:eastAsia="en-AU"/>
        </w:rPr>
        <w:t>ed</w:t>
      </w:r>
      <w:r>
        <w:rPr>
          <w:lang w:eastAsia="en-AU"/>
        </w:rPr>
        <w:t xml:space="preserve"> that a boxed warning is not necessary for the Australian PI at this time. Post-market review of this issue will be undertaken to ensure that mitigation of this risk is adequate.</w:t>
      </w:r>
    </w:p>
    <w:p w14:paraId="1F6AFDB5" w14:textId="77777777" w:rsidR="008E7846" w:rsidRDefault="008E7846" w:rsidP="007D53B6">
      <w:pPr>
        <w:pStyle w:val="Heading4"/>
      </w:pPr>
      <w:r>
        <w:t xml:space="preserve">Advisory Committee </w:t>
      </w:r>
      <w:r w:rsidR="007D53B6">
        <w:t>c</w:t>
      </w:r>
      <w:r>
        <w:t>onsiderations</w:t>
      </w:r>
      <w:r w:rsidR="00456765">
        <w:rPr>
          <w:rStyle w:val="FootnoteReference"/>
        </w:rPr>
        <w:footnoteReference w:id="20"/>
      </w:r>
    </w:p>
    <w:p w14:paraId="753D82C8" w14:textId="27FBC9A9" w:rsidR="00744121" w:rsidRPr="007D53B6" w:rsidRDefault="00744121" w:rsidP="00744121">
      <w:bookmarkStart w:id="70" w:name="_Toc247691532"/>
      <w:bookmarkStart w:id="71" w:name="_Toc314842516"/>
      <w:bookmarkEnd w:id="30"/>
      <w:bookmarkEnd w:id="64"/>
      <w:bookmarkEnd w:id="65"/>
      <w:r w:rsidRPr="007D53B6">
        <w:t>The Delegate did not refer this application to the Advisory Committee on Medicines (ACM) for advice.</w:t>
      </w:r>
      <w:r w:rsidR="006C09F7">
        <w:t xml:space="preserve"> Independent expert advice was sough (see above).</w:t>
      </w:r>
    </w:p>
    <w:p w14:paraId="4D15E828" w14:textId="77777777" w:rsidR="008E7846" w:rsidRPr="002E238E" w:rsidRDefault="008E7846" w:rsidP="008E7846">
      <w:pPr>
        <w:pStyle w:val="Heading3"/>
      </w:pPr>
      <w:bookmarkStart w:id="72" w:name="_Toc91147301"/>
      <w:r>
        <w:t>Outcome</w:t>
      </w:r>
      <w:bookmarkEnd w:id="70"/>
      <w:bookmarkEnd w:id="71"/>
      <w:bookmarkEnd w:id="72"/>
    </w:p>
    <w:p w14:paraId="5C7822FE" w14:textId="6EFE1FC7" w:rsidR="00744121" w:rsidRDefault="00744121" w:rsidP="00744121">
      <w:bookmarkStart w:id="73" w:name="_Toc247691533"/>
      <w:bookmarkStart w:id="74" w:name="_Toc314842517"/>
      <w:r>
        <w:t xml:space="preserve">Based on a review of quality, </w:t>
      </w:r>
      <w:proofErr w:type="gramStart"/>
      <w:r>
        <w:t>safety</w:t>
      </w:r>
      <w:proofErr w:type="gramEnd"/>
      <w:r>
        <w:t xml:space="preserve"> and efficacy, the TGA approved the registration of </w:t>
      </w:r>
      <w:proofErr w:type="spellStart"/>
      <w:r w:rsidRPr="00250271">
        <w:t>Tr</w:t>
      </w:r>
      <w:r w:rsidR="002955FB">
        <w:t>odelvy</w:t>
      </w:r>
      <w:proofErr w:type="spellEnd"/>
      <w:r w:rsidRPr="00250271">
        <w:t xml:space="preserve"> (</w:t>
      </w:r>
      <w:proofErr w:type="spellStart"/>
      <w:r w:rsidR="002955FB">
        <w:rPr>
          <w:bCs/>
        </w:rPr>
        <w:t>s</w:t>
      </w:r>
      <w:r w:rsidR="002955FB" w:rsidRPr="003272CE">
        <w:rPr>
          <w:bCs/>
        </w:rPr>
        <w:t>acituzumab</w:t>
      </w:r>
      <w:proofErr w:type="spellEnd"/>
      <w:r w:rsidR="002955FB" w:rsidRPr="003272CE">
        <w:rPr>
          <w:bCs/>
        </w:rPr>
        <w:t xml:space="preserve"> </w:t>
      </w:r>
      <w:proofErr w:type="spellStart"/>
      <w:r w:rsidR="002955FB" w:rsidRPr="003272CE">
        <w:rPr>
          <w:bCs/>
        </w:rPr>
        <w:t>govitecan</w:t>
      </w:r>
      <w:proofErr w:type="spellEnd"/>
      <w:r w:rsidRPr="00250271">
        <w:t xml:space="preserve">) </w:t>
      </w:r>
      <w:r w:rsidR="002955FB">
        <w:t>10 mg/mL</w:t>
      </w:r>
      <w:r w:rsidRPr="00250271">
        <w:t xml:space="preserve">, </w:t>
      </w:r>
      <w:r w:rsidR="002955FB">
        <w:t>powder for injection</w:t>
      </w:r>
      <w:r>
        <w:t xml:space="preserve">, </w:t>
      </w:r>
      <w:r w:rsidR="002955FB">
        <w:t>vial</w:t>
      </w:r>
      <w:r>
        <w:t xml:space="preserve">, indicated for </w:t>
      </w:r>
    </w:p>
    <w:p w14:paraId="2615FB92" w14:textId="5DA78470" w:rsidR="002955FB" w:rsidRPr="002955FB" w:rsidRDefault="002955FB" w:rsidP="000C2020">
      <w:pPr>
        <w:autoSpaceDE w:val="0"/>
        <w:autoSpaceDN w:val="0"/>
        <w:adjustRightInd w:val="0"/>
        <w:spacing w:before="0" w:after="0" w:line="240" w:lineRule="auto"/>
        <w:ind w:left="720"/>
        <w:rPr>
          <w:rFonts w:ascii="Cambria-Italic" w:eastAsiaTheme="minorHAnsi" w:hAnsi="Cambria-Italic" w:cs="Cambria-Italic"/>
          <w:i/>
          <w:iCs/>
        </w:rPr>
      </w:pPr>
      <w:proofErr w:type="spellStart"/>
      <w:r>
        <w:rPr>
          <w:rFonts w:ascii="Cambria-Italic" w:eastAsiaTheme="minorHAnsi" w:hAnsi="Cambria-Italic" w:cs="Cambria-Italic"/>
          <w:i/>
          <w:iCs/>
        </w:rPr>
        <w:t>T</w:t>
      </w:r>
      <w:r w:rsidR="008A772D">
        <w:rPr>
          <w:rFonts w:ascii="Cambria-Italic" w:eastAsiaTheme="minorHAnsi" w:hAnsi="Cambria-Italic" w:cs="Cambria-Italic"/>
          <w:i/>
          <w:iCs/>
        </w:rPr>
        <w:t>rodelvy</w:t>
      </w:r>
      <w:proofErr w:type="spellEnd"/>
      <w:r>
        <w:rPr>
          <w:rFonts w:ascii="Cambria-Italic" w:eastAsiaTheme="minorHAnsi" w:hAnsi="Cambria-Italic" w:cs="Cambria-Italic"/>
          <w:i/>
          <w:iCs/>
        </w:rPr>
        <w:t xml:space="preserve"> is indicated for the treatment of adult patients with unresectable locally advanced or metastatic triple-negative breast cancer (</w:t>
      </w:r>
      <w:proofErr w:type="spellStart"/>
      <w:r>
        <w:rPr>
          <w:rFonts w:ascii="Cambria-Italic" w:eastAsiaTheme="minorHAnsi" w:hAnsi="Cambria-Italic" w:cs="Cambria-Italic"/>
          <w:i/>
          <w:iCs/>
        </w:rPr>
        <w:t>mTNBC</w:t>
      </w:r>
      <w:proofErr w:type="spellEnd"/>
      <w:r>
        <w:rPr>
          <w:rFonts w:ascii="Cambria-Italic" w:eastAsiaTheme="minorHAnsi" w:hAnsi="Cambria-Italic" w:cs="Cambria-Italic"/>
          <w:i/>
          <w:iCs/>
        </w:rPr>
        <w:t>) who have received at least two prior systemic therapies, including at least one prior therapy for locally advanced or metastatic disease.</w:t>
      </w:r>
    </w:p>
    <w:p w14:paraId="270CA701" w14:textId="77777777" w:rsidR="00D23139" w:rsidRPr="00D23139" w:rsidRDefault="00D23139" w:rsidP="00D23139">
      <w:pPr>
        <w:pStyle w:val="Heading4"/>
      </w:pPr>
      <w:r w:rsidRPr="00D23139">
        <w:lastRenderedPageBreak/>
        <w:t>Specific conditions of registration applying to these goods</w:t>
      </w:r>
    </w:p>
    <w:p w14:paraId="3385B6C9" w14:textId="77777777" w:rsidR="008C49FD" w:rsidRDefault="008C49FD" w:rsidP="008C49FD">
      <w:pPr>
        <w:pStyle w:val="ListBullet"/>
        <w:rPr>
          <w:rFonts w:eastAsia="Times New Roman"/>
        </w:rPr>
      </w:pPr>
      <w:proofErr w:type="spellStart"/>
      <w:r>
        <w:t>Trodelvy</w:t>
      </w:r>
      <w:proofErr w:type="spellEnd"/>
      <w:r>
        <w:t xml:space="preserve"> (</w:t>
      </w:r>
      <w:proofErr w:type="spellStart"/>
      <w:r>
        <w:t>sacituzumab</w:t>
      </w:r>
      <w:proofErr w:type="spellEnd"/>
      <w:r>
        <w:t xml:space="preserve"> </w:t>
      </w:r>
      <w:proofErr w:type="spellStart"/>
      <w:r>
        <w:t>govitecan</w:t>
      </w:r>
      <w:proofErr w:type="spellEnd"/>
      <w:r>
        <w:t xml:space="preserve">) is to be included in the Black Triangle Scheme. The Product Information (PI) and Consumer Medicines Information (CMI) for </w:t>
      </w:r>
      <w:proofErr w:type="spellStart"/>
      <w:r>
        <w:t>Trodelvy</w:t>
      </w:r>
      <w:proofErr w:type="spellEnd"/>
      <w:r>
        <w:t xml:space="preserve"> must include the black triangle symbol and mandatory accompanying text for five years, which starts from the date that the sponsor notifies the TGA of supply of the product.</w:t>
      </w:r>
    </w:p>
    <w:p w14:paraId="2BC20062" w14:textId="44E5AE50" w:rsidR="008C49FD" w:rsidRDefault="008C49FD" w:rsidP="008C49FD">
      <w:pPr>
        <w:pStyle w:val="ListBullet"/>
      </w:pPr>
      <w:r>
        <w:t xml:space="preserve">The </w:t>
      </w:r>
      <w:proofErr w:type="spellStart"/>
      <w:r>
        <w:t>Trodelvy</w:t>
      </w:r>
      <w:proofErr w:type="spellEnd"/>
      <w:r>
        <w:t xml:space="preserve"> European Union (EU)-</w:t>
      </w:r>
      <w:r w:rsidR="002D3272">
        <w:t>r</w:t>
      </w:r>
      <w:r>
        <w:t xml:space="preserve">isk </w:t>
      </w:r>
      <w:r w:rsidR="002D3272">
        <w:t>m</w:t>
      </w:r>
      <w:r>
        <w:t xml:space="preserve">anagement </w:t>
      </w:r>
      <w:r w:rsidR="002D3272">
        <w:t>p</w:t>
      </w:r>
      <w:r>
        <w:t>lan (RMP) (version 0.1, dated 16 February 2021, data lock point 18 September 2020), with Australian specific annex (version 0.2, dated 18 June 2021), included with submission PM-2021-00038-1-4, and any subsequent revisions, as agreed with the TGA will be implemented in Australia.</w:t>
      </w:r>
    </w:p>
    <w:p w14:paraId="4C956E64" w14:textId="77777777" w:rsidR="008C49FD" w:rsidRDefault="008C49FD" w:rsidP="008C49FD">
      <w:pPr>
        <w:ind w:left="360"/>
      </w:pPr>
      <w:r>
        <w:t>An obligatory component of risk management plans is routine pharmacovigilance. Routine pharmacovigilance includes the submission of periodic safety update reports (PSURs).</w:t>
      </w:r>
    </w:p>
    <w:p w14:paraId="1BB8D469" w14:textId="77777777" w:rsidR="008C49FD" w:rsidRDefault="008C49FD" w:rsidP="008C49FD">
      <w:pPr>
        <w:ind w:left="360"/>
      </w:pPr>
      <w:r>
        <w:t xml:space="preserve">Unless agreed separately between the supplier who is the recipient of the approval and the TGA, the first report must be submitted to TGA no later than 15 calendar months after the date of the approval letter. The subsequent reports must be submitted no less frequently than annually from the date of the first submitted report until the period covered by such reports is not less than three years from the date of the approval letter. The annual submission may be made up of two PSURs each covering six months. If the sponsor wishes, the </w:t>
      </w:r>
      <w:proofErr w:type="gramStart"/>
      <w:r>
        <w:t>six monthly</w:t>
      </w:r>
      <w:proofErr w:type="gramEnd"/>
      <w:r>
        <w:t xml:space="preserve"> reports may be submitted separately as they become available.</w:t>
      </w:r>
    </w:p>
    <w:p w14:paraId="1CB99112" w14:textId="77777777" w:rsidR="008C49FD" w:rsidRDefault="008C49FD" w:rsidP="008C49FD">
      <w:pPr>
        <w:ind w:left="360"/>
      </w:pPr>
      <w:r>
        <w:t>If the product is approved in the EU during the three years period, reports can be provided in line with the published list of EU reference dates no less frequently than annually from the date of the first submitted report until the period covered by such reports is not less than three years from the date of the approval letter.</w:t>
      </w:r>
    </w:p>
    <w:p w14:paraId="15FF199D" w14:textId="77777777" w:rsidR="008C49FD" w:rsidRDefault="008C49FD" w:rsidP="008C49FD">
      <w:pPr>
        <w:ind w:left="360"/>
      </w:pPr>
      <w:r>
        <w:t>The reports are to at least meet the requirements for PSURs as described in the European Medicines Agency’s Guideline on Good Pharmacovigilance Practices (GVP) Module VII-periodic safety update report (Rev 1), Part VII.B Structures and processes. Note that submission of a PSUR does not constitute an application to vary the registration. Each report must have been prepared within ninety calendar days of the data lock point for that report.</w:t>
      </w:r>
    </w:p>
    <w:p w14:paraId="768646BE" w14:textId="3A5D09FB" w:rsidR="008C49FD" w:rsidRDefault="008C49FD" w:rsidP="008C49FD">
      <w:pPr>
        <w:pStyle w:val="ListBullet"/>
      </w:pPr>
      <w:r>
        <w:t xml:space="preserve">Laboratory testing </w:t>
      </w:r>
      <w:r w:rsidR="005B213C">
        <w:t>and</w:t>
      </w:r>
      <w:r>
        <w:t xml:space="preserve"> compliance with Certified Product Details</w:t>
      </w:r>
    </w:p>
    <w:p w14:paraId="1854D565" w14:textId="77777777" w:rsidR="008C49FD" w:rsidRDefault="008C49FD" w:rsidP="008C49FD">
      <w:pPr>
        <w:pStyle w:val="ListBullet2"/>
      </w:pPr>
      <w:r>
        <w:t xml:space="preserve">All batches of </w:t>
      </w:r>
      <w:proofErr w:type="spellStart"/>
      <w:r>
        <w:t>Trodelvy</w:t>
      </w:r>
      <w:proofErr w:type="spellEnd"/>
      <w:r>
        <w:t xml:space="preserve"> supplied in Australia must comply with the product details and specifications approved during evaluation and detailed in the Certified Product Details (CPD).</w:t>
      </w:r>
    </w:p>
    <w:p w14:paraId="098B4C9A" w14:textId="77777777" w:rsidR="008C49FD" w:rsidRDefault="008C49FD" w:rsidP="008C49FD">
      <w:pPr>
        <w:pStyle w:val="ListBullet2"/>
      </w:pPr>
      <w:r>
        <w:t>When requested by the TGA, the sponsor should be prepared to provide product samples, specified reference materials and documentary evidence to enable the TGA to conduct laboratory testing on the product. Outcomes of laboratory testing are published biannually in the</w:t>
      </w:r>
      <w:r w:rsidRPr="008C49FD">
        <w:t xml:space="preserve"> TGA </w:t>
      </w:r>
      <w:hyperlink r:id="rId24" w:history="1">
        <w:r w:rsidRPr="008C49FD">
          <w:t>Database of Laboratory Testing Results</w:t>
        </w:r>
      </w:hyperlink>
      <w:r>
        <w:t> and periodically in testing reports on the TGA website.</w:t>
      </w:r>
    </w:p>
    <w:p w14:paraId="4006594E" w14:textId="77777777" w:rsidR="008C49FD" w:rsidRPr="004C0D29" w:rsidRDefault="008C49FD" w:rsidP="000C2020">
      <w:pPr>
        <w:pStyle w:val="Heading5"/>
      </w:pPr>
      <w:r w:rsidRPr="000C2020">
        <w:rPr>
          <w:rStyle w:val="Strong"/>
          <w:b/>
          <w:bCs/>
        </w:rPr>
        <w:t>Certified Product Details</w:t>
      </w:r>
    </w:p>
    <w:p w14:paraId="4E9CE95D" w14:textId="77777777" w:rsidR="008C49FD" w:rsidRDefault="008C49FD" w:rsidP="008C49FD">
      <w:pPr>
        <w:ind w:left="360"/>
      </w:pPr>
      <w:r>
        <w:t>The Certified Product Details (CPD), as described in </w:t>
      </w:r>
      <w:hyperlink r:id="rId25" w:history="1">
        <w:r w:rsidRPr="008C49FD">
          <w:t>Guidance 7: Certified Product Details</w:t>
        </w:r>
      </w:hyperlink>
      <w:r>
        <w:t> of the Australian Regulatory Guidelines for Prescription Medicines (ARGPM), in PDF format, for the above products should be provided upon registration of these therapeutic goods. In addition, an updated CPD should be provided when changes to finished product specifications and test methods are approved in a Category 3 application or notified through a self-assessable change.</w:t>
      </w:r>
    </w:p>
    <w:p w14:paraId="74B1816E" w14:textId="1E54B0A3" w:rsidR="008C49FD" w:rsidRDefault="008C49FD" w:rsidP="008C49FD">
      <w:pPr>
        <w:pStyle w:val="ListBullet"/>
      </w:pPr>
      <w:r>
        <w:lastRenderedPageBreak/>
        <w:t xml:space="preserve">A report that evaluates the impact of immunogenicity on pharmacokinetics, </w:t>
      </w:r>
      <w:proofErr w:type="gramStart"/>
      <w:r>
        <w:t>efficacy</w:t>
      </w:r>
      <w:proofErr w:type="gramEnd"/>
      <w:r>
        <w:t xml:space="preserve"> and safety of </w:t>
      </w:r>
      <w:proofErr w:type="spellStart"/>
      <w:r>
        <w:t>sacituzumab</w:t>
      </w:r>
      <w:proofErr w:type="spellEnd"/>
      <w:r>
        <w:t xml:space="preserve"> </w:t>
      </w:r>
      <w:proofErr w:type="spellStart"/>
      <w:r w:rsidR="00F81421">
        <w:t>govitecan</w:t>
      </w:r>
      <w:proofErr w:type="spellEnd"/>
      <w:r>
        <w:t xml:space="preserve"> in patients will be submitted when available (expected availability in 2023).</w:t>
      </w:r>
    </w:p>
    <w:p w14:paraId="75E81CFB" w14:textId="491D4D3D" w:rsidR="00456765" w:rsidRDefault="008C49FD" w:rsidP="007D53B6">
      <w:pPr>
        <w:pStyle w:val="ListBullet"/>
      </w:pPr>
      <w:r>
        <w:t>For all injectable products the Product Information must be included with the product as a package insert.</w:t>
      </w:r>
    </w:p>
    <w:p w14:paraId="1D0457D7" w14:textId="77777777" w:rsidR="008E7846" w:rsidRDefault="00A80B5B" w:rsidP="00D23139">
      <w:pPr>
        <w:pStyle w:val="Heading2"/>
      </w:pPr>
      <w:bookmarkStart w:id="75" w:name="_Toc91147302"/>
      <w:r>
        <w:t xml:space="preserve">Attachment 1. </w:t>
      </w:r>
      <w:r w:rsidR="008E7846">
        <w:t xml:space="preserve">Product </w:t>
      </w:r>
      <w:r w:rsidR="00AA0ED0">
        <w:t>I</w:t>
      </w:r>
      <w:r w:rsidR="008E7846">
        <w:t>nformation</w:t>
      </w:r>
      <w:bookmarkEnd w:id="73"/>
      <w:bookmarkEnd w:id="74"/>
      <w:bookmarkEnd w:id="75"/>
    </w:p>
    <w:p w14:paraId="4EA2BEFE" w14:textId="21D7BC35" w:rsidR="00175529" w:rsidRDefault="006136D7" w:rsidP="00C80137">
      <w:r w:rsidRPr="002B3624">
        <w:t xml:space="preserve">The </w:t>
      </w:r>
      <w:r>
        <w:t>PI</w:t>
      </w:r>
      <w:r w:rsidRPr="002B3624">
        <w:t xml:space="preserve"> for </w:t>
      </w:r>
      <w:proofErr w:type="spellStart"/>
      <w:r w:rsidR="0078640D">
        <w:t>Trodelvy</w:t>
      </w:r>
      <w:proofErr w:type="spellEnd"/>
      <w:r w:rsidRPr="002B3624">
        <w:t xml:space="preserve"> </w:t>
      </w:r>
      <w:r>
        <w:t xml:space="preserve">approved with the submission which is described in </w:t>
      </w:r>
      <w:r w:rsidRPr="002B3624">
        <w:t xml:space="preserve">this AusPAR is at Attachment 1. For the most recent </w:t>
      </w:r>
      <w:r>
        <w:t>PI,</w:t>
      </w:r>
      <w:r w:rsidRPr="002B3624">
        <w:t xml:space="preserve"> please refer to the </w:t>
      </w:r>
      <w:r w:rsidRPr="007C6B9B">
        <w:t xml:space="preserve">TGA website at </w:t>
      </w:r>
      <w:r w:rsidR="007C6B9B" w:rsidRPr="007C6B9B">
        <w:t>&lt;</w:t>
      </w:r>
      <w:hyperlink r:id="rId26" w:history="1">
        <w:r w:rsidR="007C6B9B" w:rsidRPr="007C6B9B">
          <w:rPr>
            <w:rStyle w:val="Hyperlink"/>
          </w:rPr>
          <w:t>https://www.tga.gov.au/product-information-pi</w:t>
        </w:r>
      </w:hyperlink>
      <w:r w:rsidR="007C6B9B" w:rsidRPr="007C6B9B">
        <w:t>&gt;</w:t>
      </w:r>
      <w:r w:rsidR="00175529">
        <w:t>.</w:t>
      </w:r>
    </w:p>
    <w:p w14:paraId="14FAEFA0" w14:textId="33A92947" w:rsidR="00C80137" w:rsidRPr="001D043B" w:rsidRDefault="008E7846" w:rsidP="00157D4E">
      <w:pPr>
        <w:autoSpaceDE w:val="0"/>
        <w:autoSpaceDN w:val="0"/>
        <w:adjustRightInd w:val="0"/>
        <w:spacing w:after="0"/>
        <w:sectPr w:rsidR="00C80137" w:rsidRPr="001D043B" w:rsidSect="00B452CE">
          <w:headerReference w:type="even" r:id="rId27"/>
          <w:headerReference w:type="default" r:id="rId28"/>
          <w:headerReference w:type="first" r:id="rId29"/>
          <w:footerReference w:type="first" r:id="rId30"/>
          <w:pgSz w:w="11906" w:h="16838" w:code="9"/>
          <w:pgMar w:top="834" w:right="1701" w:bottom="1191" w:left="1701" w:header="907" w:footer="216" w:gutter="0"/>
          <w:cols w:space="708"/>
          <w:docGrid w:linePitch="360"/>
        </w:sectPr>
      </w:pPr>
      <w:r w:rsidRPr="00C80137">
        <w:rPr>
          <w:b/>
        </w:rPr>
        <w:br w:type="page"/>
      </w: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14:paraId="783287DE" w14:textId="77777777" w:rsidTr="00A05FA4">
        <w:trPr>
          <w:trHeight w:hRule="exact" w:val="704"/>
        </w:trPr>
        <w:tc>
          <w:tcPr>
            <w:tcW w:w="9175" w:type="dxa"/>
          </w:tcPr>
          <w:p w14:paraId="79C791D5" w14:textId="77777777" w:rsidR="001C32CD" w:rsidRPr="00487162" w:rsidRDefault="001C32CD" w:rsidP="00A05FA4">
            <w:pPr>
              <w:pStyle w:val="TGASignoff"/>
            </w:pPr>
            <w:r w:rsidRPr="00487162">
              <w:lastRenderedPageBreak/>
              <w:t>Therapeutic Goods Administration</w:t>
            </w:r>
          </w:p>
        </w:tc>
      </w:tr>
      <w:tr w:rsidR="001C32CD" w:rsidRPr="004C239D" w14:paraId="1A51A1F3" w14:textId="77777777" w:rsidTr="00A05FA4">
        <w:trPr>
          <w:trHeight w:val="1221"/>
        </w:trPr>
        <w:tc>
          <w:tcPr>
            <w:tcW w:w="9175" w:type="dxa"/>
            <w:tcMar>
              <w:top w:w="28" w:type="dxa"/>
            </w:tcMar>
          </w:tcPr>
          <w:p w14:paraId="45935AA4" w14:textId="77777777" w:rsidR="001C32CD" w:rsidRPr="00487162" w:rsidRDefault="001C32CD" w:rsidP="00A05FA4">
            <w:pPr>
              <w:pStyle w:val="Address"/>
            </w:pPr>
            <w:r w:rsidRPr="00487162">
              <w:t>PO Box 100 Woden ACT 2606 Australia</w:t>
            </w:r>
          </w:p>
          <w:p w14:paraId="41091D52" w14:textId="77777777" w:rsidR="001C32CD" w:rsidRPr="00487162" w:rsidRDefault="001C32CD" w:rsidP="00A05FA4">
            <w:pPr>
              <w:pStyle w:val="Address"/>
            </w:pPr>
            <w:r w:rsidRPr="00487162">
              <w:t xml:space="preserve">Email: </w:t>
            </w:r>
            <w:hyperlink r:id="rId31" w:history="1">
              <w:r w:rsidRPr="004C239D">
                <w:rPr>
                  <w:rStyle w:val="Hyperlink"/>
                </w:rPr>
                <w:t>info@tga.gov.au</w:t>
              </w:r>
            </w:hyperlink>
            <w:r w:rsidRPr="00487162">
              <w:t xml:space="preserve">  Phone: 1800 020 </w:t>
            </w:r>
            <w:proofErr w:type="gramStart"/>
            <w:r w:rsidRPr="00487162">
              <w:t>653  Fax</w:t>
            </w:r>
            <w:proofErr w:type="gramEnd"/>
            <w:r w:rsidRPr="00487162">
              <w:t>: 02 6232 8605</w:t>
            </w:r>
          </w:p>
          <w:p w14:paraId="15B6A12B" w14:textId="77777777" w:rsidR="001C32CD" w:rsidRPr="004C239D" w:rsidRDefault="003240F5" w:rsidP="00A05FA4">
            <w:pPr>
              <w:pStyle w:val="Address"/>
              <w:spacing w:line="260" w:lineRule="atLeast"/>
              <w:rPr>
                <w:b/>
                <w:color w:val="0000FF"/>
                <w:u w:val="single"/>
              </w:rPr>
            </w:pPr>
            <w:hyperlink r:id="rId32" w:history="1">
              <w:r w:rsidR="007C6B9B" w:rsidRPr="007C6B9B">
                <w:rPr>
                  <w:rStyle w:val="Hyperlink"/>
                  <w:b/>
                </w:rPr>
                <w:t>https://www.tga.gov.au</w:t>
              </w:r>
            </w:hyperlink>
          </w:p>
        </w:tc>
      </w:tr>
    </w:tbl>
    <w:p w14:paraId="48BEAB03" w14:textId="77777777" w:rsidR="00774E1D" w:rsidRPr="008A5E0B" w:rsidRDefault="00774E1D" w:rsidP="004C239D"/>
    <w:sectPr w:rsidR="00774E1D" w:rsidRPr="008A5E0B" w:rsidSect="001C32CD">
      <w:headerReference w:type="even" r:id="rId33"/>
      <w:headerReference w:type="default" r:id="rId34"/>
      <w:footerReference w:type="default" r:id="rId35"/>
      <w:headerReference w:type="first" r:id="rId36"/>
      <w:footerReference w:type="first" r:id="rId37"/>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87C3A" w14:textId="77777777" w:rsidR="00766C7D" w:rsidRDefault="00766C7D" w:rsidP="00C40A36">
      <w:pPr>
        <w:spacing w:after="0"/>
      </w:pPr>
      <w:r>
        <w:separator/>
      </w:r>
    </w:p>
  </w:endnote>
  <w:endnote w:type="continuationSeparator" w:id="0">
    <w:p w14:paraId="26F8088B" w14:textId="77777777" w:rsidR="00766C7D" w:rsidRDefault="00766C7D"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OTNEJMQuadraat-Italic">
    <w:altName w:val="Cambria"/>
    <w:panose1 w:val="00000000000000000000"/>
    <w:charset w:val="00"/>
    <w:family w:val="roman"/>
    <w:notTrueType/>
    <w:pitch w:val="default"/>
    <w:sig w:usb0="00000003" w:usb1="00000000" w:usb2="00000000" w:usb3="00000000" w:csb0="00000001" w:csb1="00000000"/>
  </w:font>
  <w:font w:name="OTNEJMQuadraat">
    <w:altName w:val="MS Gothic"/>
    <w:panose1 w:val="00000000000000000000"/>
    <w:charset w:val="80"/>
    <w:family w:val="roman"/>
    <w:notTrueType/>
    <w:pitch w:val="default"/>
    <w:sig w:usb0="00000000" w:usb1="08070000" w:usb2="00000010" w:usb3="00000000" w:csb0="00020000" w:csb1="00000000"/>
  </w:font>
  <w:font w:name="Cambria-Italic">
    <w:altName w:val="Cambria"/>
    <w:panose1 w:val="00000000000000000000"/>
    <w:charset w:val="00"/>
    <w:family w:val="roman"/>
    <w:notTrueType/>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884D31" w:rsidRPr="00487162" w14:paraId="6BE6576F" w14:textId="77777777" w:rsidTr="00DB750B">
      <w:trPr>
        <w:trHeight w:val="269"/>
      </w:trPr>
      <w:tc>
        <w:tcPr>
          <w:tcW w:w="7371" w:type="dxa"/>
          <w:tcMar>
            <w:top w:w="142" w:type="dxa"/>
            <w:bottom w:w="0" w:type="dxa"/>
          </w:tcMar>
        </w:tcPr>
        <w:p w14:paraId="648C623D" w14:textId="245D5655" w:rsidR="00884D31" w:rsidRPr="000F4CDE" w:rsidRDefault="00884D31" w:rsidP="000F4CDE">
          <w:pPr>
            <w:pStyle w:val="Footer"/>
          </w:pPr>
          <w:proofErr w:type="spellStart"/>
          <w:r w:rsidRPr="000F4CDE">
            <w:t>AusPAR</w:t>
          </w:r>
          <w:proofErr w:type="spellEnd"/>
          <w:r w:rsidRPr="000F4CDE">
            <w:t xml:space="preserve"> - </w:t>
          </w:r>
          <w:proofErr w:type="spellStart"/>
          <w:r w:rsidRPr="000F4CDE">
            <w:t>Trodelvy</w:t>
          </w:r>
          <w:proofErr w:type="spellEnd"/>
          <w:r w:rsidRPr="000F4CDE">
            <w:t xml:space="preserve"> - </w:t>
          </w:r>
          <w:proofErr w:type="spellStart"/>
          <w:r w:rsidRPr="000F4CDE">
            <w:t>sacituzumab</w:t>
          </w:r>
          <w:proofErr w:type="spellEnd"/>
          <w:r w:rsidRPr="000F4CDE">
            <w:t xml:space="preserve"> </w:t>
          </w:r>
          <w:proofErr w:type="spellStart"/>
          <w:r w:rsidRPr="000F4CDE">
            <w:t>govitecan</w:t>
          </w:r>
          <w:proofErr w:type="spellEnd"/>
          <w:r w:rsidRPr="000F4CDE">
            <w:t xml:space="preserve"> - Gilead Sciences Pty Ltd - PM-2021-00038-1-4 </w:t>
          </w:r>
          <w:r w:rsidR="00A16757">
            <w:t>FINAL 15 March 2022</w:t>
          </w:r>
        </w:p>
      </w:tc>
      <w:tc>
        <w:tcPr>
          <w:tcW w:w="1490" w:type="dxa"/>
          <w:tcMar>
            <w:top w:w="142" w:type="dxa"/>
            <w:bottom w:w="0" w:type="dxa"/>
          </w:tcMar>
        </w:tcPr>
        <w:p w14:paraId="78A1A290" w14:textId="1AE74053" w:rsidR="00884D31" w:rsidRPr="00487162" w:rsidRDefault="00884D31" w:rsidP="00DB750B">
          <w:pPr>
            <w:pStyle w:val="Footer"/>
            <w:jc w:val="right"/>
          </w:pPr>
          <w:r w:rsidRPr="00487162">
            <w:t xml:space="preserve">Page </w:t>
          </w:r>
          <w:r>
            <w:fldChar w:fldCharType="begin"/>
          </w:r>
          <w:r>
            <w:instrText xml:space="preserve"> PAGE  \* Arabic </w:instrText>
          </w:r>
          <w:r>
            <w:fldChar w:fldCharType="separate"/>
          </w:r>
          <w:r>
            <w:rPr>
              <w:noProof/>
            </w:rPr>
            <w:t>41</w:t>
          </w:r>
          <w:r>
            <w:fldChar w:fldCharType="end"/>
          </w:r>
          <w:r w:rsidRPr="00487162">
            <w:t xml:space="preserve"> of </w:t>
          </w:r>
          <w:fldSimple w:instr=" NUMPAGES  \* Arabic ">
            <w:r>
              <w:rPr>
                <w:noProof/>
              </w:rPr>
              <w:t>42</w:t>
            </w:r>
          </w:fldSimple>
        </w:p>
      </w:tc>
    </w:tr>
  </w:tbl>
  <w:p w14:paraId="7EB53787" w14:textId="77777777" w:rsidR="00884D31" w:rsidRDefault="00884D31" w:rsidP="003D1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884D31" w:rsidRPr="00487162" w14:paraId="39038C81" w14:textId="77777777" w:rsidTr="00E45619">
      <w:trPr>
        <w:trHeight w:val="269"/>
      </w:trPr>
      <w:tc>
        <w:tcPr>
          <w:tcW w:w="4519" w:type="dxa"/>
          <w:tcBorders>
            <w:top w:val="single" w:sz="4" w:space="0" w:color="auto"/>
          </w:tcBorders>
          <w:tcMar>
            <w:top w:w="142" w:type="dxa"/>
            <w:bottom w:w="0" w:type="dxa"/>
          </w:tcMar>
        </w:tcPr>
        <w:p w14:paraId="2DFE2BCE" w14:textId="77777777" w:rsidR="00884D31" w:rsidRPr="00487162" w:rsidRDefault="00884D31" w:rsidP="00FE1DEE">
          <w:pPr>
            <w:pStyle w:val="Footer"/>
          </w:pPr>
          <w:r w:rsidRPr="00487162">
            <w:t>Document title, Part #, Section # - Section title</w:t>
          </w:r>
        </w:p>
        <w:p w14:paraId="0AE33C68" w14:textId="77777777" w:rsidR="00884D31" w:rsidRPr="00487162" w:rsidRDefault="00884D31" w:rsidP="00FE1DEE">
          <w:pPr>
            <w:pStyle w:val="Footer"/>
          </w:pPr>
          <w:r w:rsidRPr="00487162">
            <w:t>V1.0 October 2010</w:t>
          </w:r>
        </w:p>
      </w:tc>
      <w:tc>
        <w:tcPr>
          <w:tcW w:w="4342" w:type="dxa"/>
          <w:tcBorders>
            <w:top w:val="single" w:sz="4" w:space="0" w:color="auto"/>
          </w:tcBorders>
          <w:tcMar>
            <w:top w:w="142" w:type="dxa"/>
            <w:bottom w:w="0" w:type="dxa"/>
          </w:tcMar>
        </w:tcPr>
        <w:p w14:paraId="4A910898" w14:textId="77777777" w:rsidR="00884D31" w:rsidRPr="00487162" w:rsidRDefault="00884D31"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21</w:t>
            </w:r>
          </w:fldSimple>
        </w:p>
      </w:tc>
    </w:tr>
  </w:tbl>
  <w:p w14:paraId="5832102C" w14:textId="77777777" w:rsidR="00884D31" w:rsidRDefault="00884D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D88FD" w14:textId="77777777" w:rsidR="00884D31" w:rsidRPr="001C32CD" w:rsidRDefault="00884D31" w:rsidP="001C32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884D31" w14:paraId="356E1551" w14:textId="77777777" w:rsidTr="0010601F">
      <w:trPr>
        <w:trHeight w:val="108"/>
      </w:trPr>
      <w:tc>
        <w:tcPr>
          <w:tcW w:w="8875" w:type="dxa"/>
          <w:gridSpan w:val="2"/>
          <w:tcBorders>
            <w:bottom w:val="single" w:sz="4" w:space="0" w:color="auto"/>
          </w:tcBorders>
          <w:tcMar>
            <w:right w:w="284" w:type="dxa"/>
          </w:tcMar>
        </w:tcPr>
        <w:p w14:paraId="4AD538DB" w14:textId="77777777" w:rsidR="00884D31" w:rsidRDefault="00884D31" w:rsidP="006E08B3">
          <w:pPr>
            <w:pStyle w:val="Heading3"/>
          </w:pPr>
          <w:r>
            <w:t>Copyright</w:t>
          </w:r>
        </w:p>
        <w:p w14:paraId="70F303FF" w14:textId="77777777" w:rsidR="00884D31" w:rsidRDefault="00884D31" w:rsidP="006E08B3">
          <w:r>
            <w:rPr>
              <w:rFonts w:cs="Arial"/>
            </w:rPr>
            <w:t>©</w:t>
          </w:r>
          <w:r>
            <w:t xml:space="preserve"> Commonwealth of Australia [add year]</w:t>
          </w:r>
        </w:p>
        <w:p w14:paraId="35ED30B1" w14:textId="77777777" w:rsidR="00884D31" w:rsidRDefault="00884D31" w:rsidP="006E08B3"/>
        <w:p w14:paraId="6771D53C" w14:textId="77777777" w:rsidR="00884D31" w:rsidRDefault="00884D31"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w:t>
          </w:r>
          <w:proofErr w:type="gramStart"/>
          <w:r>
            <w:t xml:space="preserve">at  </w:t>
          </w:r>
          <w:r w:rsidRPr="006E08B3">
            <w:t>http://www.ag.gov.au/cca</w:t>
          </w:r>
          <w:proofErr w:type="gramEnd"/>
        </w:p>
        <w:p w14:paraId="150E3DF5" w14:textId="77777777" w:rsidR="00884D31" w:rsidRDefault="00884D31" w:rsidP="006E08B3"/>
        <w:p w14:paraId="5E6BADB4" w14:textId="77777777" w:rsidR="00884D31" w:rsidRDefault="00884D31" w:rsidP="006E08B3">
          <w:pPr>
            <w:pStyle w:val="Heading3"/>
          </w:pPr>
          <w:r>
            <w:t>Confidentiality</w:t>
          </w:r>
        </w:p>
        <w:p w14:paraId="63F3BA17" w14:textId="77777777" w:rsidR="00884D31" w:rsidRDefault="00884D31"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1836ED2F" w14:textId="77777777" w:rsidR="00884D31" w:rsidRDefault="00884D31" w:rsidP="006E08B3"/>
        <w:p w14:paraId="0E35DBF9" w14:textId="77777777" w:rsidR="00884D31" w:rsidRDefault="00884D31" w:rsidP="006E08B3">
          <w:r>
            <w:t>For submission made by individuals, all personal details, other than your name, will be removed from your submission before it is published on the TGA’s Internet site.</w:t>
          </w:r>
        </w:p>
        <w:p w14:paraId="4344A644" w14:textId="77777777" w:rsidR="00884D31" w:rsidRDefault="00884D31" w:rsidP="006E08B3"/>
        <w:p w14:paraId="3BAB4B21" w14:textId="77777777" w:rsidR="00884D31" w:rsidRDefault="00884D31"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884D31" w14:paraId="49FC396F" w14:textId="77777777" w:rsidTr="0010601F">
      <w:trPr>
        <w:trHeight w:val="417"/>
      </w:trPr>
      <w:tc>
        <w:tcPr>
          <w:tcW w:w="4519" w:type="dxa"/>
          <w:tcBorders>
            <w:top w:val="single" w:sz="4" w:space="0" w:color="auto"/>
          </w:tcBorders>
          <w:tcMar>
            <w:top w:w="142" w:type="dxa"/>
            <w:bottom w:w="0" w:type="dxa"/>
          </w:tcMar>
        </w:tcPr>
        <w:p w14:paraId="5B34A695" w14:textId="77777777" w:rsidR="00884D31" w:rsidRDefault="00884D31" w:rsidP="006E08B3">
          <w:r>
            <w:t>Document title, Part #, Section # - Section title</w:t>
          </w:r>
        </w:p>
        <w:p w14:paraId="0DE77A06" w14:textId="77777777" w:rsidR="00884D31" w:rsidRDefault="00884D31" w:rsidP="006E08B3">
          <w:r>
            <w:t>V1.0 October 2010</w:t>
          </w:r>
        </w:p>
      </w:tc>
      <w:tc>
        <w:tcPr>
          <w:tcW w:w="4356" w:type="dxa"/>
          <w:tcBorders>
            <w:top w:val="single" w:sz="4" w:space="0" w:color="auto"/>
          </w:tcBorders>
          <w:tcMar>
            <w:top w:w="142" w:type="dxa"/>
            <w:bottom w:w="0" w:type="dxa"/>
          </w:tcMar>
        </w:tcPr>
        <w:p w14:paraId="0440EE22" w14:textId="77777777" w:rsidR="00884D31" w:rsidRDefault="00884D31"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21</w:t>
            </w:r>
          </w:fldSimple>
          <w:r>
            <w:t xml:space="preserve">  </w:t>
          </w:r>
        </w:p>
      </w:tc>
    </w:tr>
  </w:tbl>
  <w:p w14:paraId="6C34422B" w14:textId="77777777" w:rsidR="00884D31" w:rsidRDefault="00884D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F6A3C" w14:textId="77777777" w:rsidR="00766C7D" w:rsidRDefault="00766C7D" w:rsidP="00C40A36">
      <w:pPr>
        <w:spacing w:after="0"/>
      </w:pPr>
      <w:r>
        <w:separator/>
      </w:r>
    </w:p>
  </w:footnote>
  <w:footnote w:type="continuationSeparator" w:id="0">
    <w:p w14:paraId="1F56F753" w14:textId="77777777" w:rsidR="00766C7D" w:rsidRDefault="00766C7D" w:rsidP="00C40A36">
      <w:pPr>
        <w:spacing w:after="0"/>
      </w:pPr>
      <w:r>
        <w:continuationSeparator/>
      </w:r>
    </w:p>
  </w:footnote>
  <w:footnote w:id="1">
    <w:p w14:paraId="284DF4DB" w14:textId="77777777" w:rsidR="00884D31" w:rsidRDefault="00884D31">
      <w:pPr>
        <w:pStyle w:val="FootnoteText"/>
      </w:pPr>
      <w:r>
        <w:rPr>
          <w:rStyle w:val="FootnoteReference"/>
        </w:rPr>
        <w:footnoteRef/>
      </w:r>
      <w:r>
        <w:t xml:space="preserve"> </w:t>
      </w:r>
      <w:r w:rsidRPr="00460036">
        <w:t xml:space="preserve">The </w:t>
      </w:r>
      <w:r w:rsidRPr="00460036">
        <w:rPr>
          <w:b/>
        </w:rPr>
        <w:t>Black Triangle Scheme</w:t>
      </w:r>
      <w:r w:rsidRPr="00460036">
        <w:t xml:space="preserve"> provides a simple means for practitioners and patients to identify certain types of new prescription medicines, including those being used in new ways and to encourage the reporting of adverse events associated with their use. The Black Triangle does not denote that there are known safety problems, just that the TGA is encouraging adverse event reporting to help us build up the full picture of a medicine's safety profile.</w:t>
      </w:r>
    </w:p>
  </w:footnote>
  <w:footnote w:id="2">
    <w:p w14:paraId="55225EA0" w14:textId="323A795C" w:rsidR="00884D31" w:rsidRDefault="00884D31" w:rsidP="000B7C61">
      <w:pPr>
        <w:pStyle w:val="FootnoteText"/>
      </w:pPr>
      <w:r>
        <w:rPr>
          <w:rStyle w:val="FootnoteReference"/>
        </w:rPr>
        <w:footnoteRef/>
      </w:r>
      <w:r>
        <w:t xml:space="preserve">  </w:t>
      </w:r>
      <w:r w:rsidRPr="000B7C61">
        <w:t xml:space="preserve">Note, the original sponsor at the time of submission was </w:t>
      </w:r>
      <w:proofErr w:type="spellStart"/>
      <w:r>
        <w:t>Immunomedics</w:t>
      </w:r>
      <w:proofErr w:type="spellEnd"/>
      <w:r w:rsidRPr="000B7C61">
        <w:t xml:space="preserve">. During the timeframe in which this submission was considered for approval, the named sponsor for this submission changed to </w:t>
      </w:r>
      <w:r>
        <w:t xml:space="preserve">Gilead Sciences </w:t>
      </w:r>
      <w:r w:rsidRPr="000B7C61">
        <w:t xml:space="preserve">Pty Ltd. For clarity and ease of understanding, </w:t>
      </w:r>
      <w:r>
        <w:t xml:space="preserve">Gilead Sciences </w:t>
      </w:r>
      <w:r w:rsidRPr="000B7C61">
        <w:t xml:space="preserve">Pty Ltd has been used as </w:t>
      </w:r>
      <w:r>
        <w:t xml:space="preserve">sponsor </w:t>
      </w:r>
      <w:r w:rsidRPr="000B7C61">
        <w:t>throughout this AusPAR</w:t>
      </w:r>
      <w:r>
        <w:t>.</w:t>
      </w:r>
    </w:p>
    <w:p w14:paraId="0A7293F5" w14:textId="7103E5B6" w:rsidR="00884D31" w:rsidRDefault="00884D31" w:rsidP="000B7C61">
      <w:pPr>
        <w:pStyle w:val="FootnoteText"/>
      </w:pPr>
      <w:r>
        <w:t xml:space="preserve"> </w:t>
      </w:r>
    </w:p>
  </w:footnote>
  <w:footnote w:id="3">
    <w:p w14:paraId="2BCF0402" w14:textId="0E3D044A" w:rsidR="00884D31" w:rsidRDefault="00884D31">
      <w:pPr>
        <w:pStyle w:val="FootnoteText"/>
      </w:pPr>
      <w:r>
        <w:rPr>
          <w:rStyle w:val="FootnoteReference"/>
        </w:rPr>
        <w:footnoteRef/>
      </w:r>
      <w:r>
        <w:t xml:space="preserve"> </w:t>
      </w:r>
      <w:r w:rsidRPr="00DF4870">
        <w:t xml:space="preserve">J. </w:t>
      </w:r>
      <w:proofErr w:type="spellStart"/>
      <w:r w:rsidRPr="00DF4870">
        <w:t>Balmaña</w:t>
      </w:r>
      <w:proofErr w:type="spellEnd"/>
      <w:r w:rsidRPr="00DF4870">
        <w:t xml:space="preserve">, O. </w:t>
      </w:r>
      <w:proofErr w:type="spellStart"/>
      <w:r w:rsidRPr="00DF4870">
        <w:t>Díez</w:t>
      </w:r>
      <w:proofErr w:type="spellEnd"/>
      <w:r w:rsidRPr="00DF4870">
        <w:t xml:space="preserve">, I. T. Rubio, F. Cardoso, </w:t>
      </w:r>
      <w:proofErr w:type="gramStart"/>
      <w:r w:rsidRPr="00DF4870">
        <w:t>On</w:t>
      </w:r>
      <w:proofErr w:type="gramEnd"/>
      <w:r w:rsidRPr="00DF4870">
        <w:t xml:space="preserve"> behalf of the ESMO Guidelines Working Group, BRCA in breast cancer: ESMO Clinical Practice Guidelines, Annals of Oncology, Volume 22, Issue suppl_6, September 2011, Pages vi31–vi34, </w:t>
      </w:r>
      <w:hyperlink r:id="rId1" w:history="1">
        <w:r w:rsidRPr="008B6086">
          <w:rPr>
            <w:rStyle w:val="Hyperlink"/>
          </w:rPr>
          <w:t>https://doi.org/10.1093/annonc/mdr373</w:t>
        </w:r>
      </w:hyperlink>
      <w:r>
        <w:t xml:space="preserve"> </w:t>
      </w:r>
    </w:p>
  </w:footnote>
  <w:footnote w:id="4">
    <w:p w14:paraId="229515D7" w14:textId="50498871" w:rsidR="00884D31" w:rsidRDefault="00884D31">
      <w:pPr>
        <w:pStyle w:val="FootnoteText"/>
      </w:pPr>
      <w:r>
        <w:rPr>
          <w:rStyle w:val="FootnoteReference"/>
        </w:rPr>
        <w:footnoteRef/>
      </w:r>
      <w:r>
        <w:t xml:space="preserve"> </w:t>
      </w:r>
      <w:r w:rsidRPr="003820C2">
        <w:t xml:space="preserve">Dent R, Trudeau M, Pritchard KI, Hanna WM, Kahn HK, Sawka CA, </w:t>
      </w:r>
      <w:proofErr w:type="spellStart"/>
      <w:r w:rsidRPr="003820C2">
        <w:t>Lickley</w:t>
      </w:r>
      <w:proofErr w:type="spellEnd"/>
      <w:r w:rsidRPr="003820C2">
        <w:t xml:space="preserve"> LA, Rawlinson E, Sun P, </w:t>
      </w:r>
      <w:proofErr w:type="spellStart"/>
      <w:r w:rsidRPr="003820C2">
        <w:t>Narod</w:t>
      </w:r>
      <w:proofErr w:type="spellEnd"/>
      <w:r w:rsidRPr="003820C2">
        <w:t xml:space="preserve"> SA. Triple-negative breast cancer: clinical features and patterns of recurrence. Clin Cancer Res. 2007 Aug 1;13(15 Pt 1):4429-34.</w:t>
      </w:r>
    </w:p>
    <w:p w14:paraId="31FE70EE" w14:textId="1FFC3F07" w:rsidR="00884D31" w:rsidRDefault="00884D31">
      <w:pPr>
        <w:pStyle w:val="FootnoteText"/>
      </w:pPr>
      <w:r>
        <w:t xml:space="preserve"> </w:t>
      </w:r>
    </w:p>
  </w:footnote>
  <w:footnote w:id="5">
    <w:p w14:paraId="4C739A4B" w14:textId="4A341403" w:rsidR="00884D31" w:rsidRDefault="00884D31">
      <w:pPr>
        <w:pStyle w:val="FootnoteText"/>
      </w:pPr>
      <w:r>
        <w:rPr>
          <w:rStyle w:val="FootnoteReference"/>
        </w:rPr>
        <w:footnoteRef/>
      </w:r>
      <w:r>
        <w:t xml:space="preserve"> AusPAR for Olaparib, new chemical entity, published on 7 May 2019.</w:t>
      </w:r>
    </w:p>
    <w:p w14:paraId="20753F4B" w14:textId="4F56BAD0" w:rsidR="00884D31" w:rsidRDefault="00884D31">
      <w:pPr>
        <w:pStyle w:val="FootnoteText"/>
      </w:pPr>
      <w:r>
        <w:t xml:space="preserve">Available at: </w:t>
      </w:r>
      <w:r w:rsidR="00970E6E">
        <w:t>https://www.tga.gov.au/auspar/auspar-olaparib</w:t>
      </w:r>
    </w:p>
  </w:footnote>
  <w:footnote w:id="6">
    <w:p w14:paraId="09F30A23" w14:textId="09E38CEA" w:rsidR="00884D31" w:rsidRDefault="00884D31">
      <w:pPr>
        <w:pStyle w:val="FootnoteText"/>
      </w:pPr>
      <w:r>
        <w:rPr>
          <w:rStyle w:val="FootnoteReference"/>
        </w:rPr>
        <w:footnoteRef/>
      </w:r>
      <w:r>
        <w:t xml:space="preserve"> </w:t>
      </w:r>
      <w:proofErr w:type="spellStart"/>
      <w:r>
        <w:t>AusPAR</w:t>
      </w:r>
      <w:proofErr w:type="spellEnd"/>
      <w:r>
        <w:t xml:space="preserve"> for </w:t>
      </w:r>
      <w:proofErr w:type="spellStart"/>
      <w:r>
        <w:t>Talazoparib</w:t>
      </w:r>
      <w:proofErr w:type="spellEnd"/>
      <w:r>
        <w:t>, new chemical entity, published on 10 March 2020.</w:t>
      </w:r>
    </w:p>
    <w:p w14:paraId="13D6F831" w14:textId="747AFF68" w:rsidR="00884D31" w:rsidRDefault="00884D31">
      <w:pPr>
        <w:pStyle w:val="FootnoteText"/>
      </w:pPr>
      <w:r>
        <w:t>Available at</w:t>
      </w:r>
      <w:r w:rsidR="00970E6E">
        <w:t>: https://www.tga.gov.au/auspar/auspar-talazoparib-tosilate</w:t>
      </w:r>
    </w:p>
  </w:footnote>
  <w:footnote w:id="7">
    <w:p w14:paraId="4BD8A0DA" w14:textId="467A1F08" w:rsidR="00884D31" w:rsidRDefault="00884D31">
      <w:pPr>
        <w:pStyle w:val="FootnoteText"/>
      </w:pPr>
      <w:r>
        <w:rPr>
          <w:rStyle w:val="FootnoteReference"/>
        </w:rPr>
        <w:footnoteRef/>
      </w:r>
      <w:r>
        <w:t xml:space="preserve"> AusPAR for Atezolizumab, new biological entity, published on 3 October 2018.</w:t>
      </w:r>
    </w:p>
    <w:p w14:paraId="1B41B5C0" w14:textId="05D1081F" w:rsidR="00884D31" w:rsidRDefault="00884D31">
      <w:pPr>
        <w:pStyle w:val="FootnoteText"/>
      </w:pPr>
      <w:r>
        <w:t>Available at</w:t>
      </w:r>
      <w:r w:rsidR="00970E6E">
        <w:t>: https://www.tga.gov.au/auspar/auspar-atezolizumab</w:t>
      </w:r>
    </w:p>
  </w:footnote>
  <w:footnote w:id="8">
    <w:p w14:paraId="316F2D21" w14:textId="574558A3" w:rsidR="00884D31" w:rsidRDefault="00884D31">
      <w:pPr>
        <w:pStyle w:val="FootnoteText"/>
      </w:pPr>
      <w:r>
        <w:rPr>
          <w:rStyle w:val="FootnoteReference"/>
        </w:rPr>
        <w:footnoteRef/>
      </w:r>
      <w:r>
        <w:t xml:space="preserve"> </w:t>
      </w:r>
      <w:r w:rsidRPr="003F23C0">
        <w:t>Project Orbis seeks to increase collaboration among international regulators, which may in turn allow patients with cancer to receive earlier access to products in other countries where there m</w:t>
      </w:r>
      <w:r w:rsidRPr="001C79C9">
        <w:t xml:space="preserve">ay be significant delays in regulatory submissions, regardless of whether the product has received approval. Pivotal clinical trials in oncology are commonly conducted internationally and these global trials are increasingly important for investigating the safety and effectiveness of cancer drugs for approval across jurisdictions. Future drug development may benefit by establishing a greater uniformity of new global standards of treatment, leading to the optimal design of these important trials. For further information visit: </w:t>
      </w:r>
      <w:hyperlink r:id="rId2" w:history="1">
        <w:r w:rsidRPr="00092B50">
          <w:t>https://www.fda.gov/about-fda/oncology-center-excellence/project-orbis</w:t>
        </w:r>
      </w:hyperlink>
      <w:r w:rsidRPr="003F23C0">
        <w:t>.</w:t>
      </w:r>
      <w:r>
        <w:t xml:space="preserve"> </w:t>
      </w:r>
    </w:p>
  </w:footnote>
  <w:footnote w:id="9">
    <w:p w14:paraId="509FB79E" w14:textId="60C8E257" w:rsidR="00884D31" w:rsidRDefault="00884D31" w:rsidP="004331D6">
      <w:pPr>
        <w:pStyle w:val="FootnoteText"/>
      </w:pPr>
      <w:r>
        <w:rPr>
          <w:rStyle w:val="FootnoteReference"/>
        </w:rPr>
        <w:footnoteRef/>
      </w:r>
      <w:r>
        <w:t xml:space="preserve"> Pregnancy category D: </w:t>
      </w:r>
      <w:r w:rsidRPr="0053080E">
        <w:t>Drugs which have caused, are suspected to have caused or may be expected to cause, an increased incidence of human fetal malformations or irreversible damage. These drugs may also have adverse pharmacological effects. Accompanying texts should be consulted for further details</w:t>
      </w:r>
      <w:r>
        <w:t>.</w:t>
      </w:r>
    </w:p>
    <w:p w14:paraId="1A3126CF" w14:textId="21F095D9" w:rsidR="00884D31" w:rsidRDefault="00884D31">
      <w:pPr>
        <w:pStyle w:val="FootnoteText"/>
      </w:pPr>
      <w:r>
        <w:t>The use of any medicine during pregnancy requires careful consideration of both risks and benefits by the treating health professional. This must not be used as the sole basis of decision making in the use of medicines during pregnancy. The TGA does not provide advice on the use of medicines in pregnancy for specific cases. More information is available from obstetric drug information services in your State or Territory</w:t>
      </w:r>
    </w:p>
  </w:footnote>
  <w:footnote w:id="10">
    <w:p w14:paraId="638A7223" w14:textId="56DC0464" w:rsidR="00884D31" w:rsidRDefault="00884D31">
      <w:pPr>
        <w:pStyle w:val="FootnoteText"/>
      </w:pPr>
      <w:r>
        <w:rPr>
          <w:rStyle w:val="FootnoteReference"/>
        </w:rPr>
        <w:footnoteRef/>
      </w:r>
      <w:r>
        <w:t xml:space="preserve"> </w:t>
      </w:r>
      <w:r w:rsidRPr="001C79C9">
        <w:t>The QT interval is the time from the start of the QRS wave complex to the end of the corresponding T wave. It approximates to the time taken for ventricular depolarisation and repolarisation</w:t>
      </w:r>
      <w:proofErr w:type="gramStart"/>
      <w:r w:rsidRPr="001C79C9">
        <w:t>, that is to say, the</w:t>
      </w:r>
      <w:proofErr w:type="gramEnd"/>
      <w:r w:rsidRPr="001C79C9">
        <w:t xml:space="preserve"> period of ventricular systole from ventricular isovolumetric contraction to isovolumetric relaxation.</w:t>
      </w:r>
    </w:p>
  </w:footnote>
  <w:footnote w:id="11">
    <w:p w14:paraId="02B4646B" w14:textId="41C036E8" w:rsidR="00884D31" w:rsidRDefault="00884D31">
      <w:pPr>
        <w:pStyle w:val="FootnoteText"/>
      </w:pPr>
      <w:r>
        <w:rPr>
          <w:rStyle w:val="FootnoteReference"/>
        </w:rPr>
        <w:footnoteRef/>
      </w:r>
      <w:r>
        <w:t xml:space="preserve"> </w:t>
      </w:r>
      <w:r w:rsidRPr="001C79C9">
        <w:t xml:space="preserve">The corrected QT interval (QTc) estimates the QT interval at a standard heart rate. This allows comparison of QT values over time at different heart rates and improves detection of patients at increased risk of arrhythmias. The </w:t>
      </w:r>
      <w:proofErr w:type="spellStart"/>
      <w:r w:rsidRPr="001C79C9">
        <w:t>QTcF</w:t>
      </w:r>
      <w:proofErr w:type="spellEnd"/>
      <w:r w:rsidRPr="001C79C9">
        <w:t xml:space="preserve"> is the QT interval corrected for heart rate according to Fridericia’s formula.</w:t>
      </w:r>
    </w:p>
  </w:footnote>
  <w:footnote w:id="12">
    <w:p w14:paraId="64709CCF" w14:textId="27B4C39C" w:rsidR="00884D31" w:rsidRPr="00674846" w:rsidRDefault="00884D31">
      <w:pPr>
        <w:pStyle w:val="FootnoteText"/>
      </w:pPr>
      <w:r>
        <w:rPr>
          <w:rStyle w:val="FootnoteReference"/>
        </w:rPr>
        <w:footnoteRef/>
      </w:r>
      <w:r>
        <w:t xml:space="preserve"> </w:t>
      </w:r>
      <w:r w:rsidRPr="00674846">
        <w:t xml:space="preserve">To conduct clinical trials for the treatment of cancer in a consistent manner across many participating hospitals, cancer </w:t>
      </w:r>
      <w:proofErr w:type="spellStart"/>
      <w:r w:rsidRPr="00674846">
        <w:t>centers</w:t>
      </w:r>
      <w:proofErr w:type="spellEnd"/>
      <w:r w:rsidRPr="00674846">
        <w:t>, and clinics requires the use of standard criteria for measuring how the disease impacts a patient’s daily living abilities (known to physicians and researchers as a patient’s performance status). The ECOG Scale of Performance Status is one such measurement. It describes a patient’s level of functioning in terms of their ability to care for themself, daily activity, and physical ability (walking, working, etc.).</w:t>
      </w:r>
      <w:r>
        <w:t xml:space="preserve"> </w:t>
      </w:r>
      <w:r w:rsidRPr="00674846">
        <w:t xml:space="preserve">The scale was developed by the Eastern Cooperative Oncology Group (ECOG), now part of the ECOG-ACRIN Cancer Research </w:t>
      </w:r>
      <w:proofErr w:type="gramStart"/>
      <w:r w:rsidRPr="00674846">
        <w:t>Group, and</w:t>
      </w:r>
      <w:proofErr w:type="gramEnd"/>
      <w:r w:rsidRPr="00674846">
        <w:t xml:space="preserve"> published in 1982.</w:t>
      </w:r>
    </w:p>
  </w:footnote>
  <w:footnote w:id="13">
    <w:p w14:paraId="68012904" w14:textId="278A3979" w:rsidR="00884D31" w:rsidRDefault="00884D31">
      <w:pPr>
        <w:pStyle w:val="FootnoteText"/>
      </w:pPr>
      <w:r>
        <w:rPr>
          <w:rStyle w:val="FootnoteReference"/>
        </w:rPr>
        <w:footnoteRef/>
      </w:r>
      <w:r>
        <w:t xml:space="preserve"> </w:t>
      </w:r>
      <w:r w:rsidRPr="005A5A2D">
        <w:t xml:space="preserve"> RECIST is a standard way to measure the response of a tumo</w:t>
      </w:r>
      <w:r>
        <w:t>u</w:t>
      </w:r>
      <w:r w:rsidRPr="005A5A2D">
        <w:t>r to treatment.</w:t>
      </w:r>
    </w:p>
  </w:footnote>
  <w:footnote w:id="14">
    <w:p w14:paraId="41028252" w14:textId="3971060E" w:rsidR="00884D31" w:rsidRDefault="00884D31" w:rsidP="00FA7424">
      <w:pPr>
        <w:pStyle w:val="EndnoteText"/>
      </w:pPr>
      <w:r>
        <w:rPr>
          <w:rStyle w:val="FootnoteReference"/>
        </w:rPr>
        <w:footnoteRef/>
      </w:r>
      <w:r>
        <w:t xml:space="preserve"> FDA label for </w:t>
      </w:r>
      <w:proofErr w:type="spellStart"/>
      <w:r>
        <w:t>Trodelvy</w:t>
      </w:r>
      <w:proofErr w:type="spellEnd"/>
      <w:r>
        <w:t xml:space="preserve">, last updated April 2021. Accessed at:  </w:t>
      </w:r>
      <w:r w:rsidRPr="00FA7424">
        <w:t>https://www.accessdata.fda.gov/drugsatfda_docs/label/2021/761115s005s013lbl.pdf</w:t>
      </w:r>
      <w:r>
        <w:t xml:space="preserve"> </w:t>
      </w:r>
    </w:p>
  </w:footnote>
  <w:footnote w:id="15">
    <w:p w14:paraId="1E03B866" w14:textId="77777777" w:rsidR="00884D31" w:rsidRDefault="00884D31" w:rsidP="00125B08">
      <w:pPr>
        <w:pStyle w:val="FootnoteText"/>
      </w:pPr>
      <w:r>
        <w:rPr>
          <w:rStyle w:val="FootnoteReference"/>
        </w:rPr>
        <w:footnoteRef/>
      </w:r>
      <w:r>
        <w:t xml:space="preserve"> </w:t>
      </w:r>
      <w:r w:rsidRPr="007D53B6">
        <w:rPr>
          <w:i/>
        </w:rPr>
        <w:t xml:space="preserve">Routine risk minimisation </w:t>
      </w:r>
      <w:r>
        <w:t>activities may be limited to ensuring that suitable warnings are included in the product information or by careful use of labelling and packaging.</w:t>
      </w:r>
    </w:p>
    <w:p w14:paraId="0FC5EC96" w14:textId="77777777" w:rsidR="00884D31" w:rsidRDefault="00884D31" w:rsidP="00125B08">
      <w:pPr>
        <w:pStyle w:val="FootnoteText"/>
      </w:pPr>
      <w:r w:rsidRPr="007D53B6">
        <w:rPr>
          <w:i/>
        </w:rPr>
        <w:t>Routine pharmacovigilance</w:t>
      </w:r>
      <w:r>
        <w:t xml:space="preserve"> practices involve the following activities:</w:t>
      </w:r>
    </w:p>
    <w:p w14:paraId="3711ED91" w14:textId="77777777" w:rsidR="00884D31" w:rsidRDefault="00884D31" w:rsidP="00125B08">
      <w:pPr>
        <w:pStyle w:val="FootnoteText"/>
        <w:numPr>
          <w:ilvl w:val="0"/>
          <w:numId w:val="32"/>
        </w:numPr>
        <w:ind w:left="284" w:hanging="284"/>
      </w:pPr>
      <w:r>
        <w:t xml:space="preserve">All suspected adverse reactions that are reported to the personnel of the company are collected and collated in an accessible </w:t>
      </w:r>
      <w:proofErr w:type="gramStart"/>
      <w:r>
        <w:t>manner;</w:t>
      </w:r>
      <w:proofErr w:type="gramEnd"/>
    </w:p>
    <w:p w14:paraId="45D39A8F" w14:textId="77777777" w:rsidR="00884D31" w:rsidRDefault="00884D31" w:rsidP="00125B08">
      <w:pPr>
        <w:pStyle w:val="FootnoteText"/>
        <w:numPr>
          <w:ilvl w:val="0"/>
          <w:numId w:val="32"/>
        </w:numPr>
        <w:ind w:left="284" w:hanging="284"/>
      </w:pPr>
      <w:r>
        <w:t xml:space="preserve">Reporting to regulatory </w:t>
      </w:r>
      <w:proofErr w:type="gramStart"/>
      <w:r>
        <w:t>authorities;</w:t>
      </w:r>
      <w:proofErr w:type="gramEnd"/>
    </w:p>
    <w:p w14:paraId="61DD3358" w14:textId="77777777" w:rsidR="00884D31" w:rsidRDefault="00884D31" w:rsidP="00125B08">
      <w:pPr>
        <w:pStyle w:val="FootnoteText"/>
        <w:numPr>
          <w:ilvl w:val="0"/>
          <w:numId w:val="32"/>
        </w:numPr>
        <w:ind w:left="284" w:hanging="284"/>
      </w:pPr>
      <w:r>
        <w:t xml:space="preserve">Continuous monitoring of the safety profiles of approved products including signal detection and updating of </w:t>
      </w:r>
      <w:proofErr w:type="gramStart"/>
      <w:r>
        <w:t>labelling;</w:t>
      </w:r>
      <w:proofErr w:type="gramEnd"/>
    </w:p>
    <w:p w14:paraId="7E07972C" w14:textId="77777777" w:rsidR="00884D31" w:rsidRDefault="00884D31" w:rsidP="00125B08">
      <w:pPr>
        <w:pStyle w:val="FootnoteText"/>
        <w:numPr>
          <w:ilvl w:val="0"/>
          <w:numId w:val="32"/>
        </w:numPr>
        <w:ind w:left="284" w:hanging="284"/>
      </w:pPr>
      <w:r>
        <w:t xml:space="preserve">Submission of </w:t>
      </w:r>
      <w:proofErr w:type="gramStart"/>
      <w:r>
        <w:t>PSURs;</w:t>
      </w:r>
      <w:proofErr w:type="gramEnd"/>
    </w:p>
    <w:p w14:paraId="691CD405" w14:textId="4C83A00F" w:rsidR="00884D31" w:rsidRDefault="00884D31" w:rsidP="00125B08">
      <w:pPr>
        <w:pStyle w:val="FootnoteText"/>
        <w:numPr>
          <w:ilvl w:val="0"/>
          <w:numId w:val="32"/>
        </w:numPr>
        <w:ind w:left="284" w:hanging="284"/>
      </w:pPr>
      <w:r>
        <w:t>Meeting other local regulatory agency requirements.</w:t>
      </w:r>
    </w:p>
  </w:footnote>
  <w:footnote w:id="16">
    <w:p w14:paraId="24DB649B" w14:textId="77777777" w:rsidR="00884D31" w:rsidRPr="005A2C52" w:rsidRDefault="00884D31" w:rsidP="001F4877">
      <w:pPr>
        <w:pStyle w:val="FootnoteText"/>
      </w:pPr>
      <w:r w:rsidRPr="005A2C52">
        <w:rPr>
          <w:rStyle w:val="FootnoteReference"/>
        </w:rPr>
        <w:footnoteRef/>
      </w:r>
      <w:r w:rsidRPr="005A2C52">
        <w:t xml:space="preserve"> FDA approval letter for BLA 761115/S-005 and S-013, dated 04JUL2021. Accessed at:</w:t>
      </w:r>
    </w:p>
    <w:p w14:paraId="10DDD6C9" w14:textId="73BE77CC" w:rsidR="00884D31" w:rsidRDefault="00884D31" w:rsidP="001F4877">
      <w:pPr>
        <w:pStyle w:val="FootnoteText"/>
      </w:pPr>
      <w:r w:rsidRPr="00FA7424">
        <w:t>https://www.accessdata.fda.gov/drugsatfda_docs/appletter/2021/761115Orig1s005,%20s013ltr.pdf</w:t>
      </w:r>
    </w:p>
  </w:footnote>
  <w:footnote w:id="17">
    <w:p w14:paraId="2D92DC4C" w14:textId="5FD10F8D" w:rsidR="00884D31" w:rsidRPr="005A2C52" w:rsidRDefault="00884D31">
      <w:pPr>
        <w:pStyle w:val="FootnoteText"/>
      </w:pPr>
      <w:r w:rsidRPr="005A2C52">
        <w:rPr>
          <w:rStyle w:val="FootnoteReference"/>
        </w:rPr>
        <w:footnoteRef/>
      </w:r>
      <w:r w:rsidRPr="005A2C52">
        <w:t xml:space="preserve"> Approved Australian Product Information for capecitabine (</w:t>
      </w:r>
      <w:proofErr w:type="spellStart"/>
      <w:r w:rsidRPr="005A2C52">
        <w:t>Xelabine</w:t>
      </w:r>
      <w:proofErr w:type="spellEnd"/>
      <w:r w:rsidRPr="005A2C52">
        <w:t xml:space="preserve">). Accessed at: </w:t>
      </w:r>
      <w:r w:rsidR="00544560">
        <w:rPr>
          <w:rStyle w:val="Hyperlink"/>
        </w:rPr>
        <w:t xml:space="preserve"> </w:t>
      </w:r>
      <w:hyperlink r:id="rId3" w:history="1">
        <w:r w:rsidR="00544560" w:rsidRPr="00544560">
          <w:rPr>
            <w:rStyle w:val="Hyperlink"/>
          </w:rPr>
          <w:t>https://www.ebs.tga.gov.au/ebs/picmi/picmirepository.nsf/pdf?OpenAgent and id=CP-2017-PI-02396-1</w:t>
        </w:r>
      </w:hyperlink>
    </w:p>
  </w:footnote>
  <w:footnote w:id="18">
    <w:p w14:paraId="491D9F1F" w14:textId="5C8D1FA6" w:rsidR="00884D31" w:rsidRPr="005A2C52" w:rsidRDefault="00884D31">
      <w:pPr>
        <w:pStyle w:val="FootnoteText"/>
      </w:pPr>
      <w:r w:rsidRPr="005A2C52">
        <w:rPr>
          <w:rStyle w:val="FootnoteReference"/>
        </w:rPr>
        <w:footnoteRef/>
      </w:r>
      <w:r w:rsidRPr="005A2C52">
        <w:t xml:space="preserve"> Approved Australian Product Information for </w:t>
      </w:r>
      <w:proofErr w:type="spellStart"/>
      <w:r w:rsidRPr="005A2C52">
        <w:t>eribulin</w:t>
      </w:r>
      <w:proofErr w:type="spellEnd"/>
      <w:r w:rsidRPr="005A2C52">
        <w:t xml:space="preserve"> mesylate (</w:t>
      </w:r>
      <w:proofErr w:type="spellStart"/>
      <w:r w:rsidRPr="005A2C52">
        <w:t>Halaven</w:t>
      </w:r>
      <w:proofErr w:type="spellEnd"/>
      <w:r w:rsidRPr="005A2C52">
        <w:t xml:space="preserve">). Accessed at: </w:t>
      </w:r>
      <w:hyperlink r:id="rId4" w:history="1">
        <w:r w:rsidR="00544560" w:rsidRPr="00544560">
          <w:rPr>
            <w:rStyle w:val="Hyperlink"/>
          </w:rPr>
          <w:t>https://www.ebs.tga.gov.au/ebs/picmi/picmirepository.nsf/pdf?OpenAgent and id=CP-2012-PI-02654-1</w:t>
        </w:r>
      </w:hyperlink>
    </w:p>
  </w:footnote>
  <w:footnote w:id="19">
    <w:p w14:paraId="78C049E1" w14:textId="6EC885F0" w:rsidR="00884D31" w:rsidRDefault="00884D31">
      <w:pPr>
        <w:pStyle w:val="FootnoteText"/>
      </w:pPr>
      <w:r w:rsidRPr="005A2C52">
        <w:rPr>
          <w:rStyle w:val="FootnoteReference"/>
        </w:rPr>
        <w:footnoteRef/>
      </w:r>
      <w:r w:rsidRPr="005A2C52">
        <w:t xml:space="preserve"> Approved Australian Product Information for irinotecan (</w:t>
      </w:r>
      <w:proofErr w:type="spellStart"/>
      <w:r w:rsidRPr="005A2C52">
        <w:t>Camptosar</w:t>
      </w:r>
      <w:proofErr w:type="spellEnd"/>
      <w:r w:rsidRPr="005A2C52">
        <w:t xml:space="preserve">). Accessed at: </w:t>
      </w:r>
      <w:r w:rsidR="00544560">
        <w:rPr>
          <w:rStyle w:val="Hyperlink"/>
        </w:rPr>
        <w:t xml:space="preserve">       </w:t>
      </w:r>
      <w:hyperlink r:id="rId5" w:history="1">
        <w:r w:rsidR="00544560" w:rsidRPr="00544560">
          <w:rPr>
            <w:rStyle w:val="Hyperlink"/>
          </w:rPr>
          <w:t>https://www.ebs.tga.gov.au/ebs/picmi/picmirepository.nsf/pdf?OpenAgent and id=CP-2010-PI-04210-3 and</w:t>
        </w:r>
        <w:r w:rsidR="00544560" w:rsidRPr="00A16757">
          <w:rPr>
            <w:rStyle w:val="Hyperlink"/>
          </w:rPr>
          <w:t xml:space="preserve"> </w:t>
        </w:r>
        <w:r w:rsidR="00544560" w:rsidRPr="000D5D1F">
          <w:rPr>
            <w:rStyle w:val="Hyperlink"/>
          </w:rPr>
          <w:t>d=20210727172310101</w:t>
        </w:r>
      </w:hyperlink>
      <w:r>
        <w:rPr>
          <w:rStyle w:val="Hyperlink"/>
        </w:rPr>
        <w:t xml:space="preserve"> </w:t>
      </w:r>
    </w:p>
  </w:footnote>
  <w:footnote w:id="20">
    <w:p w14:paraId="41C50364" w14:textId="77777777" w:rsidR="00884D31" w:rsidRPr="00456765" w:rsidRDefault="00884D31" w:rsidP="00FB369D">
      <w:pPr>
        <w:pStyle w:val="FootnoteText"/>
        <w:rPr>
          <w:lang w:val="en-US"/>
        </w:rPr>
      </w:pPr>
      <w:r>
        <w:rPr>
          <w:rStyle w:val="FootnoteReference"/>
        </w:rPr>
        <w:footnoteRef/>
      </w:r>
      <w:r>
        <w:t xml:space="preserve"> </w:t>
      </w:r>
      <w:r w:rsidRPr="00FB369D">
        <w:t xml:space="preserve">The ACM provides independent medical and scientific advice to the Minister for Health and the TGA on issues relating to the safety, quality and efficacy of medicines supplied in Australia including issues relating to </w:t>
      </w:r>
      <w:proofErr w:type="gramStart"/>
      <w:r w:rsidRPr="00FB369D">
        <w:t>pre market</w:t>
      </w:r>
      <w:proofErr w:type="gramEnd"/>
      <w:r w:rsidRPr="00FB369D">
        <w:t xml:space="preserve"> and post-market functions for medicines. Further information can be found here: </w:t>
      </w:r>
      <w:hyperlink r:id="rId6" w:history="1">
        <w:r w:rsidRPr="0004151A">
          <w:rPr>
            <w:rStyle w:val="Hyperlink"/>
          </w:rPr>
          <w:t>https://www.tga.gov.au/committee/advisory-committee-medicines-acm</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9A23D" w14:textId="77777777" w:rsidR="00884D31" w:rsidRDefault="00884D31" w:rsidP="00E45619">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94F90" w14:textId="77777777" w:rsidR="00884D31" w:rsidRDefault="00884D31">
    <w:pPr>
      <w:rPr>
        <w:noProof/>
        <w:lang w:eastAsia="en-AU"/>
      </w:rPr>
    </w:pPr>
    <w:r w:rsidRPr="00347824">
      <w:rPr>
        <w:noProof/>
        <w:lang w:val="en-GB" w:eastAsia="en-GB"/>
      </w:rPr>
      <w:drawing>
        <wp:anchor distT="0" distB="0" distL="114300" distR="114300" simplePos="0" relativeHeight="251659264" behindDoc="1" locked="0" layoutInCell="1" allowOverlap="1" wp14:anchorId="23E6FF52" wp14:editId="34DC6B64">
          <wp:simplePos x="0" y="0"/>
          <wp:positionH relativeFrom="column">
            <wp:posOffset>-1089660</wp:posOffset>
          </wp:positionH>
          <wp:positionV relativeFrom="paragraph">
            <wp:posOffset>-585470</wp:posOffset>
          </wp:positionV>
          <wp:extent cx="7572375" cy="10706100"/>
          <wp:effectExtent l="19050" t="0" r="0" b="0"/>
          <wp:wrapNone/>
          <wp:docPr id="3"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72375" cy="10706100"/>
                  </a:xfrm>
                  <a:prstGeom prst="rect">
                    <a:avLst/>
                  </a:prstGeom>
                </pic:spPr>
              </pic:pic>
            </a:graphicData>
          </a:graphic>
        </wp:anchor>
      </w:drawing>
    </w:r>
  </w:p>
  <w:p w14:paraId="587E20C7" w14:textId="77777777" w:rsidR="00884D31" w:rsidRDefault="00884D31" w:rsidP="00593AD1">
    <w:pPr>
      <w:pStyle w:val="HeaderNo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FDBB1" w14:textId="77777777" w:rsidR="00884D31" w:rsidRDefault="00884D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F3448" w14:textId="77777777" w:rsidR="00884D31" w:rsidRDefault="00884D31">
    <w:pPr>
      <w:pStyle w:val="Header"/>
    </w:pPr>
    <w: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508F6" w14:textId="77777777" w:rsidR="00884D31" w:rsidRDefault="00884D31">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60A38" w14:textId="77777777" w:rsidR="00884D31" w:rsidRDefault="00884D3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AE1AA" w14:textId="77777777" w:rsidR="00884D31" w:rsidRDefault="00884D31" w:rsidP="004C239D">
    <w:pPr>
      <w:pStyle w:val="HeaderNoLi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DBE64" w14:textId="77777777" w:rsidR="00884D31" w:rsidRDefault="00884D31" w:rsidP="006E08B3">
    <w:r>
      <w:t>Therapeutic Goods Administration</w:t>
    </w:r>
  </w:p>
  <w:p w14:paraId="07BDBFEC" w14:textId="77777777" w:rsidR="00884D31" w:rsidRDefault="00884D31" w:rsidP="006D03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B8320B0A"/>
    <w:lvl w:ilvl="0">
      <w:numFmt w:val="bullet"/>
      <w:lvlText w:val="*"/>
      <w:lvlJc w:val="left"/>
    </w:lvl>
  </w:abstractNum>
  <w:abstractNum w:abstractNumId="4" w15:restartNumberingAfterBreak="0">
    <w:nsid w:val="063E2D13"/>
    <w:multiLevelType w:val="hybridMultilevel"/>
    <w:tmpl w:val="EC702A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80017AB"/>
    <w:multiLevelType w:val="hybridMultilevel"/>
    <w:tmpl w:val="7FB83D2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9108CD"/>
    <w:multiLevelType w:val="hybridMultilevel"/>
    <w:tmpl w:val="3732F5BC"/>
    <w:lvl w:ilvl="0" w:tplc="EE2E21A8">
      <w:start w:val="1"/>
      <w:numFmt w:val="bullet"/>
      <w:pStyle w:val="Bulletlist"/>
      <w:lvlText w:val=""/>
      <w:lvlJc w:val="left"/>
      <w:pPr>
        <w:ind w:left="720" w:hanging="360"/>
      </w:pPr>
      <w:rPr>
        <w:rFonts w:ascii="Symbol" w:hAnsi="Symbol" w:hint="default"/>
        <w:strike w:val="0"/>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15:restartNumberingAfterBreak="0">
    <w:nsid w:val="11F3578D"/>
    <w:multiLevelType w:val="hybridMultilevel"/>
    <w:tmpl w:val="1D92B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FE476D"/>
    <w:multiLevelType w:val="hybridMultilevel"/>
    <w:tmpl w:val="69EE4D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306E24A9"/>
    <w:multiLevelType w:val="hybridMultilevel"/>
    <w:tmpl w:val="40709C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447450F"/>
    <w:multiLevelType w:val="hybridMultilevel"/>
    <w:tmpl w:val="376229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A2F5CDC"/>
    <w:multiLevelType w:val="hybridMultilevel"/>
    <w:tmpl w:val="CB4A66D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4A3E97"/>
    <w:multiLevelType w:val="hybridMultilevel"/>
    <w:tmpl w:val="2D84A2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3E60246"/>
    <w:multiLevelType w:val="hybridMultilevel"/>
    <w:tmpl w:val="BC520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D125FA"/>
    <w:multiLevelType w:val="hybridMultilevel"/>
    <w:tmpl w:val="38B26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74726D6"/>
    <w:multiLevelType w:val="multilevel"/>
    <w:tmpl w:val="2702CD9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B41F2F"/>
    <w:multiLevelType w:val="hybridMultilevel"/>
    <w:tmpl w:val="E79C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7279CB"/>
    <w:multiLevelType w:val="hybridMultilevel"/>
    <w:tmpl w:val="324839D4"/>
    <w:lvl w:ilvl="0" w:tplc="E5EACD22">
      <w:numFmt w:val="bullet"/>
      <w:lvlText w:val="•"/>
      <w:lvlJc w:val="left"/>
      <w:pPr>
        <w:ind w:left="720" w:hanging="72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30742D6"/>
    <w:multiLevelType w:val="hybridMultilevel"/>
    <w:tmpl w:val="A858A0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3352683"/>
    <w:multiLevelType w:val="hybridMultilevel"/>
    <w:tmpl w:val="69EE4D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047A1F"/>
    <w:multiLevelType w:val="hybridMultilevel"/>
    <w:tmpl w:val="8AD8E4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7606DC0"/>
    <w:multiLevelType w:val="hybridMultilevel"/>
    <w:tmpl w:val="8780E0A6"/>
    <w:lvl w:ilvl="0" w:tplc="4224B92E">
      <w:numFmt w:val="bullet"/>
      <w:lvlText w:val="•"/>
      <w:lvlJc w:val="left"/>
      <w:pPr>
        <w:ind w:left="360" w:hanging="36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0"/>
  </w:num>
  <w:num w:numId="4">
    <w:abstractNumId w:val="10"/>
  </w:num>
  <w:num w:numId="5">
    <w:abstractNumId w:val="0"/>
  </w:num>
  <w:num w:numId="6">
    <w:abstractNumId w:val="10"/>
  </w:num>
  <w:num w:numId="7">
    <w:abstractNumId w:val="10"/>
  </w:num>
  <w:num w:numId="8">
    <w:abstractNumId w:val="7"/>
  </w:num>
  <w:num w:numId="9">
    <w:abstractNumId w:val="7"/>
  </w:num>
  <w:num w:numId="10">
    <w:abstractNumId w:val="7"/>
  </w:num>
  <w:num w:numId="11">
    <w:abstractNumId w:val="7"/>
  </w:num>
  <w:num w:numId="12">
    <w:abstractNumId w:val="3"/>
    <w:lvlOverride w:ilvl="0">
      <w:lvl w:ilvl="0">
        <w:numFmt w:val="bullet"/>
        <w:lvlText w:val="•"/>
        <w:legacy w:legacy="1" w:legacySpace="0" w:legacyIndent="0"/>
        <w:lvlJc w:val="left"/>
        <w:rPr>
          <w:rFonts w:ascii="Helv" w:hAnsi="Helv" w:hint="default"/>
        </w:rPr>
      </w:lvl>
    </w:lvlOverride>
  </w:num>
  <w:num w:numId="13">
    <w:abstractNumId w:val="10"/>
  </w:num>
  <w:num w:numId="14">
    <w:abstractNumId w:val="10"/>
  </w:num>
  <w:num w:numId="15">
    <w:abstractNumId w:val="10"/>
  </w:num>
  <w:num w:numId="16">
    <w:abstractNumId w:val="7"/>
  </w:num>
  <w:num w:numId="17">
    <w:abstractNumId w:val="7"/>
  </w:num>
  <w:num w:numId="18">
    <w:abstractNumId w:val="7"/>
  </w:num>
  <w:num w:numId="19">
    <w:abstractNumId w:val="10"/>
  </w:num>
  <w:num w:numId="20">
    <w:abstractNumId w:val="10"/>
  </w:num>
  <w:num w:numId="21">
    <w:abstractNumId w:val="10"/>
  </w:num>
  <w:num w:numId="22">
    <w:abstractNumId w:val="7"/>
  </w:num>
  <w:num w:numId="23">
    <w:abstractNumId w:val="7"/>
  </w:num>
  <w:num w:numId="24">
    <w:abstractNumId w:val="7"/>
  </w:num>
  <w:num w:numId="25">
    <w:abstractNumId w:val="7"/>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7"/>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8"/>
  </w:num>
  <w:num w:numId="28">
    <w:abstractNumId w:val="23"/>
  </w:num>
  <w:num w:numId="29">
    <w:abstractNumId w:val="8"/>
  </w:num>
  <w:num w:numId="30">
    <w:abstractNumId w:val="13"/>
  </w:num>
  <w:num w:numId="31">
    <w:abstractNumId w:val="5"/>
  </w:num>
  <w:num w:numId="32">
    <w:abstractNumId w:val="19"/>
  </w:num>
  <w:num w:numId="33">
    <w:abstractNumId w:val="22"/>
  </w:num>
  <w:num w:numId="34">
    <w:abstractNumId w:val="16"/>
  </w:num>
  <w:num w:numId="35">
    <w:abstractNumId w:val="20"/>
  </w:num>
  <w:num w:numId="36">
    <w:abstractNumId w:val="14"/>
  </w:num>
  <w:num w:numId="37">
    <w:abstractNumId w:val="11"/>
  </w:num>
  <w:num w:numId="38">
    <w:abstractNumId w:val="4"/>
  </w:num>
  <w:num w:numId="39">
    <w:abstractNumId w:val="12"/>
  </w:num>
  <w:num w:numId="40">
    <w:abstractNumId w:val="6"/>
  </w:num>
  <w:num w:numId="41">
    <w:abstractNumId w:val="15"/>
  </w:num>
  <w:num w:numId="42">
    <w:abstractNumId w:val="9"/>
  </w:num>
  <w:num w:numId="43">
    <w:abstractNumId w:val="2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DB2"/>
    <w:rsid w:val="00002031"/>
    <w:rsid w:val="00003E02"/>
    <w:rsid w:val="00004734"/>
    <w:rsid w:val="000055FF"/>
    <w:rsid w:val="00006B22"/>
    <w:rsid w:val="00006FAB"/>
    <w:rsid w:val="000078CE"/>
    <w:rsid w:val="00010394"/>
    <w:rsid w:val="0001276A"/>
    <w:rsid w:val="0001434B"/>
    <w:rsid w:val="0001776B"/>
    <w:rsid w:val="0002293D"/>
    <w:rsid w:val="00022AD7"/>
    <w:rsid w:val="00024696"/>
    <w:rsid w:val="000246AE"/>
    <w:rsid w:val="00025C67"/>
    <w:rsid w:val="000302E5"/>
    <w:rsid w:val="00043757"/>
    <w:rsid w:val="00044772"/>
    <w:rsid w:val="0004541C"/>
    <w:rsid w:val="000549FE"/>
    <w:rsid w:val="0005559E"/>
    <w:rsid w:val="000604D6"/>
    <w:rsid w:val="000613BE"/>
    <w:rsid w:val="0006447B"/>
    <w:rsid w:val="000734D8"/>
    <w:rsid w:val="00077775"/>
    <w:rsid w:val="00082648"/>
    <w:rsid w:val="000830B0"/>
    <w:rsid w:val="00085020"/>
    <w:rsid w:val="0008662E"/>
    <w:rsid w:val="00090471"/>
    <w:rsid w:val="00092B50"/>
    <w:rsid w:val="000935B2"/>
    <w:rsid w:val="00096AA7"/>
    <w:rsid w:val="000A3AED"/>
    <w:rsid w:val="000B123E"/>
    <w:rsid w:val="000B2A42"/>
    <w:rsid w:val="000B3532"/>
    <w:rsid w:val="000B3A75"/>
    <w:rsid w:val="000B612E"/>
    <w:rsid w:val="000B7C61"/>
    <w:rsid w:val="000C00C2"/>
    <w:rsid w:val="000C2020"/>
    <w:rsid w:val="000C2A56"/>
    <w:rsid w:val="000C690F"/>
    <w:rsid w:val="000D1295"/>
    <w:rsid w:val="000D212D"/>
    <w:rsid w:val="000D391B"/>
    <w:rsid w:val="000D3D6D"/>
    <w:rsid w:val="000D4FC7"/>
    <w:rsid w:val="000D5D1F"/>
    <w:rsid w:val="000D7192"/>
    <w:rsid w:val="000E6196"/>
    <w:rsid w:val="000F4869"/>
    <w:rsid w:val="000F4CDE"/>
    <w:rsid w:val="000F5B42"/>
    <w:rsid w:val="000F6E6F"/>
    <w:rsid w:val="0010601F"/>
    <w:rsid w:val="0010788A"/>
    <w:rsid w:val="00107A31"/>
    <w:rsid w:val="00110EA5"/>
    <w:rsid w:val="00112F56"/>
    <w:rsid w:val="00122C2E"/>
    <w:rsid w:val="00124ACD"/>
    <w:rsid w:val="00124AFA"/>
    <w:rsid w:val="00125318"/>
    <w:rsid w:val="0012571B"/>
    <w:rsid w:val="00125B08"/>
    <w:rsid w:val="001265CD"/>
    <w:rsid w:val="001305A2"/>
    <w:rsid w:val="00133238"/>
    <w:rsid w:val="00133A1B"/>
    <w:rsid w:val="0014197B"/>
    <w:rsid w:val="001447CD"/>
    <w:rsid w:val="001516B1"/>
    <w:rsid w:val="00154EBB"/>
    <w:rsid w:val="00156316"/>
    <w:rsid w:val="00157D4E"/>
    <w:rsid w:val="00161181"/>
    <w:rsid w:val="00162D14"/>
    <w:rsid w:val="00163780"/>
    <w:rsid w:val="00165389"/>
    <w:rsid w:val="00173535"/>
    <w:rsid w:val="00175529"/>
    <w:rsid w:val="0017693F"/>
    <w:rsid w:val="00180BBE"/>
    <w:rsid w:val="0018110E"/>
    <w:rsid w:val="00181684"/>
    <w:rsid w:val="00183A62"/>
    <w:rsid w:val="001843C6"/>
    <w:rsid w:val="001850E0"/>
    <w:rsid w:val="00190C40"/>
    <w:rsid w:val="00193A57"/>
    <w:rsid w:val="00194770"/>
    <w:rsid w:val="001A03AF"/>
    <w:rsid w:val="001A2158"/>
    <w:rsid w:val="001A525F"/>
    <w:rsid w:val="001A6150"/>
    <w:rsid w:val="001B09F9"/>
    <w:rsid w:val="001B1FBB"/>
    <w:rsid w:val="001B5C90"/>
    <w:rsid w:val="001B6448"/>
    <w:rsid w:val="001C32CD"/>
    <w:rsid w:val="001C79C9"/>
    <w:rsid w:val="001D2290"/>
    <w:rsid w:val="001D289E"/>
    <w:rsid w:val="001D2984"/>
    <w:rsid w:val="001E07CF"/>
    <w:rsid w:val="001E3239"/>
    <w:rsid w:val="001E3A4D"/>
    <w:rsid w:val="001E59F1"/>
    <w:rsid w:val="001F2AAE"/>
    <w:rsid w:val="001F2CEE"/>
    <w:rsid w:val="001F4877"/>
    <w:rsid w:val="001F49EB"/>
    <w:rsid w:val="001F6CBA"/>
    <w:rsid w:val="00201879"/>
    <w:rsid w:val="00201D4E"/>
    <w:rsid w:val="0020673B"/>
    <w:rsid w:val="002076C9"/>
    <w:rsid w:val="00220B8A"/>
    <w:rsid w:val="0022136B"/>
    <w:rsid w:val="00224CAB"/>
    <w:rsid w:val="002257F3"/>
    <w:rsid w:val="002271CE"/>
    <w:rsid w:val="00233456"/>
    <w:rsid w:val="002339A5"/>
    <w:rsid w:val="00243C86"/>
    <w:rsid w:val="00250271"/>
    <w:rsid w:val="00255485"/>
    <w:rsid w:val="00257848"/>
    <w:rsid w:val="002578E8"/>
    <w:rsid w:val="00262885"/>
    <w:rsid w:val="00263D63"/>
    <w:rsid w:val="0027084A"/>
    <w:rsid w:val="00272593"/>
    <w:rsid w:val="00280265"/>
    <w:rsid w:val="00281F8D"/>
    <w:rsid w:val="00283E6A"/>
    <w:rsid w:val="00286434"/>
    <w:rsid w:val="00286C59"/>
    <w:rsid w:val="00291957"/>
    <w:rsid w:val="00292A68"/>
    <w:rsid w:val="002942D1"/>
    <w:rsid w:val="0029501A"/>
    <w:rsid w:val="002955FB"/>
    <w:rsid w:val="002959F0"/>
    <w:rsid w:val="002A0F99"/>
    <w:rsid w:val="002A3721"/>
    <w:rsid w:val="002A66C5"/>
    <w:rsid w:val="002A697F"/>
    <w:rsid w:val="002B1389"/>
    <w:rsid w:val="002B1638"/>
    <w:rsid w:val="002B3624"/>
    <w:rsid w:val="002B4D49"/>
    <w:rsid w:val="002B6862"/>
    <w:rsid w:val="002C13AB"/>
    <w:rsid w:val="002C78AD"/>
    <w:rsid w:val="002D0952"/>
    <w:rsid w:val="002D0F80"/>
    <w:rsid w:val="002D3272"/>
    <w:rsid w:val="002D44A6"/>
    <w:rsid w:val="002E40B3"/>
    <w:rsid w:val="002E4389"/>
    <w:rsid w:val="002E4C9A"/>
    <w:rsid w:val="002E4D16"/>
    <w:rsid w:val="002F0A57"/>
    <w:rsid w:val="002F11F8"/>
    <w:rsid w:val="002F3F56"/>
    <w:rsid w:val="002F40A3"/>
    <w:rsid w:val="002F44B5"/>
    <w:rsid w:val="002F5122"/>
    <w:rsid w:val="00302D84"/>
    <w:rsid w:val="00311AC0"/>
    <w:rsid w:val="003176FC"/>
    <w:rsid w:val="003240F5"/>
    <w:rsid w:val="00324E45"/>
    <w:rsid w:val="0032583B"/>
    <w:rsid w:val="00326643"/>
    <w:rsid w:val="00327883"/>
    <w:rsid w:val="00327B84"/>
    <w:rsid w:val="003307FE"/>
    <w:rsid w:val="00335504"/>
    <w:rsid w:val="0034054F"/>
    <w:rsid w:val="00340C18"/>
    <w:rsid w:val="00343699"/>
    <w:rsid w:val="003439B4"/>
    <w:rsid w:val="003442FD"/>
    <w:rsid w:val="00345D68"/>
    <w:rsid w:val="00347824"/>
    <w:rsid w:val="00350567"/>
    <w:rsid w:val="00351B60"/>
    <w:rsid w:val="003521E8"/>
    <w:rsid w:val="00352CAD"/>
    <w:rsid w:val="00360FB4"/>
    <w:rsid w:val="00366A3D"/>
    <w:rsid w:val="00370CE3"/>
    <w:rsid w:val="0037249A"/>
    <w:rsid w:val="003728F3"/>
    <w:rsid w:val="003735BC"/>
    <w:rsid w:val="0037496E"/>
    <w:rsid w:val="00383221"/>
    <w:rsid w:val="00384648"/>
    <w:rsid w:val="00386150"/>
    <w:rsid w:val="003874CE"/>
    <w:rsid w:val="00390900"/>
    <w:rsid w:val="003A0209"/>
    <w:rsid w:val="003A5D07"/>
    <w:rsid w:val="003A7F6C"/>
    <w:rsid w:val="003B323A"/>
    <w:rsid w:val="003B4238"/>
    <w:rsid w:val="003B4D60"/>
    <w:rsid w:val="003B5039"/>
    <w:rsid w:val="003B7E39"/>
    <w:rsid w:val="003C58DC"/>
    <w:rsid w:val="003D1E62"/>
    <w:rsid w:val="003D1FBE"/>
    <w:rsid w:val="003E0B99"/>
    <w:rsid w:val="003E1449"/>
    <w:rsid w:val="003E2486"/>
    <w:rsid w:val="003E3208"/>
    <w:rsid w:val="003E52AB"/>
    <w:rsid w:val="003E5560"/>
    <w:rsid w:val="003F0B04"/>
    <w:rsid w:val="003F1DA8"/>
    <w:rsid w:val="003F23C0"/>
    <w:rsid w:val="003F3E39"/>
    <w:rsid w:val="003F727C"/>
    <w:rsid w:val="004011CE"/>
    <w:rsid w:val="0040134E"/>
    <w:rsid w:val="00405A44"/>
    <w:rsid w:val="004109C1"/>
    <w:rsid w:val="00432368"/>
    <w:rsid w:val="004331D6"/>
    <w:rsid w:val="004334C7"/>
    <w:rsid w:val="00436F7B"/>
    <w:rsid w:val="00440A2D"/>
    <w:rsid w:val="00441379"/>
    <w:rsid w:val="00441C3F"/>
    <w:rsid w:val="00444D1A"/>
    <w:rsid w:val="0045186A"/>
    <w:rsid w:val="00453A42"/>
    <w:rsid w:val="004564A7"/>
    <w:rsid w:val="00456765"/>
    <w:rsid w:val="0045694A"/>
    <w:rsid w:val="004575C7"/>
    <w:rsid w:val="00460036"/>
    <w:rsid w:val="00460807"/>
    <w:rsid w:val="004617BF"/>
    <w:rsid w:val="00463658"/>
    <w:rsid w:val="004637A0"/>
    <w:rsid w:val="00470DBA"/>
    <w:rsid w:val="004722CC"/>
    <w:rsid w:val="0047344C"/>
    <w:rsid w:val="004801B3"/>
    <w:rsid w:val="004845EB"/>
    <w:rsid w:val="00490483"/>
    <w:rsid w:val="004936E4"/>
    <w:rsid w:val="00494E60"/>
    <w:rsid w:val="004973F6"/>
    <w:rsid w:val="00497487"/>
    <w:rsid w:val="004A2771"/>
    <w:rsid w:val="004A6189"/>
    <w:rsid w:val="004A6BC3"/>
    <w:rsid w:val="004A7390"/>
    <w:rsid w:val="004B0963"/>
    <w:rsid w:val="004B5176"/>
    <w:rsid w:val="004B7B76"/>
    <w:rsid w:val="004C0D29"/>
    <w:rsid w:val="004C0FDD"/>
    <w:rsid w:val="004C1918"/>
    <w:rsid w:val="004C239D"/>
    <w:rsid w:val="004C2DCA"/>
    <w:rsid w:val="004C4FBE"/>
    <w:rsid w:val="004C61D2"/>
    <w:rsid w:val="004E02D9"/>
    <w:rsid w:val="004E1EFD"/>
    <w:rsid w:val="004E579D"/>
    <w:rsid w:val="004F0C4A"/>
    <w:rsid w:val="004F0F01"/>
    <w:rsid w:val="004F0F38"/>
    <w:rsid w:val="004F47D6"/>
    <w:rsid w:val="00500337"/>
    <w:rsid w:val="00501921"/>
    <w:rsid w:val="005065BC"/>
    <w:rsid w:val="0050744E"/>
    <w:rsid w:val="005252B2"/>
    <w:rsid w:val="005271BE"/>
    <w:rsid w:val="00530354"/>
    <w:rsid w:val="0053080E"/>
    <w:rsid w:val="0053134A"/>
    <w:rsid w:val="0053625B"/>
    <w:rsid w:val="005434C6"/>
    <w:rsid w:val="00543B39"/>
    <w:rsid w:val="00544560"/>
    <w:rsid w:val="00546154"/>
    <w:rsid w:val="00550096"/>
    <w:rsid w:val="00555280"/>
    <w:rsid w:val="00557800"/>
    <w:rsid w:val="00557FF9"/>
    <w:rsid w:val="00562327"/>
    <w:rsid w:val="00567C97"/>
    <w:rsid w:val="005711D5"/>
    <w:rsid w:val="00576378"/>
    <w:rsid w:val="00577130"/>
    <w:rsid w:val="00577945"/>
    <w:rsid w:val="00577E38"/>
    <w:rsid w:val="00585322"/>
    <w:rsid w:val="005857C6"/>
    <w:rsid w:val="005863C6"/>
    <w:rsid w:val="00586D69"/>
    <w:rsid w:val="00592F6E"/>
    <w:rsid w:val="00593AD1"/>
    <w:rsid w:val="005A2C52"/>
    <w:rsid w:val="005A5A2D"/>
    <w:rsid w:val="005A68B6"/>
    <w:rsid w:val="005B0B82"/>
    <w:rsid w:val="005B213C"/>
    <w:rsid w:val="005B3427"/>
    <w:rsid w:val="005B3BC2"/>
    <w:rsid w:val="005B41E1"/>
    <w:rsid w:val="005B5A3D"/>
    <w:rsid w:val="005C0511"/>
    <w:rsid w:val="005C1297"/>
    <w:rsid w:val="005C1D50"/>
    <w:rsid w:val="005C24BA"/>
    <w:rsid w:val="005C5570"/>
    <w:rsid w:val="005C55D8"/>
    <w:rsid w:val="005C5B66"/>
    <w:rsid w:val="005C5F52"/>
    <w:rsid w:val="005C79A4"/>
    <w:rsid w:val="005D2BF1"/>
    <w:rsid w:val="005D5442"/>
    <w:rsid w:val="005E2A87"/>
    <w:rsid w:val="005F3E98"/>
    <w:rsid w:val="005F5E53"/>
    <w:rsid w:val="005F7F38"/>
    <w:rsid w:val="006009E7"/>
    <w:rsid w:val="00603F32"/>
    <w:rsid w:val="00605AD4"/>
    <w:rsid w:val="00605D4B"/>
    <w:rsid w:val="0060743C"/>
    <w:rsid w:val="006136D7"/>
    <w:rsid w:val="006142F0"/>
    <w:rsid w:val="00625A6E"/>
    <w:rsid w:val="00632398"/>
    <w:rsid w:val="00640FC3"/>
    <w:rsid w:val="00642020"/>
    <w:rsid w:val="006430EE"/>
    <w:rsid w:val="006506D9"/>
    <w:rsid w:val="0065337B"/>
    <w:rsid w:val="0065419D"/>
    <w:rsid w:val="006603BC"/>
    <w:rsid w:val="006604D8"/>
    <w:rsid w:val="00664A5B"/>
    <w:rsid w:val="006668E8"/>
    <w:rsid w:val="0066735C"/>
    <w:rsid w:val="00671B96"/>
    <w:rsid w:val="00674846"/>
    <w:rsid w:val="006763D2"/>
    <w:rsid w:val="00676842"/>
    <w:rsid w:val="00680C08"/>
    <w:rsid w:val="0068288F"/>
    <w:rsid w:val="006859BA"/>
    <w:rsid w:val="006916A0"/>
    <w:rsid w:val="006931B1"/>
    <w:rsid w:val="006A15C0"/>
    <w:rsid w:val="006A58A8"/>
    <w:rsid w:val="006B42C1"/>
    <w:rsid w:val="006B458B"/>
    <w:rsid w:val="006C09F7"/>
    <w:rsid w:val="006C1C1E"/>
    <w:rsid w:val="006C3E2A"/>
    <w:rsid w:val="006C642F"/>
    <w:rsid w:val="006D03E5"/>
    <w:rsid w:val="006D5D3E"/>
    <w:rsid w:val="006D5DC6"/>
    <w:rsid w:val="006E08B3"/>
    <w:rsid w:val="006E2EE7"/>
    <w:rsid w:val="006F17AC"/>
    <w:rsid w:val="006F25B8"/>
    <w:rsid w:val="006F52D1"/>
    <w:rsid w:val="006F572E"/>
    <w:rsid w:val="00702386"/>
    <w:rsid w:val="007046D6"/>
    <w:rsid w:val="00705DB0"/>
    <w:rsid w:val="007103FE"/>
    <w:rsid w:val="00722B57"/>
    <w:rsid w:val="00730F8A"/>
    <w:rsid w:val="00735A8C"/>
    <w:rsid w:val="0074253D"/>
    <w:rsid w:val="00744121"/>
    <w:rsid w:val="0074429B"/>
    <w:rsid w:val="00760737"/>
    <w:rsid w:val="007615BC"/>
    <w:rsid w:val="0076299A"/>
    <w:rsid w:val="00762F05"/>
    <w:rsid w:val="007652FF"/>
    <w:rsid w:val="00766C7D"/>
    <w:rsid w:val="007706C6"/>
    <w:rsid w:val="00770CAC"/>
    <w:rsid w:val="00770EF1"/>
    <w:rsid w:val="00773EF7"/>
    <w:rsid w:val="00774856"/>
    <w:rsid w:val="00774E1D"/>
    <w:rsid w:val="007765D8"/>
    <w:rsid w:val="0077675A"/>
    <w:rsid w:val="00780355"/>
    <w:rsid w:val="007819FD"/>
    <w:rsid w:val="007842D5"/>
    <w:rsid w:val="00785717"/>
    <w:rsid w:val="00785721"/>
    <w:rsid w:val="0078640D"/>
    <w:rsid w:val="00787F08"/>
    <w:rsid w:val="007928C5"/>
    <w:rsid w:val="00793A59"/>
    <w:rsid w:val="007A46F5"/>
    <w:rsid w:val="007A6505"/>
    <w:rsid w:val="007B6132"/>
    <w:rsid w:val="007B6E9F"/>
    <w:rsid w:val="007C1216"/>
    <w:rsid w:val="007C1AF7"/>
    <w:rsid w:val="007C1D45"/>
    <w:rsid w:val="007C6B9B"/>
    <w:rsid w:val="007D09B2"/>
    <w:rsid w:val="007D3345"/>
    <w:rsid w:val="007D3A3F"/>
    <w:rsid w:val="007D53B6"/>
    <w:rsid w:val="007E24AD"/>
    <w:rsid w:val="007E6EC9"/>
    <w:rsid w:val="00801550"/>
    <w:rsid w:val="00805D27"/>
    <w:rsid w:val="00806DCB"/>
    <w:rsid w:val="00815B64"/>
    <w:rsid w:val="00820B79"/>
    <w:rsid w:val="00821776"/>
    <w:rsid w:val="00826992"/>
    <w:rsid w:val="008307EA"/>
    <w:rsid w:val="008321F5"/>
    <w:rsid w:val="00832369"/>
    <w:rsid w:val="00833244"/>
    <w:rsid w:val="00834660"/>
    <w:rsid w:val="008348B1"/>
    <w:rsid w:val="00836BC2"/>
    <w:rsid w:val="00841433"/>
    <w:rsid w:val="00843DB2"/>
    <w:rsid w:val="0085031A"/>
    <w:rsid w:val="0085156D"/>
    <w:rsid w:val="00852B28"/>
    <w:rsid w:val="0085641B"/>
    <w:rsid w:val="00857136"/>
    <w:rsid w:val="008619B7"/>
    <w:rsid w:val="00863E80"/>
    <w:rsid w:val="00875A6B"/>
    <w:rsid w:val="00880FC1"/>
    <w:rsid w:val="0088171B"/>
    <w:rsid w:val="00884D31"/>
    <w:rsid w:val="00885B11"/>
    <w:rsid w:val="00886D15"/>
    <w:rsid w:val="00887DD8"/>
    <w:rsid w:val="00891BA9"/>
    <w:rsid w:val="00896018"/>
    <w:rsid w:val="008960DD"/>
    <w:rsid w:val="0089635C"/>
    <w:rsid w:val="008A2940"/>
    <w:rsid w:val="008A2B9D"/>
    <w:rsid w:val="008A3D9F"/>
    <w:rsid w:val="008A5E0B"/>
    <w:rsid w:val="008A6D59"/>
    <w:rsid w:val="008A772D"/>
    <w:rsid w:val="008B4B03"/>
    <w:rsid w:val="008B596F"/>
    <w:rsid w:val="008C108C"/>
    <w:rsid w:val="008C159F"/>
    <w:rsid w:val="008C1623"/>
    <w:rsid w:val="008C1850"/>
    <w:rsid w:val="008C49FD"/>
    <w:rsid w:val="008C51A9"/>
    <w:rsid w:val="008D1614"/>
    <w:rsid w:val="008D3EF3"/>
    <w:rsid w:val="008E36B0"/>
    <w:rsid w:val="008E7846"/>
    <w:rsid w:val="008F02E5"/>
    <w:rsid w:val="008F1298"/>
    <w:rsid w:val="008F1CCC"/>
    <w:rsid w:val="008F2967"/>
    <w:rsid w:val="008F6943"/>
    <w:rsid w:val="009018CE"/>
    <w:rsid w:val="00902A21"/>
    <w:rsid w:val="00906CD4"/>
    <w:rsid w:val="00906CF1"/>
    <w:rsid w:val="00913E07"/>
    <w:rsid w:val="009148DD"/>
    <w:rsid w:val="0091523F"/>
    <w:rsid w:val="00917059"/>
    <w:rsid w:val="00917D67"/>
    <w:rsid w:val="009201D2"/>
    <w:rsid w:val="00920330"/>
    <w:rsid w:val="009204C1"/>
    <w:rsid w:val="00920EB6"/>
    <w:rsid w:val="009219D7"/>
    <w:rsid w:val="00922D53"/>
    <w:rsid w:val="00923B70"/>
    <w:rsid w:val="00924482"/>
    <w:rsid w:val="00930237"/>
    <w:rsid w:val="00931772"/>
    <w:rsid w:val="00934577"/>
    <w:rsid w:val="0093622B"/>
    <w:rsid w:val="00937C17"/>
    <w:rsid w:val="00940A89"/>
    <w:rsid w:val="00941F77"/>
    <w:rsid w:val="00946EA5"/>
    <w:rsid w:val="00954577"/>
    <w:rsid w:val="00957845"/>
    <w:rsid w:val="00960520"/>
    <w:rsid w:val="00963C08"/>
    <w:rsid w:val="00970E6E"/>
    <w:rsid w:val="009752A5"/>
    <w:rsid w:val="0098585A"/>
    <w:rsid w:val="009940A3"/>
    <w:rsid w:val="009A31C7"/>
    <w:rsid w:val="009A32B9"/>
    <w:rsid w:val="009A3C66"/>
    <w:rsid w:val="009A4CED"/>
    <w:rsid w:val="009A690D"/>
    <w:rsid w:val="009B1D12"/>
    <w:rsid w:val="009B3CED"/>
    <w:rsid w:val="009B416B"/>
    <w:rsid w:val="009C4BD5"/>
    <w:rsid w:val="009D7B77"/>
    <w:rsid w:val="009E0BB0"/>
    <w:rsid w:val="009E3FBB"/>
    <w:rsid w:val="009F0C69"/>
    <w:rsid w:val="009F56D0"/>
    <w:rsid w:val="009F5923"/>
    <w:rsid w:val="009F7353"/>
    <w:rsid w:val="00A04F85"/>
    <w:rsid w:val="00A05FA4"/>
    <w:rsid w:val="00A102E4"/>
    <w:rsid w:val="00A1219C"/>
    <w:rsid w:val="00A12C42"/>
    <w:rsid w:val="00A1392D"/>
    <w:rsid w:val="00A14DF7"/>
    <w:rsid w:val="00A16757"/>
    <w:rsid w:val="00A22D57"/>
    <w:rsid w:val="00A3246D"/>
    <w:rsid w:val="00A3591B"/>
    <w:rsid w:val="00A35F08"/>
    <w:rsid w:val="00A36FA7"/>
    <w:rsid w:val="00A401DD"/>
    <w:rsid w:val="00A40735"/>
    <w:rsid w:val="00A44DDB"/>
    <w:rsid w:val="00A475B7"/>
    <w:rsid w:val="00A47AF7"/>
    <w:rsid w:val="00A47C3E"/>
    <w:rsid w:val="00A50226"/>
    <w:rsid w:val="00A60BAD"/>
    <w:rsid w:val="00A76E7F"/>
    <w:rsid w:val="00A77F87"/>
    <w:rsid w:val="00A80B5B"/>
    <w:rsid w:val="00A8115D"/>
    <w:rsid w:val="00A84B15"/>
    <w:rsid w:val="00A84E36"/>
    <w:rsid w:val="00A93AFF"/>
    <w:rsid w:val="00A964D1"/>
    <w:rsid w:val="00AA0ED0"/>
    <w:rsid w:val="00AC2B40"/>
    <w:rsid w:val="00AC2BB2"/>
    <w:rsid w:val="00AC2C3C"/>
    <w:rsid w:val="00AC512D"/>
    <w:rsid w:val="00AD0083"/>
    <w:rsid w:val="00AD09B2"/>
    <w:rsid w:val="00AD3935"/>
    <w:rsid w:val="00AD4BD4"/>
    <w:rsid w:val="00AE65EB"/>
    <w:rsid w:val="00AE67A7"/>
    <w:rsid w:val="00AF1D94"/>
    <w:rsid w:val="00AF4C2E"/>
    <w:rsid w:val="00AF55E5"/>
    <w:rsid w:val="00AF60C5"/>
    <w:rsid w:val="00B009C6"/>
    <w:rsid w:val="00B01548"/>
    <w:rsid w:val="00B12966"/>
    <w:rsid w:val="00B130C5"/>
    <w:rsid w:val="00B13748"/>
    <w:rsid w:val="00B13D59"/>
    <w:rsid w:val="00B13EBD"/>
    <w:rsid w:val="00B21D29"/>
    <w:rsid w:val="00B22E9F"/>
    <w:rsid w:val="00B25034"/>
    <w:rsid w:val="00B33588"/>
    <w:rsid w:val="00B33863"/>
    <w:rsid w:val="00B37D17"/>
    <w:rsid w:val="00B406EA"/>
    <w:rsid w:val="00B4175E"/>
    <w:rsid w:val="00B41C85"/>
    <w:rsid w:val="00B452CE"/>
    <w:rsid w:val="00B47056"/>
    <w:rsid w:val="00B47313"/>
    <w:rsid w:val="00B54A5A"/>
    <w:rsid w:val="00B54C25"/>
    <w:rsid w:val="00B55532"/>
    <w:rsid w:val="00B64678"/>
    <w:rsid w:val="00B64BBA"/>
    <w:rsid w:val="00B70F65"/>
    <w:rsid w:val="00B75CE6"/>
    <w:rsid w:val="00B76B91"/>
    <w:rsid w:val="00B77EB1"/>
    <w:rsid w:val="00B811C6"/>
    <w:rsid w:val="00B855B0"/>
    <w:rsid w:val="00B92E08"/>
    <w:rsid w:val="00B95094"/>
    <w:rsid w:val="00BA6D19"/>
    <w:rsid w:val="00BB07B7"/>
    <w:rsid w:val="00BB7B06"/>
    <w:rsid w:val="00BC1556"/>
    <w:rsid w:val="00BC4453"/>
    <w:rsid w:val="00BC622A"/>
    <w:rsid w:val="00BD169C"/>
    <w:rsid w:val="00BD1F85"/>
    <w:rsid w:val="00BD2897"/>
    <w:rsid w:val="00BE0A78"/>
    <w:rsid w:val="00BE79F0"/>
    <w:rsid w:val="00BF046D"/>
    <w:rsid w:val="00BF0F13"/>
    <w:rsid w:val="00BF1190"/>
    <w:rsid w:val="00BF3774"/>
    <w:rsid w:val="00BF5875"/>
    <w:rsid w:val="00BF5D04"/>
    <w:rsid w:val="00C009AA"/>
    <w:rsid w:val="00C1164D"/>
    <w:rsid w:val="00C117D5"/>
    <w:rsid w:val="00C16861"/>
    <w:rsid w:val="00C345D1"/>
    <w:rsid w:val="00C346AB"/>
    <w:rsid w:val="00C404A6"/>
    <w:rsid w:val="00C40A36"/>
    <w:rsid w:val="00C44419"/>
    <w:rsid w:val="00C45E7B"/>
    <w:rsid w:val="00C471B1"/>
    <w:rsid w:val="00C525A2"/>
    <w:rsid w:val="00C528B8"/>
    <w:rsid w:val="00C52E24"/>
    <w:rsid w:val="00C577DB"/>
    <w:rsid w:val="00C6316B"/>
    <w:rsid w:val="00C634A9"/>
    <w:rsid w:val="00C64586"/>
    <w:rsid w:val="00C65ACF"/>
    <w:rsid w:val="00C70A36"/>
    <w:rsid w:val="00C70D53"/>
    <w:rsid w:val="00C72D03"/>
    <w:rsid w:val="00C73D0B"/>
    <w:rsid w:val="00C74E49"/>
    <w:rsid w:val="00C74F5C"/>
    <w:rsid w:val="00C75526"/>
    <w:rsid w:val="00C772FF"/>
    <w:rsid w:val="00C80137"/>
    <w:rsid w:val="00C801AF"/>
    <w:rsid w:val="00C80256"/>
    <w:rsid w:val="00C857A6"/>
    <w:rsid w:val="00C94CD4"/>
    <w:rsid w:val="00C96BD0"/>
    <w:rsid w:val="00C9747E"/>
    <w:rsid w:val="00CB3259"/>
    <w:rsid w:val="00CB3B8C"/>
    <w:rsid w:val="00CB6BC0"/>
    <w:rsid w:val="00CB6D6B"/>
    <w:rsid w:val="00CC1B7C"/>
    <w:rsid w:val="00CC5E8D"/>
    <w:rsid w:val="00CC727F"/>
    <w:rsid w:val="00CE0970"/>
    <w:rsid w:val="00CE41BA"/>
    <w:rsid w:val="00CE4417"/>
    <w:rsid w:val="00CF15C3"/>
    <w:rsid w:val="00CF2B6F"/>
    <w:rsid w:val="00CF2F3E"/>
    <w:rsid w:val="00CF58B6"/>
    <w:rsid w:val="00CF5DAD"/>
    <w:rsid w:val="00CF6C4E"/>
    <w:rsid w:val="00D0062D"/>
    <w:rsid w:val="00D017ED"/>
    <w:rsid w:val="00D03071"/>
    <w:rsid w:val="00D040D3"/>
    <w:rsid w:val="00D04C65"/>
    <w:rsid w:val="00D0610A"/>
    <w:rsid w:val="00D073BC"/>
    <w:rsid w:val="00D11DC1"/>
    <w:rsid w:val="00D153D8"/>
    <w:rsid w:val="00D201D2"/>
    <w:rsid w:val="00D20559"/>
    <w:rsid w:val="00D206C4"/>
    <w:rsid w:val="00D224FE"/>
    <w:rsid w:val="00D23139"/>
    <w:rsid w:val="00D26969"/>
    <w:rsid w:val="00D34168"/>
    <w:rsid w:val="00D34CFD"/>
    <w:rsid w:val="00D425BB"/>
    <w:rsid w:val="00D453FA"/>
    <w:rsid w:val="00D57EFE"/>
    <w:rsid w:val="00D6493E"/>
    <w:rsid w:val="00D7195D"/>
    <w:rsid w:val="00D7301E"/>
    <w:rsid w:val="00D77044"/>
    <w:rsid w:val="00D808B0"/>
    <w:rsid w:val="00D820E6"/>
    <w:rsid w:val="00D83AE1"/>
    <w:rsid w:val="00D855D4"/>
    <w:rsid w:val="00D9012E"/>
    <w:rsid w:val="00D902C9"/>
    <w:rsid w:val="00D91BB1"/>
    <w:rsid w:val="00D93466"/>
    <w:rsid w:val="00DA00C2"/>
    <w:rsid w:val="00DA1124"/>
    <w:rsid w:val="00DA64CB"/>
    <w:rsid w:val="00DB06B8"/>
    <w:rsid w:val="00DB6124"/>
    <w:rsid w:val="00DB750B"/>
    <w:rsid w:val="00DB75B7"/>
    <w:rsid w:val="00DC0A2F"/>
    <w:rsid w:val="00DC1948"/>
    <w:rsid w:val="00DC605F"/>
    <w:rsid w:val="00DC6E02"/>
    <w:rsid w:val="00DD109F"/>
    <w:rsid w:val="00DD1B1D"/>
    <w:rsid w:val="00DD28CD"/>
    <w:rsid w:val="00DE01C5"/>
    <w:rsid w:val="00DE02AE"/>
    <w:rsid w:val="00DE33C9"/>
    <w:rsid w:val="00DE39D1"/>
    <w:rsid w:val="00DF1D7F"/>
    <w:rsid w:val="00DF4BE4"/>
    <w:rsid w:val="00E01539"/>
    <w:rsid w:val="00E02382"/>
    <w:rsid w:val="00E02FB4"/>
    <w:rsid w:val="00E07530"/>
    <w:rsid w:val="00E13288"/>
    <w:rsid w:val="00E13BA4"/>
    <w:rsid w:val="00E13FC7"/>
    <w:rsid w:val="00E20571"/>
    <w:rsid w:val="00E235F7"/>
    <w:rsid w:val="00E23659"/>
    <w:rsid w:val="00E239D4"/>
    <w:rsid w:val="00E26130"/>
    <w:rsid w:val="00E304F9"/>
    <w:rsid w:val="00E33D42"/>
    <w:rsid w:val="00E40B22"/>
    <w:rsid w:val="00E44ED1"/>
    <w:rsid w:val="00E45619"/>
    <w:rsid w:val="00E4588F"/>
    <w:rsid w:val="00E46DA3"/>
    <w:rsid w:val="00E47511"/>
    <w:rsid w:val="00E51154"/>
    <w:rsid w:val="00E51BB1"/>
    <w:rsid w:val="00E55CB0"/>
    <w:rsid w:val="00E624A5"/>
    <w:rsid w:val="00E64BA4"/>
    <w:rsid w:val="00E7006C"/>
    <w:rsid w:val="00E7344E"/>
    <w:rsid w:val="00E82665"/>
    <w:rsid w:val="00E86D02"/>
    <w:rsid w:val="00E967E3"/>
    <w:rsid w:val="00EA30E8"/>
    <w:rsid w:val="00EA61F0"/>
    <w:rsid w:val="00EA678A"/>
    <w:rsid w:val="00EB0798"/>
    <w:rsid w:val="00EB3405"/>
    <w:rsid w:val="00EB40AD"/>
    <w:rsid w:val="00EB4B98"/>
    <w:rsid w:val="00EB57A2"/>
    <w:rsid w:val="00EB586E"/>
    <w:rsid w:val="00EB5FC8"/>
    <w:rsid w:val="00EC463D"/>
    <w:rsid w:val="00EC7A85"/>
    <w:rsid w:val="00ED1091"/>
    <w:rsid w:val="00ED2922"/>
    <w:rsid w:val="00ED3CAD"/>
    <w:rsid w:val="00ED5A41"/>
    <w:rsid w:val="00EE1DE8"/>
    <w:rsid w:val="00EE27C2"/>
    <w:rsid w:val="00EE6EEB"/>
    <w:rsid w:val="00EF0FB4"/>
    <w:rsid w:val="00EF4BAD"/>
    <w:rsid w:val="00EF59DC"/>
    <w:rsid w:val="00EF5E54"/>
    <w:rsid w:val="00F025AB"/>
    <w:rsid w:val="00F033EC"/>
    <w:rsid w:val="00F04DE9"/>
    <w:rsid w:val="00F04F68"/>
    <w:rsid w:val="00F061C5"/>
    <w:rsid w:val="00F120D1"/>
    <w:rsid w:val="00F12670"/>
    <w:rsid w:val="00F12C56"/>
    <w:rsid w:val="00F1452C"/>
    <w:rsid w:val="00F14B27"/>
    <w:rsid w:val="00F3148D"/>
    <w:rsid w:val="00F325C5"/>
    <w:rsid w:val="00F32FE0"/>
    <w:rsid w:val="00F35298"/>
    <w:rsid w:val="00F377D5"/>
    <w:rsid w:val="00F4163F"/>
    <w:rsid w:val="00F43DD2"/>
    <w:rsid w:val="00F47333"/>
    <w:rsid w:val="00F47E37"/>
    <w:rsid w:val="00F505C4"/>
    <w:rsid w:val="00F5167E"/>
    <w:rsid w:val="00F52A80"/>
    <w:rsid w:val="00F53C07"/>
    <w:rsid w:val="00F53C72"/>
    <w:rsid w:val="00F54B65"/>
    <w:rsid w:val="00F576F9"/>
    <w:rsid w:val="00F63CDA"/>
    <w:rsid w:val="00F63DBF"/>
    <w:rsid w:val="00F640B6"/>
    <w:rsid w:val="00F65B21"/>
    <w:rsid w:val="00F66DF2"/>
    <w:rsid w:val="00F80E40"/>
    <w:rsid w:val="00F81421"/>
    <w:rsid w:val="00F83909"/>
    <w:rsid w:val="00F848D9"/>
    <w:rsid w:val="00F94BEF"/>
    <w:rsid w:val="00F96002"/>
    <w:rsid w:val="00F96519"/>
    <w:rsid w:val="00F96E9D"/>
    <w:rsid w:val="00FA4639"/>
    <w:rsid w:val="00FA5069"/>
    <w:rsid w:val="00FA5B82"/>
    <w:rsid w:val="00FA6029"/>
    <w:rsid w:val="00FA639E"/>
    <w:rsid w:val="00FA6FFD"/>
    <w:rsid w:val="00FA7216"/>
    <w:rsid w:val="00FA7424"/>
    <w:rsid w:val="00FB0BE8"/>
    <w:rsid w:val="00FB369D"/>
    <w:rsid w:val="00FB641D"/>
    <w:rsid w:val="00FB6DB5"/>
    <w:rsid w:val="00FB6FCE"/>
    <w:rsid w:val="00FC1FCA"/>
    <w:rsid w:val="00FC25E4"/>
    <w:rsid w:val="00FC2D33"/>
    <w:rsid w:val="00FC2DCE"/>
    <w:rsid w:val="00FC4EF7"/>
    <w:rsid w:val="00FD0824"/>
    <w:rsid w:val="00FD119B"/>
    <w:rsid w:val="00FD1EDC"/>
    <w:rsid w:val="00FE1A3C"/>
    <w:rsid w:val="00FE1DEE"/>
    <w:rsid w:val="00FF1FB2"/>
    <w:rsid w:val="00FF2126"/>
    <w:rsid w:val="00FF2A3F"/>
    <w:rsid w:val="00FF404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ADFBA4"/>
  <w15:docId w15:val="{D504E402-13F8-48FD-9DA0-4FD54D9F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C74F5C"/>
    <w:pPr>
      <w:outlineLvl w:val="1"/>
    </w:pPr>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C74F5C"/>
    <w:pPr>
      <w:spacing w:before="240"/>
      <w:outlineLvl w:val="1"/>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C74F5C"/>
    <w:pPr>
      <w:spacing w:after="480" w:line="240" w:lineRule="auto"/>
      <w:contextualSpacing/>
      <w:outlineLvl w:val="0"/>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C74F5C"/>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character" w:customStyle="1" w:styleId="UnresolvedMention1">
    <w:name w:val="Unresolved Mention1"/>
    <w:basedOn w:val="DefaultParagraphFont"/>
    <w:uiPriority w:val="99"/>
    <w:semiHidden/>
    <w:unhideWhenUsed/>
    <w:rsid w:val="00FB369D"/>
    <w:rPr>
      <w:color w:val="605E5C"/>
      <w:shd w:val="clear" w:color="auto" w:fill="E1DFDD"/>
    </w:rPr>
  </w:style>
  <w:style w:type="character" w:customStyle="1" w:styleId="TabletextChar">
    <w:name w:val="Table text Char"/>
    <w:basedOn w:val="DefaultParagraphFont"/>
    <w:link w:val="Tabletext"/>
    <w:locked/>
    <w:rsid w:val="007103FE"/>
    <w:rPr>
      <w:rFonts w:ascii="Cambria" w:eastAsia="Cambria" w:hAnsi="Cambria" w:cs="Times New Roman"/>
      <w:sz w:val="19"/>
    </w:rPr>
  </w:style>
  <w:style w:type="character" w:customStyle="1" w:styleId="ListParagraphChar">
    <w:name w:val="List Paragraph Char"/>
    <w:basedOn w:val="DefaultParagraphFont"/>
    <w:link w:val="ListParagraph"/>
    <w:uiPriority w:val="34"/>
    <w:locked/>
    <w:rsid w:val="00E13BA4"/>
    <w:rPr>
      <w:rFonts w:ascii="Cambria" w:eastAsia="MS Mincho" w:hAnsi="Cambria" w:cs="Times New Roman"/>
      <w:szCs w:val="20"/>
      <w:lang w:eastAsia="ja-JP"/>
    </w:rPr>
  </w:style>
  <w:style w:type="paragraph" w:styleId="ListParagraph">
    <w:name w:val="List Paragraph"/>
    <w:basedOn w:val="Normal"/>
    <w:link w:val="ListParagraphChar"/>
    <w:uiPriority w:val="34"/>
    <w:qFormat/>
    <w:rsid w:val="00E13BA4"/>
    <w:pPr>
      <w:adjustRightInd w:val="0"/>
      <w:snapToGrid w:val="0"/>
      <w:spacing w:before="180" w:after="180"/>
      <w:ind w:left="720"/>
      <w:contextualSpacing/>
    </w:pPr>
    <w:rPr>
      <w:rFonts w:eastAsia="MS Mincho"/>
      <w:szCs w:val="20"/>
      <w:lang w:eastAsia="ja-JP"/>
    </w:rPr>
  </w:style>
  <w:style w:type="paragraph" w:customStyle="1" w:styleId="BodyCopy">
    <w:name w:val="Body Copy"/>
    <w:basedOn w:val="Normal"/>
    <w:qFormat/>
    <w:rsid w:val="00E13BA4"/>
    <w:pPr>
      <w:adjustRightInd w:val="0"/>
      <w:snapToGrid w:val="0"/>
      <w:spacing w:before="0" w:after="0" w:line="240" w:lineRule="auto"/>
    </w:pPr>
    <w:rPr>
      <w:rFonts w:ascii="Times New Roman" w:eastAsia="MS Mincho" w:hAnsi="Times New Roman"/>
      <w:sz w:val="24"/>
      <w:szCs w:val="20"/>
      <w:lang w:eastAsia="ja-JP"/>
    </w:rPr>
  </w:style>
  <w:style w:type="paragraph" w:styleId="NoSpacing">
    <w:name w:val="No Spacing"/>
    <w:uiPriority w:val="1"/>
    <w:qFormat/>
    <w:rsid w:val="004B5176"/>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1"/>
    <w:semiHidden/>
    <w:unhideWhenUsed/>
    <w:qFormat/>
    <w:rsid w:val="00801550"/>
    <w:pPr>
      <w:widowControl w:val="0"/>
      <w:autoSpaceDE w:val="0"/>
      <w:autoSpaceDN w:val="0"/>
      <w:spacing w:before="0" w:after="0" w:line="240" w:lineRule="auto"/>
    </w:pPr>
    <w:rPr>
      <w:rFonts w:ascii="Times New Roman" w:eastAsia="Times New Roman" w:hAnsi="Times New Roman"/>
      <w:lang w:val="en-US"/>
    </w:rPr>
  </w:style>
  <w:style w:type="character" w:customStyle="1" w:styleId="BodyTextChar">
    <w:name w:val="Body Text Char"/>
    <w:basedOn w:val="DefaultParagraphFont"/>
    <w:link w:val="BodyText"/>
    <w:uiPriority w:val="1"/>
    <w:semiHidden/>
    <w:rsid w:val="00801550"/>
    <w:rPr>
      <w:rFonts w:ascii="Times New Roman" w:eastAsia="Times New Roman" w:hAnsi="Times New Roman" w:cs="Times New Roman"/>
      <w:lang w:val="en-US"/>
    </w:rPr>
  </w:style>
  <w:style w:type="paragraph" w:customStyle="1" w:styleId="TableParagraph">
    <w:name w:val="Table Paragraph"/>
    <w:basedOn w:val="Normal"/>
    <w:uiPriority w:val="1"/>
    <w:qFormat/>
    <w:rsid w:val="00801550"/>
    <w:pPr>
      <w:widowControl w:val="0"/>
      <w:autoSpaceDE w:val="0"/>
      <w:autoSpaceDN w:val="0"/>
      <w:spacing w:before="0" w:after="0" w:line="240" w:lineRule="auto"/>
    </w:pPr>
    <w:rPr>
      <w:rFonts w:ascii="Calibri" w:eastAsia="Calibri" w:hAnsi="Calibri" w:cs="Calibri"/>
      <w:lang w:val="en-US"/>
    </w:rPr>
  </w:style>
  <w:style w:type="paragraph" w:customStyle="1" w:styleId="Bulletlist">
    <w:name w:val="Bullet list"/>
    <w:basedOn w:val="Normal"/>
    <w:link w:val="BulletlistChar"/>
    <w:qFormat/>
    <w:rsid w:val="00C96BD0"/>
    <w:pPr>
      <w:numPr>
        <w:numId w:val="40"/>
      </w:numPr>
      <w:spacing w:before="0" w:after="180" w:line="252" w:lineRule="auto"/>
      <w:ind w:left="426" w:hanging="284"/>
    </w:pPr>
    <w:rPr>
      <w:rFonts w:eastAsia="Times New Roman"/>
      <w:snapToGrid w:val="0"/>
      <w:kern w:val="2"/>
      <w:sz w:val="23"/>
    </w:rPr>
  </w:style>
  <w:style w:type="character" w:customStyle="1" w:styleId="BulletlistChar">
    <w:name w:val="Bullet list Char"/>
    <w:basedOn w:val="DefaultParagraphFont"/>
    <w:link w:val="Bulletlist"/>
    <w:rsid w:val="00C96BD0"/>
    <w:rPr>
      <w:rFonts w:ascii="Cambria" w:eastAsia="Times New Roman" w:hAnsi="Cambria" w:cs="Times New Roman"/>
      <w:snapToGrid w:val="0"/>
      <w:kern w:val="2"/>
      <w:sz w:val="23"/>
    </w:rPr>
  </w:style>
  <w:style w:type="paragraph" w:styleId="NormalWeb">
    <w:name w:val="Normal (Web)"/>
    <w:basedOn w:val="Normal"/>
    <w:uiPriority w:val="99"/>
    <w:semiHidden/>
    <w:unhideWhenUsed/>
    <w:rsid w:val="008C49FD"/>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8C49FD"/>
    <w:rPr>
      <w:b/>
      <w:bCs/>
    </w:rPr>
  </w:style>
  <w:style w:type="character" w:customStyle="1" w:styleId="field-content">
    <w:name w:val="field-content"/>
    <w:basedOn w:val="DefaultParagraphFont"/>
    <w:rsid w:val="00F5167E"/>
  </w:style>
  <w:style w:type="paragraph" w:customStyle="1" w:styleId="Default">
    <w:name w:val="Default"/>
    <w:rsid w:val="000C2A56"/>
    <w:pPr>
      <w:autoSpaceDE w:val="0"/>
      <w:autoSpaceDN w:val="0"/>
      <w:adjustRightInd w:val="0"/>
      <w:spacing w:after="0" w:line="240" w:lineRule="auto"/>
    </w:pPr>
    <w:rPr>
      <w:rFonts w:ascii="Courier New" w:hAnsi="Courier New" w:cs="Courier New"/>
      <w:color w:val="000000"/>
      <w:sz w:val="24"/>
      <w:szCs w:val="24"/>
      <w:lang w:val="en-US"/>
    </w:rPr>
  </w:style>
  <w:style w:type="character" w:styleId="UnresolvedMention">
    <w:name w:val="Unresolved Mention"/>
    <w:basedOn w:val="DefaultParagraphFont"/>
    <w:uiPriority w:val="99"/>
    <w:semiHidden/>
    <w:unhideWhenUsed/>
    <w:rsid w:val="00544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83951">
      <w:bodyDiv w:val="1"/>
      <w:marLeft w:val="0"/>
      <w:marRight w:val="0"/>
      <w:marTop w:val="0"/>
      <w:marBottom w:val="0"/>
      <w:divBdr>
        <w:top w:val="none" w:sz="0" w:space="0" w:color="auto"/>
        <w:left w:val="none" w:sz="0" w:space="0" w:color="auto"/>
        <w:bottom w:val="none" w:sz="0" w:space="0" w:color="auto"/>
        <w:right w:val="none" w:sz="0" w:space="0" w:color="auto"/>
      </w:divBdr>
    </w:div>
    <w:div w:id="430855339">
      <w:bodyDiv w:val="1"/>
      <w:marLeft w:val="0"/>
      <w:marRight w:val="0"/>
      <w:marTop w:val="0"/>
      <w:marBottom w:val="0"/>
      <w:divBdr>
        <w:top w:val="none" w:sz="0" w:space="0" w:color="auto"/>
        <w:left w:val="none" w:sz="0" w:space="0" w:color="auto"/>
        <w:bottom w:val="none" w:sz="0" w:space="0" w:color="auto"/>
        <w:right w:val="none" w:sz="0" w:space="0" w:color="auto"/>
      </w:divBdr>
    </w:div>
    <w:div w:id="511378926">
      <w:bodyDiv w:val="1"/>
      <w:marLeft w:val="0"/>
      <w:marRight w:val="0"/>
      <w:marTop w:val="0"/>
      <w:marBottom w:val="0"/>
      <w:divBdr>
        <w:top w:val="none" w:sz="0" w:space="0" w:color="auto"/>
        <w:left w:val="none" w:sz="0" w:space="0" w:color="auto"/>
        <w:bottom w:val="none" w:sz="0" w:space="0" w:color="auto"/>
        <w:right w:val="none" w:sz="0" w:space="0" w:color="auto"/>
      </w:divBdr>
    </w:div>
    <w:div w:id="548997509">
      <w:bodyDiv w:val="1"/>
      <w:marLeft w:val="0"/>
      <w:marRight w:val="0"/>
      <w:marTop w:val="0"/>
      <w:marBottom w:val="0"/>
      <w:divBdr>
        <w:top w:val="none" w:sz="0" w:space="0" w:color="auto"/>
        <w:left w:val="none" w:sz="0" w:space="0" w:color="auto"/>
        <w:bottom w:val="none" w:sz="0" w:space="0" w:color="auto"/>
        <w:right w:val="none" w:sz="0" w:space="0" w:color="auto"/>
      </w:divBdr>
    </w:div>
    <w:div w:id="633296593">
      <w:bodyDiv w:val="1"/>
      <w:marLeft w:val="0"/>
      <w:marRight w:val="0"/>
      <w:marTop w:val="0"/>
      <w:marBottom w:val="0"/>
      <w:divBdr>
        <w:top w:val="none" w:sz="0" w:space="0" w:color="auto"/>
        <w:left w:val="none" w:sz="0" w:space="0" w:color="auto"/>
        <w:bottom w:val="none" w:sz="0" w:space="0" w:color="auto"/>
        <w:right w:val="none" w:sz="0" w:space="0" w:color="auto"/>
      </w:divBdr>
    </w:div>
    <w:div w:id="733746758">
      <w:bodyDiv w:val="1"/>
      <w:marLeft w:val="0"/>
      <w:marRight w:val="0"/>
      <w:marTop w:val="0"/>
      <w:marBottom w:val="0"/>
      <w:divBdr>
        <w:top w:val="none" w:sz="0" w:space="0" w:color="auto"/>
        <w:left w:val="none" w:sz="0" w:space="0" w:color="auto"/>
        <w:bottom w:val="none" w:sz="0" w:space="0" w:color="auto"/>
        <w:right w:val="none" w:sz="0" w:space="0" w:color="auto"/>
      </w:divBdr>
    </w:div>
    <w:div w:id="809596660">
      <w:bodyDiv w:val="1"/>
      <w:marLeft w:val="0"/>
      <w:marRight w:val="0"/>
      <w:marTop w:val="0"/>
      <w:marBottom w:val="0"/>
      <w:divBdr>
        <w:top w:val="none" w:sz="0" w:space="0" w:color="auto"/>
        <w:left w:val="none" w:sz="0" w:space="0" w:color="auto"/>
        <w:bottom w:val="none" w:sz="0" w:space="0" w:color="auto"/>
        <w:right w:val="none" w:sz="0" w:space="0" w:color="auto"/>
      </w:divBdr>
    </w:div>
    <w:div w:id="968322187">
      <w:bodyDiv w:val="1"/>
      <w:marLeft w:val="0"/>
      <w:marRight w:val="0"/>
      <w:marTop w:val="0"/>
      <w:marBottom w:val="0"/>
      <w:divBdr>
        <w:top w:val="none" w:sz="0" w:space="0" w:color="auto"/>
        <w:left w:val="none" w:sz="0" w:space="0" w:color="auto"/>
        <w:bottom w:val="none" w:sz="0" w:space="0" w:color="auto"/>
        <w:right w:val="none" w:sz="0" w:space="0" w:color="auto"/>
      </w:divBdr>
    </w:div>
    <w:div w:id="1197623227">
      <w:bodyDiv w:val="1"/>
      <w:marLeft w:val="0"/>
      <w:marRight w:val="0"/>
      <w:marTop w:val="0"/>
      <w:marBottom w:val="0"/>
      <w:divBdr>
        <w:top w:val="none" w:sz="0" w:space="0" w:color="auto"/>
        <w:left w:val="none" w:sz="0" w:space="0" w:color="auto"/>
        <w:bottom w:val="none" w:sz="0" w:space="0" w:color="auto"/>
        <w:right w:val="none" w:sz="0" w:space="0" w:color="auto"/>
      </w:divBdr>
    </w:div>
    <w:div w:id="1248658632">
      <w:bodyDiv w:val="1"/>
      <w:marLeft w:val="0"/>
      <w:marRight w:val="0"/>
      <w:marTop w:val="0"/>
      <w:marBottom w:val="0"/>
      <w:divBdr>
        <w:top w:val="none" w:sz="0" w:space="0" w:color="auto"/>
        <w:left w:val="none" w:sz="0" w:space="0" w:color="auto"/>
        <w:bottom w:val="none" w:sz="0" w:space="0" w:color="auto"/>
        <w:right w:val="none" w:sz="0" w:space="0" w:color="auto"/>
      </w:divBdr>
    </w:div>
    <w:div w:id="1432357882">
      <w:bodyDiv w:val="1"/>
      <w:marLeft w:val="0"/>
      <w:marRight w:val="0"/>
      <w:marTop w:val="0"/>
      <w:marBottom w:val="0"/>
      <w:divBdr>
        <w:top w:val="none" w:sz="0" w:space="0" w:color="auto"/>
        <w:left w:val="none" w:sz="0" w:space="0" w:color="auto"/>
        <w:bottom w:val="none" w:sz="0" w:space="0" w:color="auto"/>
        <w:right w:val="none" w:sz="0" w:space="0" w:color="auto"/>
      </w:divBdr>
    </w:div>
    <w:div w:id="1738475204">
      <w:bodyDiv w:val="1"/>
      <w:marLeft w:val="0"/>
      <w:marRight w:val="0"/>
      <w:marTop w:val="0"/>
      <w:marBottom w:val="0"/>
      <w:divBdr>
        <w:top w:val="none" w:sz="0" w:space="0" w:color="auto"/>
        <w:left w:val="none" w:sz="0" w:space="0" w:color="auto"/>
        <w:bottom w:val="none" w:sz="0" w:space="0" w:color="auto"/>
        <w:right w:val="none" w:sz="0" w:space="0" w:color="auto"/>
      </w:divBdr>
    </w:div>
    <w:div w:id="1786997123">
      <w:bodyDiv w:val="1"/>
      <w:marLeft w:val="0"/>
      <w:marRight w:val="0"/>
      <w:marTop w:val="0"/>
      <w:marBottom w:val="0"/>
      <w:divBdr>
        <w:top w:val="none" w:sz="0" w:space="0" w:color="auto"/>
        <w:left w:val="none" w:sz="0" w:space="0" w:color="auto"/>
        <w:bottom w:val="none" w:sz="0" w:space="0" w:color="auto"/>
        <w:right w:val="none" w:sz="0" w:space="0" w:color="auto"/>
      </w:divBdr>
    </w:div>
    <w:div w:id="1934623614">
      <w:bodyDiv w:val="1"/>
      <w:marLeft w:val="0"/>
      <w:marRight w:val="0"/>
      <w:marTop w:val="0"/>
      <w:marBottom w:val="0"/>
      <w:divBdr>
        <w:top w:val="none" w:sz="0" w:space="0" w:color="auto"/>
        <w:left w:val="none" w:sz="0" w:space="0" w:color="auto"/>
        <w:bottom w:val="none" w:sz="0" w:space="0" w:color="auto"/>
        <w:right w:val="none" w:sz="0" w:space="0" w:color="auto"/>
      </w:divBdr>
    </w:div>
    <w:div w:id="1939632928">
      <w:bodyDiv w:val="1"/>
      <w:marLeft w:val="0"/>
      <w:marRight w:val="0"/>
      <w:marTop w:val="0"/>
      <w:marBottom w:val="0"/>
      <w:divBdr>
        <w:top w:val="none" w:sz="0" w:space="0" w:color="auto"/>
        <w:left w:val="none" w:sz="0" w:space="0" w:color="auto"/>
        <w:bottom w:val="none" w:sz="0" w:space="0" w:color="auto"/>
        <w:right w:val="none" w:sz="0" w:space="0" w:color="auto"/>
      </w:divBdr>
    </w:div>
    <w:div w:id="197744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yperlink" Target="https://www.tga.gov.au/product-information-pi"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yperlink" Target="mailto:tga.copyright@tga.gov.au" TargetMode="External"/><Relationship Id="rId17" Type="http://schemas.openxmlformats.org/officeDocument/2006/relationships/hyperlink" Target="https://www.tga.gov.au/product-information-pi" TargetMode="External"/><Relationship Id="rId25" Type="http://schemas.openxmlformats.org/officeDocument/2006/relationships/hyperlink" Target="https://www.tga.gov.au/guidance-7-certified-product-details" TargetMode="Externa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 TargetMode="External"/><Relationship Id="rId24" Type="http://schemas.openxmlformats.org/officeDocument/2006/relationships/hyperlink" Target="https://www.tga.gov.au/ws-labs-index" TargetMode="External"/><Relationship Id="rId32" Type="http://schemas.openxmlformats.org/officeDocument/2006/relationships/hyperlink" Target="https://www.tga.gov.au"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8.emf"/><Relationship Id="rId28" Type="http://schemas.openxmlformats.org/officeDocument/2006/relationships/header" Target="header4.xm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mailto:info@tg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emf"/><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ebs.tga.gov.au/ebs/picmi/picmirepository.nsf/pdf?OpenAgent%20and%20id=CP-2017-PI-02396-1" TargetMode="External"/><Relationship Id="rId2" Type="http://schemas.openxmlformats.org/officeDocument/2006/relationships/hyperlink" Target="https://www.fda.gov/about-fda/oncology-center-excellence/project-orbis" TargetMode="External"/><Relationship Id="rId1" Type="http://schemas.openxmlformats.org/officeDocument/2006/relationships/hyperlink" Target="https://doi.org/10.1093/annonc/mdr373" TargetMode="External"/><Relationship Id="rId6" Type="http://schemas.openxmlformats.org/officeDocument/2006/relationships/hyperlink" Target="https://www.tga.gov.au/committee/advisory-committee-medicines-acm" TargetMode="External"/><Relationship Id="rId5" Type="http://schemas.openxmlformats.org/officeDocument/2006/relationships/hyperlink" Target="https://www.ebs.tga.gov.au/ebs/picmi/picmirepository.nsf/pdf?OpenAgent%20and%20id=CP-2010-PI-04210-3%20and%20d=20210727172310101" TargetMode="External"/><Relationship Id="rId4" Type="http://schemas.openxmlformats.org/officeDocument/2006/relationships/hyperlink" Target="https://www.ebs.tga.gov.au/ebs/picmi/picmirepository.nsf/pdf?OpenAgent%20and%20id=CP-2012-PI-02654-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38D2D686860F44293B4752BD12FB68E" ma:contentTypeVersion="12" ma:contentTypeDescription="Create a new document." ma:contentTypeScope="" ma:versionID="b9fb90a3e12d57b99eac7710fee0820a">
  <xsd:schema xmlns:xsd="http://www.w3.org/2001/XMLSchema" xmlns:xs="http://www.w3.org/2001/XMLSchema" xmlns:p="http://schemas.microsoft.com/office/2006/metadata/properties" xmlns:ns3="dd9d8240-16c1-44f9-99f9-14c7902bed6e" xmlns:ns4="3aa72602-7415-4e1c-bbae-f8866f271717" targetNamespace="http://schemas.microsoft.com/office/2006/metadata/properties" ma:root="true" ma:fieldsID="8d22706bbc26c6c19eb8b259decfdad7" ns3:_="" ns4:_="">
    <xsd:import namespace="dd9d8240-16c1-44f9-99f9-14c7902bed6e"/>
    <xsd:import namespace="3aa72602-7415-4e1c-bbae-f8866f2717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d8240-16c1-44f9-99f9-14c7902bed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a72602-7415-4e1c-bbae-f8866f2717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00BADC-8D96-4A9E-B950-5ADBED497C2C}">
  <ds:schemaRefs>
    <ds:schemaRef ds:uri="http://schemas.microsoft.com/sharepoint/v3/contenttype/forms"/>
  </ds:schemaRefs>
</ds:datastoreItem>
</file>

<file path=customXml/itemProps2.xml><?xml version="1.0" encoding="utf-8"?>
<ds:datastoreItem xmlns:ds="http://schemas.openxmlformats.org/officeDocument/2006/customXml" ds:itemID="{DB5A5053-2581-4760-9935-61D58BBF66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8E235E-DB6A-4E01-9CCE-FE5EB2945317}">
  <ds:schemaRefs>
    <ds:schemaRef ds:uri="http://schemas.openxmlformats.org/officeDocument/2006/bibliography"/>
  </ds:schemaRefs>
</ds:datastoreItem>
</file>

<file path=customXml/itemProps4.xml><?xml version="1.0" encoding="utf-8"?>
<ds:datastoreItem xmlns:ds="http://schemas.openxmlformats.org/officeDocument/2006/customXml" ds:itemID="{9065440A-15CA-41C9-A983-23F829D31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d8240-16c1-44f9-99f9-14c7902bed6e"/>
    <ds:schemaRef ds:uri="3aa72602-7415-4e1c-bbae-f8866f27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42</Pages>
  <Words>12585</Words>
  <Characters>71735</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Australian public assessment report for Sacituzumab govitecan</vt:lpstr>
    </vt:vector>
  </TitlesOfParts>
  <Company>Department of Health </Company>
  <LinksUpToDate>false</LinksUpToDate>
  <CharactersWithSpaces>84152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Sacituzumab govitecan</dc:title>
  <dc:subject>prescription medicine regulation</dc:subject>
  <dc:creator>Therapeutic Goods Administration</dc:creator>
  <cp:keywords/>
  <cp:lastModifiedBy>KOLARIK-OREILLY, Kristy</cp:lastModifiedBy>
  <cp:revision>24</cp:revision>
  <cp:lastPrinted>2019-08-14T04:30:00Z</cp:lastPrinted>
  <dcterms:created xsi:type="dcterms:W3CDTF">2022-02-23T21:13:00Z</dcterms:created>
  <dcterms:modified xsi:type="dcterms:W3CDTF">2022-03-29T00:55:00Z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de74a9-4f8a-4c74-b507-22417e17d25b_Enabled">
    <vt:lpwstr>true</vt:lpwstr>
  </property>
  <property fmtid="{D5CDD505-2E9C-101B-9397-08002B2CF9AE}" pid="3" name="MSIP_Label_16de74a9-4f8a-4c74-b507-22417e17d25b_SetDate">
    <vt:lpwstr>2022-01-07T17:04:05Z</vt:lpwstr>
  </property>
  <property fmtid="{D5CDD505-2E9C-101B-9397-08002B2CF9AE}" pid="4" name="MSIP_Label_16de74a9-4f8a-4c74-b507-22417e17d25b_Method">
    <vt:lpwstr>Privileged</vt:lpwstr>
  </property>
  <property fmtid="{D5CDD505-2E9C-101B-9397-08002B2CF9AE}" pid="5" name="MSIP_Label_16de74a9-4f8a-4c74-b507-22417e17d25b_Name">
    <vt:lpwstr>16de74a9-4f8a-4c74-b507-22417e17d25b</vt:lpwstr>
  </property>
  <property fmtid="{D5CDD505-2E9C-101B-9397-08002B2CF9AE}" pid="6" name="MSIP_Label_16de74a9-4f8a-4c74-b507-22417e17d25b_SiteId">
    <vt:lpwstr>a5a8bcaa-3292-41e6-b735-5e8b21f4dbfd</vt:lpwstr>
  </property>
  <property fmtid="{D5CDD505-2E9C-101B-9397-08002B2CF9AE}" pid="7" name="MSIP_Label_16de74a9-4f8a-4c74-b507-22417e17d25b_ActionId">
    <vt:lpwstr>d990ad3f-b9b3-4bef-9e77-46ba491f21e9</vt:lpwstr>
  </property>
  <property fmtid="{D5CDD505-2E9C-101B-9397-08002B2CF9AE}" pid="8" name="MSIP_Label_16de74a9-4f8a-4c74-b507-22417e17d25b_ContentBits">
    <vt:lpwstr>0</vt:lpwstr>
  </property>
  <property fmtid="{D5CDD505-2E9C-101B-9397-08002B2CF9AE}" pid="9" name="ContentTypeId">
    <vt:lpwstr>0x010100D38D2D686860F44293B4752BD12FB68E</vt:lpwstr>
  </property>
</Properties>
</file>