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0D" w:rsidRPr="00103643" w:rsidRDefault="00103643" w:rsidP="00103643">
      <w:pPr>
        <w:rPr>
          <w:rFonts w:ascii="Wingdings 3" w:hAnsi="Wingdings 3"/>
        </w:rPr>
      </w:pPr>
      <w:bookmarkStart w:id="0" w:name="_GoBack"/>
      <w:bookmarkEnd w:id="0"/>
      <w:r w:rsidRPr="00B745E4">
        <w:rPr>
          <w:rFonts w:ascii="SimSun" w:eastAsia="SimSun" w:hAnsi="SimSun" w:cs="Arial" w:hint="eastAsia"/>
          <w:color w:val="auto"/>
          <w:sz w:val="40"/>
        </w:rPr>
        <w:t>▼</w:t>
      </w:r>
      <w:r w:rsidR="00BB452D" w:rsidRPr="00B745E4">
        <w:rPr>
          <w:rFonts w:hint="eastAsia"/>
          <w:color w:val="auto"/>
        </w:rPr>
        <w:t>Thi</w:t>
      </w:r>
      <w:r w:rsidR="00BB452D" w:rsidRPr="00396D0D">
        <w:rPr>
          <w:rFonts w:hint="eastAsia"/>
        </w:rPr>
        <w:t xml:space="preserve">s medicinal product is subject to additional monitoring in Australia. This will allow quick identification of new safety information. Healthcare professionals are asked to report any suspected adverse events at </w:t>
      </w:r>
      <w:hyperlink r:id="rId9" w:history="1">
        <w:r w:rsidR="004B59A8" w:rsidRPr="00396D0D">
          <w:rPr>
            <w:rStyle w:val="Hyperlink"/>
            <w:rFonts w:hint="eastAsia"/>
            <w:color w:val="auto"/>
          </w:rPr>
          <w:t>www.tga.gov.au/reporting-problems</w:t>
        </w:r>
      </w:hyperlink>
    </w:p>
    <w:p w:rsidR="00976A92" w:rsidRPr="00396D0D" w:rsidRDefault="00976A92" w:rsidP="00BB452D">
      <w:pPr>
        <w:rPr>
          <w:color w:val="auto"/>
        </w:rPr>
      </w:pPr>
    </w:p>
    <w:p w:rsidR="004032BD" w:rsidRPr="00B745E4" w:rsidRDefault="00D86276" w:rsidP="00521713">
      <w:pPr>
        <w:pStyle w:val="Heading1"/>
        <w:keepNext w:val="0"/>
        <w:pageBreakBefore w:val="0"/>
        <w:numPr>
          <w:ilvl w:val="0"/>
          <w:numId w:val="0"/>
        </w:numPr>
        <w:spacing w:after="240"/>
        <w:rPr>
          <w:rFonts w:eastAsia="SimSun"/>
          <w:lang w:val="en-AU"/>
        </w:rPr>
      </w:pPr>
      <w:r>
        <w:rPr>
          <w:rFonts w:eastAsia="SimSun"/>
          <w:lang w:val="en-AU"/>
        </w:rPr>
        <w:t xml:space="preserve">Australian product </w:t>
      </w:r>
      <w:r w:rsidR="004032BD" w:rsidRPr="00717E34">
        <w:rPr>
          <w:rFonts w:eastAsia="SimSun"/>
          <w:lang w:val="en-AU"/>
        </w:rPr>
        <w:t>I</w:t>
      </w:r>
      <w:r>
        <w:rPr>
          <w:rFonts w:eastAsia="SimSun"/>
          <w:lang w:val="en-AU"/>
        </w:rPr>
        <w:t>nformation</w:t>
      </w:r>
      <w:r w:rsidR="004032BD" w:rsidRPr="00717E34">
        <w:rPr>
          <w:rFonts w:eastAsia="SimSun"/>
          <w:lang w:val="en-AU"/>
        </w:rPr>
        <w:t xml:space="preserve"> –</w:t>
      </w:r>
      <w:r w:rsidR="00E53688">
        <w:rPr>
          <w:rFonts w:eastAsia="SimSun"/>
          <w:lang w:val="en-AU"/>
        </w:rPr>
        <w:t xml:space="preserve"> </w:t>
      </w:r>
      <w:r w:rsidR="00AB184E">
        <w:rPr>
          <w:rFonts w:eastAsia="SimSun"/>
          <w:lang w:val="en-AU"/>
        </w:rPr>
        <w:t>Kevzar</w:t>
      </w:r>
      <w:r w:rsidR="00AB184E" w:rsidRPr="00B745E4">
        <w:rPr>
          <w:rFonts w:eastAsia="SimSun"/>
          <w:lang w:val="en-AU"/>
        </w:rPr>
        <w:t xml:space="preserve">a </w:t>
      </w:r>
      <w:r w:rsidR="00521713" w:rsidRPr="00B745E4">
        <w:rPr>
          <w:rFonts w:eastAsia="SimSun"/>
          <w:lang w:val="en-AU"/>
        </w:rPr>
        <w:t>(</w:t>
      </w:r>
      <w:r w:rsidR="00521713" w:rsidRPr="00B745E4">
        <w:t>Sarilumab) pre-filled pen and pre-filled syringe</w:t>
      </w:r>
    </w:p>
    <w:p w:rsidR="00024098" w:rsidRPr="00717E34" w:rsidRDefault="00024098" w:rsidP="00024098">
      <w:pPr>
        <w:rPr>
          <w:lang w:val="en-AU"/>
        </w:rPr>
      </w:pPr>
    </w:p>
    <w:p w:rsidR="001A3992" w:rsidRPr="00717E34" w:rsidRDefault="001A3992" w:rsidP="00E71F4B">
      <w:pPr>
        <w:pStyle w:val="Heading1"/>
        <w:keepNext w:val="0"/>
        <w:pageBreakBefore w:val="0"/>
        <w:spacing w:before="0" w:after="120"/>
        <w:rPr>
          <w:lang w:val="en-AU"/>
        </w:rPr>
      </w:pPr>
      <w:r w:rsidRPr="00717E34">
        <w:rPr>
          <w:lang w:val="en-AU"/>
        </w:rPr>
        <w:t>Name of the medicine</w:t>
      </w:r>
    </w:p>
    <w:p w:rsidR="00C301BA" w:rsidRPr="003B0D46" w:rsidRDefault="00FD0C3B" w:rsidP="006300D9">
      <w:r>
        <w:t>sarilumab</w:t>
      </w:r>
    </w:p>
    <w:p w:rsidR="00292D82" w:rsidRPr="00717E34" w:rsidRDefault="00C301BA" w:rsidP="00C301BA">
      <w:pPr>
        <w:spacing w:before="120"/>
        <w:jc w:val="both"/>
        <w:rPr>
          <w:lang w:val="en-AU"/>
        </w:rPr>
      </w:pPr>
      <w:r w:rsidRPr="00717E34">
        <w:rPr>
          <w:lang w:val="en-AU"/>
        </w:rPr>
        <w:t xml:space="preserve"> </w:t>
      </w:r>
    </w:p>
    <w:p w:rsidR="001A3992" w:rsidRPr="00717E34" w:rsidRDefault="001A3992" w:rsidP="00024098">
      <w:pPr>
        <w:pStyle w:val="Heading1"/>
        <w:keepNext w:val="0"/>
        <w:pageBreakBefore w:val="0"/>
        <w:spacing w:before="0" w:after="120"/>
        <w:rPr>
          <w:lang w:val="en-AU"/>
        </w:rPr>
      </w:pPr>
      <w:r w:rsidRPr="00717E34">
        <w:rPr>
          <w:lang w:val="en-AU"/>
        </w:rPr>
        <w:t>Qualitative and quantitative composition</w:t>
      </w:r>
    </w:p>
    <w:p w:rsidR="00AB184E" w:rsidRPr="004C556E" w:rsidRDefault="00AB184E" w:rsidP="006300D9">
      <w:pPr>
        <w:rPr>
          <w:strike/>
          <w:color w:val="FF0000"/>
        </w:rPr>
      </w:pPr>
      <w:r w:rsidRPr="00B745E4">
        <w:rPr>
          <w:color w:val="auto"/>
        </w:rPr>
        <w:t xml:space="preserve">Each syringe and pre-filled injection-pen delivers 1.14 mL (200 mg or 150 mg) of </w:t>
      </w:r>
      <w:r w:rsidR="00795524" w:rsidRPr="00B745E4">
        <w:rPr>
          <w:color w:val="auto"/>
        </w:rPr>
        <w:t>sarilumab</w:t>
      </w:r>
      <w:r w:rsidR="00CE42C9">
        <w:rPr>
          <w:color w:val="auto"/>
        </w:rPr>
        <w:t>.</w:t>
      </w:r>
      <w:r w:rsidR="00B745E4" w:rsidRPr="004A2C70">
        <w:rPr>
          <w:color w:val="auto"/>
        </w:rPr>
        <w:t xml:space="preserve"> </w:t>
      </w:r>
      <w:r w:rsidR="003C2E44" w:rsidRPr="00396D0D">
        <w:rPr>
          <w:color w:val="auto"/>
        </w:rPr>
        <w:t xml:space="preserve">For the full list of excipients, see </w:t>
      </w:r>
      <w:r w:rsidR="00433552">
        <w:rPr>
          <w:color w:val="auto"/>
        </w:rPr>
        <w:t xml:space="preserve">Section </w:t>
      </w:r>
      <w:r w:rsidR="00433552" w:rsidRPr="00433552">
        <w:rPr>
          <w:color w:val="0000FF"/>
        </w:rPr>
        <w:fldChar w:fldCharType="begin"/>
      </w:r>
      <w:r w:rsidR="00433552" w:rsidRPr="00433552">
        <w:rPr>
          <w:color w:val="0000FF"/>
        </w:rPr>
        <w:instrText xml:space="preserve"> REF _Ref524373876 \r \h  \* MERGEFORMAT </w:instrText>
      </w:r>
      <w:r w:rsidR="00433552" w:rsidRPr="00433552">
        <w:rPr>
          <w:color w:val="0000FF"/>
        </w:rPr>
      </w:r>
      <w:r w:rsidR="00433552" w:rsidRPr="00433552">
        <w:rPr>
          <w:color w:val="0000FF"/>
        </w:rPr>
        <w:fldChar w:fldCharType="separate"/>
      </w:r>
      <w:r w:rsidR="00EA3D29">
        <w:rPr>
          <w:color w:val="0000FF"/>
        </w:rPr>
        <w:t>6.1</w:t>
      </w:r>
      <w:r w:rsidR="00433552" w:rsidRPr="00433552">
        <w:rPr>
          <w:color w:val="0000FF"/>
        </w:rPr>
        <w:fldChar w:fldCharType="end"/>
      </w:r>
      <w:r w:rsidR="00704C9A">
        <w:rPr>
          <w:color w:val="auto"/>
        </w:rPr>
        <w:t>-</w:t>
      </w:r>
      <w:r w:rsidR="003C2E44" w:rsidRPr="00396D0D">
        <w:rPr>
          <w:color w:val="auto"/>
        </w:rPr>
        <w:t xml:space="preserve"> </w:t>
      </w:r>
      <w:r w:rsidR="004C556E" w:rsidRPr="00FA5E03">
        <w:rPr>
          <w:color w:val="auto"/>
        </w:rPr>
        <w:t>LIST OF EXCIPIENTS</w:t>
      </w:r>
      <w:r w:rsidR="00851B8E" w:rsidRPr="00FA5E03">
        <w:rPr>
          <w:color w:val="auto"/>
        </w:rPr>
        <w:t>.</w:t>
      </w:r>
    </w:p>
    <w:p w:rsidR="000E1A58" w:rsidRPr="00717E34" w:rsidRDefault="000E1A58" w:rsidP="000E1A58">
      <w:pPr>
        <w:pStyle w:val="wcpTableContent"/>
        <w:spacing w:before="120" w:after="0"/>
        <w:jc w:val="both"/>
        <w:rPr>
          <w:lang w:val="en-AU"/>
        </w:rPr>
      </w:pPr>
    </w:p>
    <w:p w:rsidR="001A3992" w:rsidRDefault="001A3992" w:rsidP="00024098">
      <w:pPr>
        <w:pStyle w:val="Heading1"/>
        <w:keepNext w:val="0"/>
        <w:pageBreakBefore w:val="0"/>
        <w:spacing w:before="0" w:after="120"/>
        <w:rPr>
          <w:lang w:val="en-AU"/>
        </w:rPr>
      </w:pPr>
      <w:r w:rsidRPr="00717E34">
        <w:rPr>
          <w:lang w:val="en-AU"/>
        </w:rPr>
        <w:t>Pharmaceutical form</w:t>
      </w:r>
    </w:p>
    <w:p w:rsidR="00AB184E" w:rsidRPr="00A23734" w:rsidRDefault="00AB184E" w:rsidP="00AB184E">
      <w:pPr>
        <w:rPr>
          <w:color w:val="auto"/>
          <w:lang w:val="en-AU"/>
        </w:rPr>
      </w:pPr>
      <w:r w:rsidRPr="00AB184E">
        <w:rPr>
          <w:lang w:val="en-AU"/>
        </w:rPr>
        <w:t>Kevzara solution for subcutaneous administration is supplied as a sterile, c</w:t>
      </w:r>
      <w:r w:rsidRPr="00B745E4">
        <w:rPr>
          <w:color w:val="auto"/>
          <w:lang w:val="en-AU"/>
        </w:rPr>
        <w:t>olo</w:t>
      </w:r>
      <w:r w:rsidR="00A87BDA" w:rsidRPr="00B745E4">
        <w:rPr>
          <w:color w:val="auto"/>
          <w:lang w:val="en-AU"/>
        </w:rPr>
        <w:t>u</w:t>
      </w:r>
      <w:r w:rsidRPr="00B745E4">
        <w:rPr>
          <w:color w:val="auto"/>
          <w:lang w:val="en-AU"/>
        </w:rPr>
        <w:t>rles</w:t>
      </w:r>
      <w:r w:rsidRPr="00AB184E">
        <w:rPr>
          <w:lang w:val="en-AU"/>
        </w:rPr>
        <w:t>s to pale yellow, preservative</w:t>
      </w:r>
      <w:r w:rsidRPr="00396D0D">
        <w:rPr>
          <w:color w:val="auto"/>
          <w:lang w:val="en-AU"/>
        </w:rPr>
        <w:t>-free liquid solution of approximately pH 6.0.</w:t>
      </w:r>
      <w:r w:rsidR="00105E09" w:rsidRPr="00396D0D">
        <w:rPr>
          <w:color w:val="auto"/>
          <w:lang w:val="en-AU"/>
        </w:rPr>
        <w:t xml:space="preserve"> It is supplied in a single-dose pre-filled syringe and single use pre-filled pen.</w:t>
      </w:r>
      <w:r w:rsidR="00A23734">
        <w:rPr>
          <w:color w:val="3333FF"/>
          <w:lang w:val="en-AU"/>
        </w:rPr>
        <w:t xml:space="preserve"> </w:t>
      </w:r>
    </w:p>
    <w:p w:rsidR="00CC1699" w:rsidRPr="00AE5799" w:rsidRDefault="00CC1699" w:rsidP="004F0E4A">
      <w:pPr>
        <w:rPr>
          <w:lang w:val="en-AU"/>
        </w:rPr>
      </w:pPr>
    </w:p>
    <w:p w:rsidR="001A3992" w:rsidRPr="00717E34" w:rsidRDefault="001A3992" w:rsidP="00292D82">
      <w:pPr>
        <w:pStyle w:val="Heading1"/>
        <w:keepNext w:val="0"/>
        <w:pageBreakBefore w:val="0"/>
        <w:spacing w:before="0" w:after="120"/>
        <w:rPr>
          <w:lang w:val="en-AU"/>
        </w:rPr>
      </w:pPr>
      <w:r w:rsidRPr="00717E34">
        <w:rPr>
          <w:lang w:val="en-AU"/>
        </w:rPr>
        <w:t>Clinical particulars</w:t>
      </w:r>
    </w:p>
    <w:p w:rsidR="001A3992" w:rsidRDefault="001A3992" w:rsidP="001A3992">
      <w:pPr>
        <w:pStyle w:val="Heading2"/>
        <w:spacing w:before="0" w:after="120"/>
        <w:rPr>
          <w:lang w:val="en-AU"/>
        </w:rPr>
      </w:pPr>
      <w:r w:rsidRPr="00717E34">
        <w:rPr>
          <w:lang w:val="en-AU"/>
        </w:rPr>
        <w:t xml:space="preserve">Therapeutic indications </w:t>
      </w:r>
    </w:p>
    <w:p w:rsidR="00105E09" w:rsidRDefault="00105E09" w:rsidP="00105E09">
      <w:pPr>
        <w:rPr>
          <w:color w:val="auto"/>
          <w:lang w:val="en-AU"/>
        </w:rPr>
      </w:pPr>
      <w:r w:rsidRPr="00396D0D">
        <w:rPr>
          <w:color w:val="auto"/>
          <w:lang w:val="en-AU"/>
        </w:rPr>
        <w:t>Kevzara in combination with non-biologic</w:t>
      </w:r>
      <w:r w:rsidR="00CC1699" w:rsidRPr="00396D0D">
        <w:rPr>
          <w:color w:val="auto"/>
          <w:lang w:val="en-AU"/>
        </w:rPr>
        <w:t>al</w:t>
      </w:r>
      <w:r w:rsidRPr="00396D0D">
        <w:rPr>
          <w:color w:val="auto"/>
          <w:lang w:val="en-AU"/>
        </w:rPr>
        <w:t xml:space="preserve"> Disease-Modifying Anti-Rheumatic Drugs (DMARDs) or as monotherapy is indicated for the treatment of moderate to severe </w:t>
      </w:r>
      <w:r w:rsidR="00CC1699" w:rsidRPr="00396D0D">
        <w:rPr>
          <w:color w:val="auto"/>
          <w:lang w:val="en-AU"/>
        </w:rPr>
        <w:t xml:space="preserve">active </w:t>
      </w:r>
      <w:r w:rsidRPr="00396D0D">
        <w:rPr>
          <w:color w:val="auto"/>
          <w:lang w:val="en-AU"/>
        </w:rPr>
        <w:t>Rheumatoid Arthritis in adult patients who have had an inadequate response or intolerance to one or more DMARDs.</w:t>
      </w:r>
    </w:p>
    <w:p w:rsidR="00EA3D29" w:rsidRPr="00EA3D29" w:rsidRDefault="00EA3D29" w:rsidP="00EA3D29">
      <w:pPr>
        <w:pStyle w:val="Heading2"/>
        <w:rPr>
          <w:lang w:val="en-AU"/>
        </w:rPr>
      </w:pPr>
      <w:r>
        <w:rPr>
          <w:lang w:val="en-AU"/>
        </w:rPr>
        <w:t>Dose and method of administration</w:t>
      </w:r>
      <w:r w:rsidRPr="00EA3D29">
        <w:rPr>
          <w:lang w:val="en-AU"/>
        </w:rPr>
        <w:t xml:space="preserve"> </w:t>
      </w:r>
    </w:p>
    <w:p w:rsidR="00105E09" w:rsidRPr="00105E09" w:rsidRDefault="00105E09" w:rsidP="00105E09">
      <w:pPr>
        <w:rPr>
          <w:rFonts w:ascii="Arial" w:hAnsi="Arial" w:cs="Arial"/>
          <w:b/>
          <w:sz w:val="20"/>
          <w:szCs w:val="20"/>
        </w:rPr>
      </w:pPr>
      <w:r w:rsidRPr="00105E09">
        <w:rPr>
          <w:rFonts w:ascii="Arial" w:hAnsi="Arial" w:cs="Arial"/>
          <w:b/>
          <w:sz w:val="20"/>
          <w:szCs w:val="20"/>
        </w:rPr>
        <w:t>GENERAL CONSIDERATIONS WHEN PRESCRIBING</w:t>
      </w:r>
    </w:p>
    <w:p w:rsidR="00105E09" w:rsidRPr="00105E09" w:rsidRDefault="00105E09" w:rsidP="00105E09">
      <w:pPr>
        <w:pStyle w:val="ListBulletLevel1"/>
        <w:rPr>
          <w:lang w:val="en-AU"/>
        </w:rPr>
      </w:pPr>
      <w:r w:rsidRPr="00105E09">
        <w:rPr>
          <w:lang w:val="en-AU"/>
        </w:rPr>
        <w:t>treatment should be initiated by physicians knowledgeable in the diagnosis and ma</w:t>
      </w:r>
      <w:r w:rsidRPr="00B745E4">
        <w:rPr>
          <w:color w:val="auto"/>
          <w:lang w:val="en-AU"/>
        </w:rPr>
        <w:t>n</w:t>
      </w:r>
      <w:r w:rsidR="00A255F5" w:rsidRPr="00B745E4">
        <w:rPr>
          <w:color w:val="auto"/>
          <w:lang w:val="en-AU"/>
        </w:rPr>
        <w:t>a</w:t>
      </w:r>
      <w:r w:rsidRPr="00B745E4">
        <w:rPr>
          <w:color w:val="auto"/>
          <w:lang w:val="en-AU"/>
        </w:rPr>
        <w:t>g</w:t>
      </w:r>
      <w:r w:rsidRPr="00105E09">
        <w:rPr>
          <w:lang w:val="en-AU"/>
        </w:rPr>
        <w:t>ement of RA, including experience in initiating treatment with biological therapies</w:t>
      </w:r>
    </w:p>
    <w:p w:rsidR="00105E09" w:rsidRPr="00105E09" w:rsidRDefault="00105E09" w:rsidP="00105E09">
      <w:pPr>
        <w:pStyle w:val="ListBulletLevel1"/>
        <w:rPr>
          <w:lang w:val="en-AU"/>
        </w:rPr>
      </w:pPr>
      <w:r w:rsidRPr="00105E09">
        <w:rPr>
          <w:lang w:val="en-AU"/>
        </w:rPr>
        <w:t>Kevzara subcutaneous injection is not intended for intravenous administration.</w:t>
      </w:r>
    </w:p>
    <w:p w:rsidR="00105E09" w:rsidRDefault="00105E09" w:rsidP="00105E09">
      <w:pPr>
        <w:pStyle w:val="ListBulletLevel1"/>
        <w:rPr>
          <w:lang w:val="en-AU"/>
        </w:rPr>
      </w:pPr>
      <w:r w:rsidRPr="00105E09">
        <w:rPr>
          <w:lang w:val="en-AU"/>
        </w:rPr>
        <w:t xml:space="preserve">the first dose of Kevzara </w:t>
      </w:r>
      <w:r w:rsidR="00CC1699" w:rsidRPr="00396D0D">
        <w:rPr>
          <w:color w:val="auto"/>
          <w:lang w:val="en-AU"/>
        </w:rPr>
        <w:t>must</w:t>
      </w:r>
      <w:r w:rsidRPr="00396D0D">
        <w:rPr>
          <w:color w:val="auto"/>
          <w:lang w:val="en-AU"/>
        </w:rPr>
        <w:t xml:space="preserve"> </w:t>
      </w:r>
      <w:r w:rsidR="00396D0D" w:rsidRPr="00396D0D">
        <w:rPr>
          <w:color w:val="auto"/>
          <w:lang w:val="en-AU"/>
        </w:rPr>
        <w:t>be administered</w:t>
      </w:r>
      <w:r w:rsidRPr="00396D0D">
        <w:rPr>
          <w:color w:val="auto"/>
          <w:lang w:val="en-AU"/>
        </w:rPr>
        <w:t xml:space="preserve"> under the</w:t>
      </w:r>
      <w:r w:rsidRPr="00105E09">
        <w:rPr>
          <w:lang w:val="en-AU"/>
        </w:rPr>
        <w:t xml:space="preserve"> supervision of a qualified healthcare professional, in a healthcare facility with necessary medical equipment, treatments and protocols sufficient to initiate the management of acute hypersensitivity reactions including anaphylaxis. The patient must be closely monitored during the injection and afterwards for a hypersensitivity reaction.</w:t>
      </w:r>
    </w:p>
    <w:p w:rsidR="00105E09" w:rsidRPr="00105E09" w:rsidRDefault="00105E09" w:rsidP="00105E09">
      <w:pPr>
        <w:pStyle w:val="ListBulletLevel1"/>
        <w:rPr>
          <w:lang w:val="en-AU"/>
        </w:rPr>
      </w:pPr>
      <w:r w:rsidRPr="00105E09">
        <w:rPr>
          <w:lang w:val="en-AU"/>
        </w:rPr>
        <w:lastRenderedPageBreak/>
        <w:t>Kevzara is intended for use under the guidance and supervision of the patient's treating physician. Patients and/or caregivers who have been trained on the preparation and</w:t>
      </w:r>
      <w:r>
        <w:rPr>
          <w:lang w:val="en-AU"/>
        </w:rPr>
        <w:t xml:space="preserve"> </w:t>
      </w:r>
      <w:r w:rsidRPr="00105E09">
        <w:rPr>
          <w:lang w:val="en-AU"/>
        </w:rPr>
        <w:t>administration of Kevzara according to the Instructions for use, may self-inject Kevzara if their treating physician determines that it is appropriate and is satisfied that the patient can safely self-inject in the home environment with medical follow-up if required.</w:t>
      </w:r>
    </w:p>
    <w:p w:rsidR="00105E09" w:rsidRPr="00105E09" w:rsidRDefault="00105E09" w:rsidP="00105E09">
      <w:pPr>
        <w:pStyle w:val="ListBulletLevel1"/>
        <w:numPr>
          <w:ilvl w:val="0"/>
          <w:numId w:val="29"/>
        </w:numPr>
        <w:rPr>
          <w:lang w:val="en-AU"/>
        </w:rPr>
      </w:pPr>
      <w:r w:rsidRPr="00105E09">
        <w:rPr>
          <w:lang w:val="en-AU"/>
        </w:rPr>
        <w:t>Do not initiate treatment with Kevzara in patients with an absolute neutrophil count (ANC) below 2000 per mm</w:t>
      </w:r>
      <w:r w:rsidRPr="00CA7E1A">
        <w:rPr>
          <w:vertAlign w:val="superscript"/>
          <w:lang w:val="en-AU"/>
        </w:rPr>
        <w:t>3</w:t>
      </w:r>
      <w:r w:rsidRPr="00105E09">
        <w:rPr>
          <w:lang w:val="en-AU"/>
        </w:rPr>
        <w:t>, platelet count below 150,000 per mm</w:t>
      </w:r>
      <w:r w:rsidRPr="00CA7E1A">
        <w:rPr>
          <w:vertAlign w:val="superscript"/>
          <w:lang w:val="en-AU"/>
        </w:rPr>
        <w:t>3</w:t>
      </w:r>
      <w:r w:rsidRPr="00105E09">
        <w:rPr>
          <w:lang w:val="en-AU"/>
        </w:rPr>
        <w:t>, or who have ALT or AST above 1.5 times the upper limit of normal (ULN).</w:t>
      </w:r>
    </w:p>
    <w:p w:rsidR="00105E09" w:rsidRPr="00105E09" w:rsidRDefault="00105E09" w:rsidP="00105E09">
      <w:pPr>
        <w:pStyle w:val="ListBulletLevel1"/>
        <w:numPr>
          <w:ilvl w:val="0"/>
          <w:numId w:val="29"/>
        </w:numPr>
        <w:rPr>
          <w:lang w:val="en-AU"/>
        </w:rPr>
      </w:pPr>
      <w:r w:rsidRPr="00105E09">
        <w:rPr>
          <w:lang w:val="en-AU"/>
        </w:rPr>
        <w:t>The concurrent use of Kevzara with biological DMARDs such as TNF antagonists, IL-1R antagonists, anti-CD20 monoclonal antibodies and selective co-stimulation modulators has not been studied. Avoid using Kevzara with biological DMARDs.</w:t>
      </w:r>
    </w:p>
    <w:p w:rsidR="00105E09" w:rsidRPr="00105E09" w:rsidRDefault="00105E09" w:rsidP="00105E09">
      <w:pPr>
        <w:pStyle w:val="ListBulletLevel1"/>
        <w:numPr>
          <w:ilvl w:val="0"/>
          <w:numId w:val="29"/>
        </w:numPr>
        <w:rPr>
          <w:lang w:val="en-AU"/>
        </w:rPr>
      </w:pPr>
      <w:r w:rsidRPr="00105E09">
        <w:rPr>
          <w:lang w:val="en-AU"/>
        </w:rPr>
        <w:t xml:space="preserve">In the absence of </w:t>
      </w:r>
      <w:r w:rsidRPr="00B745E4">
        <w:rPr>
          <w:color w:val="auto"/>
          <w:lang w:val="en-AU"/>
        </w:rPr>
        <w:t>compat</w:t>
      </w:r>
      <w:r w:rsidR="00A255F5" w:rsidRPr="00B745E4">
        <w:rPr>
          <w:color w:val="auto"/>
          <w:lang w:val="en-AU"/>
        </w:rPr>
        <w:t>i</w:t>
      </w:r>
      <w:r w:rsidRPr="00B745E4">
        <w:rPr>
          <w:color w:val="auto"/>
          <w:lang w:val="en-AU"/>
        </w:rPr>
        <w:t>bilit</w:t>
      </w:r>
      <w:r w:rsidRPr="00105E09">
        <w:rPr>
          <w:lang w:val="en-AU"/>
        </w:rPr>
        <w:t xml:space="preserve">y studies, this medicinal product must not be mixed with any other medicinal product.  </w:t>
      </w:r>
    </w:p>
    <w:p w:rsidR="00105E09" w:rsidRPr="00B745E4" w:rsidRDefault="00105E09" w:rsidP="00105E09">
      <w:pPr>
        <w:pStyle w:val="ListBulletLevel1"/>
        <w:numPr>
          <w:ilvl w:val="0"/>
          <w:numId w:val="29"/>
        </w:numPr>
        <w:rPr>
          <w:color w:val="auto"/>
          <w:lang w:val="en-AU"/>
        </w:rPr>
      </w:pPr>
      <w:r w:rsidRPr="00105E09">
        <w:rPr>
          <w:lang w:val="en-AU"/>
        </w:rPr>
        <w:t xml:space="preserve">Instruct patients to inform a healthcare professional if they experience symptoms of an allergic reaction before administering the next dose. Patients should seek </w:t>
      </w:r>
      <w:r w:rsidRPr="00B745E4">
        <w:rPr>
          <w:color w:val="auto"/>
          <w:lang w:val="en-AU"/>
        </w:rPr>
        <w:t xml:space="preserve">immediate medical attention if developing symptoms of serious allergic reactions [see </w:t>
      </w:r>
      <w:r w:rsidR="00433552">
        <w:rPr>
          <w:color w:val="auto"/>
          <w:lang w:val="en-AU"/>
        </w:rPr>
        <w:t xml:space="preserve">Section </w:t>
      </w:r>
      <w:r w:rsidR="00433552" w:rsidRPr="00433552">
        <w:rPr>
          <w:color w:val="0000FF"/>
          <w:lang w:val="en-AU"/>
        </w:rPr>
        <w:fldChar w:fldCharType="begin"/>
      </w:r>
      <w:r w:rsidR="00433552" w:rsidRPr="00433552">
        <w:rPr>
          <w:color w:val="0000FF"/>
          <w:lang w:val="en-AU"/>
        </w:rPr>
        <w:instrText xml:space="preserve"> REF _Ref524373802 \r \h  \* MERGEFORMAT </w:instrText>
      </w:r>
      <w:r w:rsidR="00433552" w:rsidRPr="00433552">
        <w:rPr>
          <w:color w:val="0000FF"/>
          <w:lang w:val="en-AU"/>
        </w:rPr>
      </w:r>
      <w:r w:rsidR="00433552" w:rsidRPr="00433552">
        <w:rPr>
          <w:color w:val="0000FF"/>
          <w:lang w:val="en-AU"/>
        </w:rPr>
        <w:fldChar w:fldCharType="separate"/>
      </w:r>
      <w:r w:rsidR="00EA3D29">
        <w:rPr>
          <w:color w:val="0000FF"/>
          <w:lang w:val="en-AU"/>
        </w:rPr>
        <w:t>4.4</w:t>
      </w:r>
      <w:r w:rsidR="00433552" w:rsidRPr="00433552">
        <w:rPr>
          <w:color w:val="0000FF"/>
          <w:lang w:val="en-AU"/>
        </w:rPr>
        <w:fldChar w:fldCharType="end"/>
      </w:r>
      <w:r w:rsidR="00DF3330" w:rsidRPr="00B745E4">
        <w:rPr>
          <w:color w:val="auto"/>
          <w:lang w:val="en-AU"/>
        </w:rPr>
        <w:t xml:space="preserve">- SPECIAL WARNINGS AND </w:t>
      </w:r>
      <w:r w:rsidRPr="00B745E4">
        <w:rPr>
          <w:color w:val="auto"/>
          <w:lang w:val="en-AU"/>
        </w:rPr>
        <w:t>PRECAUTIONS</w:t>
      </w:r>
      <w:r w:rsidR="00DF3330" w:rsidRPr="00B745E4">
        <w:rPr>
          <w:color w:val="auto"/>
          <w:lang w:val="en-AU"/>
        </w:rPr>
        <w:t xml:space="preserve"> FOR USE</w:t>
      </w:r>
      <w:r w:rsidRPr="00B745E4">
        <w:rPr>
          <w:color w:val="auto"/>
          <w:lang w:val="en-AU"/>
        </w:rPr>
        <w:t>].</w:t>
      </w:r>
    </w:p>
    <w:p w:rsidR="00105E09" w:rsidRPr="00396D0D" w:rsidRDefault="00105E09" w:rsidP="00105E09">
      <w:pPr>
        <w:pStyle w:val="ListBulletLevel1"/>
        <w:numPr>
          <w:ilvl w:val="0"/>
          <w:numId w:val="29"/>
        </w:numPr>
        <w:rPr>
          <w:color w:val="auto"/>
          <w:lang w:val="en-AU"/>
        </w:rPr>
      </w:pPr>
      <w:r w:rsidRPr="00396D0D">
        <w:rPr>
          <w:color w:val="auto"/>
          <w:lang w:val="en-AU"/>
        </w:rPr>
        <w:t xml:space="preserve">Product is for single use in one patient only. Discard any residue.  </w:t>
      </w:r>
    </w:p>
    <w:p w:rsidR="00105E09" w:rsidRDefault="00105E09" w:rsidP="00105E09">
      <w:pPr>
        <w:pStyle w:val="ListBulletLevel1"/>
        <w:numPr>
          <w:ilvl w:val="0"/>
          <w:numId w:val="0"/>
        </w:numPr>
        <w:ind w:left="720"/>
        <w:rPr>
          <w:lang w:val="en-AU"/>
        </w:rPr>
      </w:pPr>
    </w:p>
    <w:p w:rsidR="003B0D46" w:rsidRPr="00B745E4" w:rsidRDefault="00105E09" w:rsidP="00105E09">
      <w:pPr>
        <w:rPr>
          <w:rFonts w:ascii="Arial" w:hAnsi="Arial" w:cs="Arial"/>
          <w:b/>
          <w:color w:val="auto"/>
          <w:sz w:val="20"/>
          <w:szCs w:val="20"/>
        </w:rPr>
      </w:pPr>
      <w:r w:rsidRPr="00B745E4">
        <w:rPr>
          <w:rFonts w:ascii="Arial" w:hAnsi="Arial" w:cs="Arial"/>
          <w:b/>
          <w:color w:val="auto"/>
          <w:sz w:val="20"/>
          <w:szCs w:val="20"/>
        </w:rPr>
        <w:t>DOS</w:t>
      </w:r>
      <w:r w:rsidR="00E96081" w:rsidRPr="00B745E4">
        <w:rPr>
          <w:rFonts w:ascii="Arial" w:hAnsi="Arial" w:cs="Arial"/>
          <w:b/>
          <w:color w:val="auto"/>
          <w:sz w:val="20"/>
          <w:szCs w:val="20"/>
        </w:rPr>
        <w:t>AGE</w:t>
      </w:r>
    </w:p>
    <w:p w:rsidR="00105E09" w:rsidRPr="003B0D46" w:rsidRDefault="00105E09" w:rsidP="00105E09">
      <w:pPr>
        <w:rPr>
          <w:rFonts w:ascii="Arial" w:hAnsi="Arial" w:cs="Arial"/>
          <w:b/>
          <w:sz w:val="20"/>
          <w:szCs w:val="20"/>
        </w:rPr>
      </w:pPr>
      <w:r w:rsidRPr="00105E09">
        <w:t xml:space="preserve">Kevzara </w:t>
      </w:r>
      <w:r w:rsidRPr="00396D0D">
        <w:rPr>
          <w:color w:val="auto"/>
        </w:rPr>
        <w:t>may be used as monotherapy or in</w:t>
      </w:r>
      <w:r w:rsidRPr="00105E09">
        <w:t xml:space="preserve"> combination with methotrexate (MTX) or other non-biological DMARDs as a subcutaneous injection.</w:t>
      </w:r>
    </w:p>
    <w:p w:rsidR="00105E09" w:rsidRPr="00396D0D" w:rsidRDefault="00105E09" w:rsidP="00105E09">
      <w:pPr>
        <w:rPr>
          <w:color w:val="auto"/>
        </w:rPr>
      </w:pPr>
      <w:r w:rsidRPr="00396D0D">
        <w:rPr>
          <w:color w:val="auto"/>
        </w:rPr>
        <w:t>The recommended dose of Kevzara is 200 mg once every 2 weeks given as a subcutaneous injection.</w:t>
      </w:r>
    </w:p>
    <w:p w:rsidR="00105E09" w:rsidRDefault="00105E09" w:rsidP="00105E09">
      <w:r>
        <w:t>Reduction of dose from 200 mg once every 2 weeks to 150 mg once every 2 weeks is recommended for management of neutropenia, thrombocytopenia and elevated liver enzymes.</w:t>
      </w:r>
    </w:p>
    <w:p w:rsidR="00105E09" w:rsidRDefault="00105E09" w:rsidP="00105E09">
      <w:r>
        <w:t>If a patient develops a serious infection, interrupt treatment with Kevzara until the infection is controlled.</w:t>
      </w:r>
    </w:p>
    <w:p w:rsidR="00105E09" w:rsidRDefault="00105E09" w:rsidP="00105E09">
      <w:r>
        <w:t>Recommended dosage modifications in case of neutropenia, thrombocytopenia or liver enzyme elevations:</w:t>
      </w:r>
    </w:p>
    <w:p w:rsidR="00CF7724" w:rsidRDefault="00CF7724" w:rsidP="00105E09"/>
    <w:tbl>
      <w:tblPr>
        <w:tblW w:w="0" w:type="auto"/>
        <w:jc w:val="center"/>
        <w:tblInd w:w="-108" w:type="dxa"/>
        <w:tblBorders>
          <w:top w:val="single" w:sz="2" w:space="0" w:color="000000"/>
        </w:tblBorders>
        <w:tblLook w:val="04A0" w:firstRow="1" w:lastRow="0" w:firstColumn="1" w:lastColumn="0" w:noHBand="0" w:noVBand="1"/>
      </w:tblPr>
      <w:tblGrid>
        <w:gridCol w:w="1996"/>
        <w:gridCol w:w="8080"/>
      </w:tblGrid>
      <w:tr w:rsidR="00CF7724" w:rsidRPr="0031451C" w:rsidTr="00B9459B">
        <w:trPr>
          <w:cantSplit/>
          <w:trHeight w:val="64"/>
          <w:tblHeader/>
          <w:jc w:val="center"/>
        </w:trPr>
        <w:tc>
          <w:tcPr>
            <w:tcW w:w="0" w:type="auto"/>
            <w:gridSpan w:val="2"/>
            <w:tcBorders>
              <w:top w:val="single" w:sz="4" w:space="0" w:color="000000"/>
              <w:bottom w:val="single" w:sz="4" w:space="0" w:color="000000"/>
            </w:tcBorders>
            <w:shd w:val="clear" w:color="auto" w:fill="auto"/>
          </w:tcPr>
          <w:p w:rsidR="00CF7724" w:rsidRPr="00B745E4" w:rsidRDefault="00CF7724" w:rsidP="00433552">
            <w:pPr>
              <w:pStyle w:val="TblHeadingCenter"/>
            </w:pPr>
            <w:r w:rsidRPr="00B745E4">
              <w:t xml:space="preserve">Low Absolute Neutrophil Count (ANC) [see </w:t>
            </w:r>
            <w:r w:rsidR="00433552">
              <w:t xml:space="preserve">Section </w:t>
            </w:r>
            <w:r w:rsidR="00433552" w:rsidRPr="00433552">
              <w:rPr>
                <w:color w:val="0000FF"/>
              </w:rPr>
              <w:fldChar w:fldCharType="begin"/>
            </w:r>
            <w:r w:rsidR="00433552" w:rsidRPr="00433552">
              <w:rPr>
                <w:color w:val="0000FF"/>
              </w:rPr>
              <w:instrText xml:space="preserve"> REF _Ref524373802 \r \h  \* MERGEFORMAT </w:instrText>
            </w:r>
            <w:r w:rsidR="00433552" w:rsidRPr="00433552">
              <w:rPr>
                <w:color w:val="0000FF"/>
              </w:rPr>
            </w:r>
            <w:r w:rsidR="00433552" w:rsidRPr="00433552">
              <w:rPr>
                <w:color w:val="0000FF"/>
              </w:rPr>
              <w:fldChar w:fldCharType="separate"/>
            </w:r>
            <w:r w:rsidR="00EA3D29">
              <w:rPr>
                <w:color w:val="0000FF"/>
              </w:rPr>
              <w:t>4.4</w:t>
            </w:r>
            <w:r w:rsidR="00433552" w:rsidRPr="00433552">
              <w:rPr>
                <w:color w:val="0000FF"/>
              </w:rPr>
              <w:fldChar w:fldCharType="end"/>
            </w:r>
            <w:r w:rsidR="00DF3330" w:rsidRPr="00B745E4">
              <w:t xml:space="preserve">-SPECIAL WARNINGS AND </w:t>
            </w:r>
            <w:r w:rsidRPr="00B745E4">
              <w:t xml:space="preserve">PRECAUTIONS </w:t>
            </w:r>
            <w:r w:rsidR="00DF3330" w:rsidRPr="00B745E4">
              <w:t xml:space="preserve">FOR USE </w:t>
            </w:r>
            <w:r w:rsidRPr="00B745E4">
              <w:t>and</w:t>
            </w:r>
            <w:r w:rsidR="004C556E">
              <w:t xml:space="preserve"> </w:t>
            </w:r>
            <w:r w:rsidR="00433552">
              <w:t xml:space="preserve">Section </w:t>
            </w:r>
            <w:r w:rsidR="00433552" w:rsidRPr="00433552">
              <w:rPr>
                <w:color w:val="0000FF"/>
              </w:rPr>
              <w:fldChar w:fldCharType="begin"/>
            </w:r>
            <w:r w:rsidR="00433552" w:rsidRPr="00433552">
              <w:rPr>
                <w:color w:val="0000FF"/>
              </w:rPr>
              <w:instrText xml:space="preserve"> REF _Ref524373961 \r \h  \* MERGEFORMAT </w:instrText>
            </w:r>
            <w:r w:rsidR="00433552" w:rsidRPr="00433552">
              <w:rPr>
                <w:color w:val="0000FF"/>
              </w:rPr>
            </w:r>
            <w:r w:rsidR="00433552" w:rsidRPr="00433552">
              <w:rPr>
                <w:color w:val="0000FF"/>
              </w:rPr>
              <w:fldChar w:fldCharType="separate"/>
            </w:r>
            <w:r w:rsidR="00EA3D29">
              <w:rPr>
                <w:color w:val="0000FF"/>
              </w:rPr>
              <w:t>5</w:t>
            </w:r>
            <w:r w:rsidR="00433552" w:rsidRPr="00433552">
              <w:rPr>
                <w:color w:val="0000FF"/>
              </w:rPr>
              <w:fldChar w:fldCharType="end"/>
            </w:r>
            <w:r w:rsidR="00DF3330" w:rsidRPr="00B745E4">
              <w:t xml:space="preserve">- </w:t>
            </w:r>
            <w:r w:rsidRPr="00B745E4">
              <w:t>PHARMACOLOG</w:t>
            </w:r>
            <w:r w:rsidR="00DF3330" w:rsidRPr="00B745E4">
              <w:t>ICAL PROPERTIES</w:t>
            </w:r>
            <w:r w:rsidRPr="00B745E4">
              <w:t>]</w:t>
            </w:r>
          </w:p>
        </w:tc>
      </w:tr>
      <w:tr w:rsidR="00DF3330" w:rsidRPr="0031451C" w:rsidTr="00B9459B">
        <w:trPr>
          <w:cantSplit/>
          <w:jc w:val="center"/>
        </w:trPr>
        <w:tc>
          <w:tcPr>
            <w:tcW w:w="0" w:type="auto"/>
            <w:tcBorders>
              <w:top w:val="single" w:sz="4" w:space="0" w:color="000000"/>
              <w:bottom w:val="single" w:sz="4" w:space="0" w:color="auto"/>
            </w:tcBorders>
            <w:shd w:val="clear" w:color="auto" w:fill="auto"/>
          </w:tcPr>
          <w:p w:rsidR="00CF7724" w:rsidRPr="00897F6D" w:rsidRDefault="00CF7724" w:rsidP="00B9459B">
            <w:pPr>
              <w:pStyle w:val="TblTextCenter"/>
              <w:jc w:val="left"/>
              <w:rPr>
                <w:b/>
              </w:rPr>
            </w:pPr>
            <w:r w:rsidRPr="00897F6D">
              <w:rPr>
                <w:b/>
              </w:rPr>
              <w:t>Lab Value (cells/mm</w:t>
            </w:r>
            <w:r w:rsidRPr="00CA7E1A">
              <w:rPr>
                <w:b/>
                <w:vertAlign w:val="superscript"/>
              </w:rPr>
              <w:t>3</w:t>
            </w:r>
            <w:r w:rsidRPr="00897F6D">
              <w:rPr>
                <w:b/>
              </w:rPr>
              <w:t>)</w:t>
            </w:r>
          </w:p>
        </w:tc>
        <w:tc>
          <w:tcPr>
            <w:tcW w:w="0" w:type="auto"/>
            <w:tcBorders>
              <w:top w:val="single" w:sz="4" w:space="0" w:color="000000"/>
              <w:bottom w:val="single" w:sz="4" w:space="0" w:color="auto"/>
            </w:tcBorders>
            <w:shd w:val="clear" w:color="auto" w:fill="auto"/>
          </w:tcPr>
          <w:p w:rsidR="00CF7724" w:rsidRPr="00897F6D" w:rsidRDefault="00CF7724" w:rsidP="00B9459B">
            <w:pPr>
              <w:pStyle w:val="TblTextCenter"/>
              <w:jc w:val="left"/>
              <w:rPr>
                <w:b/>
              </w:rPr>
            </w:pPr>
            <w:r w:rsidRPr="00897F6D">
              <w:rPr>
                <w:b/>
              </w:rPr>
              <w:t xml:space="preserve">Recommendation </w:t>
            </w:r>
          </w:p>
        </w:tc>
      </w:tr>
      <w:tr w:rsidR="00DF3330" w:rsidRPr="0031451C" w:rsidTr="00B9459B">
        <w:trPr>
          <w:cantSplit/>
          <w:jc w:val="center"/>
        </w:trPr>
        <w:tc>
          <w:tcPr>
            <w:tcW w:w="0" w:type="auto"/>
            <w:tcBorders>
              <w:top w:val="single" w:sz="4" w:space="0" w:color="auto"/>
            </w:tcBorders>
            <w:shd w:val="clear" w:color="auto" w:fill="auto"/>
          </w:tcPr>
          <w:p w:rsidR="00CF7724" w:rsidRPr="00897F6D" w:rsidRDefault="00CF7724" w:rsidP="00B9459B">
            <w:pPr>
              <w:pStyle w:val="TblTextCenter"/>
              <w:jc w:val="left"/>
            </w:pPr>
            <w:r w:rsidRPr="00897F6D">
              <w:t xml:space="preserve">ANC greater than 1000 </w:t>
            </w:r>
          </w:p>
        </w:tc>
        <w:tc>
          <w:tcPr>
            <w:tcW w:w="0" w:type="auto"/>
            <w:tcBorders>
              <w:top w:val="single" w:sz="4" w:space="0" w:color="auto"/>
            </w:tcBorders>
            <w:shd w:val="clear" w:color="auto" w:fill="auto"/>
          </w:tcPr>
          <w:p w:rsidR="00CF7724" w:rsidRPr="00897F6D" w:rsidRDefault="00CF7724" w:rsidP="00B9459B">
            <w:pPr>
              <w:pStyle w:val="TblTextCenter"/>
              <w:jc w:val="left"/>
            </w:pPr>
            <w:r w:rsidRPr="00897F6D">
              <w:t>Maintain current dose of KEVZARA</w:t>
            </w:r>
          </w:p>
        </w:tc>
      </w:tr>
      <w:tr w:rsidR="00DF3330" w:rsidRPr="0031451C" w:rsidTr="00B9459B">
        <w:trPr>
          <w:cantSplit/>
          <w:jc w:val="center"/>
        </w:trPr>
        <w:tc>
          <w:tcPr>
            <w:tcW w:w="0" w:type="auto"/>
            <w:shd w:val="clear" w:color="auto" w:fill="auto"/>
          </w:tcPr>
          <w:p w:rsidR="00CF7724" w:rsidRPr="00897F6D" w:rsidRDefault="00CF7724" w:rsidP="00B9459B">
            <w:pPr>
              <w:pStyle w:val="TblTextCenter"/>
              <w:jc w:val="left"/>
            </w:pPr>
            <w:r w:rsidRPr="00897F6D">
              <w:t>ANC 500-1000</w:t>
            </w:r>
          </w:p>
          <w:p w:rsidR="00CF7724" w:rsidRPr="00897F6D" w:rsidRDefault="00CF7724" w:rsidP="00B9459B">
            <w:pPr>
              <w:pStyle w:val="TblTextCenter"/>
              <w:jc w:val="left"/>
            </w:pPr>
            <w:r w:rsidRPr="00897F6D">
              <w:t>(0.5-1 x 109/l)</w:t>
            </w:r>
          </w:p>
        </w:tc>
        <w:tc>
          <w:tcPr>
            <w:tcW w:w="0" w:type="auto"/>
            <w:shd w:val="clear" w:color="auto" w:fill="auto"/>
          </w:tcPr>
          <w:p w:rsidR="00CF7724" w:rsidRPr="00897F6D" w:rsidRDefault="00CF7724" w:rsidP="00B9459B">
            <w:pPr>
              <w:pStyle w:val="TblTextCenter"/>
              <w:jc w:val="left"/>
            </w:pPr>
            <w:r>
              <w:t>Interrupt</w:t>
            </w:r>
            <w:r w:rsidRPr="00897F6D">
              <w:t xml:space="preserve"> treatment with KEVZARA until &gt;1000.  </w:t>
            </w:r>
          </w:p>
          <w:p w:rsidR="00CF7724" w:rsidRPr="00897F6D" w:rsidRDefault="00CF7724" w:rsidP="00B9459B">
            <w:pPr>
              <w:pStyle w:val="TblTextCenter"/>
              <w:jc w:val="left"/>
            </w:pPr>
            <w:r w:rsidRPr="00897F6D">
              <w:t>KEVZARA can then be resumed at 150 mg every 2 weeks and increased to 200 mg every 2 weeks as clinically appropriate.</w:t>
            </w:r>
          </w:p>
        </w:tc>
      </w:tr>
      <w:tr w:rsidR="00DF3330" w:rsidRPr="0031451C" w:rsidTr="00B9459B">
        <w:trPr>
          <w:cantSplit/>
          <w:jc w:val="center"/>
        </w:trPr>
        <w:tc>
          <w:tcPr>
            <w:tcW w:w="0" w:type="auto"/>
            <w:tcBorders>
              <w:bottom w:val="single" w:sz="12" w:space="0" w:color="auto"/>
            </w:tcBorders>
            <w:shd w:val="clear" w:color="auto" w:fill="auto"/>
          </w:tcPr>
          <w:p w:rsidR="00CF7724" w:rsidRPr="00897F6D" w:rsidRDefault="00CF7724" w:rsidP="00B9459B">
            <w:pPr>
              <w:pStyle w:val="TblTextCenter"/>
              <w:jc w:val="left"/>
            </w:pPr>
            <w:r w:rsidRPr="00897F6D">
              <w:t>ANC less than 500</w:t>
            </w:r>
          </w:p>
        </w:tc>
        <w:tc>
          <w:tcPr>
            <w:tcW w:w="0" w:type="auto"/>
            <w:tcBorders>
              <w:bottom w:val="single" w:sz="12" w:space="0" w:color="auto"/>
            </w:tcBorders>
            <w:shd w:val="clear" w:color="auto" w:fill="auto"/>
          </w:tcPr>
          <w:p w:rsidR="00CF7724" w:rsidRPr="00897F6D" w:rsidRDefault="00CF7724" w:rsidP="00B9459B">
            <w:pPr>
              <w:pStyle w:val="TblTextCenter"/>
              <w:jc w:val="left"/>
            </w:pPr>
            <w:r w:rsidRPr="00897F6D">
              <w:t>Discontinue KEVZARA</w:t>
            </w:r>
          </w:p>
        </w:tc>
      </w:tr>
      <w:tr w:rsidR="00CF7724" w:rsidRPr="0031451C" w:rsidTr="00B9459B">
        <w:trPr>
          <w:cantSplit/>
          <w:jc w:val="center"/>
        </w:trPr>
        <w:tc>
          <w:tcPr>
            <w:tcW w:w="0" w:type="auto"/>
            <w:gridSpan w:val="2"/>
            <w:tcBorders>
              <w:top w:val="single" w:sz="12" w:space="0" w:color="auto"/>
            </w:tcBorders>
            <w:shd w:val="clear" w:color="auto" w:fill="auto"/>
          </w:tcPr>
          <w:p w:rsidR="00CF7724" w:rsidRDefault="00CF7724" w:rsidP="00B9459B">
            <w:pPr>
              <w:pStyle w:val="TblFigFootnote"/>
            </w:pPr>
          </w:p>
        </w:tc>
      </w:tr>
    </w:tbl>
    <w:p w:rsidR="00105E09" w:rsidRDefault="00105E09" w:rsidP="00CF7724">
      <w:pPr>
        <w:spacing w:before="0"/>
        <w:jc w:val="center"/>
      </w:pPr>
    </w:p>
    <w:tbl>
      <w:tblPr>
        <w:tblW w:w="0" w:type="auto"/>
        <w:jc w:val="center"/>
        <w:tblInd w:w="-108" w:type="dxa"/>
        <w:tblBorders>
          <w:top w:val="single" w:sz="2" w:space="0" w:color="000000"/>
        </w:tblBorders>
        <w:tblLook w:val="04A0" w:firstRow="1" w:lastRow="0" w:firstColumn="1" w:lastColumn="0" w:noHBand="0" w:noVBand="1"/>
      </w:tblPr>
      <w:tblGrid>
        <w:gridCol w:w="1932"/>
        <w:gridCol w:w="8144"/>
      </w:tblGrid>
      <w:tr w:rsidR="00CF7724" w:rsidRPr="00B745E4" w:rsidTr="00B9459B">
        <w:trPr>
          <w:cantSplit/>
          <w:tblHeader/>
          <w:jc w:val="center"/>
        </w:trPr>
        <w:tc>
          <w:tcPr>
            <w:tcW w:w="0" w:type="auto"/>
            <w:gridSpan w:val="2"/>
            <w:tcBorders>
              <w:top w:val="single" w:sz="4" w:space="0" w:color="000000"/>
              <w:bottom w:val="single" w:sz="4" w:space="0" w:color="000000"/>
            </w:tcBorders>
            <w:shd w:val="clear" w:color="auto" w:fill="auto"/>
          </w:tcPr>
          <w:p w:rsidR="00CF7724" w:rsidRPr="00B745E4" w:rsidRDefault="00CF7724" w:rsidP="00FA5E03">
            <w:pPr>
              <w:pStyle w:val="TblHeadingCenter"/>
            </w:pPr>
            <w:r w:rsidRPr="00B745E4">
              <w:lastRenderedPageBreak/>
              <w:t xml:space="preserve">Low Platelet Count [see </w:t>
            </w:r>
            <w:r w:rsidR="00433552">
              <w:t xml:space="preserve">Section </w:t>
            </w:r>
            <w:r w:rsidR="00433552" w:rsidRPr="00433552">
              <w:rPr>
                <w:color w:val="0000FF"/>
              </w:rPr>
              <w:fldChar w:fldCharType="begin"/>
            </w:r>
            <w:r w:rsidR="00433552" w:rsidRPr="00433552">
              <w:rPr>
                <w:color w:val="0000FF"/>
              </w:rPr>
              <w:instrText xml:space="preserve"> REF _Ref524373802 \r \h  \* MERGEFORMAT </w:instrText>
            </w:r>
            <w:r w:rsidR="00433552" w:rsidRPr="00433552">
              <w:rPr>
                <w:color w:val="0000FF"/>
              </w:rPr>
            </w:r>
            <w:r w:rsidR="00433552" w:rsidRPr="00433552">
              <w:rPr>
                <w:color w:val="0000FF"/>
              </w:rPr>
              <w:fldChar w:fldCharType="separate"/>
            </w:r>
            <w:r w:rsidR="00EA3D29">
              <w:rPr>
                <w:color w:val="0000FF"/>
              </w:rPr>
              <w:t>4.4</w:t>
            </w:r>
            <w:r w:rsidR="00433552" w:rsidRPr="00433552">
              <w:rPr>
                <w:color w:val="0000FF"/>
              </w:rPr>
              <w:fldChar w:fldCharType="end"/>
            </w:r>
            <w:r w:rsidR="00A87B7A" w:rsidRPr="00B745E4">
              <w:t xml:space="preserve">-SPECIAL WARNINGS AND </w:t>
            </w:r>
            <w:r w:rsidRPr="00B745E4">
              <w:t>PRECAUTIONS</w:t>
            </w:r>
            <w:r w:rsidR="00A87B7A" w:rsidRPr="00B745E4">
              <w:t xml:space="preserve"> FOR USE </w:t>
            </w:r>
            <w:r w:rsidRPr="00B745E4">
              <w:t xml:space="preserve">and </w:t>
            </w:r>
            <w:r w:rsidR="00433552">
              <w:t xml:space="preserve">Section </w:t>
            </w:r>
            <w:r w:rsidR="00433552" w:rsidRPr="00433552">
              <w:rPr>
                <w:color w:val="0000FF"/>
              </w:rPr>
              <w:fldChar w:fldCharType="begin"/>
            </w:r>
            <w:r w:rsidR="00433552" w:rsidRPr="00433552">
              <w:rPr>
                <w:color w:val="0000FF"/>
              </w:rPr>
              <w:instrText xml:space="preserve"> REF _Ref524373961 \r \h  \* MERGEFORMAT </w:instrText>
            </w:r>
            <w:r w:rsidR="00433552" w:rsidRPr="00433552">
              <w:rPr>
                <w:color w:val="0000FF"/>
              </w:rPr>
            </w:r>
            <w:r w:rsidR="00433552" w:rsidRPr="00433552">
              <w:rPr>
                <w:color w:val="0000FF"/>
              </w:rPr>
              <w:fldChar w:fldCharType="separate"/>
            </w:r>
            <w:r w:rsidR="00EA3D29">
              <w:rPr>
                <w:color w:val="0000FF"/>
              </w:rPr>
              <w:t>5</w:t>
            </w:r>
            <w:r w:rsidR="00433552" w:rsidRPr="00433552">
              <w:rPr>
                <w:color w:val="0000FF"/>
              </w:rPr>
              <w:fldChar w:fldCharType="end"/>
            </w:r>
            <w:r w:rsidR="00A87B7A" w:rsidRPr="00B745E4">
              <w:t xml:space="preserve"> </w:t>
            </w:r>
            <w:r w:rsidRPr="00B745E4">
              <w:t>PHARMACOLOG</w:t>
            </w:r>
            <w:r w:rsidR="00A87B7A" w:rsidRPr="00B745E4">
              <w:t>ICAL PROPERTIES</w:t>
            </w:r>
            <w:r w:rsidRPr="00B745E4">
              <w:t xml:space="preserve">] </w:t>
            </w:r>
          </w:p>
        </w:tc>
      </w:tr>
      <w:tr w:rsidR="00B745E4" w:rsidRPr="00B745E4" w:rsidTr="00B9459B">
        <w:trPr>
          <w:cantSplit/>
          <w:jc w:val="center"/>
        </w:trPr>
        <w:tc>
          <w:tcPr>
            <w:tcW w:w="0" w:type="auto"/>
            <w:tcBorders>
              <w:top w:val="single" w:sz="4" w:space="0" w:color="000000"/>
              <w:bottom w:val="single" w:sz="4" w:space="0" w:color="auto"/>
            </w:tcBorders>
            <w:shd w:val="clear" w:color="auto" w:fill="auto"/>
          </w:tcPr>
          <w:p w:rsidR="00CF7724" w:rsidRPr="00B745E4" w:rsidRDefault="00CF7724" w:rsidP="00B9459B">
            <w:pPr>
              <w:pStyle w:val="TblTextCenter"/>
              <w:jc w:val="left"/>
              <w:rPr>
                <w:b/>
              </w:rPr>
            </w:pPr>
            <w:r w:rsidRPr="00B745E4">
              <w:rPr>
                <w:b/>
              </w:rPr>
              <w:t>Lab Value (cells/mm</w:t>
            </w:r>
            <w:r w:rsidRPr="00B745E4">
              <w:rPr>
                <w:b/>
                <w:vertAlign w:val="superscript"/>
              </w:rPr>
              <w:t>3</w:t>
            </w:r>
            <w:r w:rsidRPr="00B745E4">
              <w:rPr>
                <w:b/>
              </w:rPr>
              <w:t>)</w:t>
            </w:r>
          </w:p>
        </w:tc>
        <w:tc>
          <w:tcPr>
            <w:tcW w:w="0" w:type="auto"/>
            <w:tcBorders>
              <w:top w:val="single" w:sz="4" w:space="0" w:color="000000"/>
              <w:bottom w:val="single" w:sz="4" w:space="0" w:color="auto"/>
            </w:tcBorders>
            <w:shd w:val="clear" w:color="auto" w:fill="auto"/>
          </w:tcPr>
          <w:p w:rsidR="00CF7724" w:rsidRPr="00B745E4" w:rsidRDefault="00CF7724" w:rsidP="00B9459B">
            <w:pPr>
              <w:pStyle w:val="TblTextCenter"/>
              <w:jc w:val="left"/>
              <w:rPr>
                <w:b/>
              </w:rPr>
            </w:pPr>
            <w:r w:rsidRPr="00B745E4">
              <w:rPr>
                <w:b/>
              </w:rPr>
              <w:t xml:space="preserve">Recommendation </w:t>
            </w:r>
          </w:p>
        </w:tc>
      </w:tr>
      <w:tr w:rsidR="00B745E4" w:rsidRPr="00B745E4" w:rsidTr="00B9459B">
        <w:trPr>
          <w:cantSplit/>
          <w:jc w:val="center"/>
        </w:trPr>
        <w:tc>
          <w:tcPr>
            <w:tcW w:w="0" w:type="auto"/>
            <w:tcBorders>
              <w:top w:val="single" w:sz="4" w:space="0" w:color="auto"/>
            </w:tcBorders>
            <w:shd w:val="clear" w:color="auto" w:fill="auto"/>
          </w:tcPr>
          <w:p w:rsidR="00CF7724" w:rsidRPr="00B745E4" w:rsidRDefault="00CF7724" w:rsidP="00B9459B">
            <w:pPr>
              <w:pStyle w:val="TblTextCenter"/>
              <w:jc w:val="left"/>
            </w:pPr>
            <w:r w:rsidRPr="00B745E4">
              <w:t>50,000-100,000</w:t>
            </w:r>
          </w:p>
          <w:p w:rsidR="00CF7724" w:rsidRPr="00B745E4" w:rsidRDefault="00CF7724" w:rsidP="00B9459B">
            <w:pPr>
              <w:pStyle w:val="TblTextCenter"/>
              <w:jc w:val="left"/>
            </w:pPr>
          </w:p>
        </w:tc>
        <w:tc>
          <w:tcPr>
            <w:tcW w:w="0" w:type="auto"/>
            <w:tcBorders>
              <w:top w:val="single" w:sz="4" w:space="0" w:color="auto"/>
            </w:tcBorders>
            <w:shd w:val="clear" w:color="auto" w:fill="auto"/>
          </w:tcPr>
          <w:p w:rsidR="00CF7724" w:rsidRPr="00B745E4" w:rsidRDefault="00CF7724" w:rsidP="00B9459B">
            <w:pPr>
              <w:pStyle w:val="TblTextCenter"/>
              <w:jc w:val="left"/>
            </w:pPr>
            <w:r w:rsidRPr="00B745E4">
              <w:t xml:space="preserve">Interrupt treatment with KEVZARA until &gt;100,000.  </w:t>
            </w:r>
          </w:p>
          <w:p w:rsidR="00CF7724" w:rsidRPr="00B745E4" w:rsidRDefault="00CF7724" w:rsidP="00B9459B">
            <w:pPr>
              <w:pStyle w:val="TblTextCenter"/>
              <w:jc w:val="left"/>
            </w:pPr>
            <w:r w:rsidRPr="00B745E4">
              <w:t>KEVZARA can then be resumed at 150 mg every 2 weeks and increased to 200 mg every 2 weeks as clinically appropriate.</w:t>
            </w:r>
          </w:p>
        </w:tc>
      </w:tr>
      <w:tr w:rsidR="00B745E4" w:rsidRPr="00B745E4" w:rsidTr="00B9459B">
        <w:trPr>
          <w:cantSplit/>
          <w:jc w:val="center"/>
        </w:trPr>
        <w:tc>
          <w:tcPr>
            <w:tcW w:w="0" w:type="auto"/>
            <w:tcBorders>
              <w:bottom w:val="single" w:sz="12" w:space="0" w:color="auto"/>
            </w:tcBorders>
            <w:shd w:val="clear" w:color="auto" w:fill="auto"/>
          </w:tcPr>
          <w:p w:rsidR="00CF7724" w:rsidRPr="00B745E4" w:rsidRDefault="00CF7724" w:rsidP="00B9459B">
            <w:pPr>
              <w:pStyle w:val="TblTextCenter"/>
              <w:jc w:val="left"/>
            </w:pPr>
            <w:r w:rsidRPr="00B745E4">
              <w:t xml:space="preserve">Less than 50,000 </w:t>
            </w:r>
          </w:p>
        </w:tc>
        <w:tc>
          <w:tcPr>
            <w:tcW w:w="0" w:type="auto"/>
            <w:tcBorders>
              <w:bottom w:val="single" w:sz="12" w:space="0" w:color="auto"/>
            </w:tcBorders>
            <w:shd w:val="clear" w:color="auto" w:fill="auto"/>
          </w:tcPr>
          <w:p w:rsidR="00CF7724" w:rsidRPr="00B745E4" w:rsidRDefault="00CF7724" w:rsidP="00B9459B">
            <w:pPr>
              <w:pStyle w:val="TblTextCenter"/>
              <w:jc w:val="left"/>
            </w:pPr>
            <w:r w:rsidRPr="00B745E4">
              <w:t>If confirmed by repeat testing, discontinue KEVZARA</w:t>
            </w:r>
          </w:p>
        </w:tc>
      </w:tr>
      <w:tr w:rsidR="00CF7724" w:rsidRPr="00B745E4" w:rsidTr="00B9459B">
        <w:trPr>
          <w:cantSplit/>
          <w:jc w:val="center"/>
        </w:trPr>
        <w:tc>
          <w:tcPr>
            <w:tcW w:w="0" w:type="auto"/>
            <w:gridSpan w:val="2"/>
            <w:tcBorders>
              <w:top w:val="single" w:sz="12" w:space="0" w:color="auto"/>
            </w:tcBorders>
            <w:shd w:val="clear" w:color="auto" w:fill="auto"/>
          </w:tcPr>
          <w:p w:rsidR="00CF7724" w:rsidRPr="00B745E4" w:rsidRDefault="00CF7724" w:rsidP="00B9459B">
            <w:pPr>
              <w:pStyle w:val="TblFigFootnote"/>
            </w:pPr>
          </w:p>
        </w:tc>
      </w:tr>
    </w:tbl>
    <w:p w:rsidR="00CF7724" w:rsidRPr="00B745E4" w:rsidRDefault="00CF7724" w:rsidP="00CF7724">
      <w:pPr>
        <w:spacing w:before="0"/>
        <w:jc w:val="center"/>
        <w:rPr>
          <w:color w:val="auto"/>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808"/>
      </w:tblGrid>
      <w:tr w:rsidR="00CF7724" w:rsidRPr="00B745E4" w:rsidTr="00B9459B">
        <w:trPr>
          <w:cantSplit/>
          <w:tblHeader/>
          <w:jc w:val="center"/>
        </w:trPr>
        <w:tc>
          <w:tcPr>
            <w:tcW w:w="0" w:type="auto"/>
            <w:gridSpan w:val="2"/>
            <w:tcBorders>
              <w:top w:val="single" w:sz="4" w:space="0" w:color="auto"/>
              <w:left w:val="nil"/>
              <w:bottom w:val="single" w:sz="4" w:space="0" w:color="auto"/>
              <w:right w:val="nil"/>
            </w:tcBorders>
            <w:shd w:val="clear" w:color="auto" w:fill="auto"/>
          </w:tcPr>
          <w:p w:rsidR="00CF7724" w:rsidRPr="00B745E4" w:rsidRDefault="00CF7724" w:rsidP="00433552">
            <w:pPr>
              <w:pStyle w:val="TblHeadingCenter"/>
            </w:pPr>
            <w:r w:rsidRPr="00B745E4">
              <w:t>Liver Enzyme Abnormalities [see</w:t>
            </w:r>
            <w:r w:rsidR="00433552">
              <w:t xml:space="preserve">Section </w:t>
            </w:r>
            <w:r w:rsidR="00433552" w:rsidRPr="00433552">
              <w:rPr>
                <w:color w:val="0000FF"/>
              </w:rPr>
              <w:fldChar w:fldCharType="begin"/>
            </w:r>
            <w:r w:rsidR="00433552" w:rsidRPr="00433552">
              <w:rPr>
                <w:color w:val="0000FF"/>
              </w:rPr>
              <w:instrText xml:space="preserve"> REF _Ref524373802 \r \h  \* MERGEFORMAT </w:instrText>
            </w:r>
            <w:r w:rsidR="00433552" w:rsidRPr="00433552">
              <w:rPr>
                <w:color w:val="0000FF"/>
              </w:rPr>
            </w:r>
            <w:r w:rsidR="00433552" w:rsidRPr="00433552">
              <w:rPr>
                <w:color w:val="0000FF"/>
              </w:rPr>
              <w:fldChar w:fldCharType="separate"/>
            </w:r>
            <w:r w:rsidR="00EA3D29">
              <w:rPr>
                <w:color w:val="0000FF"/>
              </w:rPr>
              <w:t>4.4</w:t>
            </w:r>
            <w:r w:rsidR="00433552" w:rsidRPr="00433552">
              <w:rPr>
                <w:color w:val="0000FF"/>
              </w:rPr>
              <w:fldChar w:fldCharType="end"/>
            </w:r>
            <w:r w:rsidR="00A87B7A" w:rsidRPr="00B745E4">
              <w:t xml:space="preserve">-SPECIAL WARNINGS AND </w:t>
            </w:r>
            <w:r w:rsidRPr="00B745E4">
              <w:t>PRECAUTIONS</w:t>
            </w:r>
            <w:r w:rsidR="00A87B7A" w:rsidRPr="00B745E4">
              <w:t xml:space="preserve"> FOR USE</w:t>
            </w:r>
            <w:r w:rsidRPr="00B745E4">
              <w:t xml:space="preserve"> and </w:t>
            </w:r>
            <w:r w:rsidR="00433552">
              <w:t xml:space="preserve">Section </w:t>
            </w:r>
            <w:r w:rsidR="00433552" w:rsidRPr="00433552">
              <w:rPr>
                <w:color w:val="0000FF"/>
              </w:rPr>
              <w:fldChar w:fldCharType="begin"/>
            </w:r>
            <w:r w:rsidR="00433552" w:rsidRPr="00433552">
              <w:rPr>
                <w:color w:val="0000FF"/>
              </w:rPr>
              <w:instrText xml:space="preserve"> REF _Ref524373961 \r \h  \* MERGEFORMAT </w:instrText>
            </w:r>
            <w:r w:rsidR="00433552" w:rsidRPr="00433552">
              <w:rPr>
                <w:color w:val="0000FF"/>
              </w:rPr>
            </w:r>
            <w:r w:rsidR="00433552" w:rsidRPr="00433552">
              <w:rPr>
                <w:color w:val="0000FF"/>
              </w:rPr>
              <w:fldChar w:fldCharType="separate"/>
            </w:r>
            <w:r w:rsidR="00EA3D29">
              <w:rPr>
                <w:color w:val="0000FF"/>
              </w:rPr>
              <w:t>5</w:t>
            </w:r>
            <w:r w:rsidR="00433552" w:rsidRPr="00433552">
              <w:rPr>
                <w:color w:val="0000FF"/>
              </w:rPr>
              <w:fldChar w:fldCharType="end"/>
            </w:r>
            <w:r w:rsidR="00A87B7A" w:rsidRPr="00B745E4">
              <w:t>-</w:t>
            </w:r>
            <w:r w:rsidRPr="00B745E4">
              <w:t>PHARMACOLOG</w:t>
            </w:r>
            <w:r w:rsidR="00802AE4">
              <w:t>ICAL PR</w:t>
            </w:r>
            <w:r w:rsidR="00A87B7A" w:rsidRPr="00B745E4">
              <w:t>O</w:t>
            </w:r>
            <w:r w:rsidR="00802AE4" w:rsidRPr="00FA5E03">
              <w:t>P</w:t>
            </w:r>
            <w:r w:rsidR="00A87B7A" w:rsidRPr="00B745E4">
              <w:t>ERTIES</w:t>
            </w:r>
            <w:r w:rsidRPr="00B745E4">
              <w:t>]</w:t>
            </w:r>
          </w:p>
        </w:tc>
      </w:tr>
      <w:tr w:rsidR="00CF7724" w:rsidRPr="00897F6D" w:rsidTr="00B9459B">
        <w:trPr>
          <w:cantSplit/>
          <w:jc w:val="center"/>
        </w:trPr>
        <w:tc>
          <w:tcPr>
            <w:tcW w:w="2147" w:type="dxa"/>
            <w:tcBorders>
              <w:top w:val="single" w:sz="4" w:space="0" w:color="auto"/>
              <w:left w:val="nil"/>
              <w:bottom w:val="single" w:sz="4" w:space="0" w:color="auto"/>
              <w:right w:val="nil"/>
            </w:tcBorders>
            <w:shd w:val="clear" w:color="auto" w:fill="auto"/>
          </w:tcPr>
          <w:p w:rsidR="00CF7724" w:rsidRPr="00897F6D" w:rsidRDefault="00CF7724" w:rsidP="00B9459B">
            <w:pPr>
              <w:pStyle w:val="TblTextCenter"/>
              <w:jc w:val="left"/>
              <w:rPr>
                <w:b/>
              </w:rPr>
            </w:pPr>
            <w:r w:rsidRPr="00897F6D">
              <w:rPr>
                <w:b/>
              </w:rPr>
              <w:t xml:space="preserve">Lab Value </w:t>
            </w:r>
          </w:p>
        </w:tc>
        <w:tc>
          <w:tcPr>
            <w:tcW w:w="7646" w:type="dxa"/>
            <w:tcBorders>
              <w:top w:val="single" w:sz="4" w:space="0" w:color="auto"/>
              <w:left w:val="nil"/>
              <w:bottom w:val="single" w:sz="4" w:space="0" w:color="auto"/>
              <w:right w:val="nil"/>
            </w:tcBorders>
            <w:shd w:val="clear" w:color="auto" w:fill="auto"/>
          </w:tcPr>
          <w:p w:rsidR="00CF7724" w:rsidRPr="00897F6D" w:rsidRDefault="00CF7724" w:rsidP="00B9459B">
            <w:pPr>
              <w:pStyle w:val="TblTextCenter"/>
              <w:jc w:val="left"/>
              <w:rPr>
                <w:b/>
              </w:rPr>
            </w:pPr>
            <w:r w:rsidRPr="00897F6D">
              <w:rPr>
                <w:b/>
              </w:rPr>
              <w:t xml:space="preserve">Recommendation </w:t>
            </w:r>
          </w:p>
        </w:tc>
      </w:tr>
      <w:tr w:rsidR="00CF7724" w:rsidRPr="0031451C" w:rsidTr="00B9459B">
        <w:trPr>
          <w:cantSplit/>
          <w:jc w:val="center"/>
        </w:trPr>
        <w:tc>
          <w:tcPr>
            <w:tcW w:w="2147" w:type="dxa"/>
            <w:tcBorders>
              <w:top w:val="single" w:sz="4" w:space="0" w:color="auto"/>
              <w:left w:val="nil"/>
              <w:bottom w:val="nil"/>
              <w:right w:val="nil"/>
            </w:tcBorders>
            <w:shd w:val="clear" w:color="auto" w:fill="auto"/>
          </w:tcPr>
          <w:p w:rsidR="00CF7724" w:rsidRPr="00897F6D" w:rsidRDefault="00CF7724" w:rsidP="00B9459B">
            <w:pPr>
              <w:pStyle w:val="TblTextCenter"/>
              <w:jc w:val="left"/>
            </w:pPr>
            <w:r w:rsidRPr="00897F6D">
              <w:t xml:space="preserve">ALT &gt; 1 to ≤ 3 x </w:t>
            </w:r>
            <w:r>
              <w:t xml:space="preserve"> </w:t>
            </w:r>
            <w:r w:rsidRPr="00897F6D">
              <w:t>ULN</w:t>
            </w:r>
            <w:r>
              <w:t xml:space="preserve"> </w:t>
            </w:r>
          </w:p>
        </w:tc>
        <w:tc>
          <w:tcPr>
            <w:tcW w:w="7646" w:type="dxa"/>
            <w:tcBorders>
              <w:top w:val="single" w:sz="4" w:space="0" w:color="auto"/>
              <w:left w:val="nil"/>
              <w:bottom w:val="nil"/>
              <w:right w:val="nil"/>
            </w:tcBorders>
            <w:shd w:val="clear" w:color="auto" w:fill="auto"/>
          </w:tcPr>
          <w:p w:rsidR="00CF7724" w:rsidRPr="00897F6D" w:rsidRDefault="00CF7724" w:rsidP="00B9459B">
            <w:pPr>
              <w:pStyle w:val="TblTextCenter"/>
              <w:jc w:val="left"/>
            </w:pPr>
            <w:r w:rsidRPr="00897F6D">
              <w:t xml:space="preserve">Consider dose modification of concomitant DMARDs as clinically appropriate. </w:t>
            </w:r>
          </w:p>
        </w:tc>
      </w:tr>
      <w:tr w:rsidR="00CF7724" w:rsidRPr="0031451C" w:rsidTr="00B9459B">
        <w:trPr>
          <w:cantSplit/>
          <w:jc w:val="center"/>
        </w:trPr>
        <w:tc>
          <w:tcPr>
            <w:tcW w:w="2147" w:type="dxa"/>
            <w:tcBorders>
              <w:top w:val="nil"/>
              <w:left w:val="nil"/>
              <w:bottom w:val="nil"/>
              <w:right w:val="nil"/>
            </w:tcBorders>
            <w:shd w:val="clear" w:color="auto" w:fill="auto"/>
          </w:tcPr>
          <w:p w:rsidR="00CF7724" w:rsidRPr="00897F6D" w:rsidRDefault="00CF7724" w:rsidP="00B9459B">
            <w:pPr>
              <w:pStyle w:val="TblTextCenter"/>
              <w:jc w:val="left"/>
            </w:pPr>
            <w:r w:rsidRPr="00897F6D">
              <w:t>ALT &gt; 3 to ≤ 5 x ULN</w:t>
            </w:r>
          </w:p>
        </w:tc>
        <w:tc>
          <w:tcPr>
            <w:tcW w:w="7646" w:type="dxa"/>
            <w:tcBorders>
              <w:top w:val="nil"/>
              <w:left w:val="nil"/>
              <w:bottom w:val="nil"/>
              <w:right w:val="nil"/>
            </w:tcBorders>
            <w:shd w:val="clear" w:color="auto" w:fill="auto"/>
          </w:tcPr>
          <w:p w:rsidR="00CF7724" w:rsidRPr="00897F6D" w:rsidRDefault="00CF7724" w:rsidP="00B9459B">
            <w:pPr>
              <w:pStyle w:val="TblTextCenter"/>
              <w:jc w:val="left"/>
            </w:pPr>
            <w:r>
              <w:t>Hold treatment with KEVZARA</w:t>
            </w:r>
            <w:r w:rsidRPr="00897F6D">
              <w:t xml:space="preserve"> until &lt; 3 x ULN.   </w:t>
            </w:r>
          </w:p>
          <w:p w:rsidR="00CF7724" w:rsidRPr="00897F6D" w:rsidRDefault="00CF7724" w:rsidP="00B9459B">
            <w:pPr>
              <w:pStyle w:val="TblTextCenter"/>
              <w:jc w:val="left"/>
            </w:pPr>
            <w:r>
              <w:t>KEVZARA</w:t>
            </w:r>
            <w:r w:rsidRPr="00897F6D">
              <w:t xml:space="preserve"> can then be resumed at 150 mg every 2 weeks and increased to 200 mg every 2 weeks as clinically appropriate.</w:t>
            </w:r>
          </w:p>
        </w:tc>
      </w:tr>
      <w:tr w:rsidR="00CF7724" w:rsidRPr="0031451C" w:rsidTr="00B9459B">
        <w:trPr>
          <w:cantSplit/>
          <w:jc w:val="center"/>
        </w:trPr>
        <w:tc>
          <w:tcPr>
            <w:tcW w:w="2147" w:type="dxa"/>
            <w:tcBorders>
              <w:top w:val="nil"/>
              <w:left w:val="nil"/>
              <w:bottom w:val="single" w:sz="4" w:space="0" w:color="auto"/>
              <w:right w:val="nil"/>
            </w:tcBorders>
            <w:shd w:val="clear" w:color="auto" w:fill="auto"/>
          </w:tcPr>
          <w:p w:rsidR="00CF7724" w:rsidRPr="00897F6D" w:rsidRDefault="00CF7724" w:rsidP="00B9459B">
            <w:pPr>
              <w:pStyle w:val="TblTextCenter"/>
              <w:jc w:val="left"/>
            </w:pPr>
            <w:r w:rsidRPr="00897F6D">
              <w:t xml:space="preserve">ALT &gt; 5 x ULN </w:t>
            </w:r>
          </w:p>
        </w:tc>
        <w:tc>
          <w:tcPr>
            <w:tcW w:w="7646" w:type="dxa"/>
            <w:tcBorders>
              <w:top w:val="nil"/>
              <w:left w:val="nil"/>
              <w:bottom w:val="single" w:sz="4" w:space="0" w:color="auto"/>
              <w:right w:val="nil"/>
            </w:tcBorders>
            <w:shd w:val="clear" w:color="auto" w:fill="auto"/>
          </w:tcPr>
          <w:p w:rsidR="00CF7724" w:rsidRPr="00897F6D" w:rsidRDefault="00CF7724" w:rsidP="00B9459B">
            <w:pPr>
              <w:pStyle w:val="TblTextCenter"/>
              <w:jc w:val="left"/>
            </w:pPr>
            <w:r>
              <w:t>Discontinue KEVZARA</w:t>
            </w:r>
          </w:p>
        </w:tc>
      </w:tr>
      <w:tr w:rsidR="00CF7724" w:rsidRPr="0031451C" w:rsidTr="00B9459B">
        <w:trPr>
          <w:cantSplit/>
          <w:jc w:val="center"/>
        </w:trPr>
        <w:tc>
          <w:tcPr>
            <w:tcW w:w="0" w:type="auto"/>
            <w:gridSpan w:val="2"/>
            <w:tcBorders>
              <w:top w:val="single" w:sz="4" w:space="0" w:color="auto"/>
              <w:left w:val="nil"/>
              <w:bottom w:val="nil"/>
              <w:right w:val="nil"/>
            </w:tcBorders>
            <w:shd w:val="clear" w:color="auto" w:fill="auto"/>
          </w:tcPr>
          <w:p w:rsidR="00CF7724" w:rsidRPr="0031451C" w:rsidRDefault="00CF7724" w:rsidP="00B9459B">
            <w:pPr>
              <w:pStyle w:val="TblFigFootnote"/>
            </w:pPr>
          </w:p>
        </w:tc>
      </w:tr>
    </w:tbl>
    <w:p w:rsidR="001D0A3F" w:rsidRDefault="001D0A3F" w:rsidP="00105E09">
      <w:pPr>
        <w:spacing w:before="0"/>
        <w:rPr>
          <w:lang w:val="en-AU"/>
        </w:rPr>
      </w:pPr>
    </w:p>
    <w:p w:rsidR="001D0A3F" w:rsidRDefault="001D0A3F" w:rsidP="001D0A3F">
      <w:pPr>
        <w:rPr>
          <w:rFonts w:ascii="Arial" w:hAnsi="Arial" w:cs="Arial"/>
          <w:b/>
          <w:sz w:val="20"/>
          <w:szCs w:val="20"/>
        </w:rPr>
      </w:pPr>
      <w:r>
        <w:rPr>
          <w:rFonts w:ascii="Arial" w:hAnsi="Arial" w:cs="Arial"/>
          <w:b/>
          <w:sz w:val="20"/>
          <w:szCs w:val="20"/>
        </w:rPr>
        <w:t>TRACEABILITY</w:t>
      </w:r>
    </w:p>
    <w:p w:rsidR="001D0A3F" w:rsidRDefault="001D0A3F" w:rsidP="001D0A3F">
      <w:pPr>
        <w:spacing w:before="0"/>
        <w:rPr>
          <w:rFonts w:ascii="Arial" w:hAnsi="Arial" w:cs="Arial"/>
          <w:b/>
          <w:sz w:val="20"/>
          <w:szCs w:val="20"/>
        </w:rPr>
      </w:pPr>
    </w:p>
    <w:p w:rsidR="00CC1699" w:rsidRPr="00396D0D" w:rsidRDefault="001D0A3F" w:rsidP="001D0A3F">
      <w:pPr>
        <w:spacing w:before="0"/>
        <w:rPr>
          <w:color w:val="auto"/>
          <w:lang w:val="en-AU"/>
        </w:rPr>
      </w:pPr>
      <w:r w:rsidRPr="00396D0D">
        <w:rPr>
          <w:color w:val="auto"/>
          <w:lang w:val="en-AU"/>
        </w:rPr>
        <w:t xml:space="preserve">To ensure the traceability of any biological medicinal products, the trade-name </w:t>
      </w:r>
      <w:r w:rsidR="00CC1699" w:rsidRPr="00396D0D">
        <w:rPr>
          <w:color w:val="auto"/>
          <w:lang w:val="en-AU"/>
        </w:rPr>
        <w:t xml:space="preserve">and batch number </w:t>
      </w:r>
      <w:r w:rsidRPr="00396D0D">
        <w:rPr>
          <w:color w:val="auto"/>
          <w:lang w:val="en-AU"/>
        </w:rPr>
        <w:t xml:space="preserve">of the administered product should be clearly recorded in the patient medical record.  </w:t>
      </w:r>
    </w:p>
    <w:p w:rsidR="001D0A3F" w:rsidRDefault="001D0A3F" w:rsidP="001D0A3F">
      <w:pPr>
        <w:spacing w:before="0"/>
        <w:rPr>
          <w:color w:val="auto"/>
          <w:lang w:val="en-AU"/>
        </w:rPr>
      </w:pPr>
    </w:p>
    <w:p w:rsidR="00105E09" w:rsidRDefault="00105E09" w:rsidP="00105E09">
      <w:pPr>
        <w:rPr>
          <w:rFonts w:ascii="Arial" w:hAnsi="Arial" w:cs="Arial"/>
          <w:b/>
          <w:sz w:val="20"/>
          <w:szCs w:val="20"/>
        </w:rPr>
      </w:pPr>
      <w:r>
        <w:rPr>
          <w:rFonts w:ascii="Arial" w:hAnsi="Arial" w:cs="Arial"/>
          <w:b/>
          <w:sz w:val="20"/>
          <w:szCs w:val="20"/>
        </w:rPr>
        <w:t>INSTRUCTIONS FOR PATIENTS</w:t>
      </w:r>
    </w:p>
    <w:p w:rsidR="00105E09" w:rsidRDefault="00105E09" w:rsidP="00105E09">
      <w:r w:rsidRPr="00105E09">
        <w:t>Advise the patients to read the Consumer Medicine Information (CMI) and Instructions for Use.</w:t>
      </w:r>
    </w:p>
    <w:p w:rsidR="00105E09" w:rsidRPr="00D826E6" w:rsidRDefault="00105E09" w:rsidP="00105E09">
      <w:pPr>
        <w:rPr>
          <w:rFonts w:ascii="Arial" w:hAnsi="Arial" w:cs="Arial"/>
          <w:b/>
          <w:i/>
          <w:sz w:val="20"/>
          <w:szCs w:val="20"/>
        </w:rPr>
      </w:pPr>
      <w:r w:rsidRPr="00D826E6">
        <w:rPr>
          <w:rFonts w:ascii="Arial" w:hAnsi="Arial" w:cs="Arial"/>
          <w:b/>
          <w:i/>
          <w:sz w:val="20"/>
          <w:szCs w:val="20"/>
        </w:rPr>
        <w:t>General information and Instruction on Injection Technique:</w:t>
      </w:r>
    </w:p>
    <w:p w:rsidR="00D826E6" w:rsidRDefault="00D826E6" w:rsidP="00D826E6">
      <w:pPr>
        <w:rPr>
          <w:lang w:val="en-AU"/>
        </w:rPr>
      </w:pPr>
      <w:r w:rsidRPr="00D826E6">
        <w:rPr>
          <w:lang w:val="en-AU"/>
        </w:rPr>
        <w:t>Kevzara may be injected into the thigh, abdomen or upper arm and should not be injected into skin that is tender, broken, bruised or scarred. Injection sites should be rotated with each injection.</w:t>
      </w:r>
    </w:p>
    <w:p w:rsidR="00D826E6" w:rsidRPr="00396D0D" w:rsidRDefault="00D826E6" w:rsidP="00D826E6">
      <w:pPr>
        <w:rPr>
          <w:color w:val="auto"/>
          <w:lang w:val="en-AU"/>
        </w:rPr>
      </w:pPr>
      <w:r w:rsidRPr="00D826E6">
        <w:rPr>
          <w:lang w:val="en-AU"/>
        </w:rPr>
        <w:t>Parenteral drug products should be inspected visually for particulate matter and disc</w:t>
      </w:r>
      <w:r w:rsidRPr="00B745E4">
        <w:rPr>
          <w:color w:val="auto"/>
          <w:lang w:val="en-AU"/>
        </w:rPr>
        <w:t>olo</w:t>
      </w:r>
      <w:r w:rsidR="00A87BDA" w:rsidRPr="00B745E4">
        <w:rPr>
          <w:color w:val="auto"/>
          <w:lang w:val="en-AU"/>
        </w:rPr>
        <w:t>u</w:t>
      </w:r>
      <w:r w:rsidRPr="00B745E4">
        <w:rPr>
          <w:color w:val="auto"/>
          <w:lang w:val="en-AU"/>
        </w:rPr>
        <w:t>ration prior to administration. Kevzara solution for subcutaneous administration should be clear and colo</w:t>
      </w:r>
      <w:r w:rsidR="00D51C2C" w:rsidRPr="00B745E4">
        <w:rPr>
          <w:color w:val="auto"/>
          <w:lang w:val="en-AU"/>
        </w:rPr>
        <w:t>u</w:t>
      </w:r>
      <w:r w:rsidRPr="00B745E4">
        <w:rPr>
          <w:color w:val="auto"/>
          <w:lang w:val="en-AU"/>
        </w:rPr>
        <w:t>rless to pale yellow. Instruct patients not to use if the solution is cloudy, discolo</w:t>
      </w:r>
      <w:r w:rsidR="00C237FF" w:rsidRPr="00B745E4">
        <w:rPr>
          <w:color w:val="auto"/>
          <w:lang w:val="en-AU"/>
        </w:rPr>
        <w:t>u</w:t>
      </w:r>
      <w:r w:rsidRPr="00B745E4">
        <w:rPr>
          <w:color w:val="auto"/>
          <w:lang w:val="en-AU"/>
        </w:rPr>
        <w:t>red or cont</w:t>
      </w:r>
      <w:r w:rsidRPr="00D826E6">
        <w:rPr>
          <w:lang w:val="en-AU"/>
        </w:rPr>
        <w:t xml:space="preserve">ains particles, or if any part of the </w:t>
      </w:r>
      <w:r w:rsidRPr="00396D0D">
        <w:rPr>
          <w:color w:val="auto"/>
          <w:lang w:val="en-AU"/>
        </w:rPr>
        <w:t>pre-filled syringe or pen appears to be damaged.</w:t>
      </w:r>
    </w:p>
    <w:p w:rsidR="00D826E6" w:rsidRPr="00396D0D" w:rsidRDefault="00D826E6" w:rsidP="00D826E6">
      <w:pPr>
        <w:rPr>
          <w:color w:val="auto"/>
          <w:lang w:val="en-AU"/>
        </w:rPr>
      </w:pPr>
      <w:r w:rsidRPr="00396D0D">
        <w:rPr>
          <w:color w:val="auto"/>
          <w:lang w:val="en-AU"/>
        </w:rPr>
        <w:t>Instruct patients and caregivers to read the Instructions for Use before the patient starts using Kevzara, and each time the patient gets a refill as there may be new information they need to know.</w:t>
      </w:r>
    </w:p>
    <w:p w:rsidR="00105E09" w:rsidRPr="00396D0D" w:rsidRDefault="00D826E6" w:rsidP="00D826E6">
      <w:pPr>
        <w:rPr>
          <w:color w:val="auto"/>
        </w:rPr>
      </w:pPr>
      <w:r w:rsidRPr="00396D0D">
        <w:rPr>
          <w:color w:val="auto"/>
        </w:rPr>
        <w:t>Provide guidance to patients and caregivers on proper subcutaneous injection technique, including aseptic technique, and how to use the pre-filled syringe or pen correctly (see Instruction</w:t>
      </w:r>
      <w:r w:rsidRPr="00B745E4">
        <w:rPr>
          <w:color w:val="auto"/>
        </w:rPr>
        <w:t>s for Use</w:t>
      </w:r>
      <w:r w:rsidR="00A87B7A" w:rsidRPr="00B745E4">
        <w:rPr>
          <w:color w:val="auto"/>
        </w:rPr>
        <w:t xml:space="preserve"> package insert</w:t>
      </w:r>
      <w:r w:rsidRPr="00B745E4">
        <w:rPr>
          <w:color w:val="auto"/>
        </w:rPr>
        <w:t>).</w:t>
      </w:r>
    </w:p>
    <w:p w:rsidR="00D826E6" w:rsidRPr="00396D0D" w:rsidRDefault="00D826E6" w:rsidP="00D826E6">
      <w:pPr>
        <w:rPr>
          <w:color w:val="auto"/>
          <w:lang w:val="en-AU"/>
        </w:rPr>
      </w:pPr>
      <w:r w:rsidRPr="00396D0D">
        <w:rPr>
          <w:color w:val="auto"/>
          <w:lang w:val="en-AU"/>
        </w:rPr>
        <w:t xml:space="preserve">To ensure proper use, after removing the pre-filled syringe from the refrigerator, allow the pre-filled syringe to sit at room temperature for 30 minutes prior to subcutaneous injection. After removing pen </w:t>
      </w:r>
      <w:r w:rsidRPr="00396D0D">
        <w:rPr>
          <w:color w:val="auto"/>
          <w:lang w:val="en-AU"/>
        </w:rPr>
        <w:lastRenderedPageBreak/>
        <w:t>from the refrigerator, allow the pen to sit at room temperature for 60 minutes prior to subcutaneous injection.  Do not warm Kevzara in any other way.</w:t>
      </w:r>
    </w:p>
    <w:p w:rsidR="00D826E6" w:rsidRDefault="00D826E6" w:rsidP="00D826E6">
      <w:pPr>
        <w:rPr>
          <w:lang w:val="en-AU"/>
        </w:rPr>
      </w:pPr>
      <w:r w:rsidRPr="00396D0D">
        <w:rPr>
          <w:color w:val="auto"/>
          <w:lang w:val="en-AU"/>
        </w:rPr>
        <w:t>Instruct patients to inject the full amount in the syringe or pen (1.14</w:t>
      </w:r>
      <w:r w:rsidRPr="00D826E6">
        <w:rPr>
          <w:lang w:val="en-AU"/>
        </w:rPr>
        <w:t xml:space="preserve"> mL), which provides 200 mg or 150 mg of Kevzara, according to the directions provided in the IFU.</w:t>
      </w:r>
    </w:p>
    <w:p w:rsidR="00105E09" w:rsidRPr="00396D0D" w:rsidRDefault="00D826E6" w:rsidP="00105E09">
      <w:pPr>
        <w:rPr>
          <w:color w:val="auto"/>
          <w:lang w:val="en-AU"/>
        </w:rPr>
      </w:pPr>
      <w:r w:rsidRPr="00396D0D">
        <w:rPr>
          <w:color w:val="auto"/>
          <w:lang w:val="en-AU"/>
        </w:rPr>
        <w:t>The syringe or pen should be used within 14 days after being taken out of the refrigerator. If the syringe or pen is left out of refrigeration for more than 14 days, it must be discarded.</w:t>
      </w:r>
    </w:p>
    <w:p w:rsidR="00D826E6" w:rsidRDefault="00D826E6" w:rsidP="00105E09">
      <w:pPr>
        <w:rPr>
          <w:lang w:val="en-AU"/>
        </w:rPr>
      </w:pPr>
      <w:r w:rsidRPr="00396D0D">
        <w:rPr>
          <w:color w:val="auto"/>
          <w:lang w:val="en-AU"/>
        </w:rPr>
        <w:t>A puncture-resistant container for disposal of syringes or pens should be used and should be kept out of the reach of children. Instruct patients or caregivers in the technique as well as proper pre-filled syringe or pen disposal, and caution against</w:t>
      </w:r>
      <w:r w:rsidRPr="00D826E6">
        <w:rPr>
          <w:lang w:val="en-AU"/>
        </w:rPr>
        <w:t xml:space="preserve"> reuse of these items.</w:t>
      </w:r>
    </w:p>
    <w:p w:rsidR="00D826E6" w:rsidRPr="00D826E6" w:rsidRDefault="00D826E6" w:rsidP="00105E09">
      <w:pPr>
        <w:rPr>
          <w:rFonts w:ascii="Arial" w:hAnsi="Arial" w:cs="Arial"/>
          <w:b/>
          <w:i/>
          <w:sz w:val="20"/>
          <w:szCs w:val="20"/>
        </w:rPr>
      </w:pPr>
      <w:r w:rsidRPr="00D826E6">
        <w:rPr>
          <w:rFonts w:ascii="Arial" w:hAnsi="Arial" w:cs="Arial"/>
          <w:b/>
          <w:i/>
          <w:sz w:val="20"/>
          <w:szCs w:val="20"/>
        </w:rPr>
        <w:t>Missed Dose</w:t>
      </w:r>
    </w:p>
    <w:p w:rsidR="00D826E6" w:rsidRDefault="00D826E6" w:rsidP="00105E09">
      <w:pPr>
        <w:rPr>
          <w:lang w:val="en-AU"/>
        </w:rPr>
      </w:pPr>
      <w:r w:rsidRPr="00D826E6">
        <w:rPr>
          <w:lang w:val="en-AU"/>
        </w:rPr>
        <w:t>If a dose of Kevzara is missed and it has been 3 days or less since the missed dose, the next dose should be administered as soon as possible. The subsequent dose should be administered at the regularly scheduled time. If it has been 4 days or more since the missed dose the subsequent dose should be administered at the next regularly scheduled time, the dose should not be doubled.</w:t>
      </w:r>
    </w:p>
    <w:p w:rsidR="00D826E6" w:rsidRDefault="00D826E6" w:rsidP="00105E09">
      <w:pPr>
        <w:rPr>
          <w:rFonts w:ascii="Arial" w:hAnsi="Arial" w:cs="Arial"/>
          <w:b/>
          <w:i/>
          <w:sz w:val="20"/>
          <w:szCs w:val="20"/>
        </w:rPr>
      </w:pPr>
      <w:r w:rsidRPr="00D826E6">
        <w:rPr>
          <w:rFonts w:ascii="Arial" w:hAnsi="Arial" w:cs="Arial"/>
          <w:b/>
          <w:i/>
          <w:sz w:val="20"/>
          <w:szCs w:val="20"/>
        </w:rPr>
        <w:t>Infections</w:t>
      </w:r>
    </w:p>
    <w:p w:rsidR="00D826E6" w:rsidRPr="00D826E6" w:rsidRDefault="00D826E6" w:rsidP="00D826E6">
      <w:r w:rsidRPr="00D826E6">
        <w:t>Inform patients that Kevzara may lower their resistance to infections. Instruct patients to contact their physician immediately when symptoms suggesting infection appear, to ensure rapid evaluation and appropriate treatment.</w:t>
      </w:r>
    </w:p>
    <w:p w:rsidR="00D826E6" w:rsidRPr="00D826E6" w:rsidRDefault="00D826E6" w:rsidP="00105E09">
      <w:pPr>
        <w:rPr>
          <w:rFonts w:ascii="Arial" w:hAnsi="Arial" w:cs="Arial"/>
          <w:b/>
          <w:i/>
          <w:sz w:val="20"/>
          <w:szCs w:val="20"/>
        </w:rPr>
      </w:pPr>
      <w:r w:rsidRPr="00D826E6">
        <w:rPr>
          <w:rFonts w:ascii="Arial" w:hAnsi="Arial" w:cs="Arial"/>
          <w:b/>
          <w:i/>
          <w:sz w:val="20"/>
          <w:szCs w:val="20"/>
        </w:rPr>
        <w:t>Gastrointestinal Perforation</w:t>
      </w:r>
    </w:p>
    <w:p w:rsidR="00D826E6" w:rsidRDefault="00D826E6" w:rsidP="00105E09">
      <w:pPr>
        <w:rPr>
          <w:lang w:val="en-AU"/>
        </w:rPr>
      </w:pPr>
      <w:r w:rsidRPr="00D826E6">
        <w:rPr>
          <w:lang w:val="en-AU"/>
        </w:rPr>
        <w:t>Inform patients that some patients, particularly those also taking NSAIDS, steroids and/or methotrexate, have had tears (perforations) of the stomach or intestines.  Instruct patients to</w:t>
      </w:r>
      <w:r>
        <w:rPr>
          <w:lang w:val="en-AU"/>
        </w:rPr>
        <w:t xml:space="preserve"> </w:t>
      </w:r>
      <w:r w:rsidRPr="00D826E6">
        <w:rPr>
          <w:lang w:val="en-AU"/>
        </w:rPr>
        <w:t>contact their physician immediately when symptoms of severe, persistent abdominal pain appear to ensure rapid evaluation and appropriate treatment.</w:t>
      </w:r>
    </w:p>
    <w:p w:rsidR="00D826E6" w:rsidRPr="00105E09" w:rsidRDefault="00D826E6" w:rsidP="00105E09">
      <w:pPr>
        <w:rPr>
          <w:lang w:val="en-AU"/>
        </w:rPr>
      </w:pPr>
    </w:p>
    <w:p w:rsidR="001A3992" w:rsidRDefault="001A3992" w:rsidP="001A3992">
      <w:pPr>
        <w:pStyle w:val="Heading2"/>
        <w:spacing w:before="0" w:after="120"/>
        <w:rPr>
          <w:lang w:val="en-AU"/>
        </w:rPr>
      </w:pPr>
      <w:bookmarkStart w:id="1" w:name="_Ref524374110"/>
      <w:r w:rsidRPr="00717E34">
        <w:rPr>
          <w:lang w:val="en-AU"/>
        </w:rPr>
        <w:t>Contraindications</w:t>
      </w:r>
      <w:bookmarkEnd w:id="1"/>
    </w:p>
    <w:p w:rsidR="00656D1A" w:rsidRPr="00656D1A" w:rsidRDefault="00656D1A" w:rsidP="00656D1A">
      <w:r w:rsidRPr="00656D1A">
        <w:t>Kevzara is contraindicated in:</w:t>
      </w:r>
    </w:p>
    <w:p w:rsidR="00656D1A" w:rsidRPr="00B745E4" w:rsidRDefault="00656D1A" w:rsidP="00656D1A">
      <w:pPr>
        <w:pStyle w:val="ListBulletLevel1"/>
        <w:numPr>
          <w:ilvl w:val="0"/>
          <w:numId w:val="30"/>
        </w:numPr>
        <w:rPr>
          <w:color w:val="auto"/>
        </w:rPr>
      </w:pPr>
      <w:r w:rsidRPr="00B745E4">
        <w:rPr>
          <w:color w:val="auto"/>
        </w:rPr>
        <w:t xml:space="preserve">patients with known hypersensitivity to sarilumab or to any of the excipients [see </w:t>
      </w:r>
      <w:r w:rsidR="00433552">
        <w:rPr>
          <w:color w:val="auto"/>
        </w:rPr>
        <w:t xml:space="preserve">Section </w:t>
      </w:r>
      <w:r w:rsidR="00433552" w:rsidRPr="00433552">
        <w:rPr>
          <w:color w:val="0000FF"/>
        </w:rPr>
        <w:fldChar w:fldCharType="begin"/>
      </w:r>
      <w:r w:rsidR="00433552" w:rsidRPr="00433552">
        <w:rPr>
          <w:color w:val="0000FF"/>
        </w:rPr>
        <w:instrText xml:space="preserve"> REF _Ref524374081 \r \h  \* MERGEFORMAT </w:instrText>
      </w:r>
      <w:r w:rsidR="00433552" w:rsidRPr="00433552">
        <w:rPr>
          <w:color w:val="0000FF"/>
        </w:rPr>
      </w:r>
      <w:r w:rsidR="00433552" w:rsidRPr="00433552">
        <w:rPr>
          <w:color w:val="0000FF"/>
        </w:rPr>
        <w:fldChar w:fldCharType="separate"/>
      </w:r>
      <w:r w:rsidR="00EA3D29">
        <w:rPr>
          <w:color w:val="0000FF"/>
        </w:rPr>
        <w:t>4.8</w:t>
      </w:r>
      <w:r w:rsidR="00433552" w:rsidRPr="00433552">
        <w:rPr>
          <w:color w:val="0000FF"/>
        </w:rPr>
        <w:fldChar w:fldCharType="end"/>
      </w:r>
      <w:r w:rsidR="00A87B7A" w:rsidRPr="00B745E4">
        <w:rPr>
          <w:color w:val="auto"/>
        </w:rPr>
        <w:t xml:space="preserve">- </w:t>
      </w:r>
      <w:r w:rsidRPr="00B745E4">
        <w:rPr>
          <w:color w:val="auto"/>
        </w:rPr>
        <w:t>ADVERSE EFFECTS</w:t>
      </w:r>
      <w:r w:rsidR="00A87B7A" w:rsidRPr="00B745E4">
        <w:rPr>
          <w:color w:val="auto"/>
        </w:rPr>
        <w:t xml:space="preserve"> (UNDES</w:t>
      </w:r>
      <w:r w:rsidR="00186B41" w:rsidRPr="00B745E4">
        <w:rPr>
          <w:color w:val="auto"/>
        </w:rPr>
        <w:t>IR</w:t>
      </w:r>
      <w:r w:rsidR="00A87B7A" w:rsidRPr="00B745E4">
        <w:rPr>
          <w:color w:val="auto"/>
        </w:rPr>
        <w:t>ABLE EFFECTS)</w:t>
      </w:r>
      <w:r w:rsidRPr="00B745E4">
        <w:rPr>
          <w:color w:val="auto"/>
        </w:rPr>
        <w:t xml:space="preserve">]. </w:t>
      </w:r>
    </w:p>
    <w:p w:rsidR="00656D1A" w:rsidRPr="00B745E4" w:rsidRDefault="00656D1A" w:rsidP="00656D1A">
      <w:pPr>
        <w:pStyle w:val="ListBulletLevel1"/>
        <w:numPr>
          <w:ilvl w:val="0"/>
          <w:numId w:val="31"/>
        </w:numPr>
        <w:rPr>
          <w:color w:val="auto"/>
        </w:rPr>
      </w:pPr>
      <w:r w:rsidRPr="00B745E4">
        <w:rPr>
          <w:color w:val="auto"/>
        </w:rPr>
        <w:t xml:space="preserve">in patients with an active serious infection.[see </w:t>
      </w:r>
      <w:r w:rsidR="00433552">
        <w:rPr>
          <w:color w:val="auto"/>
        </w:rPr>
        <w:t xml:space="preserve">Section </w:t>
      </w:r>
      <w:r w:rsidR="00433552" w:rsidRPr="00433552">
        <w:rPr>
          <w:color w:val="0000FF"/>
        </w:rPr>
        <w:fldChar w:fldCharType="begin"/>
      </w:r>
      <w:r w:rsidR="00433552" w:rsidRPr="00433552">
        <w:rPr>
          <w:color w:val="0000FF"/>
        </w:rPr>
        <w:instrText xml:space="preserve"> REF _Ref524373802 \r \h  \* MERGEFORMAT </w:instrText>
      </w:r>
      <w:r w:rsidR="00433552" w:rsidRPr="00433552">
        <w:rPr>
          <w:color w:val="0000FF"/>
        </w:rPr>
      </w:r>
      <w:r w:rsidR="00433552" w:rsidRPr="00433552">
        <w:rPr>
          <w:color w:val="0000FF"/>
        </w:rPr>
        <w:fldChar w:fldCharType="separate"/>
      </w:r>
      <w:r w:rsidR="00EA3D29">
        <w:rPr>
          <w:color w:val="0000FF"/>
        </w:rPr>
        <w:t>4.4</w:t>
      </w:r>
      <w:r w:rsidR="00433552" w:rsidRPr="00433552">
        <w:rPr>
          <w:color w:val="0000FF"/>
        </w:rPr>
        <w:fldChar w:fldCharType="end"/>
      </w:r>
      <w:r w:rsidR="00A87B7A" w:rsidRPr="00B745E4">
        <w:rPr>
          <w:color w:val="auto"/>
        </w:rPr>
        <w:t xml:space="preserve">- SPECIAL WARNINGS AND </w:t>
      </w:r>
      <w:r w:rsidRPr="00B745E4">
        <w:rPr>
          <w:color w:val="auto"/>
        </w:rPr>
        <w:t>PRECAUTIONS</w:t>
      </w:r>
      <w:r w:rsidR="00A87B7A" w:rsidRPr="00B745E4">
        <w:rPr>
          <w:color w:val="auto"/>
        </w:rPr>
        <w:t xml:space="preserve"> FOR USE</w:t>
      </w:r>
      <w:r w:rsidRPr="00B745E4">
        <w:rPr>
          <w:color w:val="auto"/>
        </w:rPr>
        <w:t>]</w:t>
      </w:r>
    </w:p>
    <w:p w:rsidR="00292D82" w:rsidRPr="00717E34" w:rsidRDefault="00292D82" w:rsidP="00292D82">
      <w:pPr>
        <w:spacing w:before="120"/>
        <w:jc w:val="both"/>
        <w:rPr>
          <w:lang w:val="en-AU"/>
        </w:rPr>
      </w:pPr>
    </w:p>
    <w:p w:rsidR="001A3992" w:rsidRPr="00717E34" w:rsidRDefault="00E74A56" w:rsidP="001A3992">
      <w:pPr>
        <w:pStyle w:val="Heading2"/>
        <w:spacing w:before="0" w:after="120"/>
        <w:rPr>
          <w:lang w:val="en-AU"/>
        </w:rPr>
      </w:pPr>
      <w:bookmarkStart w:id="2" w:name="_Ref524373802"/>
      <w:r w:rsidRPr="00717E34">
        <w:rPr>
          <w:lang w:val="en-AU"/>
        </w:rPr>
        <w:t>Special warnings and p</w:t>
      </w:r>
      <w:r w:rsidR="001A3992" w:rsidRPr="00717E34">
        <w:rPr>
          <w:lang w:val="en-AU"/>
        </w:rPr>
        <w:t xml:space="preserve">recautions </w:t>
      </w:r>
      <w:r w:rsidRPr="00717E34">
        <w:rPr>
          <w:lang w:val="en-AU"/>
        </w:rPr>
        <w:t>for use</w:t>
      </w:r>
      <w:bookmarkEnd w:id="2"/>
    </w:p>
    <w:p w:rsidR="00CA73C2" w:rsidRPr="00BB452D" w:rsidRDefault="00181538" w:rsidP="00BB452D">
      <w:pPr>
        <w:pStyle w:val="Heading3"/>
        <w:numPr>
          <w:ilvl w:val="0"/>
          <w:numId w:val="0"/>
        </w:numPr>
        <w:rPr>
          <w:rFonts w:eastAsia="Times New Roman"/>
          <w:i/>
          <w:szCs w:val="22"/>
          <w:lang w:val="en-AU" w:eastAsia="ko-KR"/>
        </w:rPr>
      </w:pPr>
      <w:r w:rsidRPr="00BB452D">
        <w:rPr>
          <w:i/>
        </w:rPr>
        <w:t>Serious Infections</w:t>
      </w:r>
      <w:r w:rsidR="001A3992" w:rsidRPr="00BB452D">
        <w:rPr>
          <w:i/>
          <w:lang w:val="en-AU"/>
        </w:rPr>
        <w:t xml:space="preserve"> </w:t>
      </w:r>
      <w:r w:rsidRPr="00BB452D">
        <w:rPr>
          <w:rFonts w:eastAsia="Times New Roman"/>
          <w:i/>
          <w:szCs w:val="22"/>
          <w:lang w:val="en-AU" w:eastAsia="ko-KR"/>
        </w:rPr>
        <w:t xml:space="preserve"> </w:t>
      </w:r>
    </w:p>
    <w:p w:rsidR="00181538" w:rsidRPr="00B745E4" w:rsidRDefault="00181538" w:rsidP="00181538">
      <w:pPr>
        <w:rPr>
          <w:color w:val="auto"/>
        </w:rPr>
      </w:pPr>
      <w:r w:rsidRPr="00181538">
        <w:rPr>
          <w:b/>
          <w:lang w:val="en-AU" w:eastAsia="ko-KR"/>
        </w:rPr>
        <w:t>Do not administer KEVZARA in patie</w:t>
      </w:r>
      <w:r w:rsidRPr="00321411">
        <w:rPr>
          <w:b/>
          <w:color w:val="auto"/>
          <w:lang w:val="en-AU" w:eastAsia="ko-KR"/>
        </w:rPr>
        <w:t>nts with an active infec</w:t>
      </w:r>
      <w:r w:rsidRPr="00B745E4">
        <w:rPr>
          <w:b/>
          <w:color w:val="auto"/>
          <w:lang w:val="en-AU" w:eastAsia="ko-KR"/>
        </w:rPr>
        <w:t>tion.</w:t>
      </w:r>
      <w:r w:rsidRPr="00B745E4">
        <w:rPr>
          <w:color w:val="auto"/>
          <w:lang w:val="en-AU" w:eastAsia="ko-KR"/>
        </w:rPr>
        <w:t xml:space="preserve"> [see </w:t>
      </w:r>
      <w:r w:rsidR="00433552">
        <w:rPr>
          <w:color w:val="auto"/>
          <w:lang w:val="en-AU" w:eastAsia="ko-KR"/>
        </w:rPr>
        <w:t xml:space="preserve">Section </w:t>
      </w:r>
      <w:r w:rsidR="00433552" w:rsidRPr="00433552">
        <w:rPr>
          <w:color w:val="0000FF"/>
          <w:lang w:val="en-AU" w:eastAsia="ko-KR"/>
        </w:rPr>
        <w:fldChar w:fldCharType="begin"/>
      </w:r>
      <w:r w:rsidR="00433552" w:rsidRPr="00433552">
        <w:rPr>
          <w:color w:val="0000FF"/>
          <w:lang w:val="en-AU" w:eastAsia="ko-KR"/>
        </w:rPr>
        <w:instrText xml:space="preserve"> REF _Ref524374110 \r \h  \* MERGEFORMAT </w:instrText>
      </w:r>
      <w:r w:rsidR="00433552" w:rsidRPr="00433552">
        <w:rPr>
          <w:color w:val="0000FF"/>
          <w:lang w:val="en-AU" w:eastAsia="ko-KR"/>
        </w:rPr>
      </w:r>
      <w:r w:rsidR="00433552" w:rsidRPr="00433552">
        <w:rPr>
          <w:color w:val="0000FF"/>
          <w:lang w:val="en-AU" w:eastAsia="ko-KR"/>
        </w:rPr>
        <w:fldChar w:fldCharType="separate"/>
      </w:r>
      <w:r w:rsidR="00EA3D29">
        <w:rPr>
          <w:color w:val="0000FF"/>
          <w:lang w:val="en-AU" w:eastAsia="ko-KR"/>
        </w:rPr>
        <w:t>4.3</w:t>
      </w:r>
      <w:r w:rsidR="00433552" w:rsidRPr="00433552">
        <w:rPr>
          <w:color w:val="0000FF"/>
          <w:lang w:val="en-AU" w:eastAsia="ko-KR"/>
        </w:rPr>
        <w:fldChar w:fldCharType="end"/>
      </w:r>
      <w:r w:rsidR="00A87B7A" w:rsidRPr="00B745E4">
        <w:rPr>
          <w:color w:val="auto"/>
          <w:lang w:val="en-AU" w:eastAsia="ko-KR"/>
        </w:rPr>
        <w:t>-</w:t>
      </w:r>
      <w:r w:rsidRPr="00B745E4">
        <w:rPr>
          <w:color w:val="auto"/>
          <w:lang w:val="en-AU" w:eastAsia="ko-KR"/>
        </w:rPr>
        <w:t>CONTRAIND</w:t>
      </w:r>
      <w:r w:rsidR="0040691E" w:rsidRPr="00B745E4">
        <w:rPr>
          <w:color w:val="auto"/>
          <w:lang w:val="en-AU" w:eastAsia="ko-KR"/>
        </w:rPr>
        <w:t>I</w:t>
      </w:r>
      <w:r w:rsidRPr="00B745E4">
        <w:rPr>
          <w:color w:val="auto"/>
          <w:lang w:val="en-AU" w:eastAsia="ko-KR"/>
        </w:rPr>
        <w:t>CATIONS]</w:t>
      </w:r>
      <w:r w:rsidRPr="00B745E4">
        <w:rPr>
          <w:color w:val="auto"/>
        </w:rPr>
        <w:t xml:space="preserve"> </w:t>
      </w:r>
    </w:p>
    <w:p w:rsidR="00181538" w:rsidRPr="00181538" w:rsidRDefault="00181538" w:rsidP="00181538">
      <w:pPr>
        <w:rPr>
          <w:lang w:val="en-AU" w:eastAsia="ko-KR"/>
        </w:rPr>
      </w:pPr>
      <w:r w:rsidRPr="00B745E4">
        <w:rPr>
          <w:color w:val="auto"/>
          <w:lang w:val="en-AU" w:eastAsia="ko-KR"/>
        </w:rPr>
        <w:lastRenderedPageBreak/>
        <w:t xml:space="preserve">Serious and sometimes fatal infections due to bacterial, mycobacterial, invasive fungal, viral, or other opportunistic pathogens have been reported in patients receiving immunosuppressive agents including KEVZARA for rheumatoid arthritis (RA). The most frequently observed serious infections with Kevzara included pneumonia and cellulitis [see </w:t>
      </w:r>
      <w:r w:rsidR="00433552">
        <w:rPr>
          <w:color w:val="auto"/>
          <w:lang w:val="en-AU" w:eastAsia="ko-KR"/>
        </w:rPr>
        <w:t xml:space="preserve">Section </w:t>
      </w:r>
      <w:r w:rsidR="00433552" w:rsidRPr="00433552">
        <w:rPr>
          <w:color w:val="0000FF"/>
          <w:lang w:val="en-AU" w:eastAsia="ko-KR"/>
        </w:rPr>
        <w:fldChar w:fldCharType="begin"/>
      </w:r>
      <w:r w:rsidR="00433552" w:rsidRPr="00433552">
        <w:rPr>
          <w:color w:val="0000FF"/>
          <w:lang w:val="en-AU" w:eastAsia="ko-KR"/>
        </w:rPr>
        <w:instrText xml:space="preserve"> REF _Ref524374081 \r \h  \* MERGEFORMAT </w:instrText>
      </w:r>
      <w:r w:rsidR="00433552" w:rsidRPr="00433552">
        <w:rPr>
          <w:color w:val="0000FF"/>
          <w:lang w:val="en-AU" w:eastAsia="ko-KR"/>
        </w:rPr>
      </w:r>
      <w:r w:rsidR="00433552" w:rsidRPr="00433552">
        <w:rPr>
          <w:color w:val="0000FF"/>
          <w:lang w:val="en-AU" w:eastAsia="ko-KR"/>
        </w:rPr>
        <w:fldChar w:fldCharType="separate"/>
      </w:r>
      <w:r w:rsidR="00EA3D29">
        <w:rPr>
          <w:color w:val="0000FF"/>
          <w:lang w:val="en-AU" w:eastAsia="ko-KR"/>
        </w:rPr>
        <w:t>4.8</w:t>
      </w:r>
      <w:r w:rsidR="00433552" w:rsidRPr="00433552">
        <w:rPr>
          <w:color w:val="0000FF"/>
          <w:lang w:val="en-AU" w:eastAsia="ko-KR"/>
        </w:rPr>
        <w:fldChar w:fldCharType="end"/>
      </w:r>
      <w:r w:rsidR="00A87B7A" w:rsidRPr="00B745E4">
        <w:rPr>
          <w:color w:val="auto"/>
          <w:lang w:val="en-AU" w:eastAsia="ko-KR"/>
        </w:rPr>
        <w:t xml:space="preserve">- </w:t>
      </w:r>
      <w:r w:rsidRPr="00B745E4">
        <w:rPr>
          <w:color w:val="auto"/>
          <w:lang w:val="en-AU" w:eastAsia="ko-KR"/>
        </w:rPr>
        <w:t>ADVERSE EFFECTS</w:t>
      </w:r>
      <w:r w:rsidR="00A87B7A" w:rsidRPr="00B745E4">
        <w:rPr>
          <w:color w:val="auto"/>
          <w:lang w:val="en-AU" w:eastAsia="ko-KR"/>
        </w:rPr>
        <w:t xml:space="preserve"> (UNDESIRABLE EFFECTS)</w:t>
      </w:r>
      <w:r w:rsidRPr="00B745E4">
        <w:rPr>
          <w:color w:val="auto"/>
          <w:lang w:val="en-AU" w:eastAsia="ko-KR"/>
        </w:rPr>
        <w:t>]. Among opportunistic infection</w:t>
      </w:r>
      <w:r w:rsidRPr="00181538">
        <w:rPr>
          <w:lang w:val="en-AU" w:eastAsia="ko-KR"/>
        </w:rPr>
        <w:t>s, tuberculosis, candidiasis, and pneumocystis were reported with Kevzara.</w:t>
      </w:r>
    </w:p>
    <w:p w:rsidR="00181538" w:rsidRPr="00181538" w:rsidRDefault="00181538" w:rsidP="00181538">
      <w:pPr>
        <w:rPr>
          <w:lang w:val="en-AU" w:eastAsia="ko-KR"/>
        </w:rPr>
      </w:pPr>
      <w:r w:rsidRPr="00181538">
        <w:rPr>
          <w:lang w:val="en-AU" w:eastAsia="ko-KR"/>
        </w:rPr>
        <w:t>Some patients presented with disseminated rather than localized disease and were often taking concomitant immunosuppressants such as methotrexate or corticosteroids, which in addition to RA may predispose them to infections. While not reported in Kevzara clinical studies, other serious infections (e.g., histoplasmosis, cryptococcus, aspergillosis) have been reported in patients receiving other immunosuppressive agents for the treatment of RA.</w:t>
      </w:r>
    </w:p>
    <w:p w:rsidR="00181538" w:rsidRDefault="00181538" w:rsidP="00181538">
      <w:pPr>
        <w:rPr>
          <w:lang w:val="en-AU" w:eastAsia="ko-KR"/>
        </w:rPr>
      </w:pPr>
      <w:r w:rsidRPr="00181538">
        <w:rPr>
          <w:lang w:val="en-AU" w:eastAsia="ko-KR"/>
        </w:rPr>
        <w:t>Do not administer Kevzara in patients with an active infection, including localized infections. Consider the risks and benefits of treatment prior to initiating Kevzara in patients who have:</w:t>
      </w:r>
    </w:p>
    <w:p w:rsidR="00181538" w:rsidRPr="00181538" w:rsidRDefault="00181538" w:rsidP="00181538">
      <w:pPr>
        <w:pStyle w:val="ListBulletLevel1"/>
        <w:numPr>
          <w:ilvl w:val="0"/>
          <w:numId w:val="32"/>
        </w:numPr>
      </w:pPr>
      <w:r w:rsidRPr="00181538">
        <w:t>chronic or recurrent infection</w:t>
      </w:r>
    </w:p>
    <w:p w:rsidR="00181538" w:rsidRPr="00181538" w:rsidRDefault="00181538" w:rsidP="00181538">
      <w:pPr>
        <w:pStyle w:val="ListBulletLevel1"/>
        <w:numPr>
          <w:ilvl w:val="0"/>
          <w:numId w:val="32"/>
        </w:numPr>
      </w:pPr>
      <w:r w:rsidRPr="00181538">
        <w:t>a history of serious or opportunistic infections</w:t>
      </w:r>
    </w:p>
    <w:p w:rsidR="00181538" w:rsidRPr="00181538" w:rsidRDefault="00181538" w:rsidP="00181538">
      <w:pPr>
        <w:pStyle w:val="ListBulletLevel1"/>
        <w:numPr>
          <w:ilvl w:val="0"/>
          <w:numId w:val="32"/>
        </w:numPr>
      </w:pPr>
      <w:r w:rsidRPr="00181538">
        <w:t>underlying conditions that may predispose them to infection</w:t>
      </w:r>
    </w:p>
    <w:p w:rsidR="00181538" w:rsidRPr="00181538" w:rsidRDefault="00181538" w:rsidP="00181538">
      <w:pPr>
        <w:pStyle w:val="ListBulletLevel1"/>
        <w:numPr>
          <w:ilvl w:val="0"/>
          <w:numId w:val="32"/>
        </w:numPr>
      </w:pPr>
      <w:r w:rsidRPr="00181538">
        <w:t>been exposed to tuberculosis or</w:t>
      </w:r>
    </w:p>
    <w:p w:rsidR="00181538" w:rsidRDefault="00181538" w:rsidP="00181538">
      <w:pPr>
        <w:pStyle w:val="ListBulletLevel1"/>
        <w:numPr>
          <w:ilvl w:val="0"/>
          <w:numId w:val="32"/>
        </w:numPr>
      </w:pPr>
      <w:r w:rsidRPr="00181538">
        <w:t xml:space="preserve">lived in or travelled to areas of endemic </w:t>
      </w:r>
      <w:r>
        <w:t>tuberculosis or endemic mycoses</w:t>
      </w:r>
    </w:p>
    <w:p w:rsidR="00181538" w:rsidRPr="00B745E4" w:rsidRDefault="00181538" w:rsidP="00181538">
      <w:pPr>
        <w:rPr>
          <w:color w:val="auto"/>
        </w:rPr>
      </w:pPr>
      <w:r w:rsidRPr="00396D0D">
        <w:rPr>
          <w:color w:val="auto"/>
        </w:rPr>
        <w:t>Closely monitor patients for the development of signs and symptoms of infection during treatment with Kevzara as signs and symptoms of acute inflammation may be lessened due to suppression of th</w:t>
      </w:r>
      <w:r w:rsidRPr="00B745E4">
        <w:rPr>
          <w:color w:val="auto"/>
        </w:rPr>
        <w:t xml:space="preserve">e acute phase reactants.  [see </w:t>
      </w:r>
      <w:r w:rsidR="00433552">
        <w:rPr>
          <w:color w:val="auto"/>
        </w:rPr>
        <w:t xml:space="preserve">Section </w:t>
      </w:r>
      <w:r w:rsidR="00433552" w:rsidRPr="00433552">
        <w:rPr>
          <w:color w:val="0000FF"/>
        </w:rPr>
        <w:fldChar w:fldCharType="begin"/>
      </w:r>
      <w:r w:rsidR="00433552" w:rsidRPr="00433552">
        <w:rPr>
          <w:color w:val="0000FF"/>
        </w:rPr>
        <w:instrText xml:space="preserve"> REF _Ref524374161 \r \h  \* MERGEFORMAT </w:instrText>
      </w:r>
      <w:r w:rsidR="00433552" w:rsidRPr="00433552">
        <w:rPr>
          <w:color w:val="0000FF"/>
        </w:rPr>
      </w:r>
      <w:r w:rsidR="00433552" w:rsidRPr="00433552">
        <w:rPr>
          <w:color w:val="0000FF"/>
        </w:rPr>
        <w:fldChar w:fldCharType="separate"/>
      </w:r>
      <w:r w:rsidR="00EA3D29">
        <w:rPr>
          <w:color w:val="0000FF"/>
        </w:rPr>
        <w:t>4.2</w:t>
      </w:r>
      <w:r w:rsidR="00433552" w:rsidRPr="00433552">
        <w:rPr>
          <w:color w:val="0000FF"/>
        </w:rPr>
        <w:fldChar w:fldCharType="end"/>
      </w:r>
      <w:r w:rsidR="00A87B7A" w:rsidRPr="00B745E4">
        <w:rPr>
          <w:color w:val="auto"/>
        </w:rPr>
        <w:t xml:space="preserve">- </w:t>
      </w:r>
      <w:r w:rsidRPr="00B745E4">
        <w:rPr>
          <w:color w:val="auto"/>
        </w:rPr>
        <w:t>DOS</w:t>
      </w:r>
      <w:r w:rsidR="00A87B7A" w:rsidRPr="00B745E4">
        <w:rPr>
          <w:color w:val="auto"/>
        </w:rPr>
        <w:t>E</w:t>
      </w:r>
      <w:r w:rsidRPr="00B745E4">
        <w:rPr>
          <w:color w:val="auto"/>
        </w:rPr>
        <w:t xml:space="preserve"> AND </w:t>
      </w:r>
      <w:r w:rsidR="00A87B7A" w:rsidRPr="00B745E4">
        <w:rPr>
          <w:color w:val="auto"/>
        </w:rPr>
        <w:t xml:space="preserve">METHOD OF </w:t>
      </w:r>
      <w:r w:rsidRPr="00B745E4">
        <w:rPr>
          <w:color w:val="auto"/>
        </w:rPr>
        <w:t xml:space="preserve">ADMINISTRATION, </w:t>
      </w:r>
      <w:r w:rsidR="00433552">
        <w:rPr>
          <w:color w:val="auto"/>
        </w:rPr>
        <w:t xml:space="preserve">Section </w:t>
      </w:r>
      <w:r w:rsidR="00433552" w:rsidRPr="00433552">
        <w:rPr>
          <w:color w:val="0000FF"/>
        </w:rPr>
        <w:fldChar w:fldCharType="begin"/>
      </w:r>
      <w:r w:rsidR="00433552" w:rsidRPr="00433552">
        <w:rPr>
          <w:color w:val="0000FF"/>
        </w:rPr>
        <w:instrText xml:space="preserve"> REF _Ref524374081 \r \h  \* MERGEFORMAT </w:instrText>
      </w:r>
      <w:r w:rsidR="00433552" w:rsidRPr="00433552">
        <w:rPr>
          <w:color w:val="0000FF"/>
        </w:rPr>
      </w:r>
      <w:r w:rsidR="00433552" w:rsidRPr="00433552">
        <w:rPr>
          <w:color w:val="0000FF"/>
        </w:rPr>
        <w:fldChar w:fldCharType="separate"/>
      </w:r>
      <w:r w:rsidR="00EA3D29">
        <w:rPr>
          <w:color w:val="0000FF"/>
        </w:rPr>
        <w:t>4.8</w:t>
      </w:r>
      <w:r w:rsidR="00433552" w:rsidRPr="00433552">
        <w:rPr>
          <w:color w:val="0000FF"/>
        </w:rPr>
        <w:fldChar w:fldCharType="end"/>
      </w:r>
      <w:r w:rsidR="00354AA8" w:rsidRPr="00B745E4">
        <w:rPr>
          <w:color w:val="auto"/>
        </w:rPr>
        <w:t>-</w:t>
      </w:r>
      <w:r w:rsidRPr="00B745E4">
        <w:rPr>
          <w:color w:val="auto"/>
        </w:rPr>
        <w:t>ADVERSE EFFECTS</w:t>
      </w:r>
      <w:r w:rsidR="00354AA8" w:rsidRPr="00B745E4">
        <w:rPr>
          <w:color w:val="auto"/>
        </w:rPr>
        <w:t xml:space="preserve"> (UNDESIRABLE EFFECTS)</w:t>
      </w:r>
      <w:r w:rsidRPr="00B745E4">
        <w:rPr>
          <w:color w:val="auto"/>
        </w:rPr>
        <w:t xml:space="preserve"> , and Instructions for Patients</w:t>
      </w:r>
      <w:r w:rsidR="00354AA8" w:rsidRPr="00B745E4">
        <w:rPr>
          <w:color w:val="auto"/>
        </w:rPr>
        <w:t xml:space="preserve"> package insert</w:t>
      </w:r>
      <w:r w:rsidRPr="00B745E4">
        <w:rPr>
          <w:color w:val="auto"/>
        </w:rPr>
        <w:t>]. As there is a higher incidence of infections in the elderly population in general, caution should be used when treating the elderly.</w:t>
      </w:r>
    </w:p>
    <w:p w:rsidR="00181538" w:rsidRDefault="00181538" w:rsidP="00181538">
      <w:r>
        <w:t>If a serious or an opportunistic infection develops, interrupt Kevzara until active infection is controlled.</w:t>
      </w:r>
    </w:p>
    <w:p w:rsidR="00181538" w:rsidRDefault="00181538" w:rsidP="00181538">
      <w:r>
        <w:t>A patient who develops a new infection during treatment with Kevzara should undergo prompt and complete diagnostic testing appropriate for an immunocompromised patient; appropriate antimicrobial therapy should be initiated, and the patient should be closely monitored.</w:t>
      </w:r>
    </w:p>
    <w:p w:rsidR="00181538" w:rsidRPr="00BB452D" w:rsidRDefault="00181538" w:rsidP="00BB452D">
      <w:pPr>
        <w:pStyle w:val="Heading3"/>
        <w:numPr>
          <w:ilvl w:val="0"/>
          <w:numId w:val="0"/>
        </w:numPr>
        <w:ind w:left="680" w:hanging="680"/>
        <w:rPr>
          <w:i/>
        </w:rPr>
      </w:pPr>
      <w:r w:rsidRPr="00BB452D">
        <w:rPr>
          <w:i/>
        </w:rPr>
        <w:t>Tuberculosis</w:t>
      </w:r>
    </w:p>
    <w:p w:rsidR="00181538" w:rsidRDefault="00181538" w:rsidP="00181538">
      <w:r>
        <w:t xml:space="preserve">Patients should be evaluated for tuberculosis risk factors and tested for latent infection prior to initiating and during treatment with Kevzara. Patients with latent tuberculosis should be treated with standard anti-mycobacterial therapy before initiating Kevzara. Consider anti-tuberculosis therapy prior to initiation of KEVZARA in patients with a past history of latent or active tuberculosis in whom an adequate course of treatment cannot be confirmed, and for patients with a negative test for latent tuberculosis but having risk factors for tuberculosis infection. When considering anti-tuberculosis therapy, consultation with a physician with expertise in tuberculosis may be appropriate. </w:t>
      </w:r>
    </w:p>
    <w:p w:rsidR="004F0E4A" w:rsidRDefault="00181538" w:rsidP="00181538">
      <w:r>
        <w:t>Patients should be closely monitored for the development of signs and symptoms of tuberculosis including patients who tested negative for latent tuberculosis infection prior to initiating therapy.</w:t>
      </w:r>
    </w:p>
    <w:p w:rsidR="00181538" w:rsidRPr="00BB452D" w:rsidRDefault="00181538" w:rsidP="00BB452D">
      <w:pPr>
        <w:pStyle w:val="Heading3"/>
        <w:numPr>
          <w:ilvl w:val="0"/>
          <w:numId w:val="0"/>
        </w:numPr>
        <w:ind w:left="680" w:hanging="680"/>
        <w:rPr>
          <w:i/>
        </w:rPr>
      </w:pPr>
      <w:r w:rsidRPr="00BB452D">
        <w:rPr>
          <w:i/>
        </w:rPr>
        <w:lastRenderedPageBreak/>
        <w:t>Viral Reactivation</w:t>
      </w:r>
    </w:p>
    <w:p w:rsidR="00181538" w:rsidRDefault="00181538" w:rsidP="00181538">
      <w:r w:rsidRPr="00181538">
        <w:t>KEVZARA is not recommended in patients with HIV, hepatitis B infection, hepatitis C infection, or symptomatic EBV infection. Viral reactivation has been reported with immunosuppressive biologic therapies and cases of herpes zoster were observed in clinical studies with Kevzara. No cases of Hepatitis B reactivation were observed in the clinical trial; however patients who were at risk for reactivation were excluded.</w:t>
      </w:r>
    </w:p>
    <w:p w:rsidR="00CC1699" w:rsidRDefault="00CC1699" w:rsidP="00CC1699">
      <w:pPr>
        <w:pStyle w:val="Heading3"/>
        <w:numPr>
          <w:ilvl w:val="0"/>
          <w:numId w:val="0"/>
        </w:numPr>
        <w:ind w:left="680" w:hanging="680"/>
        <w:rPr>
          <w:i/>
        </w:rPr>
      </w:pPr>
      <w:r w:rsidRPr="00CC1699">
        <w:rPr>
          <w:i/>
        </w:rPr>
        <w:t>L</w:t>
      </w:r>
      <w:r>
        <w:rPr>
          <w:i/>
        </w:rPr>
        <w:t>aboratory Abnormalities and Moni</w:t>
      </w:r>
      <w:r w:rsidRPr="00CC1699">
        <w:rPr>
          <w:i/>
        </w:rPr>
        <w:t>toring</w:t>
      </w:r>
    </w:p>
    <w:p w:rsidR="00CC1699" w:rsidRPr="00396D0D" w:rsidRDefault="00CC1699" w:rsidP="00CC1699">
      <w:pPr>
        <w:rPr>
          <w:color w:val="auto"/>
        </w:rPr>
      </w:pPr>
      <w:r w:rsidRPr="00396D0D">
        <w:rPr>
          <w:color w:val="auto"/>
        </w:rPr>
        <w:t>Neutrophils</w:t>
      </w:r>
    </w:p>
    <w:p w:rsidR="00CC1699" w:rsidRPr="00B745E4" w:rsidRDefault="00CC1699" w:rsidP="00CC1699">
      <w:pPr>
        <w:rPr>
          <w:color w:val="auto"/>
        </w:rPr>
      </w:pPr>
      <w:r w:rsidRPr="00396D0D">
        <w:rPr>
          <w:color w:val="auto"/>
        </w:rPr>
        <w:t xml:space="preserve">Treatment with Kevzara was associated with a higher incidence of decrease in absolute neutrophil count (ANC) including neutropenia. Decrease in ANC was not associated with </w:t>
      </w:r>
      <w:r w:rsidRPr="00B745E4">
        <w:rPr>
          <w:color w:val="auto"/>
        </w:rPr>
        <w:t xml:space="preserve">higher incidence of infections, including serious infections.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354AA8" w:rsidRPr="00B745E4">
        <w:rPr>
          <w:color w:val="auto"/>
        </w:rPr>
        <w:t>-</w:t>
      </w:r>
      <w:r w:rsidRPr="00B745E4">
        <w:rPr>
          <w:color w:val="auto"/>
        </w:rPr>
        <w:t>ADVERSE EFFECTS</w:t>
      </w:r>
      <w:r w:rsidR="00354AA8" w:rsidRPr="00B745E4">
        <w:rPr>
          <w:color w:val="auto"/>
        </w:rPr>
        <w:t xml:space="preserve"> (UNDESIRABLE EFFECTS)</w:t>
      </w:r>
      <w:r w:rsidRPr="00B745E4">
        <w:rPr>
          <w:color w:val="auto"/>
        </w:rPr>
        <w:t>]</w:t>
      </w:r>
    </w:p>
    <w:p w:rsidR="00CC1699" w:rsidRPr="00B745E4" w:rsidRDefault="00CC1699" w:rsidP="00CC1699">
      <w:pPr>
        <w:rPr>
          <w:color w:val="auto"/>
        </w:rPr>
      </w:pPr>
      <w:r w:rsidRPr="00B745E4">
        <w:rPr>
          <w:color w:val="auto"/>
        </w:rPr>
        <w:t>Initiating treatment with Kevzara is not recommended in patients with a low neutrophil count, i.e., ANC less than 2000 per mm</w:t>
      </w:r>
      <w:r w:rsidRPr="00B745E4">
        <w:rPr>
          <w:color w:val="auto"/>
          <w:vertAlign w:val="superscript"/>
        </w:rPr>
        <w:t>3</w:t>
      </w:r>
      <w:r w:rsidRPr="00B745E4">
        <w:rPr>
          <w:color w:val="auto"/>
        </w:rPr>
        <w:t>. In patients who develop an ANC less than 500 per mm3, discontinue treatment with KEVZARA.</w:t>
      </w:r>
    </w:p>
    <w:p w:rsidR="00CC1699" w:rsidRPr="00B745E4" w:rsidRDefault="00CC1699" w:rsidP="00CC1699">
      <w:pPr>
        <w:rPr>
          <w:color w:val="auto"/>
        </w:rPr>
      </w:pPr>
      <w:r w:rsidRPr="00B745E4">
        <w:rPr>
          <w:color w:val="auto"/>
        </w:rPr>
        <w:t xml:space="preserve">Monitor neutrophil count prior to initiating therapy, 4 to 8 weeks after start of therapy and every 3 months thereafter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_Ref524373961 \r \h  \* MERGEFORMAT </w:instrText>
      </w:r>
      <w:r w:rsidR="004F36CF" w:rsidRPr="004F36CF">
        <w:rPr>
          <w:color w:val="0000FF"/>
        </w:rPr>
      </w:r>
      <w:r w:rsidR="004F36CF" w:rsidRPr="004F36CF">
        <w:rPr>
          <w:color w:val="0000FF"/>
        </w:rPr>
        <w:fldChar w:fldCharType="separate"/>
      </w:r>
      <w:r w:rsidR="00EA3D29">
        <w:rPr>
          <w:color w:val="0000FF"/>
        </w:rPr>
        <w:t>5</w:t>
      </w:r>
      <w:r w:rsidR="004F36CF" w:rsidRPr="004F36CF">
        <w:rPr>
          <w:color w:val="0000FF"/>
        </w:rPr>
        <w:fldChar w:fldCharType="end"/>
      </w:r>
      <w:r w:rsidR="00354AA8" w:rsidRPr="00B745E4">
        <w:rPr>
          <w:color w:val="auto"/>
        </w:rPr>
        <w:t>-</w:t>
      </w:r>
      <w:r w:rsidRPr="00B745E4">
        <w:rPr>
          <w:color w:val="auto"/>
        </w:rPr>
        <w:t>PHARMACOLOG</w:t>
      </w:r>
      <w:r w:rsidR="00354AA8" w:rsidRPr="00B745E4">
        <w:rPr>
          <w:color w:val="auto"/>
        </w:rPr>
        <w:t>ICAL PROPERTIES</w:t>
      </w:r>
      <w:r w:rsidRPr="00B745E4">
        <w:rPr>
          <w:color w:val="auto"/>
        </w:rPr>
        <w:t xml:space="preserve">]. For recommended dose modifications based on ANC results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_Ref524374161 \r \h  \* MERGEFORMAT </w:instrText>
      </w:r>
      <w:r w:rsidR="004F36CF" w:rsidRPr="004F36CF">
        <w:rPr>
          <w:color w:val="0000FF"/>
        </w:rPr>
      </w:r>
      <w:r w:rsidR="004F36CF" w:rsidRPr="004F36CF">
        <w:rPr>
          <w:color w:val="0000FF"/>
        </w:rPr>
        <w:fldChar w:fldCharType="separate"/>
      </w:r>
      <w:r w:rsidR="00EA3D29">
        <w:rPr>
          <w:color w:val="0000FF"/>
        </w:rPr>
        <w:t>4.2</w:t>
      </w:r>
      <w:r w:rsidR="004F36CF" w:rsidRPr="004F36CF">
        <w:rPr>
          <w:color w:val="0000FF"/>
        </w:rPr>
        <w:fldChar w:fldCharType="end"/>
      </w:r>
      <w:r w:rsidR="00354AA8" w:rsidRPr="00B745E4">
        <w:rPr>
          <w:color w:val="auto"/>
        </w:rPr>
        <w:t>-</w:t>
      </w:r>
      <w:r w:rsidRPr="00B745E4">
        <w:rPr>
          <w:color w:val="auto"/>
        </w:rPr>
        <w:t>DOS</w:t>
      </w:r>
      <w:r w:rsidR="00354AA8" w:rsidRPr="00B745E4">
        <w:rPr>
          <w:color w:val="auto"/>
        </w:rPr>
        <w:t>E</w:t>
      </w:r>
      <w:r w:rsidRPr="00B745E4">
        <w:rPr>
          <w:color w:val="auto"/>
        </w:rPr>
        <w:t xml:space="preserve"> AND </w:t>
      </w:r>
      <w:r w:rsidR="00354AA8" w:rsidRPr="00B745E4">
        <w:rPr>
          <w:color w:val="auto"/>
        </w:rPr>
        <w:t xml:space="preserve">METHOD OF </w:t>
      </w:r>
      <w:r w:rsidRPr="00B745E4">
        <w:rPr>
          <w:color w:val="auto"/>
        </w:rPr>
        <w:t>ADMINISTRATION.</w:t>
      </w:r>
    </w:p>
    <w:p w:rsidR="00CC1699" w:rsidRPr="00B745E4" w:rsidRDefault="00CC1699" w:rsidP="00CC1699">
      <w:pPr>
        <w:rPr>
          <w:color w:val="auto"/>
        </w:rPr>
      </w:pPr>
      <w:r w:rsidRPr="00B745E4">
        <w:rPr>
          <w:color w:val="auto"/>
        </w:rPr>
        <w:t xml:space="preserve">Based on the pharmacodynamics of the changes in ANC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_Ref524373961 \r \h  \* MERGEFORMAT </w:instrText>
      </w:r>
      <w:r w:rsidR="004F36CF" w:rsidRPr="004F36CF">
        <w:rPr>
          <w:color w:val="0000FF"/>
        </w:rPr>
      </w:r>
      <w:r w:rsidR="004F36CF" w:rsidRPr="004F36CF">
        <w:rPr>
          <w:color w:val="0000FF"/>
        </w:rPr>
        <w:fldChar w:fldCharType="separate"/>
      </w:r>
      <w:r w:rsidR="00EA3D29">
        <w:rPr>
          <w:color w:val="0000FF"/>
        </w:rPr>
        <w:t>5</w:t>
      </w:r>
      <w:r w:rsidR="004F36CF" w:rsidRPr="004F36CF">
        <w:rPr>
          <w:color w:val="0000FF"/>
        </w:rPr>
        <w:fldChar w:fldCharType="end"/>
      </w:r>
      <w:r w:rsidR="00354AA8" w:rsidRPr="00B745E4">
        <w:rPr>
          <w:color w:val="auto"/>
        </w:rPr>
        <w:t>-</w:t>
      </w:r>
      <w:r w:rsidRPr="00B745E4">
        <w:rPr>
          <w:color w:val="auto"/>
        </w:rPr>
        <w:t>PHARMACOLOG</w:t>
      </w:r>
      <w:r w:rsidR="00354AA8" w:rsidRPr="00B745E4">
        <w:rPr>
          <w:color w:val="auto"/>
        </w:rPr>
        <w:t>ICAL PROPERTIES</w:t>
      </w:r>
      <w:r w:rsidRPr="00B745E4">
        <w:rPr>
          <w:color w:val="auto"/>
        </w:rPr>
        <w:t>], use results obtained at the end of the dosing interval when considering dose modification.</w:t>
      </w:r>
    </w:p>
    <w:p w:rsidR="00CC1699" w:rsidRPr="00B745E4" w:rsidRDefault="00CC1699" w:rsidP="00CC1699">
      <w:pPr>
        <w:rPr>
          <w:color w:val="auto"/>
        </w:rPr>
      </w:pPr>
      <w:r w:rsidRPr="00B745E4">
        <w:rPr>
          <w:color w:val="auto"/>
        </w:rPr>
        <w:t xml:space="preserve">Platelet Count </w:t>
      </w:r>
    </w:p>
    <w:p w:rsidR="00CC1699" w:rsidRPr="00B745E4" w:rsidRDefault="00CC1699" w:rsidP="00CC1699">
      <w:pPr>
        <w:rPr>
          <w:color w:val="auto"/>
        </w:rPr>
      </w:pPr>
      <w:r w:rsidRPr="00B745E4">
        <w:rPr>
          <w:color w:val="auto"/>
        </w:rPr>
        <w:t xml:space="preserve">Treatment with Kevzara was associated with a reduction in platelet counts in clinical studies.  Reduction in platelets was not associated with bleeding events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354AA8" w:rsidRPr="00B745E4">
        <w:rPr>
          <w:color w:val="auto"/>
        </w:rPr>
        <w:t>-</w:t>
      </w:r>
      <w:r w:rsidRPr="00B745E4">
        <w:rPr>
          <w:color w:val="auto"/>
        </w:rPr>
        <w:t>ADVERSE EFFECTS</w:t>
      </w:r>
      <w:r w:rsidR="00354AA8" w:rsidRPr="00B745E4">
        <w:rPr>
          <w:color w:val="auto"/>
        </w:rPr>
        <w:t xml:space="preserve"> (UNDESIRABLE EFFECTS)</w:t>
      </w:r>
      <w:r w:rsidRPr="00B745E4">
        <w:rPr>
          <w:color w:val="auto"/>
        </w:rPr>
        <w:t>].</w:t>
      </w:r>
    </w:p>
    <w:p w:rsidR="00CC1699" w:rsidRPr="00B745E4" w:rsidRDefault="00CC1699" w:rsidP="00CC1699">
      <w:pPr>
        <w:rPr>
          <w:color w:val="auto"/>
        </w:rPr>
      </w:pPr>
      <w:r w:rsidRPr="00B745E4">
        <w:rPr>
          <w:color w:val="auto"/>
        </w:rPr>
        <w:t>Initiating treatment with Kevzara is not recommended in patients with a platelet count below 150,000 per mm</w:t>
      </w:r>
      <w:r w:rsidRPr="00B745E4">
        <w:rPr>
          <w:color w:val="auto"/>
          <w:vertAlign w:val="superscript"/>
        </w:rPr>
        <w:t>3</w:t>
      </w:r>
      <w:r w:rsidRPr="00B745E4">
        <w:rPr>
          <w:color w:val="auto"/>
        </w:rPr>
        <w:t>. In patients who develop a platelet count less than 50,000 per mm</w:t>
      </w:r>
      <w:r w:rsidRPr="00B745E4">
        <w:rPr>
          <w:color w:val="auto"/>
          <w:vertAlign w:val="superscript"/>
        </w:rPr>
        <w:t>3</w:t>
      </w:r>
      <w:r w:rsidRPr="00B745E4">
        <w:rPr>
          <w:color w:val="auto"/>
        </w:rPr>
        <w:t>, discontinue treatment with Kevzara.</w:t>
      </w:r>
    </w:p>
    <w:p w:rsidR="00CC1699" w:rsidRPr="00B745E4" w:rsidRDefault="00CC1699" w:rsidP="00CC1699">
      <w:pPr>
        <w:rPr>
          <w:color w:val="auto"/>
        </w:rPr>
      </w:pPr>
      <w:r w:rsidRPr="00B745E4">
        <w:rPr>
          <w:color w:val="auto"/>
        </w:rPr>
        <w:t xml:space="preserve">Monitor platelets prior to initiating therapy, 4 to 8 weeks after start of therapy and every 3 months thereafter. For recommended dose modifications based on platelet counts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_Ref524374161 \r \h  \* MERGEFORMAT </w:instrText>
      </w:r>
      <w:r w:rsidR="004F36CF" w:rsidRPr="004F36CF">
        <w:rPr>
          <w:color w:val="0000FF"/>
        </w:rPr>
      </w:r>
      <w:r w:rsidR="004F36CF" w:rsidRPr="004F36CF">
        <w:rPr>
          <w:color w:val="0000FF"/>
        </w:rPr>
        <w:fldChar w:fldCharType="separate"/>
      </w:r>
      <w:r w:rsidR="00EA3D29">
        <w:rPr>
          <w:color w:val="0000FF"/>
        </w:rPr>
        <w:t>4.2</w:t>
      </w:r>
      <w:r w:rsidR="004F36CF" w:rsidRPr="004F36CF">
        <w:rPr>
          <w:color w:val="0000FF"/>
        </w:rPr>
        <w:fldChar w:fldCharType="end"/>
      </w:r>
      <w:r w:rsidR="00354AA8" w:rsidRPr="00B745E4">
        <w:rPr>
          <w:color w:val="auto"/>
        </w:rPr>
        <w:t>-</w:t>
      </w:r>
      <w:r w:rsidRPr="00B745E4">
        <w:rPr>
          <w:color w:val="auto"/>
        </w:rPr>
        <w:t>DOS</w:t>
      </w:r>
      <w:r w:rsidR="00354AA8" w:rsidRPr="00B745E4">
        <w:rPr>
          <w:color w:val="auto"/>
        </w:rPr>
        <w:t>E</w:t>
      </w:r>
      <w:r w:rsidRPr="00B745E4">
        <w:rPr>
          <w:color w:val="auto"/>
        </w:rPr>
        <w:t xml:space="preserve"> AND </w:t>
      </w:r>
      <w:r w:rsidR="00354AA8" w:rsidRPr="00B745E4">
        <w:rPr>
          <w:color w:val="auto"/>
        </w:rPr>
        <w:t xml:space="preserve">METHOD OF </w:t>
      </w:r>
      <w:r w:rsidRPr="00B745E4">
        <w:rPr>
          <w:color w:val="auto"/>
        </w:rPr>
        <w:t>ADMINISTRATION].</w:t>
      </w:r>
    </w:p>
    <w:p w:rsidR="00CC1699" w:rsidRPr="00B745E4" w:rsidRDefault="00CC1699" w:rsidP="00CC1699">
      <w:pPr>
        <w:rPr>
          <w:color w:val="auto"/>
        </w:rPr>
      </w:pPr>
      <w:r w:rsidRPr="00B745E4">
        <w:rPr>
          <w:color w:val="auto"/>
        </w:rPr>
        <w:t>Liver Enzymes</w:t>
      </w:r>
    </w:p>
    <w:p w:rsidR="00CC1699" w:rsidRPr="00B745E4" w:rsidRDefault="00CC1699" w:rsidP="00CC1699">
      <w:pPr>
        <w:rPr>
          <w:color w:val="auto"/>
        </w:rPr>
      </w:pPr>
      <w:r w:rsidRPr="00B745E4">
        <w:rPr>
          <w:color w:val="auto"/>
        </w:rPr>
        <w:t>Treatment with Kevzara was associated with a higher incidence of transaminase elevations. These elevations were transient and did not result in any clinically evident hepatic injury in clinical studies [see</w:t>
      </w:r>
      <w:r w:rsidR="00DF0F51">
        <w:rPr>
          <w:color w:val="auto"/>
        </w:rPr>
        <w:t xml:space="preserv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354AA8" w:rsidRPr="00B745E4">
        <w:rPr>
          <w:color w:val="auto"/>
        </w:rPr>
        <w:t>-</w:t>
      </w:r>
      <w:r w:rsidRPr="00B745E4">
        <w:rPr>
          <w:color w:val="auto"/>
        </w:rPr>
        <w:t>ADVERSE EFFECTS</w:t>
      </w:r>
      <w:r w:rsidR="00354AA8" w:rsidRPr="00B745E4">
        <w:rPr>
          <w:color w:val="auto"/>
        </w:rPr>
        <w:t xml:space="preserve"> (UNDESIRABLE EFFECTS)</w:t>
      </w:r>
      <w:r w:rsidRPr="00B745E4">
        <w:rPr>
          <w:color w:val="auto"/>
        </w:rPr>
        <w:t>]. Increased frequency and magnitude of these elevations were observed when potentially hepatotoxic drugs (e.g., MTX) were used</w:t>
      </w:r>
      <w:r w:rsidR="004F36CF">
        <w:rPr>
          <w:color w:val="auto"/>
        </w:rPr>
        <w:t xml:space="preserve"> in combination with Kevzara.</w:t>
      </w:r>
    </w:p>
    <w:p w:rsidR="00CC1699" w:rsidRPr="00B745E4" w:rsidRDefault="00CC1699" w:rsidP="00CC1699">
      <w:pPr>
        <w:rPr>
          <w:color w:val="auto"/>
        </w:rPr>
      </w:pPr>
      <w:r w:rsidRPr="00B745E4">
        <w:rPr>
          <w:color w:val="auto"/>
        </w:rPr>
        <w:lastRenderedPageBreak/>
        <w:t xml:space="preserve">Initiating treatment with Kevzara is not recommended in patients with elevated transaminases, ALT or AST greater than 1.5x ULN. In patients who develop elevated ALT greater than 5x ULN, discontinue treatment with Kevzara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_Ref524374161 \r \h  \* MERGEFORMAT </w:instrText>
      </w:r>
      <w:r w:rsidR="004F36CF" w:rsidRPr="004F36CF">
        <w:rPr>
          <w:color w:val="0000FF"/>
        </w:rPr>
      </w:r>
      <w:r w:rsidR="004F36CF" w:rsidRPr="004F36CF">
        <w:rPr>
          <w:color w:val="0000FF"/>
        </w:rPr>
        <w:fldChar w:fldCharType="separate"/>
      </w:r>
      <w:r w:rsidR="00EA3D29">
        <w:rPr>
          <w:color w:val="0000FF"/>
        </w:rPr>
        <w:t>4.2</w:t>
      </w:r>
      <w:r w:rsidR="004F36CF" w:rsidRPr="004F36CF">
        <w:rPr>
          <w:color w:val="0000FF"/>
        </w:rPr>
        <w:fldChar w:fldCharType="end"/>
      </w:r>
      <w:r w:rsidR="00354AA8" w:rsidRPr="00B745E4">
        <w:rPr>
          <w:color w:val="auto"/>
        </w:rPr>
        <w:t>-</w:t>
      </w:r>
      <w:r w:rsidRPr="00B745E4">
        <w:rPr>
          <w:color w:val="auto"/>
        </w:rPr>
        <w:t>DOS</w:t>
      </w:r>
      <w:r w:rsidR="00354AA8" w:rsidRPr="00B745E4">
        <w:rPr>
          <w:color w:val="auto"/>
        </w:rPr>
        <w:t>E</w:t>
      </w:r>
      <w:r w:rsidRPr="00B745E4">
        <w:rPr>
          <w:color w:val="auto"/>
        </w:rPr>
        <w:t xml:space="preserve"> AND </w:t>
      </w:r>
      <w:r w:rsidR="00354AA8" w:rsidRPr="00B745E4">
        <w:rPr>
          <w:color w:val="auto"/>
        </w:rPr>
        <w:t xml:space="preserve">METHOD OF </w:t>
      </w:r>
      <w:r w:rsidRPr="00B745E4">
        <w:rPr>
          <w:color w:val="auto"/>
        </w:rPr>
        <w:t>ADMINISTRATION].</w:t>
      </w:r>
    </w:p>
    <w:p w:rsidR="00354AA8" w:rsidRPr="00B745E4" w:rsidRDefault="00CC1699" w:rsidP="00CC1699">
      <w:pPr>
        <w:rPr>
          <w:color w:val="auto"/>
        </w:rPr>
      </w:pPr>
      <w:r w:rsidRPr="00B745E4">
        <w:rPr>
          <w:color w:val="auto"/>
        </w:rPr>
        <w:t xml:space="preserve">Monitor ALT and AST levels prior to initiating therapy, 4 to 8 weeks after start of therapy and every 3 months thereafter. When clinically indicated, consider other liver function tests such as bilirubin. For recommended dose modifications based on transaminase elevations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_Ref524374161 \r \h  \* MERGEFORMAT </w:instrText>
      </w:r>
      <w:r w:rsidR="004F36CF" w:rsidRPr="004F36CF">
        <w:rPr>
          <w:color w:val="0000FF"/>
        </w:rPr>
      </w:r>
      <w:r w:rsidR="004F36CF" w:rsidRPr="004F36CF">
        <w:rPr>
          <w:color w:val="0000FF"/>
        </w:rPr>
        <w:fldChar w:fldCharType="separate"/>
      </w:r>
      <w:r w:rsidR="00EA3D29">
        <w:rPr>
          <w:color w:val="0000FF"/>
        </w:rPr>
        <w:t>4.2</w:t>
      </w:r>
      <w:r w:rsidR="004F36CF" w:rsidRPr="004F36CF">
        <w:rPr>
          <w:color w:val="0000FF"/>
        </w:rPr>
        <w:fldChar w:fldCharType="end"/>
      </w:r>
      <w:r w:rsidR="00354AA8" w:rsidRPr="00B745E4">
        <w:rPr>
          <w:color w:val="auto"/>
        </w:rPr>
        <w:t>-</w:t>
      </w:r>
      <w:r w:rsidRPr="00B745E4">
        <w:rPr>
          <w:color w:val="auto"/>
        </w:rPr>
        <w:t>DOS</w:t>
      </w:r>
      <w:r w:rsidR="00354AA8" w:rsidRPr="00B745E4">
        <w:rPr>
          <w:color w:val="auto"/>
        </w:rPr>
        <w:t>E</w:t>
      </w:r>
      <w:r w:rsidR="00321411" w:rsidRPr="00B745E4">
        <w:rPr>
          <w:color w:val="auto"/>
        </w:rPr>
        <w:t xml:space="preserve"> </w:t>
      </w:r>
      <w:r w:rsidRPr="00B745E4">
        <w:rPr>
          <w:color w:val="auto"/>
        </w:rPr>
        <w:t xml:space="preserve">AND </w:t>
      </w:r>
      <w:r w:rsidR="00354AA8" w:rsidRPr="00B745E4">
        <w:rPr>
          <w:color w:val="auto"/>
        </w:rPr>
        <w:t xml:space="preserve">METHOD OF </w:t>
      </w:r>
      <w:r w:rsidRPr="00B745E4">
        <w:rPr>
          <w:color w:val="auto"/>
        </w:rPr>
        <w:t>ADMINISTRATION].</w:t>
      </w:r>
    </w:p>
    <w:p w:rsidR="00CC1699" w:rsidRPr="00396D0D" w:rsidRDefault="00CC1699" w:rsidP="00354AA8">
      <w:pPr>
        <w:pageBreakBefore/>
        <w:rPr>
          <w:color w:val="auto"/>
        </w:rPr>
      </w:pPr>
      <w:r w:rsidRPr="00396D0D">
        <w:rPr>
          <w:color w:val="auto"/>
        </w:rPr>
        <w:lastRenderedPageBreak/>
        <w:t>Lipid Abnormalities</w:t>
      </w:r>
    </w:p>
    <w:p w:rsidR="00CC1699" w:rsidRPr="00B745E4" w:rsidRDefault="00CC1699" w:rsidP="00CC1699">
      <w:pPr>
        <w:rPr>
          <w:color w:val="auto"/>
        </w:rPr>
      </w:pPr>
      <w:r w:rsidRPr="00B745E4">
        <w:rPr>
          <w:color w:val="auto"/>
        </w:rPr>
        <w:t xml:space="preserve">Lipid levels may be reduced in patients with chronic inflammation. Treatment with Kevzara was associated with increases in lipid parameters such as LDL cholesterol, HDL cholesterol and/or triglycerides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354AA8" w:rsidRPr="00B745E4">
        <w:rPr>
          <w:color w:val="auto"/>
        </w:rPr>
        <w:t xml:space="preserve">- </w:t>
      </w:r>
      <w:r w:rsidRPr="00B745E4">
        <w:rPr>
          <w:color w:val="auto"/>
        </w:rPr>
        <w:t>ADVERSE EFFECTS</w:t>
      </w:r>
      <w:r w:rsidR="00354AA8" w:rsidRPr="00B745E4">
        <w:rPr>
          <w:color w:val="auto"/>
        </w:rPr>
        <w:t xml:space="preserve"> (UNDESIRABLE EFFECTS)</w:t>
      </w:r>
      <w:r w:rsidRPr="00B745E4">
        <w:rPr>
          <w:color w:val="auto"/>
        </w:rPr>
        <w:t>].</w:t>
      </w:r>
    </w:p>
    <w:p w:rsidR="00CC1699" w:rsidRPr="00B745E4" w:rsidRDefault="00CC1699" w:rsidP="00CC1699">
      <w:pPr>
        <w:rPr>
          <w:color w:val="auto"/>
        </w:rPr>
      </w:pPr>
      <w:r w:rsidRPr="00B745E4">
        <w:rPr>
          <w:color w:val="auto"/>
        </w:rPr>
        <w:t>Assess lipid parameters approximately 4 to 8 weeks following initiation of treatment with Kevzara, then at approximately 6 month intervals.</w:t>
      </w:r>
    </w:p>
    <w:p w:rsidR="00CC1699" w:rsidRPr="00B745E4" w:rsidRDefault="00CC1699" w:rsidP="00CC1699">
      <w:pPr>
        <w:rPr>
          <w:color w:val="auto"/>
        </w:rPr>
      </w:pPr>
      <w:r w:rsidRPr="00B745E4">
        <w:rPr>
          <w:color w:val="auto"/>
        </w:rPr>
        <w:t>Manage patients according to clinical guidelines for the management of hyperlipidemia</w:t>
      </w:r>
    </w:p>
    <w:p w:rsidR="00181538" w:rsidRPr="00B745E4" w:rsidRDefault="00181538" w:rsidP="00BB452D">
      <w:pPr>
        <w:pStyle w:val="Heading3"/>
        <w:numPr>
          <w:ilvl w:val="0"/>
          <w:numId w:val="0"/>
        </w:numPr>
        <w:ind w:left="680" w:hanging="680"/>
        <w:rPr>
          <w:i/>
        </w:rPr>
      </w:pPr>
      <w:r w:rsidRPr="00B745E4">
        <w:rPr>
          <w:i/>
        </w:rPr>
        <w:t>Hypersensitivity Reactions</w:t>
      </w:r>
    </w:p>
    <w:p w:rsidR="00181538" w:rsidRPr="00B745E4" w:rsidRDefault="00181538" w:rsidP="00181538">
      <w:pPr>
        <w:rPr>
          <w:color w:val="auto"/>
        </w:rPr>
      </w:pPr>
      <w:r w:rsidRPr="00B745E4">
        <w:rPr>
          <w:color w:val="auto"/>
        </w:rPr>
        <w:t xml:space="preserve">Hypersensitivity reactions have been reported in association with KEVZARA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321411" w:rsidRPr="00B745E4">
        <w:rPr>
          <w:color w:val="auto"/>
        </w:rPr>
        <w:t xml:space="preserve">- </w:t>
      </w:r>
      <w:r w:rsidR="004F0D65" w:rsidRPr="00B745E4">
        <w:rPr>
          <w:color w:val="auto"/>
        </w:rPr>
        <w:t>ADVERSE EFFECTS (UNDESIRABLE EFFECTS)</w:t>
      </w:r>
      <w:r w:rsidRPr="00B745E4">
        <w:rPr>
          <w:color w:val="auto"/>
        </w:rPr>
        <w:t xml:space="preserve">]. Injection site rash, rash, and urticaria were the most frequent hypersensitivity reactions. </w:t>
      </w:r>
    </w:p>
    <w:p w:rsidR="00181538" w:rsidRPr="00B745E4" w:rsidRDefault="00181538" w:rsidP="00181538">
      <w:pPr>
        <w:rPr>
          <w:color w:val="auto"/>
        </w:rPr>
      </w:pPr>
      <w:r w:rsidRPr="00B745E4">
        <w:rPr>
          <w:color w:val="auto"/>
        </w:rPr>
        <w:t>Advise patients to seek immediate medical attention if they experience any symptoms of a hypersensitivity reaction.</w:t>
      </w:r>
    </w:p>
    <w:p w:rsidR="00181538" w:rsidRPr="00B745E4" w:rsidRDefault="00181538" w:rsidP="00181538">
      <w:pPr>
        <w:rPr>
          <w:color w:val="auto"/>
        </w:rPr>
      </w:pPr>
      <w:r w:rsidRPr="00B745E4">
        <w:rPr>
          <w:color w:val="auto"/>
        </w:rPr>
        <w:t xml:space="preserve">If anaphylaxis or other hypersensitivity reaction occurs, stop administration of KEVZARA immediately. </w:t>
      </w:r>
    </w:p>
    <w:p w:rsidR="00181538" w:rsidRPr="00B745E4" w:rsidRDefault="00181538" w:rsidP="00181538">
      <w:pPr>
        <w:rPr>
          <w:color w:val="auto"/>
        </w:rPr>
      </w:pPr>
      <w:r w:rsidRPr="00B745E4">
        <w:rPr>
          <w:color w:val="auto"/>
        </w:rPr>
        <w:t xml:space="preserve">Do not administer KEVZARA to patients with known hypersensitivity to sarilumab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_Ref524374110 \r \h  \* MERGEFORMAT </w:instrText>
      </w:r>
      <w:r w:rsidR="004F36CF" w:rsidRPr="004F36CF">
        <w:rPr>
          <w:color w:val="0000FF"/>
        </w:rPr>
      </w:r>
      <w:r w:rsidR="004F36CF" w:rsidRPr="004F36CF">
        <w:rPr>
          <w:color w:val="0000FF"/>
        </w:rPr>
        <w:fldChar w:fldCharType="separate"/>
      </w:r>
      <w:r w:rsidR="00EA3D29">
        <w:rPr>
          <w:color w:val="0000FF"/>
        </w:rPr>
        <w:t>4.3</w:t>
      </w:r>
      <w:r w:rsidR="004F36CF" w:rsidRPr="004F36CF">
        <w:rPr>
          <w:color w:val="0000FF"/>
        </w:rPr>
        <w:fldChar w:fldCharType="end"/>
      </w:r>
      <w:r w:rsidR="004F0D65" w:rsidRPr="00B745E4">
        <w:rPr>
          <w:color w:val="auto"/>
        </w:rPr>
        <w:t>-</w:t>
      </w:r>
      <w:r w:rsidR="004F36CF">
        <w:rPr>
          <w:color w:val="auto"/>
        </w:rPr>
        <w:t>CONTRAINDICATIONS</w:t>
      </w:r>
      <w:r w:rsidRPr="00B745E4">
        <w:rPr>
          <w:color w:val="auto"/>
        </w:rPr>
        <w:t xml:space="preserve"> and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4F0D65" w:rsidRPr="00B745E4">
        <w:rPr>
          <w:color w:val="auto"/>
        </w:rPr>
        <w:t>-ADVERSE EFFECTS (UNDESIRABLE EFFECTS)</w:t>
      </w:r>
      <w:r w:rsidRPr="00B745E4">
        <w:rPr>
          <w:color w:val="auto"/>
        </w:rPr>
        <w:t>].</w:t>
      </w:r>
    </w:p>
    <w:p w:rsidR="00181538" w:rsidRPr="00B745E4" w:rsidRDefault="00181538" w:rsidP="00181538">
      <w:pPr>
        <w:rPr>
          <w:color w:val="auto"/>
        </w:rPr>
      </w:pPr>
    </w:p>
    <w:p w:rsidR="00932D74" w:rsidRPr="00B745E4" w:rsidRDefault="00932D74" w:rsidP="00CA73C2">
      <w:pPr>
        <w:pStyle w:val="Heading3"/>
        <w:numPr>
          <w:ilvl w:val="0"/>
          <w:numId w:val="0"/>
        </w:numPr>
        <w:spacing w:before="0" w:after="120"/>
        <w:ind w:left="680" w:hanging="680"/>
        <w:rPr>
          <w:i/>
        </w:rPr>
      </w:pPr>
      <w:r w:rsidRPr="00B745E4">
        <w:rPr>
          <w:i/>
        </w:rPr>
        <w:t>Gastrointestinal Perforation</w:t>
      </w:r>
    </w:p>
    <w:p w:rsidR="00932D74" w:rsidRPr="00B745E4" w:rsidRDefault="00932D74" w:rsidP="001D0A3F">
      <w:pPr>
        <w:rPr>
          <w:color w:val="auto"/>
        </w:rPr>
      </w:pPr>
      <w:r w:rsidRPr="00B745E4">
        <w:rPr>
          <w:color w:val="auto"/>
        </w:rPr>
        <w:t xml:space="preserve">Events of gastrointestinal perforation have been reported in clinical studies, primarily as complications of diverticulitis. Use Kevzara with caution in patients who may be at increased risk for gastrointestinal perforation. GI perforation risk may be increased with concurrent diverticulitis or concomitant use of NSAIDs or corticosteroids. Promptly evaluate patients presenting with new onset abdominal symptoms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4F0D65" w:rsidRPr="00B745E4">
        <w:rPr>
          <w:color w:val="auto"/>
        </w:rPr>
        <w:t>-</w:t>
      </w:r>
      <w:r w:rsidRPr="00B745E4">
        <w:rPr>
          <w:color w:val="auto"/>
        </w:rPr>
        <w:t>ADVERSE EFFECTS</w:t>
      </w:r>
      <w:r w:rsidR="004F0D65" w:rsidRPr="00B745E4">
        <w:rPr>
          <w:color w:val="auto"/>
        </w:rPr>
        <w:t xml:space="preserve"> (UNDESIRABLE EFFECTS)</w:t>
      </w:r>
      <w:r w:rsidRPr="00B745E4">
        <w:rPr>
          <w:color w:val="auto"/>
        </w:rPr>
        <w:t>].</w:t>
      </w:r>
    </w:p>
    <w:p w:rsidR="001D0A3F" w:rsidRPr="00B745E4" w:rsidRDefault="001D0A3F" w:rsidP="001D0A3F">
      <w:pPr>
        <w:rPr>
          <w:color w:val="auto"/>
        </w:rPr>
      </w:pPr>
    </w:p>
    <w:p w:rsidR="00932D74" w:rsidRPr="00B745E4" w:rsidRDefault="00932D74" w:rsidP="00CA73C2">
      <w:pPr>
        <w:pStyle w:val="Heading3"/>
        <w:numPr>
          <w:ilvl w:val="0"/>
          <w:numId w:val="0"/>
        </w:numPr>
        <w:spacing w:before="0" w:after="120"/>
        <w:ind w:left="680" w:hanging="680"/>
        <w:rPr>
          <w:i/>
        </w:rPr>
      </w:pPr>
      <w:r w:rsidRPr="00B745E4">
        <w:rPr>
          <w:i/>
        </w:rPr>
        <w:t>Malignancies</w:t>
      </w:r>
    </w:p>
    <w:p w:rsidR="00932D74" w:rsidRPr="00B745E4" w:rsidRDefault="00932D74" w:rsidP="001D0A3F">
      <w:pPr>
        <w:rPr>
          <w:color w:val="auto"/>
        </w:rPr>
      </w:pPr>
      <w:r w:rsidRPr="00B745E4">
        <w:rPr>
          <w:color w:val="auto"/>
        </w:rPr>
        <w:t xml:space="preserve">Treatment with immunosuppressants may result in an increased risk of malignancies. The impact of treatment with Kevzara on the development of malignancies is not known but malignancies were reported in clinical studies. In the 52-week placebo-controlled population, malignancies occurred at the same rate in patients receiving either Kevzara + DMARD or placebo + DMARD (1.0 events per 100 patient-years). In the long-term safety population, the rate of malignancies was consistent with the rate observed in the placebo-controlled period [see </w:t>
      </w:r>
      <w:r w:rsidR="004F36CF">
        <w:rPr>
          <w:color w:val="auto"/>
        </w:rPr>
        <w:t xml:space="preserve">Section </w:t>
      </w:r>
      <w:r w:rsidR="004F36CF" w:rsidRPr="004F36CF">
        <w:rPr>
          <w:color w:val="0000FF"/>
        </w:rPr>
        <w:fldChar w:fldCharType="begin"/>
      </w:r>
      <w:r w:rsidR="004F36CF" w:rsidRPr="004F36CF">
        <w:rPr>
          <w:color w:val="0000FF"/>
        </w:rPr>
        <w:instrText xml:space="preserve"> REF _Ref524374081 \r \h  \* MERGEFORMAT </w:instrText>
      </w:r>
      <w:r w:rsidR="004F36CF" w:rsidRPr="004F36CF">
        <w:rPr>
          <w:color w:val="0000FF"/>
        </w:rPr>
      </w:r>
      <w:r w:rsidR="004F36CF" w:rsidRPr="004F36CF">
        <w:rPr>
          <w:color w:val="0000FF"/>
        </w:rPr>
        <w:fldChar w:fldCharType="separate"/>
      </w:r>
      <w:r w:rsidR="00EA3D29">
        <w:rPr>
          <w:color w:val="0000FF"/>
        </w:rPr>
        <w:t>4.8</w:t>
      </w:r>
      <w:r w:rsidR="004F36CF" w:rsidRPr="004F36CF">
        <w:rPr>
          <w:color w:val="0000FF"/>
        </w:rPr>
        <w:fldChar w:fldCharType="end"/>
      </w:r>
      <w:r w:rsidR="004F0D65" w:rsidRPr="00B745E4">
        <w:rPr>
          <w:color w:val="auto"/>
        </w:rPr>
        <w:t>-</w:t>
      </w:r>
      <w:r w:rsidRPr="00B745E4">
        <w:rPr>
          <w:color w:val="auto"/>
        </w:rPr>
        <w:t>ADVERSE EFFECTS</w:t>
      </w:r>
      <w:r w:rsidR="004F0D65" w:rsidRPr="00B745E4">
        <w:rPr>
          <w:color w:val="auto"/>
        </w:rPr>
        <w:t xml:space="preserve"> (UNDESIRABLE EFFECTS)</w:t>
      </w:r>
      <w:r w:rsidRPr="00B745E4">
        <w:rPr>
          <w:color w:val="auto"/>
        </w:rPr>
        <w:t xml:space="preserve">].  </w:t>
      </w:r>
    </w:p>
    <w:p w:rsidR="001D0A3F" w:rsidRPr="00B745E4" w:rsidRDefault="001D0A3F" w:rsidP="001D0A3F">
      <w:pPr>
        <w:rPr>
          <w:color w:val="auto"/>
        </w:rPr>
      </w:pPr>
    </w:p>
    <w:p w:rsidR="00932D74" w:rsidRDefault="00932D74" w:rsidP="00CA73C2">
      <w:pPr>
        <w:pStyle w:val="Heading3"/>
        <w:numPr>
          <w:ilvl w:val="0"/>
          <w:numId w:val="0"/>
        </w:numPr>
        <w:spacing w:before="0" w:after="120"/>
        <w:ind w:left="680" w:hanging="680"/>
        <w:rPr>
          <w:i/>
        </w:rPr>
      </w:pPr>
      <w:r>
        <w:rPr>
          <w:i/>
        </w:rPr>
        <w:lastRenderedPageBreak/>
        <w:t>Cardiovascular risk</w:t>
      </w:r>
    </w:p>
    <w:p w:rsidR="00932D74" w:rsidRPr="00B745E4" w:rsidRDefault="00932D74" w:rsidP="001D0A3F">
      <w:pPr>
        <w:rPr>
          <w:color w:val="auto"/>
        </w:rPr>
      </w:pPr>
      <w:r w:rsidRPr="00B745E4">
        <w:rPr>
          <w:color w:val="auto"/>
        </w:rPr>
        <w:t xml:space="preserve">RA patients have an increased risk for cardiovascular disorders and should have risk factors (e.g. hypertension, hyperlipidaemia) managed as part of usual standard of care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_Ref524373802 \r \h  \* MERGEFORMAT </w:instrText>
      </w:r>
      <w:r w:rsidR="00306069" w:rsidRPr="00306069">
        <w:rPr>
          <w:color w:val="0000FF"/>
        </w:rPr>
      </w:r>
      <w:r w:rsidR="00306069" w:rsidRPr="00306069">
        <w:rPr>
          <w:color w:val="0000FF"/>
        </w:rPr>
        <w:fldChar w:fldCharType="separate"/>
      </w:r>
      <w:r w:rsidR="00EA3D29">
        <w:rPr>
          <w:color w:val="0000FF"/>
        </w:rPr>
        <w:t>4.4</w:t>
      </w:r>
      <w:r w:rsidR="00306069" w:rsidRPr="00306069">
        <w:rPr>
          <w:color w:val="0000FF"/>
        </w:rPr>
        <w:fldChar w:fldCharType="end"/>
      </w:r>
      <w:r w:rsidR="004F0D65" w:rsidRPr="00B745E4">
        <w:rPr>
          <w:color w:val="auto"/>
        </w:rPr>
        <w:t xml:space="preserve">- SPECIAL WARNINGS AND </w:t>
      </w:r>
      <w:r w:rsidRPr="00B745E4">
        <w:rPr>
          <w:color w:val="auto"/>
        </w:rPr>
        <w:t xml:space="preserve">PRECAUTIONS </w:t>
      </w:r>
      <w:r w:rsidR="004F0D65" w:rsidRPr="00B745E4">
        <w:rPr>
          <w:color w:val="auto"/>
        </w:rPr>
        <w:t>FOR USE</w:t>
      </w:r>
      <w:r w:rsidRPr="00B745E4">
        <w:rPr>
          <w:color w:val="auto"/>
        </w:rPr>
        <w:t xml:space="preserve">– Lipid Parameters). Elevations in LDL and HDL lipids have been observed, with no clinical consequences identified. No data are available concerning cardiovascular outcomes with long-term use of Kevzara.   </w:t>
      </w:r>
    </w:p>
    <w:p w:rsidR="001D0A3F" w:rsidRPr="00B745E4" w:rsidRDefault="001D0A3F" w:rsidP="001D0A3F">
      <w:pPr>
        <w:rPr>
          <w:color w:val="auto"/>
        </w:rPr>
      </w:pPr>
    </w:p>
    <w:p w:rsidR="00932D74" w:rsidRPr="00B745E4" w:rsidRDefault="00932D74" w:rsidP="00CA73C2">
      <w:pPr>
        <w:pStyle w:val="Heading3"/>
        <w:numPr>
          <w:ilvl w:val="0"/>
          <w:numId w:val="0"/>
        </w:numPr>
        <w:spacing w:before="0" w:after="120"/>
        <w:ind w:left="680" w:hanging="680"/>
        <w:rPr>
          <w:i/>
        </w:rPr>
      </w:pPr>
      <w:r w:rsidRPr="00B745E4">
        <w:rPr>
          <w:i/>
        </w:rPr>
        <w:t>Use with other Biological Therapies including TNF-antagonists</w:t>
      </w:r>
    </w:p>
    <w:p w:rsidR="00932D74" w:rsidRPr="00B745E4" w:rsidRDefault="00932D74" w:rsidP="00932D74">
      <w:pPr>
        <w:rPr>
          <w:color w:val="auto"/>
        </w:rPr>
      </w:pPr>
      <w:r w:rsidRPr="00B745E4">
        <w:rPr>
          <w:color w:val="auto"/>
        </w:rPr>
        <w:t>The concurrent use of Kevzara with biological DMARDs such as TNF antagonists, IL-1R antagonists, anti-CD20 monoclonal antibodies and selective co-stimulation modulators has not been studied. Avoid using Kevzara with biological DMARDs.</w:t>
      </w:r>
    </w:p>
    <w:p w:rsidR="00932D74" w:rsidRPr="00B745E4" w:rsidRDefault="00932D74" w:rsidP="00932D74">
      <w:pPr>
        <w:rPr>
          <w:color w:val="auto"/>
        </w:rPr>
      </w:pPr>
    </w:p>
    <w:p w:rsidR="00932D74" w:rsidRPr="00B745E4" w:rsidRDefault="00932D74" w:rsidP="00CA73C2">
      <w:pPr>
        <w:pStyle w:val="Heading3"/>
        <w:numPr>
          <w:ilvl w:val="0"/>
          <w:numId w:val="0"/>
        </w:numPr>
        <w:spacing w:before="0" w:after="120"/>
        <w:ind w:left="680" w:hanging="680"/>
        <w:rPr>
          <w:i/>
        </w:rPr>
      </w:pPr>
      <w:r w:rsidRPr="00B745E4">
        <w:rPr>
          <w:i/>
        </w:rPr>
        <w:t>Vaccination</w:t>
      </w:r>
    </w:p>
    <w:p w:rsidR="00932D74" w:rsidRPr="00B745E4" w:rsidRDefault="00932D74" w:rsidP="00932D74">
      <w:pPr>
        <w:rPr>
          <w:color w:val="auto"/>
        </w:rPr>
      </w:pPr>
      <w:r w:rsidRPr="00B745E4">
        <w:rPr>
          <w:color w:val="auto"/>
        </w:rPr>
        <w:t xml:space="preserve">Avoid concurrent use of live vaccines during treatment with Kevzara as clinical safety has not been established. No data are available on the secondary transmission of infection from persons receiving live vaccines to patients receiving Kevzara. The interval between live vaccinations and initiation of Kevzara therapy should be in accordance with current vaccination guidelines regarding immunosuppressive agents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_Ref524375223 \r \h  \* MERGEFORMAT </w:instrText>
      </w:r>
      <w:r w:rsidR="00306069" w:rsidRPr="00306069">
        <w:rPr>
          <w:color w:val="0000FF"/>
        </w:rPr>
      </w:r>
      <w:r w:rsidR="00306069" w:rsidRPr="00306069">
        <w:rPr>
          <w:color w:val="0000FF"/>
        </w:rPr>
        <w:fldChar w:fldCharType="separate"/>
      </w:r>
      <w:r w:rsidR="00EA3D29">
        <w:rPr>
          <w:color w:val="0000FF"/>
        </w:rPr>
        <w:t>4.5</w:t>
      </w:r>
      <w:r w:rsidR="00306069" w:rsidRPr="00306069">
        <w:rPr>
          <w:color w:val="0000FF"/>
        </w:rPr>
        <w:fldChar w:fldCharType="end"/>
      </w:r>
      <w:r w:rsidR="004F0D65" w:rsidRPr="00B745E4">
        <w:rPr>
          <w:color w:val="auto"/>
        </w:rPr>
        <w:t xml:space="preserve">- </w:t>
      </w:r>
      <w:r w:rsidRPr="00B745E4">
        <w:rPr>
          <w:color w:val="auto"/>
        </w:rPr>
        <w:t>INTERACTIONS WITH OTHER MEDICINES</w:t>
      </w:r>
      <w:r w:rsidR="004F0D65" w:rsidRPr="00B745E4">
        <w:rPr>
          <w:color w:val="auto"/>
        </w:rPr>
        <w:t xml:space="preserve"> AND OTHER FORMS OF INTERACTIONS</w:t>
      </w:r>
      <w:r w:rsidRPr="00B745E4">
        <w:rPr>
          <w:color w:val="auto"/>
        </w:rPr>
        <w:t>].</w:t>
      </w:r>
    </w:p>
    <w:p w:rsidR="004F0D65" w:rsidRPr="00B745E4" w:rsidRDefault="004F0D65" w:rsidP="00932D74">
      <w:pPr>
        <w:rPr>
          <w:color w:val="auto"/>
        </w:rPr>
      </w:pPr>
    </w:p>
    <w:p w:rsidR="0024632F" w:rsidRPr="00B745E4" w:rsidRDefault="0024632F" w:rsidP="00CA73C2">
      <w:pPr>
        <w:pStyle w:val="Heading3"/>
        <w:numPr>
          <w:ilvl w:val="0"/>
          <w:numId w:val="0"/>
        </w:numPr>
        <w:spacing w:before="0" w:after="120"/>
        <w:ind w:left="680" w:hanging="680"/>
        <w:rPr>
          <w:i/>
        </w:rPr>
      </w:pPr>
      <w:r w:rsidRPr="00B745E4">
        <w:rPr>
          <w:i/>
        </w:rPr>
        <w:t>Use in hepatic impairment</w:t>
      </w:r>
    </w:p>
    <w:p w:rsidR="00932D74" w:rsidRPr="00B745E4" w:rsidRDefault="00932D74" w:rsidP="00932D74">
      <w:pPr>
        <w:rPr>
          <w:color w:val="auto"/>
        </w:rPr>
      </w:pPr>
      <w:r w:rsidRPr="00B745E4">
        <w:rPr>
          <w:color w:val="auto"/>
        </w:rPr>
        <w:t xml:space="preserve">The safety and efficacy of Kevzara have not been studied in patients with hepatic impairment, including patients with positive HBV and HCV serology.[see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_Ref524373802 \r \h  \* MERGEFORMAT </w:instrText>
      </w:r>
      <w:r w:rsidR="00306069" w:rsidRPr="00306069">
        <w:rPr>
          <w:color w:val="0000FF"/>
        </w:rPr>
      </w:r>
      <w:r w:rsidR="00306069" w:rsidRPr="00306069">
        <w:rPr>
          <w:color w:val="0000FF"/>
        </w:rPr>
        <w:fldChar w:fldCharType="separate"/>
      </w:r>
      <w:r w:rsidR="00EA3D29">
        <w:rPr>
          <w:color w:val="0000FF"/>
        </w:rPr>
        <w:t>4.4</w:t>
      </w:r>
      <w:r w:rsidR="00306069" w:rsidRPr="00306069">
        <w:rPr>
          <w:color w:val="0000FF"/>
        </w:rPr>
        <w:fldChar w:fldCharType="end"/>
      </w:r>
      <w:r w:rsidR="004F0D65" w:rsidRPr="00B745E4">
        <w:rPr>
          <w:color w:val="auto"/>
        </w:rPr>
        <w:t xml:space="preserve">-SPECIAL WARNINGS AND </w:t>
      </w:r>
      <w:r w:rsidRPr="00B745E4">
        <w:rPr>
          <w:color w:val="auto"/>
        </w:rPr>
        <w:t>PRECAUTIONS</w:t>
      </w:r>
      <w:r w:rsidR="004F0D65" w:rsidRPr="00B745E4">
        <w:rPr>
          <w:color w:val="auto"/>
        </w:rPr>
        <w:t xml:space="preserve"> FOR USE</w:t>
      </w:r>
      <w:r w:rsidRPr="00B745E4">
        <w:rPr>
          <w:color w:val="auto"/>
        </w:rPr>
        <w:t>]</w:t>
      </w:r>
    </w:p>
    <w:p w:rsidR="0024632F" w:rsidRPr="00B745E4" w:rsidRDefault="00932D74" w:rsidP="0024632F">
      <w:pPr>
        <w:rPr>
          <w:color w:val="auto"/>
        </w:rPr>
      </w:pPr>
      <w:r w:rsidRPr="00B745E4">
        <w:rPr>
          <w:color w:val="auto"/>
        </w:rPr>
        <w:t xml:space="preserve">Treatment with Kevzara is not recommended in patients with active hepatic disease or hepatic impairment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_Ref524374081 \r \h  \* MERGEFORMAT </w:instrText>
      </w:r>
      <w:r w:rsidR="00306069" w:rsidRPr="00306069">
        <w:rPr>
          <w:color w:val="0000FF"/>
        </w:rPr>
      </w:r>
      <w:r w:rsidR="00306069" w:rsidRPr="00306069">
        <w:rPr>
          <w:color w:val="0000FF"/>
        </w:rPr>
        <w:fldChar w:fldCharType="separate"/>
      </w:r>
      <w:r w:rsidR="00EA3D29">
        <w:rPr>
          <w:color w:val="0000FF"/>
        </w:rPr>
        <w:t>4.8</w:t>
      </w:r>
      <w:r w:rsidR="00306069" w:rsidRPr="00306069">
        <w:rPr>
          <w:color w:val="0000FF"/>
        </w:rPr>
        <w:fldChar w:fldCharType="end"/>
      </w:r>
      <w:r w:rsidR="004F0D65" w:rsidRPr="00B745E4">
        <w:rPr>
          <w:color w:val="auto"/>
        </w:rPr>
        <w:t xml:space="preserve">- </w:t>
      </w:r>
      <w:r w:rsidRPr="00B745E4">
        <w:rPr>
          <w:color w:val="auto"/>
        </w:rPr>
        <w:t>ADVERSE EFFECTS</w:t>
      </w:r>
      <w:r w:rsidR="004F0D65" w:rsidRPr="00B745E4">
        <w:rPr>
          <w:color w:val="auto"/>
        </w:rPr>
        <w:t xml:space="preserve"> (UNDESIRABLE EFFECTS)</w:t>
      </w:r>
      <w:r w:rsidRPr="00B745E4">
        <w:rPr>
          <w:color w:val="auto"/>
        </w:rPr>
        <w:t>].</w:t>
      </w:r>
    </w:p>
    <w:p w:rsidR="00932D74" w:rsidRPr="00B745E4" w:rsidRDefault="00932D74" w:rsidP="0024632F">
      <w:pPr>
        <w:rPr>
          <w:color w:val="auto"/>
        </w:rPr>
      </w:pPr>
    </w:p>
    <w:p w:rsidR="0024632F" w:rsidRPr="00B745E4" w:rsidRDefault="0024632F" w:rsidP="00CA73C2">
      <w:pPr>
        <w:pStyle w:val="Heading3"/>
        <w:numPr>
          <w:ilvl w:val="0"/>
          <w:numId w:val="0"/>
        </w:numPr>
        <w:spacing w:before="0" w:after="120"/>
        <w:ind w:left="680" w:hanging="680"/>
        <w:rPr>
          <w:i/>
        </w:rPr>
      </w:pPr>
      <w:r w:rsidRPr="00B745E4">
        <w:rPr>
          <w:i/>
        </w:rPr>
        <w:t>Use in renal impairment</w:t>
      </w:r>
    </w:p>
    <w:p w:rsidR="00932D74" w:rsidRPr="00B745E4" w:rsidRDefault="00932D74" w:rsidP="00932D74">
      <w:pPr>
        <w:rPr>
          <w:color w:val="auto"/>
        </w:rPr>
      </w:pPr>
      <w:r w:rsidRPr="00B745E4">
        <w:rPr>
          <w:color w:val="auto"/>
        </w:rPr>
        <w:t xml:space="preserve">No dose adjustment is required in patients with mild to moderate renal impairment.[see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_Ref524374161 \r \h  \* MERGEFORMAT </w:instrText>
      </w:r>
      <w:r w:rsidR="00306069" w:rsidRPr="00306069">
        <w:rPr>
          <w:color w:val="0000FF"/>
        </w:rPr>
      </w:r>
      <w:r w:rsidR="00306069" w:rsidRPr="00306069">
        <w:rPr>
          <w:color w:val="0000FF"/>
        </w:rPr>
        <w:fldChar w:fldCharType="separate"/>
      </w:r>
      <w:r w:rsidR="00EA3D29">
        <w:rPr>
          <w:color w:val="0000FF"/>
        </w:rPr>
        <w:t>4.2</w:t>
      </w:r>
      <w:r w:rsidR="00306069" w:rsidRPr="00306069">
        <w:rPr>
          <w:color w:val="0000FF"/>
        </w:rPr>
        <w:fldChar w:fldCharType="end"/>
      </w:r>
      <w:r w:rsidR="004F0D65" w:rsidRPr="00B745E4">
        <w:rPr>
          <w:color w:val="auto"/>
        </w:rPr>
        <w:t>-</w:t>
      </w:r>
      <w:r w:rsidRPr="00B745E4">
        <w:rPr>
          <w:color w:val="auto"/>
        </w:rPr>
        <w:t>DOS</w:t>
      </w:r>
      <w:r w:rsidR="004F0D65" w:rsidRPr="00B745E4">
        <w:rPr>
          <w:color w:val="auto"/>
        </w:rPr>
        <w:t>E</w:t>
      </w:r>
      <w:r w:rsidRPr="00B745E4">
        <w:rPr>
          <w:color w:val="auto"/>
        </w:rPr>
        <w:t xml:space="preserve"> and </w:t>
      </w:r>
      <w:r w:rsidR="004F0D65" w:rsidRPr="00B745E4">
        <w:rPr>
          <w:color w:val="auto"/>
        </w:rPr>
        <w:t>METHOD OF A</w:t>
      </w:r>
      <w:r w:rsidRPr="00B745E4">
        <w:rPr>
          <w:color w:val="auto"/>
        </w:rPr>
        <w:t xml:space="preserve">DMINSTRATION] </w:t>
      </w:r>
    </w:p>
    <w:p w:rsidR="0024632F" w:rsidRPr="00B745E4" w:rsidRDefault="00932D74" w:rsidP="0024632F">
      <w:pPr>
        <w:rPr>
          <w:color w:val="auto"/>
        </w:rPr>
      </w:pPr>
      <w:r w:rsidRPr="00B745E4">
        <w:rPr>
          <w:color w:val="auto"/>
        </w:rPr>
        <w:t xml:space="preserve">Kevzara has not been studied in patients with severe renal impairment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_Ref524375346 \r \h  \* MERGEFORMAT </w:instrText>
      </w:r>
      <w:r w:rsidR="00306069" w:rsidRPr="00306069">
        <w:rPr>
          <w:color w:val="0000FF"/>
        </w:rPr>
      </w:r>
      <w:r w:rsidR="00306069" w:rsidRPr="00306069">
        <w:rPr>
          <w:color w:val="0000FF"/>
        </w:rPr>
        <w:fldChar w:fldCharType="separate"/>
      </w:r>
      <w:r w:rsidR="00EA3D29">
        <w:rPr>
          <w:color w:val="0000FF"/>
        </w:rPr>
        <w:t>5.2</w:t>
      </w:r>
      <w:r w:rsidR="00306069" w:rsidRPr="00306069">
        <w:rPr>
          <w:color w:val="0000FF"/>
        </w:rPr>
        <w:fldChar w:fldCharType="end"/>
      </w:r>
      <w:r w:rsidR="004F0D65" w:rsidRPr="00B745E4">
        <w:rPr>
          <w:color w:val="auto"/>
        </w:rPr>
        <w:t>-</w:t>
      </w:r>
      <w:r w:rsidRPr="00B745E4">
        <w:rPr>
          <w:color w:val="auto"/>
        </w:rPr>
        <w:t>PHARMACO</w:t>
      </w:r>
      <w:r w:rsidR="00321411" w:rsidRPr="00B745E4">
        <w:rPr>
          <w:color w:val="auto"/>
        </w:rPr>
        <w:t xml:space="preserve">KINETIC </w:t>
      </w:r>
      <w:r w:rsidR="00FC176E" w:rsidRPr="00B745E4">
        <w:rPr>
          <w:color w:val="auto"/>
        </w:rPr>
        <w:t>PROPERTIES</w:t>
      </w:r>
      <w:r w:rsidRPr="00B745E4">
        <w:rPr>
          <w:color w:val="auto"/>
        </w:rPr>
        <w:t>].</w:t>
      </w:r>
    </w:p>
    <w:p w:rsidR="00932D74" w:rsidRPr="00B745E4" w:rsidRDefault="00932D74" w:rsidP="0024632F">
      <w:pPr>
        <w:rPr>
          <w:color w:val="auto"/>
        </w:rPr>
      </w:pPr>
    </w:p>
    <w:p w:rsidR="001A3992" w:rsidRPr="00B745E4" w:rsidRDefault="001A3992" w:rsidP="00CA73C2">
      <w:pPr>
        <w:pStyle w:val="Heading3"/>
        <w:numPr>
          <w:ilvl w:val="0"/>
          <w:numId w:val="0"/>
        </w:numPr>
        <w:spacing w:before="0" w:after="120"/>
        <w:ind w:left="680" w:hanging="680"/>
        <w:rPr>
          <w:i/>
          <w:lang w:val="en-AU"/>
        </w:rPr>
      </w:pPr>
      <w:r w:rsidRPr="00B745E4">
        <w:rPr>
          <w:i/>
          <w:lang w:val="en-AU"/>
        </w:rPr>
        <w:t>Use in the elderly</w:t>
      </w:r>
    </w:p>
    <w:p w:rsidR="00932D74" w:rsidRPr="00932D74" w:rsidRDefault="00932D74" w:rsidP="00932D74">
      <w:pPr>
        <w:rPr>
          <w:lang w:val="en-AU"/>
        </w:rPr>
      </w:pPr>
      <w:r w:rsidRPr="00B745E4">
        <w:rPr>
          <w:color w:val="auto"/>
          <w:lang w:val="en-AU"/>
        </w:rPr>
        <w:t xml:space="preserve">Of the total number of patients in clinical studies of Kevzara [see </w:t>
      </w:r>
      <w:r w:rsidR="00306069">
        <w:rPr>
          <w:color w:val="auto"/>
          <w:lang w:val="en-AU"/>
        </w:rPr>
        <w:t xml:space="preserve">Section </w:t>
      </w:r>
      <w:r w:rsidR="00306069" w:rsidRPr="00306069">
        <w:rPr>
          <w:color w:val="0000FF"/>
          <w:lang w:val="en-AU"/>
        </w:rPr>
        <w:fldChar w:fldCharType="begin"/>
      </w:r>
      <w:r w:rsidR="00306069" w:rsidRPr="00306069">
        <w:rPr>
          <w:color w:val="0000FF"/>
          <w:lang w:val="en-AU"/>
        </w:rPr>
        <w:instrText xml:space="preserve"> REF _Ref524375369 \r \h  \* MERGEFORMAT </w:instrText>
      </w:r>
      <w:r w:rsidR="00306069" w:rsidRPr="00306069">
        <w:rPr>
          <w:color w:val="0000FF"/>
          <w:lang w:val="en-AU"/>
        </w:rPr>
      </w:r>
      <w:r w:rsidR="00306069" w:rsidRPr="00306069">
        <w:rPr>
          <w:color w:val="0000FF"/>
          <w:lang w:val="en-AU"/>
        </w:rPr>
        <w:fldChar w:fldCharType="separate"/>
      </w:r>
      <w:r w:rsidR="00EA3D29">
        <w:rPr>
          <w:color w:val="0000FF"/>
          <w:lang w:val="en-AU"/>
        </w:rPr>
        <w:t>5.1</w:t>
      </w:r>
      <w:r w:rsidR="00306069" w:rsidRPr="00306069">
        <w:rPr>
          <w:color w:val="0000FF"/>
          <w:lang w:val="en-AU"/>
        </w:rPr>
        <w:fldChar w:fldCharType="end"/>
      </w:r>
      <w:r w:rsidR="00FC176E" w:rsidRPr="00B745E4">
        <w:rPr>
          <w:color w:val="auto"/>
          <w:lang w:val="en-AU"/>
        </w:rPr>
        <w:t xml:space="preserve">-PHARMACODYNAMIC PROPERTIES- </w:t>
      </w:r>
      <w:r w:rsidRPr="00B745E4">
        <w:rPr>
          <w:color w:val="auto"/>
          <w:lang w:val="en-AU"/>
        </w:rPr>
        <w:t xml:space="preserve">CLINICAL TRIALS], 15.0% were 65 years of age and over, while 1.6% were 75 years and over. In clinical studies, no overall differences in </w:t>
      </w:r>
      <w:r w:rsidRPr="00932D74">
        <w:rPr>
          <w:lang w:val="en-AU"/>
        </w:rPr>
        <w:t xml:space="preserve">safety and efficacy were observed between older and younger patients.  The frequency of serious infection among Kevzara and placebo-treated patients 65 years of age and older was higher than those under </w:t>
      </w:r>
      <w:r w:rsidRPr="00932D74">
        <w:rPr>
          <w:lang w:val="en-AU"/>
        </w:rPr>
        <w:lastRenderedPageBreak/>
        <w:t>the age of 65. As there is a higher incidence of infections in the elderly population in general, caution should be used when treating the elderly.</w:t>
      </w:r>
    </w:p>
    <w:p w:rsidR="00932D74" w:rsidRPr="00932D74" w:rsidRDefault="00932D74" w:rsidP="00932D74">
      <w:pPr>
        <w:rPr>
          <w:lang w:val="en-AU"/>
        </w:rPr>
      </w:pPr>
      <w:r w:rsidRPr="00932D74">
        <w:rPr>
          <w:lang w:val="en-AU"/>
        </w:rPr>
        <w:t>No dosage adjustment is required in patients over 65 years of age.</w:t>
      </w:r>
    </w:p>
    <w:p w:rsidR="00477BD3" w:rsidRPr="00477BD3" w:rsidRDefault="00477BD3" w:rsidP="00477BD3">
      <w:pPr>
        <w:rPr>
          <w:lang w:val="en-AU"/>
        </w:rPr>
      </w:pPr>
    </w:p>
    <w:p w:rsidR="001A3992" w:rsidRDefault="001A3992" w:rsidP="00CA73C2">
      <w:pPr>
        <w:pStyle w:val="Heading3"/>
        <w:numPr>
          <w:ilvl w:val="0"/>
          <w:numId w:val="0"/>
        </w:numPr>
        <w:spacing w:before="0" w:after="120"/>
        <w:ind w:left="680" w:hanging="680"/>
        <w:rPr>
          <w:i/>
          <w:lang w:val="en-AU"/>
        </w:rPr>
      </w:pPr>
      <w:r w:rsidRPr="00CA73C2">
        <w:rPr>
          <w:i/>
          <w:lang w:val="en-AU"/>
        </w:rPr>
        <w:t>Paediatric use</w:t>
      </w:r>
    </w:p>
    <w:p w:rsidR="00932D74" w:rsidRPr="00932D74" w:rsidRDefault="00932D74" w:rsidP="00932D74">
      <w:pPr>
        <w:rPr>
          <w:lang w:val="en-AU"/>
        </w:rPr>
      </w:pPr>
      <w:r w:rsidRPr="00932D74">
        <w:rPr>
          <w:lang w:val="en-AU"/>
        </w:rPr>
        <w:t>Safety and efficacy of Kevzara has not been established in children under 18 years of age.</w:t>
      </w:r>
    </w:p>
    <w:p w:rsidR="00BC364A" w:rsidRPr="00717E34" w:rsidRDefault="00BC364A" w:rsidP="00BC364A">
      <w:pPr>
        <w:rPr>
          <w:lang w:val="en-AU"/>
        </w:rPr>
      </w:pPr>
    </w:p>
    <w:p w:rsidR="001A3992" w:rsidRDefault="001A3992" w:rsidP="00CA73C2">
      <w:pPr>
        <w:pStyle w:val="Heading3"/>
        <w:numPr>
          <w:ilvl w:val="0"/>
          <w:numId w:val="0"/>
        </w:numPr>
        <w:spacing w:before="0" w:after="120"/>
        <w:ind w:left="680" w:hanging="680"/>
        <w:rPr>
          <w:i/>
          <w:lang w:val="en-AU"/>
        </w:rPr>
      </w:pPr>
      <w:r w:rsidRPr="00CA73C2">
        <w:rPr>
          <w:i/>
          <w:lang w:val="en-AU"/>
        </w:rPr>
        <w:t>Effects on laboratory tests</w:t>
      </w:r>
    </w:p>
    <w:p w:rsidR="00396D0D" w:rsidRPr="00321411" w:rsidRDefault="00CC1699" w:rsidP="00CC1699">
      <w:pPr>
        <w:rPr>
          <w:color w:val="auto"/>
          <w:lang w:val="en-AU"/>
        </w:rPr>
      </w:pPr>
      <w:r w:rsidRPr="00396D0D">
        <w:rPr>
          <w:color w:val="auto"/>
          <w:lang w:val="en-AU"/>
        </w:rPr>
        <w:t>No data available.</w:t>
      </w:r>
      <w:r w:rsidR="009B1F02">
        <w:rPr>
          <w:color w:val="auto"/>
          <w:lang w:val="en-AU"/>
        </w:rPr>
        <w:t xml:space="preserve"> </w:t>
      </w:r>
      <w:r w:rsidR="009B1F02" w:rsidRPr="00321411">
        <w:rPr>
          <w:color w:val="auto"/>
          <w:lang w:val="en-AU"/>
        </w:rPr>
        <w:t xml:space="preserve"> [see also </w:t>
      </w:r>
      <w:r w:rsidR="00306069">
        <w:rPr>
          <w:color w:val="auto"/>
          <w:lang w:val="en-AU"/>
        </w:rPr>
        <w:t xml:space="preserve">Section </w:t>
      </w:r>
      <w:r w:rsidR="00306069" w:rsidRPr="00306069">
        <w:rPr>
          <w:color w:val="0000FF"/>
          <w:lang w:val="en-AU"/>
        </w:rPr>
        <w:fldChar w:fldCharType="begin"/>
      </w:r>
      <w:r w:rsidR="00306069" w:rsidRPr="00306069">
        <w:rPr>
          <w:color w:val="0000FF"/>
          <w:lang w:val="en-AU"/>
        </w:rPr>
        <w:instrText xml:space="preserve"> REF _Ref524373802 \r \h  \* MERGEFORMAT </w:instrText>
      </w:r>
      <w:r w:rsidR="00306069" w:rsidRPr="00306069">
        <w:rPr>
          <w:color w:val="0000FF"/>
          <w:lang w:val="en-AU"/>
        </w:rPr>
      </w:r>
      <w:r w:rsidR="00306069" w:rsidRPr="00306069">
        <w:rPr>
          <w:color w:val="0000FF"/>
          <w:lang w:val="en-AU"/>
        </w:rPr>
        <w:fldChar w:fldCharType="separate"/>
      </w:r>
      <w:r w:rsidR="00EA3D29">
        <w:rPr>
          <w:color w:val="0000FF"/>
          <w:lang w:val="en-AU"/>
        </w:rPr>
        <w:t>4.4</w:t>
      </w:r>
      <w:r w:rsidR="00306069" w:rsidRPr="00306069">
        <w:rPr>
          <w:color w:val="0000FF"/>
          <w:lang w:val="en-AU"/>
        </w:rPr>
        <w:fldChar w:fldCharType="end"/>
      </w:r>
      <w:r w:rsidR="009B1F02" w:rsidRPr="00321411">
        <w:rPr>
          <w:color w:val="auto"/>
          <w:lang w:val="en-AU"/>
        </w:rPr>
        <w:t xml:space="preserve">- </w:t>
      </w:r>
      <w:r w:rsidR="009B1F02" w:rsidRPr="00FA5E03">
        <w:rPr>
          <w:color w:val="auto"/>
          <w:lang w:val="en-AU"/>
        </w:rPr>
        <w:t>S</w:t>
      </w:r>
      <w:r w:rsidR="004C556E" w:rsidRPr="00FA5E03">
        <w:rPr>
          <w:color w:val="auto"/>
          <w:lang w:val="en-AU"/>
        </w:rPr>
        <w:t>PECIAL</w:t>
      </w:r>
      <w:r w:rsidR="009B1F02" w:rsidRPr="00FA5E03">
        <w:rPr>
          <w:color w:val="auto"/>
          <w:lang w:val="en-AU"/>
        </w:rPr>
        <w:t xml:space="preserve"> W</w:t>
      </w:r>
      <w:r w:rsidR="004C556E" w:rsidRPr="00FA5E03">
        <w:rPr>
          <w:color w:val="auto"/>
          <w:lang w:val="en-AU"/>
        </w:rPr>
        <w:t>ARNINGS AND</w:t>
      </w:r>
      <w:r w:rsidR="009B1F02" w:rsidRPr="00FA5E03">
        <w:rPr>
          <w:color w:val="auto"/>
          <w:lang w:val="en-AU"/>
        </w:rPr>
        <w:t xml:space="preserve"> P</w:t>
      </w:r>
      <w:r w:rsidR="004C556E" w:rsidRPr="00FA5E03">
        <w:rPr>
          <w:color w:val="auto"/>
          <w:lang w:val="en-AU"/>
        </w:rPr>
        <w:t>RECAUTIONS</w:t>
      </w:r>
      <w:r w:rsidR="009B1F02" w:rsidRPr="00FA5E03">
        <w:rPr>
          <w:color w:val="auto"/>
          <w:lang w:val="en-AU"/>
        </w:rPr>
        <w:t xml:space="preserve"> </w:t>
      </w:r>
      <w:r w:rsidR="004C556E" w:rsidRPr="00FA5E03">
        <w:rPr>
          <w:color w:val="auto"/>
          <w:lang w:val="en-AU"/>
        </w:rPr>
        <w:t xml:space="preserve">FOR </w:t>
      </w:r>
      <w:r w:rsidR="009B1F02" w:rsidRPr="00FA5E03">
        <w:rPr>
          <w:color w:val="auto"/>
          <w:lang w:val="en-AU"/>
        </w:rPr>
        <w:t>U</w:t>
      </w:r>
      <w:r w:rsidR="004C556E" w:rsidRPr="00FA5E03">
        <w:rPr>
          <w:color w:val="auto"/>
          <w:lang w:val="en-AU"/>
        </w:rPr>
        <w:t>SE</w:t>
      </w:r>
      <w:r w:rsidR="009B1F02" w:rsidRPr="00FA5E03">
        <w:rPr>
          <w:color w:val="auto"/>
          <w:lang w:val="en-AU"/>
        </w:rPr>
        <w:t xml:space="preserve"> </w:t>
      </w:r>
      <w:r w:rsidR="009B1F02" w:rsidRPr="00321411">
        <w:rPr>
          <w:color w:val="auto"/>
          <w:lang w:val="en-AU"/>
        </w:rPr>
        <w:t>-Laboratory Abnormalities and  Monitoring ]</w:t>
      </w:r>
    </w:p>
    <w:p w:rsidR="00FC176E" w:rsidRPr="00C85BBB" w:rsidRDefault="00FC176E" w:rsidP="00CC1699">
      <w:pPr>
        <w:rPr>
          <w:color w:val="auto"/>
          <w:lang w:val="en-AU"/>
        </w:rPr>
      </w:pPr>
    </w:p>
    <w:p w:rsidR="001A3992" w:rsidRDefault="001A3992" w:rsidP="001A3992">
      <w:pPr>
        <w:pStyle w:val="Heading2"/>
        <w:keepLines/>
        <w:spacing w:before="0" w:after="120"/>
        <w:rPr>
          <w:lang w:val="en-AU"/>
        </w:rPr>
      </w:pPr>
      <w:bookmarkStart w:id="3" w:name="_Ref524375223"/>
      <w:r w:rsidRPr="00717E34">
        <w:rPr>
          <w:lang w:val="en-AU"/>
        </w:rPr>
        <w:t>Interactions with other medicines and other forms of interactions</w:t>
      </w:r>
      <w:bookmarkEnd w:id="3"/>
    </w:p>
    <w:p w:rsidR="001D0A3F" w:rsidRPr="00B745E4" w:rsidRDefault="001D0A3F" w:rsidP="001D0A3F">
      <w:pPr>
        <w:pStyle w:val="Heading3"/>
        <w:numPr>
          <w:ilvl w:val="0"/>
          <w:numId w:val="0"/>
        </w:numPr>
        <w:rPr>
          <w:lang w:val="en-AU"/>
        </w:rPr>
      </w:pPr>
      <w:r>
        <w:rPr>
          <w:lang w:val="en-AU"/>
        </w:rPr>
        <w:t xml:space="preserve">Use </w:t>
      </w:r>
      <w:r w:rsidRPr="00B745E4">
        <w:rPr>
          <w:lang w:val="en-AU"/>
        </w:rPr>
        <w:t xml:space="preserve">with </w:t>
      </w:r>
      <w:r w:rsidR="00752061" w:rsidRPr="00B745E4">
        <w:rPr>
          <w:lang w:val="en-AU"/>
        </w:rPr>
        <w:t>other drugs for the Treatment of Rhe</w:t>
      </w:r>
      <w:r w:rsidR="00A255F5" w:rsidRPr="00B745E4">
        <w:rPr>
          <w:lang w:val="en-AU"/>
        </w:rPr>
        <w:t>u</w:t>
      </w:r>
      <w:r w:rsidR="00752061" w:rsidRPr="00B745E4">
        <w:rPr>
          <w:lang w:val="en-AU"/>
        </w:rPr>
        <w:t>matoid Arthritis</w:t>
      </w:r>
    </w:p>
    <w:p w:rsidR="00752061" w:rsidRPr="00752061" w:rsidRDefault="00752061" w:rsidP="00752061">
      <w:pPr>
        <w:rPr>
          <w:lang w:val="en-AU"/>
        </w:rPr>
      </w:pPr>
      <w:r w:rsidRPr="00B745E4">
        <w:rPr>
          <w:color w:val="auto"/>
          <w:lang w:val="en-AU"/>
        </w:rPr>
        <w:t xml:space="preserve">Sarilumab exposure was not affected when coadministered with methotrexate (MTX). Kevzara has not been investigated in combination with JAK inhibitors or biological DMARDs such as TNF antagonists [see </w:t>
      </w:r>
      <w:r w:rsidR="00306069">
        <w:rPr>
          <w:color w:val="auto"/>
          <w:lang w:val="en-AU"/>
        </w:rPr>
        <w:t xml:space="preserve">Section </w:t>
      </w:r>
      <w:r w:rsidR="00306069" w:rsidRPr="00306069">
        <w:rPr>
          <w:color w:val="0000FF"/>
          <w:lang w:val="en-AU"/>
        </w:rPr>
        <w:fldChar w:fldCharType="begin"/>
      </w:r>
      <w:r w:rsidR="00306069" w:rsidRPr="00306069">
        <w:rPr>
          <w:color w:val="0000FF"/>
          <w:lang w:val="en-AU"/>
        </w:rPr>
        <w:instrText xml:space="preserve"> REF _Ref524374161 \r \h  \* MERGEFORMAT </w:instrText>
      </w:r>
      <w:r w:rsidR="00306069" w:rsidRPr="00306069">
        <w:rPr>
          <w:color w:val="0000FF"/>
          <w:lang w:val="en-AU"/>
        </w:rPr>
      </w:r>
      <w:r w:rsidR="00306069" w:rsidRPr="00306069">
        <w:rPr>
          <w:color w:val="0000FF"/>
          <w:lang w:val="en-AU"/>
        </w:rPr>
        <w:fldChar w:fldCharType="separate"/>
      </w:r>
      <w:r w:rsidR="00EA3D29">
        <w:rPr>
          <w:color w:val="0000FF"/>
          <w:lang w:val="en-AU"/>
        </w:rPr>
        <w:t>4.2</w:t>
      </w:r>
      <w:r w:rsidR="00306069" w:rsidRPr="00306069">
        <w:rPr>
          <w:color w:val="0000FF"/>
          <w:lang w:val="en-AU"/>
        </w:rPr>
        <w:fldChar w:fldCharType="end"/>
      </w:r>
      <w:r w:rsidR="00FC176E" w:rsidRPr="00B745E4">
        <w:rPr>
          <w:color w:val="auto"/>
          <w:lang w:val="en-AU"/>
        </w:rPr>
        <w:t>-</w:t>
      </w:r>
      <w:r w:rsidRPr="00B745E4">
        <w:rPr>
          <w:color w:val="auto"/>
          <w:lang w:val="en-AU"/>
        </w:rPr>
        <w:t>DOS</w:t>
      </w:r>
      <w:r w:rsidR="00FC176E" w:rsidRPr="00B745E4">
        <w:rPr>
          <w:color w:val="auto"/>
          <w:lang w:val="en-AU"/>
        </w:rPr>
        <w:t>E</w:t>
      </w:r>
      <w:r w:rsidRPr="00B745E4">
        <w:rPr>
          <w:color w:val="auto"/>
          <w:lang w:val="en-AU"/>
        </w:rPr>
        <w:t xml:space="preserve"> AND </w:t>
      </w:r>
      <w:r w:rsidR="00FC176E" w:rsidRPr="00B745E4">
        <w:rPr>
          <w:color w:val="auto"/>
          <w:lang w:val="en-AU"/>
        </w:rPr>
        <w:t xml:space="preserve">METHOD OF </w:t>
      </w:r>
      <w:r w:rsidRPr="00752061">
        <w:rPr>
          <w:lang w:val="en-AU"/>
        </w:rPr>
        <w:t>ADMINISTRATION].</w:t>
      </w:r>
    </w:p>
    <w:p w:rsidR="001D0A3F" w:rsidRDefault="00752061" w:rsidP="00752061">
      <w:pPr>
        <w:pStyle w:val="Heading3"/>
        <w:numPr>
          <w:ilvl w:val="0"/>
          <w:numId w:val="0"/>
        </w:numPr>
        <w:ind w:left="680" w:hanging="680"/>
        <w:rPr>
          <w:lang w:val="en-AU"/>
        </w:rPr>
      </w:pPr>
      <w:r>
        <w:rPr>
          <w:lang w:val="en-AU"/>
        </w:rPr>
        <w:t>Interactions with CYP450 Substrates</w:t>
      </w:r>
    </w:p>
    <w:p w:rsidR="00752061" w:rsidRPr="00752061" w:rsidRDefault="00752061" w:rsidP="00752061">
      <w:r w:rsidRPr="00752061">
        <w:t>Various in vitro and limited in vivo human studies have shown that cytokines and cytokine modulators can influence the expression and activity of specific cytochrome P450 (CYP) enzymes and therefore have the potential to alter the pharmacokinetics of concomitantly administered drugs that are substrates of these enzymes. Elevated interleukin-6 (IL-6) concentration may down-regulate CYP activity such as in patients with RA and hence increase drug levels compared to subjects without RA. Blockade of IL-6 signaling by IL-6Rα antagonists such as sarilumab might reverse the inhibitory effect of IL-6 and restore CYP activity, leading to altered drug concentrations.</w:t>
      </w:r>
    </w:p>
    <w:p w:rsidR="00752061" w:rsidRPr="00752061" w:rsidRDefault="00752061" w:rsidP="00752061">
      <w:r w:rsidRPr="00752061">
        <w:t>The modulation of IL-6 effect on CYP enzymes by sarilumab may be clinically relevant for CYP substrates with a narrow therapeutic index, where the dose is individually adjusted. Upon initiation or discontinuation of Kevzara, in patients being treated with CYP substrate medicinal products, perform therapeutic monitoring of effect (e.g., warfarin) or drug concentration (e.g., theophylline) and adjust the individual dose of the medicinal product as needed. The effect of KEVZARA on CYP450 enzyme activity may persist for several weeks after stopping therapy.</w:t>
      </w:r>
    </w:p>
    <w:p w:rsidR="00752061" w:rsidRPr="00B745E4" w:rsidRDefault="00752061" w:rsidP="00752061">
      <w:pPr>
        <w:rPr>
          <w:color w:val="auto"/>
        </w:rPr>
      </w:pPr>
      <w:r w:rsidRPr="00752061">
        <w:t>Caution should be exercised when Kevzara is co-administered with CYP3A4 substrates (e.g. oral contraceptives or statins) as there may be a reduction in exposure which may reduce the activity of the CYP3A4 substrate. In 17 patients with RA, one week following a single 200-</w:t>
      </w:r>
      <w:r w:rsidRPr="00B745E4">
        <w:rPr>
          <w:color w:val="auto"/>
        </w:rPr>
        <w:t xml:space="preserve">mg SC administration of sarilumab, exposure of simvastatin and simvastatin acid decreased by 45% and 36%, respectively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_Ref524375346 \r \h  \* MERGEFORMAT </w:instrText>
      </w:r>
      <w:r w:rsidR="00306069" w:rsidRPr="00306069">
        <w:rPr>
          <w:color w:val="0000FF"/>
        </w:rPr>
      </w:r>
      <w:r w:rsidR="00306069" w:rsidRPr="00306069">
        <w:rPr>
          <w:color w:val="0000FF"/>
        </w:rPr>
        <w:fldChar w:fldCharType="separate"/>
      </w:r>
      <w:r w:rsidR="00EA3D29">
        <w:rPr>
          <w:color w:val="0000FF"/>
        </w:rPr>
        <w:t>5.2</w:t>
      </w:r>
      <w:r w:rsidR="00306069" w:rsidRPr="00306069">
        <w:rPr>
          <w:color w:val="0000FF"/>
        </w:rPr>
        <w:fldChar w:fldCharType="end"/>
      </w:r>
      <w:r w:rsidR="00FC176E" w:rsidRPr="00B745E4">
        <w:rPr>
          <w:color w:val="auto"/>
        </w:rPr>
        <w:t>-</w:t>
      </w:r>
      <w:r w:rsidRPr="00B745E4">
        <w:rPr>
          <w:color w:val="auto"/>
        </w:rPr>
        <w:t>PHARMAC</w:t>
      </w:r>
      <w:r w:rsidR="00321411" w:rsidRPr="00B745E4">
        <w:rPr>
          <w:color w:val="auto"/>
        </w:rPr>
        <w:t>O</w:t>
      </w:r>
      <w:r w:rsidR="00FC176E" w:rsidRPr="00B745E4">
        <w:rPr>
          <w:color w:val="auto"/>
        </w:rPr>
        <w:t>KINETIC PROPERTIES</w:t>
      </w:r>
      <w:r w:rsidRPr="00B745E4">
        <w:rPr>
          <w:color w:val="auto"/>
        </w:rPr>
        <w:t>].</w:t>
      </w:r>
    </w:p>
    <w:p w:rsidR="00752061" w:rsidRPr="00B745E4" w:rsidRDefault="00752061" w:rsidP="00752061">
      <w:pPr>
        <w:pStyle w:val="Heading3"/>
        <w:numPr>
          <w:ilvl w:val="0"/>
          <w:numId w:val="0"/>
        </w:numPr>
        <w:ind w:left="680" w:hanging="680"/>
      </w:pPr>
      <w:r w:rsidRPr="00B745E4">
        <w:lastRenderedPageBreak/>
        <w:t>Live Vaccines</w:t>
      </w:r>
    </w:p>
    <w:p w:rsidR="00752061" w:rsidRPr="00B745E4" w:rsidRDefault="00752061" w:rsidP="00752061">
      <w:pPr>
        <w:rPr>
          <w:color w:val="auto"/>
        </w:rPr>
      </w:pPr>
      <w:r w:rsidRPr="00B745E4">
        <w:rPr>
          <w:color w:val="auto"/>
        </w:rPr>
        <w:t xml:space="preserve">Avoid concurrent use of live vaccines during treatment with Kevzara [see </w:t>
      </w:r>
      <w:r w:rsidR="00306069">
        <w:rPr>
          <w:color w:val="auto"/>
        </w:rPr>
        <w:t xml:space="preserve">Section </w:t>
      </w:r>
      <w:r w:rsidR="00306069" w:rsidRPr="00306069">
        <w:rPr>
          <w:color w:val="0000FF"/>
        </w:rPr>
        <w:fldChar w:fldCharType="begin"/>
      </w:r>
      <w:r w:rsidR="00306069" w:rsidRPr="00306069">
        <w:rPr>
          <w:color w:val="0000FF"/>
        </w:rPr>
        <w:instrText xml:space="preserve"> REF _Ref524373802 \r \h  \* MERGEFORMAT </w:instrText>
      </w:r>
      <w:r w:rsidR="00306069" w:rsidRPr="00306069">
        <w:rPr>
          <w:color w:val="0000FF"/>
        </w:rPr>
      </w:r>
      <w:r w:rsidR="00306069" w:rsidRPr="00306069">
        <w:rPr>
          <w:color w:val="0000FF"/>
        </w:rPr>
        <w:fldChar w:fldCharType="separate"/>
      </w:r>
      <w:r w:rsidR="00EA3D29">
        <w:rPr>
          <w:color w:val="0000FF"/>
        </w:rPr>
        <w:t>4.4</w:t>
      </w:r>
      <w:r w:rsidR="00306069" w:rsidRPr="00306069">
        <w:rPr>
          <w:color w:val="0000FF"/>
        </w:rPr>
        <w:fldChar w:fldCharType="end"/>
      </w:r>
      <w:r w:rsidR="00306069">
        <w:rPr>
          <w:color w:val="auto"/>
        </w:rPr>
        <w:t xml:space="preserve">- </w:t>
      </w:r>
      <w:r w:rsidR="00FC176E" w:rsidRPr="00B745E4">
        <w:rPr>
          <w:color w:val="auto"/>
        </w:rPr>
        <w:t xml:space="preserve">SPECIAL WARNINGS AND </w:t>
      </w:r>
      <w:r w:rsidRPr="00B745E4">
        <w:rPr>
          <w:color w:val="auto"/>
        </w:rPr>
        <w:t>PRECAUTIONS</w:t>
      </w:r>
      <w:r w:rsidR="00FC176E" w:rsidRPr="00B745E4">
        <w:rPr>
          <w:color w:val="auto"/>
        </w:rPr>
        <w:t xml:space="preserve"> FOR USE</w:t>
      </w:r>
      <w:r w:rsidRPr="00B745E4">
        <w:rPr>
          <w:color w:val="auto"/>
        </w:rPr>
        <w:t>].</w:t>
      </w:r>
    </w:p>
    <w:p w:rsidR="00BC364A" w:rsidRPr="00321411" w:rsidRDefault="00BC364A" w:rsidP="00BC364A">
      <w:pPr>
        <w:rPr>
          <w:color w:val="auto"/>
          <w:lang w:val="en-AU"/>
        </w:rPr>
      </w:pPr>
    </w:p>
    <w:p w:rsidR="001A3992" w:rsidRPr="00717E34" w:rsidRDefault="001A3992" w:rsidP="001A3992">
      <w:pPr>
        <w:pStyle w:val="Heading2"/>
        <w:spacing w:before="0" w:after="120"/>
        <w:rPr>
          <w:lang w:val="en-AU"/>
        </w:rPr>
      </w:pPr>
      <w:r w:rsidRPr="00717E34">
        <w:rPr>
          <w:lang w:val="en-AU"/>
        </w:rPr>
        <w:t xml:space="preserve">Fertility, pregnancy and lactation </w:t>
      </w:r>
    </w:p>
    <w:p w:rsidR="001A3992" w:rsidRDefault="001A3992" w:rsidP="00CA73C2">
      <w:pPr>
        <w:pStyle w:val="Heading3"/>
        <w:numPr>
          <w:ilvl w:val="0"/>
          <w:numId w:val="0"/>
        </w:numPr>
        <w:spacing w:before="0" w:after="120"/>
        <w:rPr>
          <w:i/>
          <w:lang w:val="en-AU"/>
        </w:rPr>
      </w:pPr>
      <w:r w:rsidRPr="00CA73C2">
        <w:rPr>
          <w:i/>
          <w:lang w:val="en-AU"/>
        </w:rPr>
        <w:t>Effects on fertility</w:t>
      </w:r>
    </w:p>
    <w:p w:rsidR="00932D74" w:rsidRPr="001D0A3F" w:rsidRDefault="00932D74" w:rsidP="001D0A3F">
      <w:r w:rsidRPr="001D0A3F">
        <w:t>Fertility studies conducted in male and female mice using a murine surrogate antibody against mouse IL-6Rα showed no impairment of fertility.</w:t>
      </w:r>
    </w:p>
    <w:p w:rsidR="000911AA" w:rsidRPr="00717E34" w:rsidRDefault="000911AA" w:rsidP="00024098">
      <w:pPr>
        <w:spacing w:before="120"/>
        <w:jc w:val="both"/>
        <w:rPr>
          <w:lang w:val="en-AU"/>
        </w:rPr>
      </w:pPr>
    </w:p>
    <w:p w:rsidR="001A3992" w:rsidRPr="00CA73C2" w:rsidRDefault="001A3992" w:rsidP="00CA73C2">
      <w:pPr>
        <w:pStyle w:val="Heading3"/>
        <w:numPr>
          <w:ilvl w:val="0"/>
          <w:numId w:val="0"/>
        </w:numPr>
        <w:spacing w:before="0" w:after="120"/>
        <w:ind w:left="680" w:hanging="680"/>
        <w:rPr>
          <w:i/>
          <w:lang w:val="en-AU"/>
        </w:rPr>
      </w:pPr>
      <w:r w:rsidRPr="00CA73C2">
        <w:rPr>
          <w:i/>
          <w:lang w:val="en-AU"/>
        </w:rPr>
        <w:t xml:space="preserve">Use in pregnancy </w:t>
      </w:r>
      <w:r w:rsidR="001D0A3F">
        <w:rPr>
          <w:i/>
          <w:lang w:val="en-AU"/>
        </w:rPr>
        <w:t>(Category C)</w:t>
      </w:r>
    </w:p>
    <w:p w:rsidR="001D0A3F" w:rsidRDefault="001D0A3F" w:rsidP="001D0A3F">
      <w:r w:rsidRPr="001D0A3F">
        <w:t>Kevz</w:t>
      </w:r>
      <w:r w:rsidRPr="00321411">
        <w:rPr>
          <w:color w:val="auto"/>
        </w:rPr>
        <w:t>ara may be used in</w:t>
      </w:r>
      <w:r w:rsidRPr="00B745E4">
        <w:rPr>
          <w:color w:val="auto"/>
        </w:rPr>
        <w:t xml:space="preserve"> combination with non-biologic</w:t>
      </w:r>
      <w:r w:rsidR="00E96081" w:rsidRPr="00B745E4">
        <w:rPr>
          <w:color w:val="auto"/>
        </w:rPr>
        <w:t>al</w:t>
      </w:r>
      <w:r w:rsidRPr="00B745E4">
        <w:rPr>
          <w:color w:val="auto"/>
        </w:rPr>
        <w:t xml:space="preserve"> Disease Modifying Anti-Rheumatic Drugs (DMARDs). Non-biologic</w:t>
      </w:r>
      <w:r w:rsidR="00E96081" w:rsidRPr="00B745E4">
        <w:rPr>
          <w:color w:val="auto"/>
        </w:rPr>
        <w:t>al</w:t>
      </w:r>
      <w:r w:rsidRPr="00B745E4">
        <w:rPr>
          <w:color w:val="auto"/>
        </w:rPr>
        <w:t xml:space="preserve"> Disease Modifyin</w:t>
      </w:r>
      <w:r w:rsidR="00396D0D" w:rsidRPr="00B745E4">
        <w:rPr>
          <w:color w:val="auto"/>
        </w:rPr>
        <w:t>g Anti-Rheumatic Drugs (DMARDs)</w:t>
      </w:r>
      <w:r w:rsidRPr="00B745E4">
        <w:rPr>
          <w:color w:val="auto"/>
        </w:rPr>
        <w:t xml:space="preserve"> may be contraindicated in pregnant women. Adequate and w</w:t>
      </w:r>
      <w:r w:rsidRPr="001D0A3F">
        <w:t>ell controlled studies with Kevzara have not been conducted in pregnant women. In general, monoclonal antibodies are transported across the placenta with the largest amount transferred during the third trimester.</w:t>
      </w:r>
    </w:p>
    <w:p w:rsidR="00017AC8" w:rsidRPr="00396D0D" w:rsidRDefault="001D0A3F" w:rsidP="001D0A3F">
      <w:r w:rsidRPr="001D0A3F">
        <w:t>Women of childbearing potential must use effective contraception during and up to 3 months after treatment.</w:t>
      </w:r>
    </w:p>
    <w:p w:rsidR="001D0A3F" w:rsidRPr="001D0A3F" w:rsidRDefault="001D0A3F" w:rsidP="001D0A3F">
      <w:r w:rsidRPr="001D0A3F">
        <w:t>In animal reproduction studies, intravenous administration of sarilumab to cynomolgus monkeys from early gestation to natural birth (approximately 21 weeks) at weekly doses up to 50 mg/kg/week (approximately 84 times the human exposure based on AUC after subcutaneous doses of 200 mg every two weeks) did not affect embryo-fetal development.</w:t>
      </w:r>
    </w:p>
    <w:p w:rsidR="00017AC8" w:rsidRPr="00396D0D" w:rsidRDefault="001D0A3F" w:rsidP="001D0A3F">
      <w:pPr>
        <w:rPr>
          <w:color w:val="auto"/>
        </w:rPr>
      </w:pPr>
      <w:r w:rsidRPr="001D0A3F">
        <w:t xml:space="preserve">In an enhanced pre-/postnatal developmental toxicity study, pregnant cynomolgus monkeys were administered sarilumab once-weekly intravenously at doses of 5, 15, or 50 mg/kg/week (approximately 84 times the human exposure based on AUC  after subcutaneous doses of 200 mg every two weeks) from early gestation to natural birth (approximately 21 weeks). Sarilumab did not cause any maternal or embryo-foetal effects in the study.  Slight increases of stillbirth ratio and total pregnancy loss were observed with high systemic cumulative exposure in the 50 mg/kg/week high-dose group (≥84 times human exposure) compared to vehicle </w:t>
      </w:r>
      <w:r w:rsidR="00017AC8">
        <w:t>control and lower-dose groups</w:t>
      </w:r>
      <w:r w:rsidR="00017AC8" w:rsidRPr="00396D0D">
        <w:rPr>
          <w:color w:val="auto"/>
        </w:rPr>
        <w:t>. Whilst t</w:t>
      </w:r>
      <w:r w:rsidRPr="00396D0D">
        <w:rPr>
          <w:color w:val="auto"/>
        </w:rPr>
        <w:t>he relationship between this finding and Kevzara has not been established</w:t>
      </w:r>
      <w:r w:rsidR="00017AC8" w:rsidRPr="00396D0D">
        <w:rPr>
          <w:color w:val="auto"/>
        </w:rPr>
        <w:t>, it cannot be excluded that this finding is related to Kevzara treatment.</w:t>
      </w:r>
      <w:r w:rsidRPr="00396D0D">
        <w:rPr>
          <w:color w:val="auto"/>
        </w:rPr>
        <w:t xml:space="preserve"> </w:t>
      </w:r>
    </w:p>
    <w:p w:rsidR="001D0A3F" w:rsidRPr="001D0A3F" w:rsidRDefault="001D0A3F" w:rsidP="001D0A3F">
      <w:r w:rsidRPr="001D0A3F">
        <w:t xml:space="preserve">Sarilumab had no effect on the neonates evaluated up to one month after birth in body weight measurements, in parameters of functional or morphological development including skeletal evaluations, in immunophenotyping of peripheral blood lymphocytes, and in microscopic evaluations. Sarilumab was detected in the serum of neonates up to one month. </w:t>
      </w:r>
    </w:p>
    <w:p w:rsidR="001D0A3F" w:rsidRPr="001D0A3F" w:rsidRDefault="001D0A3F" w:rsidP="001D0A3F">
      <w:r w:rsidRPr="001D0A3F">
        <w:t>The potential effect of sarilumab on the infants’ immune system function is not known.</w:t>
      </w:r>
    </w:p>
    <w:p w:rsidR="00BC364A" w:rsidRPr="001D0A3F" w:rsidRDefault="001D0A3F" w:rsidP="001D0A3F">
      <w:r w:rsidRPr="001D0A3F">
        <w:t xml:space="preserve">The incidence of malformations and pregnancy loss in human pregnancies has not been established for Kevzara. However, all pregnancies, regardless of drug exposure, have a background rate of approximately 2 to 4% for major malformations and 15 to 20% for pregnancy loss. Kevzara should be used in pregnancy only if the potential benefit justifies the potential risk to the foetus. </w:t>
      </w:r>
    </w:p>
    <w:p w:rsidR="001D0A3F" w:rsidRPr="00717E34" w:rsidRDefault="001D0A3F" w:rsidP="001D0A3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120"/>
        <w:jc w:val="both"/>
        <w:rPr>
          <w:lang w:val="en-AU"/>
        </w:rPr>
      </w:pPr>
    </w:p>
    <w:p w:rsidR="001A3992" w:rsidRDefault="001A3992" w:rsidP="00CA73C2">
      <w:pPr>
        <w:pStyle w:val="Heading3"/>
        <w:numPr>
          <w:ilvl w:val="0"/>
          <w:numId w:val="0"/>
        </w:numPr>
        <w:spacing w:before="0" w:after="120"/>
        <w:ind w:left="680" w:hanging="680"/>
        <w:rPr>
          <w:i/>
          <w:lang w:val="en-AU"/>
        </w:rPr>
      </w:pPr>
      <w:r w:rsidRPr="00CA73C2">
        <w:rPr>
          <w:i/>
          <w:lang w:val="en-AU"/>
        </w:rPr>
        <w:lastRenderedPageBreak/>
        <w:t xml:space="preserve">Use in lactation </w:t>
      </w:r>
    </w:p>
    <w:p w:rsidR="001D0A3F" w:rsidRPr="001D0A3F" w:rsidRDefault="001D0A3F" w:rsidP="001D0A3F">
      <w:r w:rsidRPr="001D0A3F">
        <w:t>There is no information regarding the presence of sarilumab in human milk, the effects on the breastfed infant, or the effects on milk production. Because monoclonal antibodies could be excreted in small amounts in human milk, a decision should be made whether to discontinue nursing or to discontinue Kevzara, taking into account the importance of the drug to the mother.</w:t>
      </w:r>
    </w:p>
    <w:p w:rsidR="001D0A3F" w:rsidRPr="00B745E4" w:rsidRDefault="001D0A3F" w:rsidP="001D0A3F">
      <w:r w:rsidRPr="00B745E4">
        <w:t>Kevzara may be used in comb</w:t>
      </w:r>
      <w:r w:rsidRPr="00B745E4">
        <w:rPr>
          <w:color w:val="auto"/>
        </w:rPr>
        <w:t>ina</w:t>
      </w:r>
      <w:r w:rsidRPr="00A23734">
        <w:rPr>
          <w:color w:val="auto"/>
        </w:rPr>
        <w:t>tion with non-biologic</w:t>
      </w:r>
      <w:r w:rsidR="00E96081" w:rsidRPr="00A23734">
        <w:rPr>
          <w:color w:val="auto"/>
        </w:rPr>
        <w:t>al</w:t>
      </w:r>
      <w:r w:rsidRPr="00A23734">
        <w:rPr>
          <w:color w:val="auto"/>
        </w:rPr>
        <w:t xml:space="preserve"> Disease Modifying Anti-Rheumatic Drugs (DMARDs). Non-biologic</w:t>
      </w:r>
      <w:r w:rsidR="00E96081" w:rsidRPr="00A23734">
        <w:rPr>
          <w:color w:val="auto"/>
        </w:rPr>
        <w:t>al</w:t>
      </w:r>
      <w:r w:rsidRPr="00A23734">
        <w:rPr>
          <w:color w:val="auto"/>
        </w:rPr>
        <w:t xml:space="preserve"> Disease Modifying </w:t>
      </w:r>
      <w:r w:rsidRPr="00B745E4">
        <w:rPr>
          <w:color w:val="auto"/>
        </w:rPr>
        <w:t>Anti-R</w:t>
      </w:r>
      <w:r w:rsidRPr="00B745E4">
        <w:t>heumatic Drugs (DMARDs) may be contraindicated in breast-feeding women.</w:t>
      </w:r>
    </w:p>
    <w:p w:rsidR="00477BD3" w:rsidRPr="00477BD3" w:rsidRDefault="00477BD3" w:rsidP="00477BD3">
      <w:pPr>
        <w:rPr>
          <w:lang w:val="en-AU"/>
        </w:rPr>
      </w:pPr>
    </w:p>
    <w:p w:rsidR="001A3992" w:rsidRDefault="001A3992" w:rsidP="001A3992">
      <w:pPr>
        <w:pStyle w:val="Heading2"/>
        <w:spacing w:before="0" w:after="120"/>
        <w:rPr>
          <w:lang w:val="en-AU"/>
        </w:rPr>
      </w:pPr>
      <w:r w:rsidRPr="00717E34">
        <w:rPr>
          <w:lang w:val="en-AU"/>
        </w:rPr>
        <w:t xml:space="preserve">Effects on ability to drive and use machines </w:t>
      </w:r>
    </w:p>
    <w:p w:rsidR="001D0A3F" w:rsidRPr="001D0A3F" w:rsidRDefault="001D0A3F" w:rsidP="001D0A3F">
      <w:pPr>
        <w:rPr>
          <w:lang w:val="en-AU"/>
        </w:rPr>
      </w:pPr>
      <w:r w:rsidRPr="001D0A3F">
        <w:rPr>
          <w:lang w:val="en-AU"/>
        </w:rPr>
        <w:t>No studies on the effects of ability to drive and operate machinery after administration of sarilumab have been performed.  Kevzara has no or negligible influence on the ability to drive or operate machinery.</w:t>
      </w:r>
    </w:p>
    <w:p w:rsidR="00744556" w:rsidRPr="00717E34" w:rsidRDefault="00744556" w:rsidP="00744556">
      <w:pPr>
        <w:rPr>
          <w:lang w:val="en-AU"/>
        </w:rPr>
      </w:pPr>
    </w:p>
    <w:p w:rsidR="001A3992" w:rsidRDefault="001A3992" w:rsidP="004F0E4A">
      <w:pPr>
        <w:pStyle w:val="Heading2"/>
        <w:keepNext w:val="0"/>
        <w:keepLines/>
        <w:spacing w:before="0" w:after="120"/>
        <w:rPr>
          <w:lang w:val="en-AU"/>
        </w:rPr>
      </w:pPr>
      <w:bookmarkStart w:id="4" w:name="_Ref524374081"/>
      <w:r w:rsidRPr="00717E34">
        <w:rPr>
          <w:lang w:val="en-AU"/>
        </w:rPr>
        <w:t>Adverse effects (Undesirable effects)</w:t>
      </w:r>
      <w:bookmarkEnd w:id="4"/>
    </w:p>
    <w:p w:rsidR="00017AC8" w:rsidRPr="00396D0D" w:rsidRDefault="00017AC8" w:rsidP="00396D0D">
      <w:pPr>
        <w:pStyle w:val="Heading3"/>
        <w:numPr>
          <w:ilvl w:val="0"/>
          <w:numId w:val="0"/>
        </w:numPr>
        <w:rPr>
          <w:lang w:val="en-AU"/>
        </w:rPr>
      </w:pPr>
      <w:r w:rsidRPr="00396D0D">
        <w:rPr>
          <w:lang w:val="en-AU"/>
        </w:rPr>
        <w:t>Reporting suspected adverse events</w:t>
      </w:r>
    </w:p>
    <w:p w:rsidR="009E4A3A" w:rsidRPr="00B745E4" w:rsidRDefault="009E4A3A" w:rsidP="007C4C57">
      <w:pPr>
        <w:tabs>
          <w:tab w:val="left" w:pos="1440"/>
          <w:tab w:val="left" w:pos="2160"/>
        </w:tabs>
        <w:spacing w:before="120"/>
        <w:jc w:val="both"/>
        <w:rPr>
          <w:color w:val="auto"/>
          <w:lang w:val="en-AU"/>
        </w:rPr>
      </w:pPr>
      <w:r w:rsidRPr="00B745E4">
        <w:rPr>
          <w:color w:val="auto"/>
          <w:lang w:val="en-AU"/>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B745E4">
          <w:rPr>
            <w:color w:val="auto"/>
            <w:lang w:val="en-AU"/>
          </w:rPr>
          <w:t>www.tga.gov.au/reporting-problems</w:t>
        </w:r>
      </w:hyperlink>
      <w:r w:rsidRPr="00B745E4">
        <w:rPr>
          <w:color w:val="auto"/>
          <w:lang w:val="en-AU"/>
        </w:rPr>
        <w:t xml:space="preserve"> (Australia)</w:t>
      </w:r>
      <w:r w:rsidR="00235092" w:rsidRPr="00B745E4">
        <w:rPr>
          <w:color w:val="auto"/>
          <w:lang w:val="en-AU"/>
        </w:rPr>
        <w:t xml:space="preserve">. </w:t>
      </w:r>
      <w:r w:rsidRPr="00B745E4">
        <w:rPr>
          <w:color w:val="auto"/>
          <w:lang w:val="en-AU"/>
        </w:rPr>
        <w:t xml:space="preserve"> </w:t>
      </w:r>
    </w:p>
    <w:p w:rsidR="00BB452D" w:rsidRPr="00B745E4" w:rsidRDefault="00BB452D" w:rsidP="00BB452D">
      <w:pPr>
        <w:pStyle w:val="Heading3"/>
        <w:numPr>
          <w:ilvl w:val="0"/>
          <w:numId w:val="0"/>
        </w:numPr>
        <w:ind w:left="680" w:hanging="680"/>
        <w:rPr>
          <w:lang w:val="en-AU"/>
        </w:rPr>
      </w:pPr>
      <w:r w:rsidRPr="00B745E4">
        <w:rPr>
          <w:lang w:val="en-AU"/>
        </w:rPr>
        <w:t>Clinical Trials Experience</w:t>
      </w:r>
    </w:p>
    <w:p w:rsidR="00235092" w:rsidRPr="00B745E4" w:rsidRDefault="00235092" w:rsidP="00235092">
      <w:pPr>
        <w:rPr>
          <w:color w:val="auto"/>
        </w:rPr>
      </w:pPr>
      <w:r w:rsidRPr="00B745E4">
        <w:rPr>
          <w:color w:val="auto"/>
        </w:rPr>
        <w:t>The safety of Kevzara in combination with DMARDs was evaluated based on data from seven studies, of which two were placebo-controlled, consisting of 2887 patients (long-term safety population). Of these, 2170 patients received Kevzara for at least 24 weeks, 1546 for at least 48 weeks, 1020 for at least 96 weeks, and 624 for at least 144 weeks.</w:t>
      </w:r>
    </w:p>
    <w:p w:rsidR="00235092" w:rsidRPr="00B745E4" w:rsidRDefault="00235092" w:rsidP="00235092">
      <w:pPr>
        <w:rPr>
          <w:color w:val="auto"/>
        </w:rPr>
      </w:pPr>
      <w:r w:rsidRPr="00B745E4">
        <w:rPr>
          <w:color w:val="auto"/>
        </w:rPr>
        <w:t>All patients in the safety data described had moderately to severely active rheumatoid arthritis.</w:t>
      </w:r>
    </w:p>
    <w:p w:rsidR="009E4A3A" w:rsidRPr="00B745E4" w:rsidRDefault="00235092" w:rsidP="00235092">
      <w:pPr>
        <w:rPr>
          <w:color w:val="auto"/>
        </w:rPr>
      </w:pPr>
      <w:r w:rsidRPr="00B745E4">
        <w:rPr>
          <w:color w:val="auto"/>
        </w:rPr>
        <w:t xml:space="preserve">The two placebo-controlled studies were pooled to evaluate the safety of Kevzara + DMARD in comparison to placebo + DMARDs for up to </w:t>
      </w:r>
      <w:r w:rsidR="00A9749C" w:rsidRPr="00B745E4">
        <w:rPr>
          <w:color w:val="auto"/>
        </w:rPr>
        <w:t xml:space="preserve">24 weeks in one study and </w:t>
      </w:r>
      <w:r w:rsidRPr="00B745E4">
        <w:rPr>
          <w:color w:val="auto"/>
        </w:rPr>
        <w:t>52 weeks</w:t>
      </w:r>
      <w:r w:rsidR="00A9749C" w:rsidRPr="00B745E4">
        <w:rPr>
          <w:color w:val="auto"/>
        </w:rPr>
        <w:t xml:space="preserve"> in the other</w:t>
      </w:r>
      <w:r w:rsidRPr="00B745E4">
        <w:rPr>
          <w:color w:val="auto"/>
        </w:rPr>
        <w:t>. In total, 1982 patients were evaluated (661 patients on 200 mg 660 patients on 150 mg, and 661 patients on placebo). The use of Kevzara monotherapy was assessed in two studies with a total of 467 patients, of which 402 received Kevzara 200 mg and 65 patients received Kevzara 150 mg.</w:t>
      </w:r>
    </w:p>
    <w:p w:rsidR="00235092" w:rsidRPr="008E6050" w:rsidRDefault="00235092" w:rsidP="00235092">
      <w:pPr>
        <w:rPr>
          <w:color w:val="auto"/>
        </w:rPr>
      </w:pPr>
      <w:r w:rsidRPr="008E6050">
        <w:rPr>
          <w:color w:val="auto"/>
        </w:rPr>
        <w:t>The most common serious adverse reactions were infections [see</w:t>
      </w:r>
      <w:r w:rsidR="00FC176E" w:rsidRPr="008E6050">
        <w:rPr>
          <w:color w:val="auto"/>
        </w:rPr>
        <w:t xml:space="preserve"> </w:t>
      </w:r>
      <w:r w:rsidR="00664BD1">
        <w:rPr>
          <w:color w:val="auto"/>
        </w:rPr>
        <w:t xml:space="preserve">Section </w:t>
      </w:r>
      <w:r w:rsidR="00664BD1" w:rsidRPr="00664BD1">
        <w:rPr>
          <w:color w:val="0000FF"/>
        </w:rPr>
        <w:fldChar w:fldCharType="begin"/>
      </w:r>
      <w:r w:rsidR="00664BD1" w:rsidRPr="00664BD1">
        <w:rPr>
          <w:color w:val="0000FF"/>
        </w:rPr>
        <w:instrText xml:space="preserve"> REF _Ref524373802 \r \h  \* MERGEFORMAT </w:instrText>
      </w:r>
      <w:r w:rsidR="00664BD1" w:rsidRPr="00664BD1">
        <w:rPr>
          <w:color w:val="0000FF"/>
        </w:rPr>
      </w:r>
      <w:r w:rsidR="00664BD1" w:rsidRPr="00664BD1">
        <w:rPr>
          <w:color w:val="0000FF"/>
        </w:rPr>
        <w:fldChar w:fldCharType="separate"/>
      </w:r>
      <w:r w:rsidR="00EA3D29">
        <w:rPr>
          <w:color w:val="0000FF"/>
        </w:rPr>
        <w:t>4.4</w:t>
      </w:r>
      <w:r w:rsidR="00664BD1" w:rsidRPr="00664BD1">
        <w:rPr>
          <w:color w:val="0000FF"/>
        </w:rPr>
        <w:fldChar w:fldCharType="end"/>
      </w:r>
      <w:r w:rsidR="00FC176E" w:rsidRPr="008E6050">
        <w:rPr>
          <w:color w:val="auto"/>
        </w:rPr>
        <w:t>- SPECIAL WARNINGS AND</w:t>
      </w:r>
      <w:r w:rsidRPr="008E6050">
        <w:rPr>
          <w:color w:val="auto"/>
        </w:rPr>
        <w:t xml:space="preserve"> PRECAUTIONS</w:t>
      </w:r>
      <w:r w:rsidR="00FC176E" w:rsidRPr="008E6050">
        <w:rPr>
          <w:color w:val="auto"/>
        </w:rPr>
        <w:t xml:space="preserve"> FOR USE</w:t>
      </w:r>
      <w:r w:rsidRPr="008E6050">
        <w:rPr>
          <w:color w:val="auto"/>
        </w:rPr>
        <w:t>].</w:t>
      </w:r>
    </w:p>
    <w:p w:rsidR="00017AC8" w:rsidRPr="008E6050" w:rsidRDefault="00235092" w:rsidP="00235092">
      <w:pPr>
        <w:rPr>
          <w:color w:val="auto"/>
        </w:rPr>
      </w:pPr>
      <w:r w:rsidRPr="008E6050">
        <w:rPr>
          <w:color w:val="auto"/>
        </w:rPr>
        <w:t>The most frequent adverse reactions (occurring in at least 3% of patients treated with Kevzara in combination with DMARDs) observed with Kevzara in the clinical studies were neutropenia, increase</w:t>
      </w:r>
      <w:r w:rsidR="00396D0D" w:rsidRPr="008E6050">
        <w:rPr>
          <w:color w:val="auto"/>
        </w:rPr>
        <w:t>d ALT, injection site erythema,</w:t>
      </w:r>
      <w:r w:rsidRPr="008E6050">
        <w:rPr>
          <w:color w:val="auto"/>
        </w:rPr>
        <w:t xml:space="preserve"> upper respiratory infections</w:t>
      </w:r>
      <w:r w:rsidR="00017AC8" w:rsidRPr="008E6050">
        <w:rPr>
          <w:color w:val="auto"/>
        </w:rPr>
        <w:t>, and urinary tract infections</w:t>
      </w:r>
      <w:r w:rsidRPr="008E6050">
        <w:rPr>
          <w:color w:val="auto"/>
        </w:rPr>
        <w:t xml:space="preserve">. </w:t>
      </w:r>
    </w:p>
    <w:p w:rsidR="00235092" w:rsidRPr="008E6050" w:rsidRDefault="00235092" w:rsidP="00235092">
      <w:pPr>
        <w:rPr>
          <w:color w:val="auto"/>
        </w:rPr>
      </w:pPr>
      <w:r w:rsidRPr="008E6050">
        <w:rPr>
          <w:color w:val="auto"/>
        </w:rPr>
        <w:lastRenderedPageBreak/>
        <w:t xml:space="preserve">In the 52-week placebo-controlled population, premature discontinuation due to adverse reactions occurred in 12.6%, 10.9% and 4.7% of patients treated with Kevzara 200 mg, Kevzara 150 mg, and placebo, respectively. </w:t>
      </w:r>
    </w:p>
    <w:p w:rsidR="00C85BBB" w:rsidRPr="008E6050" w:rsidRDefault="00235092" w:rsidP="00235092">
      <w:pPr>
        <w:rPr>
          <w:color w:val="auto"/>
        </w:rPr>
      </w:pPr>
      <w:r w:rsidRPr="008E6050">
        <w:rPr>
          <w:color w:val="auto"/>
        </w:rPr>
        <w:t>The most common adverse reactions (&gt;1%) that resulted in discontinuation of therapy with Kevzara were neutropenia and increased ALT, which also included protocol requirements for discontinuation.</w:t>
      </w:r>
    </w:p>
    <w:p w:rsidR="00C256C3" w:rsidRPr="008E6050" w:rsidRDefault="00235092" w:rsidP="00810415">
      <w:pPr>
        <w:pStyle w:val="Caption"/>
      </w:pPr>
      <w:r w:rsidRPr="008E6050">
        <w:t xml:space="preserve"> Table </w:t>
      </w:r>
      <w:r w:rsidRPr="008E6050">
        <w:fldChar w:fldCharType="begin"/>
      </w:r>
      <w:r w:rsidRPr="008E6050">
        <w:instrText xml:space="preserve"> SEQ Table \* ARABIC </w:instrText>
      </w:r>
      <w:r w:rsidRPr="008E6050">
        <w:fldChar w:fldCharType="separate"/>
      </w:r>
      <w:r w:rsidR="00EA3D29">
        <w:rPr>
          <w:noProof/>
        </w:rPr>
        <w:t>1</w:t>
      </w:r>
      <w:r w:rsidRPr="008E6050">
        <w:fldChar w:fldCharType="end"/>
      </w:r>
      <w:r w:rsidRPr="008E6050">
        <w:t xml:space="preserve"> ­ Adverse Events Occurring in 2% or More of Patient</w:t>
      </w:r>
      <w:r w:rsidR="00C256C3" w:rsidRPr="008E6050">
        <w:t xml:space="preserve">s Administered 150 mg or 200 mg </w:t>
      </w:r>
      <w:r w:rsidRPr="008E6050">
        <w:t>KEVZARA + DMARD and Greater Than Those Observed in Patients on Placebo + DMARD</w:t>
      </w:r>
      <w:r w:rsidR="00F23305" w:rsidRPr="008E6050">
        <w:t xml:space="preserve"> </w:t>
      </w:r>
      <w:r w:rsidR="00713F50" w:rsidRPr="008E6050">
        <w:t xml:space="preserve"> </w:t>
      </w:r>
      <w:r w:rsidR="00810415" w:rsidRPr="008E6050">
        <w:t>during the TEAE period (0-12 weeks) - Placebo-controlled safety population</w:t>
      </w:r>
    </w:p>
    <w:p w:rsidR="00C256C3" w:rsidRPr="008E6050" w:rsidRDefault="00C256C3" w:rsidP="00C256C3">
      <w:pPr>
        <w:rPr>
          <w:color w:val="auto"/>
        </w:rPr>
      </w:pPr>
    </w:p>
    <w:tbl>
      <w:tblPr>
        <w:tblW w:w="0" w:type="auto"/>
        <w:tblInd w:w="108" w:type="dxa"/>
        <w:tblLayout w:type="fixed"/>
        <w:tblLook w:val="04A0" w:firstRow="1" w:lastRow="0" w:firstColumn="1" w:lastColumn="0" w:noHBand="0" w:noVBand="1"/>
      </w:tblPr>
      <w:tblGrid>
        <w:gridCol w:w="4114"/>
        <w:gridCol w:w="1645"/>
        <w:gridCol w:w="236"/>
        <w:gridCol w:w="1635"/>
        <w:gridCol w:w="1634"/>
        <w:gridCol w:w="236"/>
      </w:tblGrid>
      <w:tr w:rsidR="00020ED6" w:rsidRPr="008E6050" w:rsidTr="00020ED6">
        <w:trPr>
          <w:cantSplit/>
          <w:tblHeader/>
        </w:trPr>
        <w:tc>
          <w:tcPr>
            <w:tcW w:w="5759" w:type="dxa"/>
            <w:gridSpan w:val="2"/>
            <w:tcBorders>
              <w:top w:val="single" w:sz="6" w:space="0" w:color="auto"/>
              <w:left w:val="nil"/>
              <w:bottom w:val="nil"/>
              <w:right w:val="nil"/>
            </w:tcBorders>
            <w:vAlign w:val="bottom"/>
            <w:hideMark/>
          </w:tcPr>
          <w:p w:rsidR="00020ED6" w:rsidRPr="008E6050" w:rsidRDefault="00020ED6">
            <w:pPr>
              <w:keepLines/>
              <w:spacing w:before="30" w:after="30"/>
              <w:jc w:val="center"/>
              <w:rPr>
                <w:color w:val="auto"/>
                <w:sz w:val="20"/>
                <w:szCs w:val="20"/>
              </w:rPr>
            </w:pPr>
            <w:r w:rsidRPr="008E6050">
              <w:rPr>
                <w:color w:val="auto"/>
                <w:sz w:val="20"/>
                <w:szCs w:val="20"/>
              </w:rPr>
              <w:t xml:space="preserve"> </w:t>
            </w:r>
            <w:r w:rsidRPr="008E6050">
              <w:rPr>
                <w:b/>
                <w:bCs/>
                <w:color w:val="auto"/>
                <w:sz w:val="20"/>
                <w:szCs w:val="20"/>
              </w:rPr>
              <w:t xml:space="preserve"> </w:t>
            </w:r>
          </w:p>
        </w:tc>
        <w:tc>
          <w:tcPr>
            <w:tcW w:w="216" w:type="dxa"/>
            <w:tcBorders>
              <w:top w:val="single" w:sz="6" w:space="0" w:color="auto"/>
              <w:left w:val="nil"/>
              <w:bottom w:val="nil"/>
              <w:right w:val="nil"/>
            </w:tcBorders>
            <w:vAlign w:val="bottom"/>
          </w:tcPr>
          <w:p w:rsidR="00020ED6" w:rsidRPr="008E6050" w:rsidRDefault="00020ED6">
            <w:pPr>
              <w:keepLines/>
              <w:spacing w:before="30" w:after="30"/>
              <w:jc w:val="center"/>
              <w:rPr>
                <w:color w:val="auto"/>
                <w:sz w:val="20"/>
                <w:szCs w:val="20"/>
              </w:rPr>
            </w:pPr>
          </w:p>
        </w:tc>
        <w:tc>
          <w:tcPr>
            <w:tcW w:w="3269" w:type="dxa"/>
            <w:gridSpan w:val="2"/>
            <w:tcBorders>
              <w:top w:val="single" w:sz="6" w:space="0" w:color="auto"/>
              <w:left w:val="nil"/>
              <w:bottom w:val="single" w:sz="6" w:space="0" w:color="auto"/>
              <w:right w:val="nil"/>
            </w:tcBorders>
            <w:vAlign w:val="bottom"/>
            <w:hideMark/>
          </w:tcPr>
          <w:p w:rsidR="00020ED6" w:rsidRPr="008E6050" w:rsidRDefault="00020ED6">
            <w:pPr>
              <w:keepLines/>
              <w:spacing w:before="30" w:after="30"/>
              <w:jc w:val="center"/>
              <w:rPr>
                <w:color w:val="auto"/>
                <w:sz w:val="20"/>
                <w:szCs w:val="20"/>
              </w:rPr>
            </w:pPr>
            <w:r w:rsidRPr="008E6050">
              <w:rPr>
                <w:b/>
                <w:bCs/>
                <w:color w:val="auto"/>
                <w:sz w:val="20"/>
                <w:szCs w:val="20"/>
              </w:rPr>
              <w:t>Sarilumab</w:t>
            </w:r>
          </w:p>
        </w:tc>
        <w:tc>
          <w:tcPr>
            <w:tcW w:w="217" w:type="dxa"/>
            <w:tcBorders>
              <w:top w:val="single" w:sz="6" w:space="0" w:color="auto"/>
              <w:left w:val="nil"/>
              <w:bottom w:val="nil"/>
              <w:right w:val="nil"/>
            </w:tcBorders>
            <w:vAlign w:val="bottom"/>
          </w:tcPr>
          <w:p w:rsidR="00020ED6" w:rsidRPr="008E6050" w:rsidRDefault="00020ED6">
            <w:pPr>
              <w:keepLines/>
              <w:spacing w:before="30" w:after="30"/>
              <w:jc w:val="center"/>
              <w:rPr>
                <w:color w:val="auto"/>
                <w:sz w:val="20"/>
                <w:szCs w:val="20"/>
              </w:rPr>
            </w:pPr>
          </w:p>
        </w:tc>
      </w:tr>
      <w:tr w:rsidR="00020ED6" w:rsidRPr="008E6050" w:rsidTr="00020ED6">
        <w:trPr>
          <w:cantSplit/>
          <w:tblHeader/>
        </w:trPr>
        <w:tc>
          <w:tcPr>
            <w:tcW w:w="4114" w:type="dxa"/>
            <w:tcBorders>
              <w:top w:val="nil"/>
              <w:left w:val="nil"/>
              <w:bottom w:val="single" w:sz="6" w:space="0" w:color="auto"/>
              <w:right w:val="nil"/>
            </w:tcBorders>
            <w:vAlign w:val="bottom"/>
            <w:hideMark/>
          </w:tcPr>
          <w:p w:rsidR="00020ED6" w:rsidRPr="008E6050" w:rsidRDefault="00020ED6">
            <w:pPr>
              <w:keepLines/>
              <w:tabs>
                <w:tab w:val="left" w:pos="2"/>
              </w:tabs>
              <w:spacing w:before="30" w:after="30"/>
              <w:rPr>
                <w:b/>
                <w:bCs/>
                <w:color w:val="auto"/>
                <w:sz w:val="20"/>
                <w:szCs w:val="20"/>
              </w:rPr>
            </w:pPr>
            <w:r w:rsidRPr="008E6050">
              <w:rPr>
                <w:b/>
                <w:bCs/>
                <w:color w:val="auto"/>
                <w:sz w:val="20"/>
                <w:szCs w:val="20"/>
              </w:rPr>
              <w:t>Primary System Organ Class</w:t>
            </w:r>
          </w:p>
          <w:p w:rsidR="00020ED6" w:rsidRPr="008E6050" w:rsidRDefault="00020ED6">
            <w:pPr>
              <w:keepLines/>
              <w:tabs>
                <w:tab w:val="left" w:pos="2"/>
              </w:tabs>
              <w:spacing w:before="30" w:after="30"/>
              <w:ind w:left="240"/>
              <w:rPr>
                <w:color w:val="auto"/>
                <w:sz w:val="20"/>
                <w:szCs w:val="20"/>
              </w:rPr>
            </w:pPr>
            <w:r w:rsidRPr="008E6050">
              <w:rPr>
                <w:b/>
                <w:bCs/>
                <w:color w:val="auto"/>
                <w:sz w:val="20"/>
                <w:szCs w:val="20"/>
              </w:rPr>
              <w:t>Preferred Term</w:t>
            </w:r>
          </w:p>
        </w:tc>
        <w:tc>
          <w:tcPr>
            <w:tcW w:w="1645" w:type="dxa"/>
            <w:tcBorders>
              <w:top w:val="nil"/>
              <w:left w:val="nil"/>
              <w:bottom w:val="single" w:sz="6" w:space="0" w:color="auto"/>
              <w:right w:val="nil"/>
            </w:tcBorders>
            <w:vAlign w:val="bottom"/>
            <w:hideMark/>
          </w:tcPr>
          <w:p w:rsidR="00020ED6" w:rsidRPr="008E6050" w:rsidRDefault="00020ED6">
            <w:pPr>
              <w:keepLines/>
              <w:spacing w:before="30" w:after="30"/>
              <w:jc w:val="center"/>
              <w:rPr>
                <w:b/>
                <w:bCs/>
                <w:color w:val="auto"/>
                <w:sz w:val="20"/>
                <w:szCs w:val="20"/>
              </w:rPr>
            </w:pPr>
            <w:r w:rsidRPr="008E6050">
              <w:rPr>
                <w:b/>
                <w:bCs/>
                <w:color w:val="auto"/>
                <w:sz w:val="20"/>
                <w:szCs w:val="20"/>
              </w:rPr>
              <w:t>Placebo</w:t>
            </w:r>
          </w:p>
          <w:p w:rsidR="00020ED6" w:rsidRPr="008E6050" w:rsidRDefault="00020ED6">
            <w:pPr>
              <w:keepLines/>
              <w:spacing w:before="30" w:after="30"/>
              <w:jc w:val="center"/>
              <w:rPr>
                <w:b/>
                <w:bCs/>
                <w:color w:val="auto"/>
                <w:sz w:val="20"/>
                <w:szCs w:val="20"/>
              </w:rPr>
            </w:pPr>
            <w:r w:rsidRPr="008E6050">
              <w:rPr>
                <w:b/>
                <w:bCs/>
                <w:color w:val="auto"/>
                <w:sz w:val="20"/>
                <w:szCs w:val="20"/>
              </w:rPr>
              <w:t xml:space="preserve"> + DMARD</w:t>
            </w:r>
          </w:p>
          <w:p w:rsidR="00020ED6" w:rsidRPr="008E6050" w:rsidRDefault="00020ED6">
            <w:pPr>
              <w:keepLines/>
              <w:spacing w:before="30" w:after="30"/>
              <w:jc w:val="center"/>
              <w:rPr>
                <w:color w:val="auto"/>
                <w:sz w:val="20"/>
                <w:szCs w:val="20"/>
              </w:rPr>
            </w:pPr>
            <w:r w:rsidRPr="008E6050">
              <w:rPr>
                <w:b/>
                <w:bCs/>
                <w:color w:val="auto"/>
                <w:sz w:val="20"/>
                <w:szCs w:val="20"/>
              </w:rPr>
              <w:t>(N=661)</w:t>
            </w:r>
          </w:p>
        </w:tc>
        <w:tc>
          <w:tcPr>
            <w:tcW w:w="1851" w:type="dxa"/>
            <w:gridSpan w:val="2"/>
            <w:tcBorders>
              <w:top w:val="nil"/>
              <w:left w:val="nil"/>
              <w:bottom w:val="single" w:sz="6" w:space="0" w:color="auto"/>
              <w:right w:val="nil"/>
            </w:tcBorders>
            <w:vAlign w:val="bottom"/>
            <w:hideMark/>
          </w:tcPr>
          <w:p w:rsidR="00020ED6" w:rsidRPr="008E6050" w:rsidRDefault="00020ED6">
            <w:pPr>
              <w:keepLines/>
              <w:spacing w:before="30" w:after="30"/>
              <w:jc w:val="center"/>
              <w:rPr>
                <w:b/>
                <w:bCs/>
                <w:color w:val="auto"/>
                <w:sz w:val="20"/>
                <w:szCs w:val="20"/>
              </w:rPr>
            </w:pPr>
            <w:r w:rsidRPr="008E6050">
              <w:rPr>
                <w:b/>
                <w:bCs/>
                <w:color w:val="auto"/>
                <w:sz w:val="20"/>
                <w:szCs w:val="20"/>
              </w:rPr>
              <w:t>150 mg q2w</w:t>
            </w:r>
          </w:p>
          <w:p w:rsidR="00020ED6" w:rsidRPr="008E6050" w:rsidRDefault="00020ED6">
            <w:pPr>
              <w:keepLines/>
              <w:spacing w:before="30" w:after="30"/>
              <w:jc w:val="center"/>
              <w:rPr>
                <w:b/>
                <w:bCs/>
                <w:color w:val="auto"/>
                <w:sz w:val="20"/>
                <w:szCs w:val="20"/>
              </w:rPr>
            </w:pPr>
            <w:r w:rsidRPr="008E6050">
              <w:rPr>
                <w:b/>
                <w:bCs/>
                <w:color w:val="auto"/>
                <w:sz w:val="20"/>
                <w:szCs w:val="20"/>
              </w:rPr>
              <w:t xml:space="preserve"> + DMARD</w:t>
            </w:r>
          </w:p>
          <w:p w:rsidR="00020ED6" w:rsidRPr="008E6050" w:rsidRDefault="00020ED6">
            <w:pPr>
              <w:keepLines/>
              <w:spacing w:before="30" w:after="30"/>
              <w:jc w:val="center"/>
              <w:rPr>
                <w:color w:val="auto"/>
                <w:sz w:val="20"/>
                <w:szCs w:val="20"/>
              </w:rPr>
            </w:pPr>
            <w:r w:rsidRPr="008E6050">
              <w:rPr>
                <w:b/>
                <w:bCs/>
                <w:color w:val="auto"/>
                <w:sz w:val="20"/>
                <w:szCs w:val="20"/>
              </w:rPr>
              <w:t xml:space="preserve">(N=660) </w:t>
            </w:r>
          </w:p>
        </w:tc>
        <w:tc>
          <w:tcPr>
            <w:tcW w:w="1851" w:type="dxa"/>
            <w:gridSpan w:val="2"/>
            <w:tcBorders>
              <w:top w:val="nil"/>
              <w:left w:val="nil"/>
              <w:bottom w:val="single" w:sz="6" w:space="0" w:color="auto"/>
              <w:right w:val="nil"/>
            </w:tcBorders>
            <w:vAlign w:val="bottom"/>
            <w:hideMark/>
          </w:tcPr>
          <w:p w:rsidR="00020ED6" w:rsidRPr="008E6050" w:rsidRDefault="00020ED6">
            <w:pPr>
              <w:keepLines/>
              <w:spacing w:before="30" w:after="30"/>
              <w:jc w:val="center"/>
              <w:rPr>
                <w:b/>
                <w:bCs/>
                <w:color w:val="auto"/>
                <w:sz w:val="20"/>
                <w:szCs w:val="20"/>
              </w:rPr>
            </w:pPr>
            <w:r w:rsidRPr="008E6050">
              <w:rPr>
                <w:b/>
                <w:bCs/>
                <w:color w:val="auto"/>
                <w:sz w:val="20"/>
                <w:szCs w:val="20"/>
              </w:rPr>
              <w:t>200 mg q2w</w:t>
            </w:r>
          </w:p>
          <w:p w:rsidR="00020ED6" w:rsidRPr="008E6050" w:rsidRDefault="00020ED6">
            <w:pPr>
              <w:keepLines/>
              <w:spacing w:before="30" w:after="30"/>
              <w:jc w:val="center"/>
              <w:rPr>
                <w:b/>
                <w:bCs/>
                <w:color w:val="auto"/>
                <w:sz w:val="20"/>
                <w:szCs w:val="20"/>
              </w:rPr>
            </w:pPr>
            <w:r w:rsidRPr="008E6050">
              <w:rPr>
                <w:b/>
                <w:bCs/>
                <w:color w:val="auto"/>
                <w:sz w:val="20"/>
                <w:szCs w:val="20"/>
              </w:rPr>
              <w:t xml:space="preserve"> + DMARD</w:t>
            </w:r>
          </w:p>
          <w:p w:rsidR="00020ED6" w:rsidRPr="008E6050" w:rsidRDefault="00020ED6">
            <w:pPr>
              <w:keepLines/>
              <w:spacing w:before="30" w:after="30"/>
              <w:jc w:val="center"/>
              <w:rPr>
                <w:color w:val="auto"/>
                <w:sz w:val="20"/>
                <w:szCs w:val="20"/>
              </w:rPr>
            </w:pPr>
            <w:r w:rsidRPr="008E6050">
              <w:rPr>
                <w:b/>
                <w:bCs/>
                <w:color w:val="auto"/>
                <w:sz w:val="20"/>
                <w:szCs w:val="20"/>
              </w:rPr>
              <w:t xml:space="preserve">(N=661) </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120" w:hanging="120"/>
              <w:rPr>
                <w:color w:val="auto"/>
                <w:sz w:val="20"/>
                <w:szCs w:val="20"/>
              </w:rPr>
            </w:pPr>
            <w:r w:rsidRPr="008E6050">
              <w:rPr>
                <w:color w:val="auto"/>
                <w:sz w:val="20"/>
                <w:szCs w:val="20"/>
              </w:rPr>
              <w:t>Any class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278</w:t>
            </w:r>
            <w:r w:rsidRPr="008E6050">
              <w:rPr>
                <w:color w:val="auto"/>
                <w:sz w:val="20"/>
                <w:szCs w:val="20"/>
              </w:rPr>
              <w:tab/>
              <w:t xml:space="preserve"> (42.1%)</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326</w:t>
            </w:r>
            <w:r w:rsidRPr="008E6050">
              <w:rPr>
                <w:color w:val="auto"/>
                <w:sz w:val="20"/>
                <w:szCs w:val="20"/>
              </w:rPr>
              <w:tab/>
              <w:t xml:space="preserve"> (49.4%)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350</w:t>
            </w:r>
            <w:r w:rsidRPr="008E6050">
              <w:rPr>
                <w:color w:val="auto"/>
                <w:sz w:val="20"/>
                <w:szCs w:val="20"/>
              </w:rPr>
              <w:tab/>
              <w:t xml:space="preserve"> (53.0%)</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Infections and infestations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103</w:t>
            </w:r>
            <w:r w:rsidRPr="008E6050">
              <w:rPr>
                <w:color w:val="auto"/>
                <w:sz w:val="20"/>
                <w:szCs w:val="20"/>
              </w:rPr>
              <w:tab/>
              <w:t xml:space="preserve"> (15.6%)</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118</w:t>
            </w:r>
            <w:r w:rsidRPr="008E6050">
              <w:rPr>
                <w:color w:val="auto"/>
                <w:sz w:val="20"/>
                <w:szCs w:val="20"/>
              </w:rPr>
              <w:tab/>
              <w:t xml:space="preserve"> (17.9%)</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134</w:t>
            </w:r>
            <w:r w:rsidRPr="008E6050">
              <w:rPr>
                <w:color w:val="auto"/>
                <w:sz w:val="20"/>
                <w:szCs w:val="20"/>
              </w:rPr>
              <w:tab/>
              <w:t xml:space="preserve"> (20.3%)</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Upper respiratory tract infection</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19</w:t>
            </w:r>
            <w:r w:rsidRPr="008E6050">
              <w:rPr>
                <w:color w:val="auto"/>
                <w:sz w:val="20"/>
                <w:szCs w:val="20"/>
              </w:rPr>
              <w:tab/>
              <w:t xml:space="preserve"> (2.9%)</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21</w:t>
            </w:r>
            <w:r w:rsidRPr="008E6050">
              <w:rPr>
                <w:color w:val="auto"/>
                <w:sz w:val="20"/>
                <w:szCs w:val="20"/>
              </w:rPr>
              <w:tab/>
              <w:t xml:space="preserve"> (3.2%)</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Nasopharyngitis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15</w:t>
            </w:r>
            <w:r w:rsidRPr="008E6050">
              <w:rPr>
                <w:color w:val="auto"/>
                <w:sz w:val="20"/>
                <w:szCs w:val="20"/>
              </w:rPr>
              <w:tab/>
              <w:t xml:space="preserve"> (2.3%)</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18</w:t>
            </w:r>
            <w:r w:rsidRPr="008E6050">
              <w:rPr>
                <w:color w:val="auto"/>
                <w:sz w:val="20"/>
                <w:szCs w:val="20"/>
              </w:rPr>
              <w:tab/>
              <w:t xml:space="preserve"> (2.7%)</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Urinary tract infection</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13</w:t>
            </w:r>
            <w:r w:rsidRPr="008E6050">
              <w:rPr>
                <w:color w:val="auto"/>
                <w:sz w:val="20"/>
                <w:szCs w:val="20"/>
              </w:rPr>
              <w:tab/>
              <w:t xml:space="preserve"> (2.0%)</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Blood and lymphatic system disorders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12</w:t>
            </w:r>
            <w:r w:rsidRPr="008E6050">
              <w:rPr>
                <w:color w:val="auto"/>
                <w:sz w:val="20"/>
                <w:szCs w:val="20"/>
              </w:rPr>
              <w:tab/>
              <w:t xml:space="preserve"> (1.8%)</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40</w:t>
            </w:r>
            <w:r w:rsidRPr="008E6050">
              <w:rPr>
                <w:color w:val="auto"/>
                <w:sz w:val="20"/>
                <w:szCs w:val="20"/>
              </w:rPr>
              <w:tab/>
              <w:t xml:space="preserve"> (6.1%)</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77</w:t>
            </w:r>
            <w:r w:rsidRPr="008E6050">
              <w:rPr>
                <w:color w:val="auto"/>
                <w:sz w:val="20"/>
                <w:szCs w:val="20"/>
              </w:rPr>
              <w:tab/>
              <w:t xml:space="preserve"> (11.6%)</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Neutropenia</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w:t>
            </w:r>
            <w:r w:rsidRPr="008E6050">
              <w:rPr>
                <w:color w:val="auto"/>
                <w:sz w:val="20"/>
                <w:szCs w:val="20"/>
              </w:rPr>
              <w:tab/>
              <w:t xml:space="preserve"> (0.2%)</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38</w:t>
            </w:r>
            <w:r w:rsidRPr="008E6050">
              <w:rPr>
                <w:color w:val="auto"/>
                <w:sz w:val="20"/>
                <w:szCs w:val="20"/>
              </w:rPr>
              <w:tab/>
              <w:t xml:space="preserve"> (5.8%)</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64</w:t>
            </w:r>
            <w:r w:rsidRPr="008E6050">
              <w:rPr>
                <w:color w:val="auto"/>
                <w:sz w:val="20"/>
                <w:szCs w:val="20"/>
              </w:rPr>
              <w:tab/>
              <w:t xml:space="preserve"> (9.7%)</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Metabolism and nutrition disorders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10</w:t>
            </w:r>
            <w:r w:rsidRPr="008E6050">
              <w:rPr>
                <w:color w:val="auto"/>
                <w:sz w:val="20"/>
                <w:szCs w:val="20"/>
              </w:rPr>
              <w:tab/>
              <w:t xml:space="preserve"> (1.5%)</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27</w:t>
            </w:r>
            <w:r w:rsidRPr="008E6050">
              <w:rPr>
                <w:color w:val="auto"/>
                <w:sz w:val="20"/>
                <w:szCs w:val="20"/>
              </w:rPr>
              <w:tab/>
              <w:t xml:space="preserve"> (4.1%)</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20</w:t>
            </w:r>
            <w:r w:rsidRPr="008E6050">
              <w:rPr>
                <w:color w:val="auto"/>
                <w:sz w:val="20"/>
                <w:szCs w:val="20"/>
              </w:rPr>
              <w:tab/>
              <w:t xml:space="preserve"> (3.0%)</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Hypertriglyceridaemia</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3</w:t>
            </w:r>
            <w:r w:rsidRPr="008E6050">
              <w:rPr>
                <w:color w:val="auto"/>
                <w:sz w:val="20"/>
                <w:szCs w:val="20"/>
              </w:rPr>
              <w:tab/>
              <w:t xml:space="preserve"> (0.5%)</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w:t>
            </w:r>
            <w:r w:rsidRPr="008E6050">
              <w:rPr>
                <w:color w:val="auto"/>
                <w:sz w:val="20"/>
                <w:szCs w:val="20"/>
              </w:rPr>
              <w:tab/>
              <w:t xml:space="preserve"> (0.8%)</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Nervous system disorders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29</w:t>
            </w:r>
            <w:r w:rsidRPr="008E6050">
              <w:rPr>
                <w:color w:val="auto"/>
                <w:sz w:val="20"/>
                <w:szCs w:val="20"/>
              </w:rPr>
              <w:tab/>
              <w:t xml:space="preserve"> (4.4%)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27</w:t>
            </w:r>
            <w:r w:rsidRPr="008E6050">
              <w:rPr>
                <w:color w:val="auto"/>
                <w:sz w:val="20"/>
                <w:szCs w:val="20"/>
              </w:rPr>
              <w:tab/>
              <w:t xml:space="preserve"> (4.1%)</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25</w:t>
            </w:r>
            <w:r w:rsidRPr="008E6050">
              <w:rPr>
                <w:color w:val="auto"/>
                <w:sz w:val="20"/>
                <w:szCs w:val="20"/>
              </w:rPr>
              <w:tab/>
              <w:t xml:space="preserve"> (3.8%)</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Headache</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15</w:t>
            </w:r>
            <w:r w:rsidRPr="008E6050">
              <w:rPr>
                <w:color w:val="auto"/>
                <w:sz w:val="20"/>
                <w:szCs w:val="20"/>
              </w:rPr>
              <w:tab/>
              <w:t xml:space="preserve"> (2.3%)</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11</w:t>
            </w:r>
            <w:r w:rsidRPr="008E6050">
              <w:rPr>
                <w:color w:val="auto"/>
                <w:sz w:val="20"/>
                <w:szCs w:val="20"/>
              </w:rPr>
              <w:tab/>
              <w:t xml:space="preserve"> (1.7%)</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Gastrointestinal disorders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45</w:t>
            </w:r>
            <w:r w:rsidRPr="008E6050">
              <w:rPr>
                <w:color w:val="auto"/>
                <w:sz w:val="20"/>
                <w:szCs w:val="20"/>
              </w:rPr>
              <w:tab/>
              <w:t xml:space="preserve"> (6.8%)</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36</w:t>
            </w:r>
            <w:r w:rsidRPr="008E6050">
              <w:rPr>
                <w:color w:val="auto"/>
                <w:sz w:val="20"/>
                <w:szCs w:val="20"/>
              </w:rPr>
              <w:tab/>
              <w:t xml:space="preserve"> (5.5%)</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54</w:t>
            </w:r>
            <w:r w:rsidRPr="008E6050">
              <w:rPr>
                <w:color w:val="auto"/>
                <w:sz w:val="20"/>
                <w:szCs w:val="20"/>
              </w:rPr>
              <w:tab/>
              <w:t xml:space="preserve"> (8.2%)</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Diarrhoea</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13</w:t>
            </w:r>
            <w:r w:rsidRPr="008E6050">
              <w:rPr>
                <w:color w:val="auto"/>
                <w:sz w:val="20"/>
                <w:szCs w:val="20"/>
              </w:rPr>
              <w:tab/>
              <w:t xml:space="preserve"> (2.0%)</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9</w:t>
            </w:r>
            <w:r w:rsidRPr="008E6050">
              <w:rPr>
                <w:color w:val="auto"/>
                <w:sz w:val="20"/>
                <w:szCs w:val="20"/>
              </w:rPr>
              <w:tab/>
              <w:t xml:space="preserve"> (1.4%)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15</w:t>
            </w:r>
            <w:r w:rsidRPr="008E6050">
              <w:rPr>
                <w:color w:val="auto"/>
                <w:sz w:val="20"/>
                <w:szCs w:val="20"/>
              </w:rPr>
              <w:tab/>
              <w:t xml:space="preserve"> (2.3%)</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Musculoskeletal and connective tissue disorders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51</w:t>
            </w:r>
            <w:r w:rsidRPr="008E6050">
              <w:rPr>
                <w:color w:val="auto"/>
                <w:sz w:val="20"/>
                <w:szCs w:val="20"/>
              </w:rPr>
              <w:tab/>
              <w:t xml:space="preserve"> (7.7%)</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23</w:t>
            </w:r>
            <w:r w:rsidRPr="008E6050">
              <w:rPr>
                <w:color w:val="auto"/>
                <w:sz w:val="20"/>
                <w:szCs w:val="20"/>
              </w:rPr>
              <w:tab/>
              <w:t xml:space="preserve"> (3.5%)</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32</w:t>
            </w:r>
            <w:r w:rsidRPr="008E6050">
              <w:rPr>
                <w:color w:val="auto"/>
                <w:sz w:val="20"/>
                <w:szCs w:val="20"/>
              </w:rPr>
              <w:tab/>
              <w:t xml:space="preserve"> (4.8%)</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Rheumatoid arthritis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15</w:t>
            </w:r>
            <w:r w:rsidRPr="008E6050">
              <w:rPr>
                <w:color w:val="auto"/>
                <w:sz w:val="20"/>
                <w:szCs w:val="20"/>
              </w:rPr>
              <w:tab/>
              <w:t xml:space="preserve"> (2.3%)</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w:t>
            </w:r>
            <w:r w:rsidRPr="008E6050">
              <w:rPr>
                <w:color w:val="auto"/>
                <w:sz w:val="20"/>
                <w:szCs w:val="20"/>
              </w:rPr>
              <w:tab/>
              <w:t xml:space="preserve"> (0.3%)</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9</w:t>
            </w:r>
            <w:r w:rsidRPr="008E6050">
              <w:rPr>
                <w:color w:val="auto"/>
                <w:sz w:val="20"/>
                <w:szCs w:val="20"/>
              </w:rPr>
              <w:tab/>
              <w:t xml:space="preserve"> (1.4%)</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General disorders and administration site conditions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21</w:t>
            </w:r>
            <w:r w:rsidRPr="008E6050">
              <w:rPr>
                <w:color w:val="auto"/>
                <w:sz w:val="20"/>
                <w:szCs w:val="20"/>
              </w:rPr>
              <w:tab/>
              <w:t xml:space="preserve"> (3.2%)</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53</w:t>
            </w:r>
            <w:r w:rsidRPr="008E6050">
              <w:rPr>
                <w:color w:val="auto"/>
                <w:sz w:val="20"/>
                <w:szCs w:val="20"/>
              </w:rPr>
              <w:tab/>
              <w:t xml:space="preserve"> (8.0%)</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59</w:t>
            </w:r>
            <w:r w:rsidRPr="008E6050">
              <w:rPr>
                <w:color w:val="auto"/>
                <w:sz w:val="20"/>
                <w:szCs w:val="20"/>
              </w:rPr>
              <w:tab/>
              <w:t xml:space="preserve"> (8.9%)</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Injection site erythema</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4</w:t>
            </w:r>
            <w:r w:rsidRPr="008E6050">
              <w:rPr>
                <w:color w:val="auto"/>
                <w:sz w:val="20"/>
                <w:szCs w:val="20"/>
              </w:rPr>
              <w:tab/>
              <w:t xml:space="preserve"> (0.6%)</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22</w:t>
            </w:r>
            <w:r w:rsidRPr="008E6050">
              <w:rPr>
                <w:color w:val="auto"/>
                <w:sz w:val="20"/>
                <w:szCs w:val="20"/>
              </w:rPr>
              <w:tab/>
              <w:t xml:space="preserve"> (3.3%)</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20</w:t>
            </w:r>
            <w:r w:rsidRPr="008E6050">
              <w:rPr>
                <w:color w:val="auto"/>
                <w:sz w:val="20"/>
                <w:szCs w:val="20"/>
              </w:rPr>
              <w:tab/>
              <w:t xml:space="preserve"> (3.0%)</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Investigations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25</w:t>
            </w:r>
            <w:r w:rsidRPr="008E6050">
              <w:rPr>
                <w:color w:val="auto"/>
                <w:sz w:val="20"/>
                <w:szCs w:val="20"/>
              </w:rPr>
              <w:tab/>
              <w:t xml:space="preserve"> (3.8%)</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50</w:t>
            </w:r>
            <w:r w:rsidRPr="008E6050">
              <w:rPr>
                <w:color w:val="auto"/>
                <w:sz w:val="20"/>
                <w:szCs w:val="20"/>
              </w:rPr>
              <w:tab/>
              <w:t xml:space="preserve"> (7.6%)</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50</w:t>
            </w:r>
            <w:r w:rsidRPr="008E6050">
              <w:rPr>
                <w:color w:val="auto"/>
                <w:sz w:val="20"/>
                <w:szCs w:val="20"/>
              </w:rPr>
              <w:tab/>
              <w:t xml:space="preserve"> (7.6%)</w:t>
            </w:r>
          </w:p>
        </w:tc>
      </w:tr>
      <w:tr w:rsidR="00020ED6" w:rsidRPr="008E6050" w:rsidTr="00020ED6">
        <w:trPr>
          <w:cantSplit/>
        </w:trPr>
        <w:tc>
          <w:tcPr>
            <w:tcW w:w="4114" w:type="dxa"/>
            <w:vAlign w:val="bottom"/>
            <w:hideMark/>
          </w:tcPr>
          <w:p w:rsidR="00020ED6" w:rsidRPr="008E6050" w:rsidRDefault="00020ED6">
            <w:pPr>
              <w:keepLines/>
              <w:tabs>
                <w:tab w:val="left" w:pos="2236"/>
              </w:tabs>
              <w:spacing w:before="30" w:after="30"/>
              <w:ind w:left="360" w:hanging="120"/>
              <w:rPr>
                <w:color w:val="auto"/>
                <w:sz w:val="20"/>
                <w:szCs w:val="20"/>
              </w:rPr>
            </w:pPr>
            <w:r w:rsidRPr="008E6050">
              <w:rPr>
                <w:color w:val="auto"/>
                <w:sz w:val="20"/>
                <w:szCs w:val="20"/>
              </w:rPr>
              <w:t>Alanine aminotransferase increased</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9</w:t>
            </w:r>
            <w:r w:rsidRPr="008E6050">
              <w:rPr>
                <w:color w:val="auto"/>
                <w:sz w:val="20"/>
                <w:szCs w:val="20"/>
              </w:rPr>
              <w:tab/>
              <w:t xml:space="preserve"> (1.4%)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25</w:t>
            </w:r>
            <w:r w:rsidRPr="008E6050">
              <w:rPr>
                <w:color w:val="auto"/>
                <w:sz w:val="20"/>
                <w:szCs w:val="20"/>
              </w:rPr>
              <w:tab/>
              <w:t xml:space="preserve"> (3.8%)</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28</w:t>
            </w:r>
            <w:r w:rsidRPr="008E6050">
              <w:rPr>
                <w:color w:val="auto"/>
                <w:sz w:val="20"/>
                <w:szCs w:val="20"/>
              </w:rPr>
              <w:tab/>
              <w:t xml:space="preserve"> (4.2%)</w:t>
            </w:r>
          </w:p>
        </w:tc>
      </w:tr>
      <w:tr w:rsidR="00020ED6" w:rsidRPr="008E6050" w:rsidTr="00020ED6">
        <w:trPr>
          <w:cantSplit/>
        </w:trPr>
        <w:tc>
          <w:tcPr>
            <w:tcW w:w="4114" w:type="dxa"/>
            <w:vAlign w:val="bottom"/>
          </w:tcPr>
          <w:p w:rsidR="00020ED6" w:rsidRPr="008E6050" w:rsidRDefault="00020ED6">
            <w:pPr>
              <w:keepLines/>
              <w:tabs>
                <w:tab w:val="right" w:pos="695"/>
                <w:tab w:val="decimal" w:pos="1015"/>
              </w:tabs>
              <w:spacing w:before="30" w:after="30"/>
              <w:rPr>
                <w:color w:val="auto"/>
                <w:sz w:val="20"/>
                <w:szCs w:val="20"/>
              </w:rPr>
            </w:pPr>
          </w:p>
        </w:tc>
        <w:tc>
          <w:tcPr>
            <w:tcW w:w="1645" w:type="dxa"/>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c>
          <w:tcPr>
            <w:tcW w:w="1851" w:type="dxa"/>
            <w:gridSpan w:val="2"/>
            <w:vAlign w:val="bottom"/>
          </w:tcPr>
          <w:p w:rsidR="00020ED6" w:rsidRPr="008E6050" w:rsidRDefault="00020ED6">
            <w:pPr>
              <w:keepLines/>
              <w:tabs>
                <w:tab w:val="right" w:pos="695"/>
                <w:tab w:val="decimal" w:pos="1015"/>
              </w:tabs>
              <w:spacing w:before="30" w:after="30"/>
              <w:rPr>
                <w:color w:val="auto"/>
                <w:sz w:val="20"/>
                <w:szCs w:val="20"/>
              </w:rPr>
            </w:pPr>
          </w:p>
        </w:tc>
      </w:tr>
      <w:tr w:rsidR="00020ED6" w:rsidRPr="008E6050" w:rsidTr="00020ED6">
        <w:trPr>
          <w:cantSplit/>
        </w:trPr>
        <w:tc>
          <w:tcPr>
            <w:tcW w:w="4114" w:type="dxa"/>
            <w:vAlign w:val="bottom"/>
            <w:hideMark/>
          </w:tcPr>
          <w:p w:rsidR="00020ED6" w:rsidRPr="008E6050" w:rsidRDefault="00020ED6">
            <w:pPr>
              <w:keepNext/>
              <w:keepLines/>
              <w:tabs>
                <w:tab w:val="left" w:pos="2236"/>
              </w:tabs>
              <w:spacing w:before="30" w:after="30"/>
              <w:ind w:left="120" w:hanging="120"/>
              <w:rPr>
                <w:color w:val="auto"/>
                <w:sz w:val="20"/>
                <w:szCs w:val="20"/>
              </w:rPr>
            </w:pPr>
            <w:r w:rsidRPr="008E6050">
              <w:rPr>
                <w:color w:val="auto"/>
                <w:sz w:val="20"/>
                <w:szCs w:val="20"/>
              </w:rPr>
              <w:t>Injury, poisoning and procedural complications</w:t>
            </w:r>
          </w:p>
        </w:tc>
        <w:tc>
          <w:tcPr>
            <w:tcW w:w="1645" w:type="dxa"/>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46</w:t>
            </w:r>
            <w:r w:rsidRPr="008E6050">
              <w:rPr>
                <w:color w:val="auto"/>
                <w:sz w:val="20"/>
                <w:szCs w:val="20"/>
              </w:rPr>
              <w:tab/>
              <w:t xml:space="preserve"> (7.0%)</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29</w:t>
            </w:r>
            <w:r w:rsidRPr="008E6050">
              <w:rPr>
                <w:color w:val="auto"/>
                <w:sz w:val="20"/>
                <w:szCs w:val="20"/>
              </w:rPr>
              <w:tab/>
              <w:t xml:space="preserve"> (4.4%)</w:t>
            </w:r>
          </w:p>
        </w:tc>
        <w:tc>
          <w:tcPr>
            <w:tcW w:w="1851" w:type="dxa"/>
            <w:gridSpan w:val="2"/>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42</w:t>
            </w:r>
            <w:r w:rsidRPr="008E6050">
              <w:rPr>
                <w:color w:val="auto"/>
                <w:sz w:val="20"/>
                <w:szCs w:val="20"/>
              </w:rPr>
              <w:tab/>
              <w:t xml:space="preserve"> (6.4%)</w:t>
            </w:r>
          </w:p>
        </w:tc>
      </w:tr>
      <w:tr w:rsidR="00020ED6" w:rsidRPr="008E6050" w:rsidTr="00020ED6">
        <w:trPr>
          <w:cantSplit/>
        </w:trPr>
        <w:tc>
          <w:tcPr>
            <w:tcW w:w="4114" w:type="dxa"/>
            <w:tcBorders>
              <w:top w:val="nil"/>
              <w:left w:val="nil"/>
              <w:bottom w:val="single" w:sz="6" w:space="0" w:color="auto"/>
              <w:right w:val="nil"/>
            </w:tcBorders>
            <w:vAlign w:val="bottom"/>
            <w:hideMark/>
          </w:tcPr>
          <w:p w:rsidR="00020ED6" w:rsidRPr="008E6050" w:rsidRDefault="00020ED6">
            <w:pPr>
              <w:keepNext/>
              <w:keepLines/>
              <w:tabs>
                <w:tab w:val="left" w:pos="2236"/>
              </w:tabs>
              <w:spacing w:before="30" w:after="30"/>
              <w:ind w:left="360" w:hanging="120"/>
              <w:rPr>
                <w:color w:val="auto"/>
                <w:sz w:val="20"/>
                <w:szCs w:val="20"/>
              </w:rPr>
            </w:pPr>
            <w:r w:rsidRPr="008E6050">
              <w:rPr>
                <w:color w:val="auto"/>
                <w:sz w:val="20"/>
                <w:szCs w:val="20"/>
              </w:rPr>
              <w:t>Accidental overdose</w:t>
            </w:r>
          </w:p>
        </w:tc>
        <w:tc>
          <w:tcPr>
            <w:tcW w:w="1645" w:type="dxa"/>
            <w:tcBorders>
              <w:top w:val="nil"/>
              <w:left w:val="nil"/>
              <w:bottom w:val="single" w:sz="6" w:space="0" w:color="auto"/>
              <w:right w:val="nil"/>
            </w:tcBorders>
            <w:vAlign w:val="bottom"/>
            <w:hideMark/>
          </w:tcPr>
          <w:p w:rsidR="00020ED6" w:rsidRPr="008E6050" w:rsidRDefault="00020ED6">
            <w:pPr>
              <w:keepLines/>
              <w:tabs>
                <w:tab w:val="right" w:pos="592"/>
                <w:tab w:val="decimal" w:pos="912"/>
              </w:tabs>
              <w:spacing w:before="30" w:after="30"/>
              <w:rPr>
                <w:color w:val="auto"/>
                <w:sz w:val="20"/>
                <w:szCs w:val="20"/>
              </w:rPr>
            </w:pPr>
            <w:r w:rsidRPr="008E6050">
              <w:rPr>
                <w:color w:val="auto"/>
                <w:sz w:val="20"/>
                <w:szCs w:val="20"/>
              </w:rPr>
              <w:tab/>
              <w:t>21</w:t>
            </w:r>
            <w:r w:rsidRPr="008E6050">
              <w:rPr>
                <w:color w:val="auto"/>
                <w:sz w:val="20"/>
                <w:szCs w:val="20"/>
              </w:rPr>
              <w:tab/>
              <w:t xml:space="preserve"> (3.2%)</w:t>
            </w:r>
          </w:p>
        </w:tc>
        <w:tc>
          <w:tcPr>
            <w:tcW w:w="1851" w:type="dxa"/>
            <w:gridSpan w:val="2"/>
            <w:tcBorders>
              <w:top w:val="nil"/>
              <w:left w:val="nil"/>
              <w:bottom w:val="single" w:sz="6" w:space="0" w:color="auto"/>
              <w:right w:val="nil"/>
            </w:tcBorders>
            <w:vAlign w:val="bottom"/>
            <w:hideMark/>
          </w:tcPr>
          <w:p w:rsidR="00020ED6" w:rsidRPr="008E6050" w:rsidRDefault="00020ED6">
            <w:pPr>
              <w:keepLines/>
              <w:tabs>
                <w:tab w:val="right" w:pos="695"/>
                <w:tab w:val="decimal" w:pos="1015"/>
              </w:tabs>
              <w:spacing w:before="30" w:after="30"/>
              <w:rPr>
                <w:color w:val="auto"/>
                <w:sz w:val="20"/>
                <w:szCs w:val="20"/>
              </w:rPr>
            </w:pPr>
            <w:r w:rsidRPr="008E6050">
              <w:rPr>
                <w:color w:val="auto"/>
                <w:sz w:val="20"/>
                <w:szCs w:val="20"/>
              </w:rPr>
              <w:tab/>
              <w:t>16</w:t>
            </w:r>
            <w:r w:rsidRPr="008E6050">
              <w:rPr>
                <w:color w:val="auto"/>
                <w:sz w:val="20"/>
                <w:szCs w:val="20"/>
              </w:rPr>
              <w:tab/>
              <w:t xml:space="preserve"> (2.4%)</w:t>
            </w:r>
          </w:p>
        </w:tc>
        <w:tc>
          <w:tcPr>
            <w:tcW w:w="1851" w:type="dxa"/>
            <w:gridSpan w:val="2"/>
            <w:tcBorders>
              <w:top w:val="nil"/>
              <w:left w:val="nil"/>
              <w:bottom w:val="single" w:sz="6" w:space="0" w:color="auto"/>
              <w:right w:val="nil"/>
            </w:tcBorders>
            <w:vAlign w:val="bottom"/>
            <w:hideMark/>
          </w:tcPr>
          <w:p w:rsidR="00020ED6" w:rsidRPr="008E6050" w:rsidRDefault="00232697" w:rsidP="00232697">
            <w:pPr>
              <w:jc w:val="center"/>
              <w:rPr>
                <w:color w:val="auto"/>
              </w:rPr>
            </w:pPr>
            <w:r w:rsidRPr="008E6050">
              <w:rPr>
                <w:color w:val="auto"/>
              </w:rPr>
              <w:t xml:space="preserve">21 </w:t>
            </w:r>
            <w:r w:rsidR="00020ED6" w:rsidRPr="008E6050">
              <w:rPr>
                <w:color w:val="auto"/>
              </w:rPr>
              <w:t>(3.2%)</w:t>
            </w:r>
          </w:p>
        </w:tc>
      </w:tr>
    </w:tbl>
    <w:p w:rsidR="00C256C3" w:rsidRPr="00B85D29" w:rsidRDefault="00C256C3" w:rsidP="00C256C3">
      <w:pPr>
        <w:pStyle w:val="TblFigFootnote"/>
      </w:pPr>
      <w:r w:rsidRPr="00B85D29">
        <w:t xml:space="preserve"> </w:t>
      </w:r>
    </w:p>
    <w:p w:rsidR="00B85D29" w:rsidRPr="00B85D29" w:rsidRDefault="00B85D29" w:rsidP="00B85D29">
      <w:pPr>
        <w:pStyle w:val="TblFigFootnote"/>
      </w:pPr>
      <w:r w:rsidRPr="00B85D29">
        <w:rPr>
          <w:lang w:val="en-AU"/>
        </w:rPr>
        <w:lastRenderedPageBreak/>
        <w:t xml:space="preserve"> </w:t>
      </w:r>
      <w:r w:rsidRPr="00B85D29">
        <w:t>*Pre-rescue (0-12 week) placebo controlled population</w:t>
      </w:r>
    </w:p>
    <w:p w:rsidR="00020ED6" w:rsidRPr="00427F15" w:rsidRDefault="00020ED6" w:rsidP="00324A28">
      <w:pPr>
        <w:spacing w:before="0"/>
        <w:rPr>
          <w:rFonts w:ascii="Arial Narrow" w:hAnsi="Arial Narrow"/>
          <w:strike/>
          <w:color w:val="FF0000"/>
          <w:sz w:val="20"/>
          <w:szCs w:val="20"/>
        </w:rPr>
      </w:pPr>
    </w:p>
    <w:p w:rsidR="00093C5B" w:rsidRPr="00B85D29" w:rsidRDefault="00017AC8" w:rsidP="00235092">
      <w:pPr>
        <w:rPr>
          <w:color w:val="auto"/>
        </w:rPr>
      </w:pPr>
      <w:r w:rsidRPr="00B85D29">
        <w:rPr>
          <w:color w:val="auto"/>
        </w:rPr>
        <w:t>Medically relevant adverse reactions occurring at an incidence less than 2% in patients with rheumatoid arthritis treated wit</w:t>
      </w:r>
      <w:r w:rsidR="00B85D29" w:rsidRPr="00B85D29">
        <w:rPr>
          <w:color w:val="auto"/>
        </w:rPr>
        <w:t>h KEVZARA in controlled studies</w:t>
      </w:r>
      <w:r w:rsidRPr="00B85D29">
        <w:rPr>
          <w:color w:val="auto"/>
        </w:rPr>
        <w:t xml:space="preserve"> </w:t>
      </w:r>
      <w:r w:rsidR="00404FAC" w:rsidRPr="00B85D29">
        <w:rPr>
          <w:color w:val="auto"/>
        </w:rPr>
        <w:t xml:space="preserve">were </w:t>
      </w:r>
      <w:r w:rsidRPr="00B85D29">
        <w:rPr>
          <w:color w:val="auto"/>
        </w:rPr>
        <w:t>oral herpes, thrombocytopenia</w:t>
      </w:r>
      <w:r w:rsidR="00ED480E" w:rsidRPr="00B85D29">
        <w:rPr>
          <w:color w:val="auto"/>
        </w:rPr>
        <w:t>, le</w:t>
      </w:r>
      <w:r w:rsidR="0040691E" w:rsidRPr="00B85D29">
        <w:rPr>
          <w:color w:val="auto"/>
        </w:rPr>
        <w:t>ukopenia, injection site pruritu</w:t>
      </w:r>
      <w:r w:rsidR="00ED480E" w:rsidRPr="00B85D29">
        <w:rPr>
          <w:color w:val="auto"/>
        </w:rPr>
        <w:t>s</w:t>
      </w:r>
      <w:r w:rsidR="0040691E" w:rsidRPr="00B85D29">
        <w:rPr>
          <w:color w:val="auto"/>
        </w:rPr>
        <w:t xml:space="preserve">, bronchitis, influenza </w:t>
      </w:r>
      <w:r w:rsidRPr="00B85D29">
        <w:rPr>
          <w:color w:val="auto"/>
        </w:rPr>
        <w:t>and hypercholesterolaemia</w:t>
      </w:r>
      <w:r w:rsidR="00093C5B" w:rsidRPr="00B85D29">
        <w:rPr>
          <w:color w:val="auto"/>
        </w:rPr>
        <w:t>.</w:t>
      </w:r>
    </w:p>
    <w:p w:rsidR="00235092" w:rsidRPr="00B85D29" w:rsidRDefault="00235092" w:rsidP="00BB452D">
      <w:pPr>
        <w:pStyle w:val="Heading4"/>
        <w:numPr>
          <w:ilvl w:val="0"/>
          <w:numId w:val="0"/>
        </w:numPr>
        <w:ind w:left="862" w:hanging="862"/>
      </w:pPr>
      <w:r w:rsidRPr="00B85D29">
        <w:t>Overall Infections</w:t>
      </w:r>
    </w:p>
    <w:p w:rsidR="00235092" w:rsidRDefault="00235092" w:rsidP="00235092">
      <w:r>
        <w:t xml:space="preserve">In the 52-week placebo-controlled population, the rate of infections in the 200 mg and 150 mg Kevzara + DMARD group was 84.5 and 81.0 events per 100 patient-years, respectively, compared to 75.1 events per 100 patient-years in the placebo + DMARD group. The most commonly reported infections (5% to 7% of patients) were upper respiratory tract infections, urinary tract infections, and nasopharyngitis.  </w:t>
      </w:r>
    </w:p>
    <w:p w:rsidR="00017AC8" w:rsidRPr="00B85D29" w:rsidRDefault="00017AC8" w:rsidP="00017AC8">
      <w:pPr>
        <w:rPr>
          <w:color w:val="auto"/>
        </w:rPr>
      </w:pPr>
      <w:r w:rsidRPr="00B85D29">
        <w:rPr>
          <w:color w:val="auto"/>
        </w:rPr>
        <w:t xml:space="preserve">In the 52-week placebo-controlled population, 0.8% of patients (5 patients) treated with KEVZARA 200 mg + DMARD, 0.6% (4 patients) treated with KEVZARA 150 mg + DMARD and 0.5% (3 patients) treated with </w:t>
      </w:r>
      <w:r w:rsidR="00B85D29" w:rsidRPr="00B85D29">
        <w:rPr>
          <w:color w:val="auto"/>
        </w:rPr>
        <w:t>placebo + DMARD had an event of</w:t>
      </w:r>
      <w:r w:rsidR="00020ED6" w:rsidRPr="00B85D29">
        <w:rPr>
          <w:color w:val="auto"/>
        </w:rPr>
        <w:t xml:space="preserve"> </w:t>
      </w:r>
      <w:r w:rsidRPr="00B85D29">
        <w:rPr>
          <w:color w:val="auto"/>
        </w:rPr>
        <w:t xml:space="preserve">herpes zoster. (see </w:t>
      </w:r>
      <w:r w:rsidR="004C556E">
        <w:rPr>
          <w:color w:val="auto"/>
        </w:rPr>
        <w:t xml:space="preserve">Section </w:t>
      </w:r>
      <w:r w:rsidR="004C556E" w:rsidRPr="004C556E">
        <w:rPr>
          <w:color w:val="0000FF"/>
        </w:rPr>
        <w:fldChar w:fldCharType="begin"/>
      </w:r>
      <w:r w:rsidR="004C556E" w:rsidRPr="004C556E">
        <w:rPr>
          <w:color w:val="0000FF"/>
        </w:rPr>
        <w:instrText xml:space="preserve"> REF _Ref524373802 \r \h  \* MERGEFORMAT </w:instrText>
      </w:r>
      <w:r w:rsidR="004C556E" w:rsidRPr="004C556E">
        <w:rPr>
          <w:color w:val="0000FF"/>
        </w:rPr>
      </w:r>
      <w:r w:rsidR="004C556E" w:rsidRPr="004C556E">
        <w:rPr>
          <w:color w:val="0000FF"/>
        </w:rPr>
        <w:fldChar w:fldCharType="separate"/>
      </w:r>
      <w:r w:rsidR="00EA3D29">
        <w:rPr>
          <w:color w:val="0000FF"/>
        </w:rPr>
        <w:t>4.4</w:t>
      </w:r>
      <w:r w:rsidR="004C556E" w:rsidRPr="004C556E">
        <w:rPr>
          <w:color w:val="0000FF"/>
        </w:rPr>
        <w:fldChar w:fldCharType="end"/>
      </w:r>
      <w:r w:rsidR="004C556E">
        <w:rPr>
          <w:color w:val="0000FF"/>
        </w:rPr>
        <w:t>-</w:t>
      </w:r>
      <w:r w:rsidRPr="00B85D29">
        <w:rPr>
          <w:color w:val="auto"/>
        </w:rPr>
        <w:t xml:space="preserve"> SPECIAL WA</w:t>
      </w:r>
      <w:r w:rsidR="00976A92" w:rsidRPr="00B85D29">
        <w:rPr>
          <w:color w:val="auto"/>
        </w:rPr>
        <w:t xml:space="preserve">RNINGS AND PRECAUTIONS FOR USE- </w:t>
      </w:r>
      <w:r w:rsidRPr="00B85D29">
        <w:rPr>
          <w:color w:val="auto"/>
        </w:rPr>
        <w:t>viral reactivation)</w:t>
      </w:r>
    </w:p>
    <w:p w:rsidR="00235092" w:rsidRDefault="00235092" w:rsidP="00235092">
      <w:r>
        <w:t>The overall rate of infections with Kevzara + DMARD in the long-term safety population was consistent with rates in the controlled periods of the studies.</w:t>
      </w:r>
    </w:p>
    <w:p w:rsidR="00235092" w:rsidRDefault="00235092" w:rsidP="00235092">
      <w:r w:rsidRPr="00235092">
        <w:t>A higher incidence of overall and infection related adverse events was experienced by patients weighing more than 100 kg.</w:t>
      </w:r>
    </w:p>
    <w:p w:rsidR="00235092" w:rsidRDefault="00235092" w:rsidP="00BB452D">
      <w:pPr>
        <w:pStyle w:val="Heading4"/>
        <w:numPr>
          <w:ilvl w:val="0"/>
          <w:numId w:val="0"/>
        </w:numPr>
        <w:ind w:left="862" w:hanging="862"/>
      </w:pPr>
      <w:r>
        <w:t>Serious Infections</w:t>
      </w:r>
    </w:p>
    <w:p w:rsidR="00235092" w:rsidRDefault="00235092" w:rsidP="00235092">
      <w:r>
        <w:t xml:space="preserve">In the 52-week placebo-controlled population, the rate of serious infections in the 200 mg and 150 mg Kevzara + DMARD group was 4.3 and 3.0 events per 100 patient-years, respectively, compared to 3.1 events per 100 patient-years in the placebo + DMARD group. </w:t>
      </w:r>
    </w:p>
    <w:p w:rsidR="00555055" w:rsidRPr="00B85D29" w:rsidRDefault="00235092" w:rsidP="00235092">
      <w:pPr>
        <w:rPr>
          <w:color w:val="auto"/>
        </w:rPr>
      </w:pPr>
      <w:r w:rsidRPr="00396D0D">
        <w:rPr>
          <w:color w:val="auto"/>
        </w:rPr>
        <w:t>In</w:t>
      </w:r>
      <w:r w:rsidRPr="00321411">
        <w:rPr>
          <w:color w:val="auto"/>
        </w:rPr>
        <w:t xml:space="preserve"> the long-term safety population, the rates of infections and serious infection (sarilumab any dose) were 57.3 and 3.4 events per 100-patient years, respectively.  The most frequently observed serious infections included pneumonia and cellulitis.  Cases of opportunistic in</w:t>
      </w:r>
      <w:r w:rsidRPr="00B85D29">
        <w:rPr>
          <w:color w:val="auto"/>
        </w:rPr>
        <w:t>fection have b</w:t>
      </w:r>
      <w:r w:rsidR="00396D0D" w:rsidRPr="00B85D29">
        <w:rPr>
          <w:color w:val="auto"/>
        </w:rPr>
        <w:t>een reported [see</w:t>
      </w:r>
      <w:r w:rsidR="00DF0F51">
        <w:rPr>
          <w:color w:val="auto"/>
        </w:rPr>
        <w:t xml:space="preserve"> </w:t>
      </w:r>
      <w:r w:rsidR="00664BD1">
        <w:rPr>
          <w:color w:val="auto"/>
        </w:rPr>
        <w:t xml:space="preserve">Section </w:t>
      </w:r>
      <w:r w:rsidR="00664BD1" w:rsidRPr="00664BD1">
        <w:rPr>
          <w:color w:val="0000FF"/>
        </w:rPr>
        <w:fldChar w:fldCharType="begin"/>
      </w:r>
      <w:r w:rsidR="00664BD1" w:rsidRPr="00664BD1">
        <w:rPr>
          <w:color w:val="0000FF"/>
        </w:rPr>
        <w:instrText xml:space="preserve"> REF _Ref524373802 \r \h  \* MERGEFORMAT </w:instrText>
      </w:r>
      <w:r w:rsidR="00664BD1" w:rsidRPr="00664BD1">
        <w:rPr>
          <w:color w:val="0000FF"/>
        </w:rPr>
      </w:r>
      <w:r w:rsidR="00664BD1" w:rsidRPr="00664BD1">
        <w:rPr>
          <w:color w:val="0000FF"/>
        </w:rPr>
        <w:fldChar w:fldCharType="separate"/>
      </w:r>
      <w:r w:rsidR="00EA3D29">
        <w:rPr>
          <w:color w:val="0000FF"/>
        </w:rPr>
        <w:t>4.4</w:t>
      </w:r>
      <w:r w:rsidR="00664BD1" w:rsidRPr="00664BD1">
        <w:rPr>
          <w:color w:val="0000FF"/>
        </w:rPr>
        <w:fldChar w:fldCharType="end"/>
      </w:r>
      <w:r w:rsidR="00976A92" w:rsidRPr="00B85D29">
        <w:rPr>
          <w:color w:val="auto"/>
        </w:rPr>
        <w:t xml:space="preserve"> SPECIAL WARNINGS AND </w:t>
      </w:r>
      <w:r w:rsidR="00396D0D" w:rsidRPr="00B85D29">
        <w:rPr>
          <w:color w:val="auto"/>
        </w:rPr>
        <w:t>PRECAUTIONS</w:t>
      </w:r>
      <w:r w:rsidR="00976A92" w:rsidRPr="00B85D29">
        <w:rPr>
          <w:color w:val="auto"/>
        </w:rPr>
        <w:t xml:space="preserve"> FOR USE</w:t>
      </w:r>
      <w:r w:rsidR="00396D0D" w:rsidRPr="00B85D29">
        <w:rPr>
          <w:color w:val="auto"/>
        </w:rPr>
        <w:t>].</w:t>
      </w:r>
    </w:p>
    <w:p w:rsidR="00235092" w:rsidRPr="00B85D29" w:rsidRDefault="00235092" w:rsidP="00235092">
      <w:pPr>
        <w:rPr>
          <w:color w:val="auto"/>
        </w:rPr>
      </w:pPr>
      <w:r w:rsidRPr="00B85D29">
        <w:rPr>
          <w:color w:val="auto"/>
        </w:rPr>
        <w:t>The overall rates of infections and serious infections in the Kevzara monotherapy population were consistent with rates in the Kevzara + DMARD population.</w:t>
      </w:r>
    </w:p>
    <w:p w:rsidR="00235092" w:rsidRPr="00B85D29" w:rsidRDefault="00235092" w:rsidP="00BB452D">
      <w:pPr>
        <w:pStyle w:val="Heading4"/>
        <w:numPr>
          <w:ilvl w:val="0"/>
          <w:numId w:val="0"/>
        </w:numPr>
        <w:ind w:left="862" w:hanging="862"/>
      </w:pPr>
      <w:r w:rsidRPr="00B85D29">
        <w:t>Gastrointestinal Perforation</w:t>
      </w:r>
    </w:p>
    <w:p w:rsidR="00235092" w:rsidRPr="00B85D29" w:rsidRDefault="00235092" w:rsidP="00235092">
      <w:pPr>
        <w:rPr>
          <w:color w:val="auto"/>
        </w:rPr>
      </w:pPr>
      <w:r w:rsidRPr="00B85D29">
        <w:rPr>
          <w:color w:val="auto"/>
        </w:rPr>
        <w:t xml:space="preserve">In the 52-week placebo-controlled population, one patient on KEVZARA therapy experienced a gastrointestinal (GI) perforation (0.11 events per 100 patient-years).  In the Kevzara+ DMARD long-term safety population, the rate of GI perforations was 0.14 events per 100 patient-years. </w:t>
      </w:r>
    </w:p>
    <w:p w:rsidR="00235092" w:rsidRPr="00B85D29" w:rsidRDefault="00235092" w:rsidP="00235092">
      <w:pPr>
        <w:rPr>
          <w:color w:val="auto"/>
        </w:rPr>
      </w:pPr>
      <w:r w:rsidRPr="00B85D29">
        <w:rPr>
          <w:color w:val="auto"/>
        </w:rPr>
        <w:t xml:space="preserve">In the long-term safety population, the overall rate of GI perforation was consistent with rates in the controlled periods of the studies. Reports of GI perforation were primarily reported as complications of diverticulitis including lower GI perforation and abscess. Most patients who developed GI perforations were taking concomitant nonsteroidal anti-inflammatory medications (NSAIDs), </w:t>
      </w:r>
      <w:r w:rsidRPr="00B85D29">
        <w:rPr>
          <w:color w:val="auto"/>
        </w:rPr>
        <w:lastRenderedPageBreak/>
        <w:t xml:space="preserve">corticosteroids, or methotrexate. The contribution of these concomitant medications relative to KEVZARA in the development of GI perforations is not known. There were no reports of gastrointestinal perforation in the Kevzara monotherapy population [see </w:t>
      </w:r>
      <w:r w:rsidR="00664BD1">
        <w:rPr>
          <w:color w:val="auto"/>
        </w:rPr>
        <w:t xml:space="preserve">Section </w:t>
      </w:r>
      <w:r w:rsidR="00664BD1" w:rsidRPr="00664BD1">
        <w:rPr>
          <w:color w:val="0000FF"/>
        </w:rPr>
        <w:fldChar w:fldCharType="begin"/>
      </w:r>
      <w:r w:rsidR="00664BD1" w:rsidRPr="00664BD1">
        <w:rPr>
          <w:color w:val="0000FF"/>
        </w:rPr>
        <w:instrText xml:space="preserve"> REF _Ref524373802 \r \h  \* MERGEFORMAT </w:instrText>
      </w:r>
      <w:r w:rsidR="00664BD1" w:rsidRPr="00664BD1">
        <w:rPr>
          <w:color w:val="0000FF"/>
        </w:rPr>
      </w:r>
      <w:r w:rsidR="00664BD1" w:rsidRPr="00664BD1">
        <w:rPr>
          <w:color w:val="0000FF"/>
        </w:rPr>
        <w:fldChar w:fldCharType="separate"/>
      </w:r>
      <w:r w:rsidR="00EA3D29">
        <w:rPr>
          <w:color w:val="0000FF"/>
        </w:rPr>
        <w:t>4.4</w:t>
      </w:r>
      <w:r w:rsidR="00664BD1" w:rsidRPr="00664BD1">
        <w:rPr>
          <w:color w:val="0000FF"/>
        </w:rPr>
        <w:fldChar w:fldCharType="end"/>
      </w:r>
      <w:r w:rsidR="00976A92" w:rsidRPr="00B85D29">
        <w:rPr>
          <w:color w:val="auto"/>
        </w:rPr>
        <w:t xml:space="preserve">-SPECIAL WARNINGS AND </w:t>
      </w:r>
      <w:r w:rsidRPr="00B85D29">
        <w:rPr>
          <w:color w:val="auto"/>
        </w:rPr>
        <w:t>PRECAUTIONS</w:t>
      </w:r>
      <w:r w:rsidR="00976A92" w:rsidRPr="00B85D29">
        <w:rPr>
          <w:color w:val="auto"/>
        </w:rPr>
        <w:t xml:space="preserve"> FOR USE</w:t>
      </w:r>
      <w:r w:rsidRPr="00B85D29">
        <w:rPr>
          <w:color w:val="auto"/>
        </w:rPr>
        <w:t>].</w:t>
      </w:r>
    </w:p>
    <w:p w:rsidR="008B44B4" w:rsidRPr="00B85D29" w:rsidRDefault="008B44B4" w:rsidP="00BB452D">
      <w:pPr>
        <w:pStyle w:val="Heading4"/>
        <w:numPr>
          <w:ilvl w:val="0"/>
          <w:numId w:val="0"/>
        </w:numPr>
        <w:ind w:left="862" w:hanging="862"/>
      </w:pPr>
      <w:r w:rsidRPr="00B85D29">
        <w:t>Hypersensitivity Reactions</w:t>
      </w:r>
    </w:p>
    <w:p w:rsidR="00017AC8" w:rsidRPr="00B85D29" w:rsidRDefault="008B44B4" w:rsidP="008B44B4">
      <w:pPr>
        <w:rPr>
          <w:vanish/>
          <w:color w:val="auto"/>
          <w:specVanish/>
        </w:rPr>
      </w:pPr>
      <w:r w:rsidRPr="00B85D29">
        <w:rPr>
          <w:color w:val="auto"/>
        </w:rPr>
        <w:t xml:space="preserve">In the 52-week placebo-controlled population, the proportion of patients who discontinued treatment due to hypersensitivity reactions was higher among those treated with Kevzara (0.9% in 200 mg, 0.5% in 150 mg) than placebo (0.2%). The rate of discontinuations due to hypersensitivity in the long-term safety population was consistent with the placebo-controlled period. </w:t>
      </w:r>
      <w:r w:rsidR="00E26AAA" w:rsidRPr="00B85D29">
        <w:rPr>
          <w:color w:val="auto"/>
        </w:rPr>
        <w:t xml:space="preserve">In the placebo-controlled population, 0.2% of the patients treated with Kevzara </w:t>
      </w:r>
      <w:r w:rsidR="00F72729" w:rsidRPr="00B85D29">
        <w:rPr>
          <w:color w:val="auto"/>
        </w:rPr>
        <w:br/>
      </w:r>
      <w:r w:rsidR="00E26AAA" w:rsidRPr="00B85D29">
        <w:rPr>
          <w:color w:val="auto"/>
        </w:rPr>
        <w:t>200</w:t>
      </w:r>
      <w:r w:rsidR="00F72729" w:rsidRPr="00B85D29">
        <w:rPr>
          <w:color w:val="auto"/>
        </w:rPr>
        <w:t xml:space="preserve"> </w:t>
      </w:r>
      <w:r w:rsidR="00E26AAA" w:rsidRPr="00B85D29">
        <w:rPr>
          <w:color w:val="auto"/>
        </w:rPr>
        <w:t>mg q2w + DMARD reported serious adverse events of hypersensitivity reactions, and none from Kevzara 150 mg q2w + DMARD group.</w:t>
      </w:r>
    </w:p>
    <w:p w:rsidR="00235092" w:rsidRPr="00B85D29" w:rsidRDefault="00F72729" w:rsidP="008B44B4">
      <w:pPr>
        <w:rPr>
          <w:strike/>
          <w:color w:val="auto"/>
        </w:rPr>
      </w:pPr>
      <w:r w:rsidRPr="00B85D29">
        <w:rPr>
          <w:color w:val="auto"/>
        </w:rPr>
        <w:t xml:space="preserve"> </w:t>
      </w:r>
      <w:r w:rsidR="008B44B4" w:rsidRPr="00B85D29">
        <w:rPr>
          <w:color w:val="auto"/>
        </w:rPr>
        <w:t xml:space="preserve">No cases of anaphylaxis were observed in clinical studies. </w:t>
      </w:r>
    </w:p>
    <w:p w:rsidR="008B44B4" w:rsidRPr="00B85D29" w:rsidRDefault="008B44B4" w:rsidP="00BB452D">
      <w:pPr>
        <w:pStyle w:val="Heading4"/>
        <w:numPr>
          <w:ilvl w:val="0"/>
          <w:numId w:val="0"/>
        </w:numPr>
        <w:ind w:left="862" w:hanging="862"/>
      </w:pPr>
      <w:r w:rsidRPr="00B85D29">
        <w:t>Injection Site Reactions</w:t>
      </w:r>
    </w:p>
    <w:p w:rsidR="00555055" w:rsidRPr="00B85D29" w:rsidRDefault="008B44B4" w:rsidP="008B44B4">
      <w:pPr>
        <w:rPr>
          <w:color w:val="auto"/>
        </w:rPr>
      </w:pPr>
      <w:r w:rsidRPr="00B85D29">
        <w:rPr>
          <w:color w:val="auto"/>
        </w:rPr>
        <w:t>In the 52-week placebo-controlled population, injection site reactions were reported in 9.5% of patients receiving Kevzara 200 mg, 8% receiving Kevzara 150 mg, and 1.4% receiving placebo. These injection site reactions (including erythema and pruritus) were mild in severity for the majority of patients. Two patients on Kevzara (0.2%) discontinued treatment due</w:t>
      </w:r>
      <w:r w:rsidR="00976A92" w:rsidRPr="00B85D29">
        <w:rPr>
          <w:color w:val="auto"/>
        </w:rPr>
        <w:t xml:space="preserve"> to injection site reactions.  </w:t>
      </w:r>
    </w:p>
    <w:p w:rsidR="008B44B4" w:rsidRPr="00B85D29" w:rsidRDefault="008B44B4" w:rsidP="00BB452D">
      <w:pPr>
        <w:pStyle w:val="Heading4"/>
        <w:numPr>
          <w:ilvl w:val="0"/>
          <w:numId w:val="0"/>
        </w:numPr>
        <w:ind w:left="862" w:hanging="862"/>
      </w:pPr>
      <w:r w:rsidRPr="00B85D29">
        <w:t>Laboratory Abnormalities</w:t>
      </w:r>
    </w:p>
    <w:p w:rsidR="008B44B4" w:rsidRPr="00B85D29" w:rsidRDefault="008B44B4" w:rsidP="008B44B4">
      <w:pPr>
        <w:rPr>
          <w:color w:val="auto"/>
        </w:rPr>
      </w:pPr>
      <w:r w:rsidRPr="00B85D29">
        <w:rPr>
          <w:color w:val="auto"/>
        </w:rPr>
        <w:t>To allow for a direct comparison of frequency of laboratory abnormalities between placebo and active treatment, data from weeks 0-12 were used as this is prior to patients being permitted to switch from placebo to Kevzara.</w:t>
      </w:r>
    </w:p>
    <w:p w:rsidR="008B44B4" w:rsidRDefault="008B44B4" w:rsidP="00BB452D">
      <w:pPr>
        <w:pStyle w:val="Heading5"/>
        <w:numPr>
          <w:ilvl w:val="0"/>
          <w:numId w:val="0"/>
        </w:numPr>
        <w:ind w:left="1009" w:hanging="1009"/>
      </w:pPr>
      <w:r w:rsidRPr="008B44B4">
        <w:t>Neutrophils</w:t>
      </w:r>
    </w:p>
    <w:p w:rsidR="00F81681" w:rsidRPr="00B85D29" w:rsidRDefault="008B44B4" w:rsidP="008B44B4">
      <w:pPr>
        <w:rPr>
          <w:color w:val="auto"/>
        </w:rPr>
      </w:pPr>
      <w:r w:rsidRPr="00B85D29">
        <w:rPr>
          <w:color w:val="auto"/>
        </w:rPr>
        <w:t>In the 12-week placebo-controlled population, decreases in neutrophil counts below 1000 per</w:t>
      </w:r>
      <w:r w:rsidR="00C37687" w:rsidRPr="00B85D29">
        <w:rPr>
          <w:color w:val="auto"/>
        </w:rPr>
        <w:t xml:space="preserve"> mm</w:t>
      </w:r>
      <w:r w:rsidR="00C37687" w:rsidRPr="00B85D29">
        <w:rPr>
          <w:color w:val="auto"/>
          <w:vertAlign w:val="superscript"/>
        </w:rPr>
        <w:t>3</w:t>
      </w:r>
      <w:r w:rsidR="00C37687" w:rsidRPr="00B85D29">
        <w:rPr>
          <w:color w:val="auto"/>
        </w:rPr>
        <w:t xml:space="preserve"> occurred in 6.4% and 3.6% </w:t>
      </w:r>
      <w:r w:rsidRPr="00B85D29">
        <w:rPr>
          <w:color w:val="auto"/>
        </w:rPr>
        <w:t>of patients in the 200 mg and 150 mg Kevzara + DMARD group, respectively, compared to no patients in the placebo + DMARD group. Decreases in neutrophil counts below 500 per mm</w:t>
      </w:r>
      <w:r w:rsidRPr="00B85D29">
        <w:rPr>
          <w:color w:val="auto"/>
          <w:vertAlign w:val="superscript"/>
        </w:rPr>
        <w:t>3</w:t>
      </w:r>
      <w:r w:rsidRPr="00B85D29">
        <w:rPr>
          <w:color w:val="auto"/>
        </w:rPr>
        <w:t xml:space="preserve"> occurred in 0.8% and 0.6% </w:t>
      </w:r>
      <w:r w:rsidR="00396D0D" w:rsidRPr="00B85D29">
        <w:rPr>
          <w:color w:val="auto"/>
        </w:rPr>
        <w:t xml:space="preserve">of patients in </w:t>
      </w:r>
      <w:r w:rsidRPr="00B85D29">
        <w:rPr>
          <w:color w:val="auto"/>
        </w:rPr>
        <w:t xml:space="preserve">the 200 mg and 150 mg Kevzara + DMARD groups, respectively. In patients experiencing a decrease in absolute neutrophil count (ANC), modification of treatment regimen such as interruption of Kevzara or reduction in dose resulted in an increase or normalization of ANC [see </w:t>
      </w:r>
      <w:r w:rsidR="00664BD1">
        <w:rPr>
          <w:color w:val="auto"/>
        </w:rPr>
        <w:t xml:space="preserve">Section </w:t>
      </w:r>
      <w:r w:rsidR="00664BD1" w:rsidRPr="00664BD1">
        <w:rPr>
          <w:color w:val="0000FF"/>
        </w:rPr>
        <w:fldChar w:fldCharType="begin"/>
      </w:r>
      <w:r w:rsidR="00664BD1" w:rsidRPr="00664BD1">
        <w:rPr>
          <w:color w:val="0000FF"/>
        </w:rPr>
        <w:instrText xml:space="preserve"> REF _Ref524374161 \r \h  \* MERGEFORMAT </w:instrText>
      </w:r>
      <w:r w:rsidR="00664BD1" w:rsidRPr="00664BD1">
        <w:rPr>
          <w:color w:val="0000FF"/>
        </w:rPr>
      </w:r>
      <w:r w:rsidR="00664BD1" w:rsidRPr="00664BD1">
        <w:rPr>
          <w:color w:val="0000FF"/>
        </w:rPr>
        <w:fldChar w:fldCharType="separate"/>
      </w:r>
      <w:r w:rsidR="00EA3D29">
        <w:rPr>
          <w:color w:val="0000FF"/>
        </w:rPr>
        <w:t>4.2</w:t>
      </w:r>
      <w:r w:rsidR="00664BD1" w:rsidRPr="00664BD1">
        <w:rPr>
          <w:color w:val="0000FF"/>
        </w:rPr>
        <w:fldChar w:fldCharType="end"/>
      </w:r>
      <w:r w:rsidR="00F0300F" w:rsidRPr="00B85D29">
        <w:rPr>
          <w:color w:val="auto"/>
        </w:rPr>
        <w:t>-</w:t>
      </w:r>
      <w:r w:rsidRPr="00B85D29">
        <w:rPr>
          <w:color w:val="auto"/>
        </w:rPr>
        <w:t>DOS</w:t>
      </w:r>
      <w:r w:rsidR="00976A92" w:rsidRPr="00B85D29">
        <w:rPr>
          <w:color w:val="auto"/>
        </w:rPr>
        <w:t>E</w:t>
      </w:r>
      <w:r w:rsidR="004C556E">
        <w:rPr>
          <w:color w:val="auto"/>
        </w:rPr>
        <w:t xml:space="preserve"> </w:t>
      </w:r>
      <w:r w:rsidR="004C556E" w:rsidRPr="00FA5E03">
        <w:rPr>
          <w:color w:val="auto"/>
        </w:rPr>
        <w:t>AND</w:t>
      </w:r>
      <w:r w:rsidR="00FA5E03" w:rsidRPr="00FA5E03">
        <w:rPr>
          <w:color w:val="auto"/>
        </w:rPr>
        <w:t xml:space="preserve"> </w:t>
      </w:r>
      <w:r w:rsidR="00976A92" w:rsidRPr="00FA5E03">
        <w:rPr>
          <w:color w:val="auto"/>
        </w:rPr>
        <w:t>M</w:t>
      </w:r>
      <w:r w:rsidR="00976A92" w:rsidRPr="00B85D29">
        <w:rPr>
          <w:color w:val="auto"/>
        </w:rPr>
        <w:t xml:space="preserve">ETHOD OF </w:t>
      </w:r>
      <w:r w:rsidRPr="00B85D29">
        <w:rPr>
          <w:color w:val="auto"/>
        </w:rPr>
        <w:t>ADMINISTRATION].  Decrease in ANC was not associated with higher incidence of infections, including serious infections.</w:t>
      </w:r>
    </w:p>
    <w:p w:rsidR="008B44B4" w:rsidRPr="00B85D29" w:rsidRDefault="008B44B4" w:rsidP="008B44B4">
      <w:pPr>
        <w:rPr>
          <w:color w:val="auto"/>
        </w:rPr>
      </w:pPr>
      <w:r w:rsidRPr="00B85D29">
        <w:rPr>
          <w:color w:val="auto"/>
        </w:rPr>
        <w:t>In clinical trials, a numerically higher incidence of neutrophil counts below 1000 per mm</w:t>
      </w:r>
      <w:r w:rsidRPr="00B85D29">
        <w:rPr>
          <w:color w:val="auto"/>
          <w:vertAlign w:val="superscript"/>
        </w:rPr>
        <w:t>3</w:t>
      </w:r>
      <w:r w:rsidRPr="00B85D29">
        <w:rPr>
          <w:color w:val="auto"/>
        </w:rPr>
        <w:t xml:space="preserve"> was observed in patients with weight &lt;60 kg, however decrease in ANC was not associated with higher incidence of infections, including serious infections.</w:t>
      </w:r>
    </w:p>
    <w:p w:rsidR="008B44B4" w:rsidRPr="00B85D29" w:rsidRDefault="00C26533" w:rsidP="00835265">
      <w:pPr>
        <w:rPr>
          <w:color w:val="auto"/>
        </w:rPr>
      </w:pPr>
      <w:r w:rsidRPr="00B85D29">
        <w:rPr>
          <w:color w:val="auto"/>
        </w:rPr>
        <w:t>In the long-term safety population, neutrophil counts below 1000 per mm</w:t>
      </w:r>
      <w:r w:rsidRPr="00B85D29">
        <w:rPr>
          <w:color w:val="auto"/>
          <w:vertAlign w:val="superscript"/>
        </w:rPr>
        <w:t>3</w:t>
      </w:r>
      <w:r w:rsidRPr="00B85D29">
        <w:rPr>
          <w:color w:val="auto"/>
        </w:rPr>
        <w:t xml:space="preserve"> cu</w:t>
      </w:r>
      <w:r w:rsidR="00835265" w:rsidRPr="00B85D29">
        <w:rPr>
          <w:color w:val="auto"/>
        </w:rPr>
        <w:t>m</w:t>
      </w:r>
      <w:r w:rsidRPr="00B85D29">
        <w:rPr>
          <w:color w:val="auto"/>
        </w:rPr>
        <w:t xml:space="preserve">ulatively occurred in 11.2% and 6.9% of patients receiving the 200 mg and 150 mg dose respectively. </w:t>
      </w:r>
      <w:r w:rsidR="009C1711" w:rsidRPr="00B85D29">
        <w:rPr>
          <w:color w:val="auto"/>
        </w:rPr>
        <w:t>O</w:t>
      </w:r>
      <w:r w:rsidR="008B44B4" w:rsidRPr="00B85D29">
        <w:rPr>
          <w:color w:val="auto"/>
        </w:rPr>
        <w:t>bservations on neutrophil counts</w:t>
      </w:r>
      <w:r w:rsidR="009C1711" w:rsidRPr="00B85D29">
        <w:rPr>
          <w:color w:val="auto"/>
        </w:rPr>
        <w:t xml:space="preserve"> in the Kevzara + DMARD long-term safety population and the Kevzara monotherapy population </w:t>
      </w:r>
      <w:r w:rsidR="008B44B4" w:rsidRPr="00B85D29">
        <w:rPr>
          <w:color w:val="auto"/>
        </w:rPr>
        <w:t>were consistent with those seen in the placebo-controlled population.</w:t>
      </w:r>
      <w:r w:rsidRPr="00B85D29">
        <w:rPr>
          <w:color w:val="auto"/>
        </w:rPr>
        <w:t xml:space="preserve"> </w:t>
      </w:r>
    </w:p>
    <w:p w:rsidR="008B44B4" w:rsidRDefault="008B44B4" w:rsidP="00BB452D">
      <w:pPr>
        <w:pStyle w:val="Heading5"/>
        <w:numPr>
          <w:ilvl w:val="0"/>
          <w:numId w:val="0"/>
        </w:numPr>
        <w:ind w:left="1009" w:hanging="1009"/>
      </w:pPr>
      <w:r>
        <w:lastRenderedPageBreak/>
        <w:t>Platelet Count</w:t>
      </w:r>
    </w:p>
    <w:p w:rsidR="008C485C" w:rsidRPr="00976A92" w:rsidRDefault="008B44B4" w:rsidP="008B44B4">
      <w:pPr>
        <w:rPr>
          <w:color w:val="auto"/>
        </w:rPr>
      </w:pPr>
      <w:r w:rsidRPr="0007590F">
        <w:rPr>
          <w:color w:val="auto"/>
        </w:rPr>
        <w:t>In the 12-week placebo-controlled population, decreases in platelet counts below 100,000 per mm</w:t>
      </w:r>
      <w:r w:rsidRPr="00CA7E1A">
        <w:rPr>
          <w:color w:val="auto"/>
          <w:vertAlign w:val="superscript"/>
        </w:rPr>
        <w:t>3</w:t>
      </w:r>
      <w:r w:rsidRPr="0007590F">
        <w:rPr>
          <w:color w:val="auto"/>
        </w:rPr>
        <w:t xml:space="preserve"> occurred in 1.1% and 0.6% of patients on 200 mg and 150 mg Kevzara + DMARD, respectively, compared to no patients on placebo + DMARD, with</w:t>
      </w:r>
      <w:r w:rsidR="00976A92">
        <w:rPr>
          <w:color w:val="auto"/>
        </w:rPr>
        <w:t>out associated bleeding events.</w:t>
      </w:r>
      <w:r w:rsidR="0007590F" w:rsidRPr="0007590F">
        <w:rPr>
          <w:i/>
          <w:color w:val="auto"/>
        </w:rPr>
        <w:t xml:space="preserve"> </w:t>
      </w:r>
    </w:p>
    <w:p w:rsidR="008B44B4" w:rsidRPr="00B85D29" w:rsidRDefault="008B44B4" w:rsidP="008B44B4">
      <w:pPr>
        <w:rPr>
          <w:color w:val="auto"/>
        </w:rPr>
      </w:pPr>
      <w:r w:rsidRPr="0007590F">
        <w:rPr>
          <w:color w:val="auto"/>
        </w:rPr>
        <w:t>I</w:t>
      </w:r>
      <w:r w:rsidRPr="00B85D29">
        <w:rPr>
          <w:color w:val="auto"/>
        </w:rPr>
        <w:t xml:space="preserve">n the Kevzara + DMARD long-term safety population and the Kevzara monotherapy population, the observations on platelet counts were consistent with what was seen in the placebo-controlled population [see </w:t>
      </w:r>
      <w:r w:rsidR="0075783E">
        <w:rPr>
          <w:color w:val="auto"/>
        </w:rPr>
        <w:t xml:space="preserve">Section </w:t>
      </w:r>
      <w:r w:rsidR="0075783E" w:rsidRPr="0075783E">
        <w:rPr>
          <w:color w:val="0000FF"/>
        </w:rPr>
        <w:fldChar w:fldCharType="begin"/>
      </w:r>
      <w:r w:rsidR="0075783E" w:rsidRPr="0075783E">
        <w:rPr>
          <w:color w:val="0000FF"/>
        </w:rPr>
        <w:instrText xml:space="preserve"> REF _Ref524373802 \r \h  \* MERGEFORMAT </w:instrText>
      </w:r>
      <w:r w:rsidR="0075783E" w:rsidRPr="0075783E">
        <w:rPr>
          <w:color w:val="0000FF"/>
        </w:rPr>
      </w:r>
      <w:r w:rsidR="0075783E" w:rsidRPr="0075783E">
        <w:rPr>
          <w:color w:val="0000FF"/>
        </w:rPr>
        <w:fldChar w:fldCharType="separate"/>
      </w:r>
      <w:r w:rsidR="00EA3D29">
        <w:rPr>
          <w:color w:val="0000FF"/>
        </w:rPr>
        <w:t>4.4</w:t>
      </w:r>
      <w:r w:rsidR="0075783E" w:rsidRPr="0075783E">
        <w:rPr>
          <w:color w:val="0000FF"/>
        </w:rPr>
        <w:fldChar w:fldCharType="end"/>
      </w:r>
      <w:r w:rsidR="00976A92" w:rsidRPr="00B85D29">
        <w:rPr>
          <w:color w:val="auto"/>
        </w:rPr>
        <w:t xml:space="preserve">- SPECIAL WARNINGS AND </w:t>
      </w:r>
      <w:r w:rsidRPr="00B85D29">
        <w:rPr>
          <w:color w:val="auto"/>
        </w:rPr>
        <w:t>PRECAUTIONS</w:t>
      </w:r>
      <w:r w:rsidR="00976A92" w:rsidRPr="00B85D29">
        <w:rPr>
          <w:color w:val="auto"/>
        </w:rPr>
        <w:t xml:space="preserve"> FOR USE</w:t>
      </w:r>
      <w:r w:rsidRPr="00B85D29">
        <w:rPr>
          <w:color w:val="auto"/>
        </w:rPr>
        <w:t>].</w:t>
      </w:r>
    </w:p>
    <w:p w:rsidR="008B44B4" w:rsidRDefault="008B44B4" w:rsidP="00BB452D">
      <w:pPr>
        <w:pStyle w:val="Heading5"/>
        <w:numPr>
          <w:ilvl w:val="0"/>
          <w:numId w:val="0"/>
        </w:numPr>
        <w:ind w:left="1009" w:hanging="1009"/>
      </w:pPr>
      <w:r>
        <w:t>Liver Enzymes</w:t>
      </w:r>
    </w:p>
    <w:p w:rsidR="008B44B4" w:rsidRPr="00B85D29" w:rsidRDefault="008B44B4" w:rsidP="008B44B4">
      <w:pPr>
        <w:rPr>
          <w:color w:val="auto"/>
        </w:rPr>
      </w:pPr>
      <w:r w:rsidRPr="008B44B4">
        <w:t xml:space="preserve">Liver enzyme abnormalities in the 12-week placebo-controlled population (Kevzara + DMARD or placebo + DMARD) are summarized in </w:t>
      </w:r>
      <w:r w:rsidR="00BB452D" w:rsidRPr="00BB452D">
        <w:rPr>
          <w:color w:val="0000FF"/>
        </w:rPr>
        <w:fldChar w:fldCharType="begin"/>
      </w:r>
      <w:r w:rsidR="00BB452D" w:rsidRPr="00BB452D">
        <w:rPr>
          <w:color w:val="0000FF"/>
        </w:rPr>
        <w:instrText xml:space="preserve"> REF _Ref512793263 \h  \* MERGEFORMAT </w:instrText>
      </w:r>
      <w:r w:rsidR="00BB452D" w:rsidRPr="00BB452D">
        <w:rPr>
          <w:color w:val="0000FF"/>
        </w:rPr>
      </w:r>
      <w:r w:rsidR="00BB452D" w:rsidRPr="00BB452D">
        <w:rPr>
          <w:color w:val="0000FF"/>
        </w:rPr>
        <w:fldChar w:fldCharType="separate"/>
      </w:r>
      <w:r w:rsidR="00EA3D29" w:rsidRPr="00EA3D29">
        <w:rPr>
          <w:color w:val="0000FF"/>
        </w:rPr>
        <w:t>Table 2</w:t>
      </w:r>
      <w:r w:rsidR="00BB452D" w:rsidRPr="00BB452D">
        <w:rPr>
          <w:color w:val="0000FF"/>
        </w:rPr>
        <w:fldChar w:fldCharType="end"/>
      </w:r>
      <w:r w:rsidRPr="008B44B4">
        <w:t>. In patients experiencing liver en</w:t>
      </w:r>
      <w:r w:rsidRPr="00321411">
        <w:rPr>
          <w:color w:val="auto"/>
        </w:rPr>
        <w:t>zyme elevation, modification of treatment regimen, such as interruption of Kevzara or r</w:t>
      </w:r>
      <w:r w:rsidRPr="00B85D29">
        <w:rPr>
          <w:color w:val="auto"/>
        </w:rPr>
        <w:t xml:space="preserve">eduction in dose, resulted in decrease or normalization of liver enzymes [see </w:t>
      </w:r>
      <w:r w:rsidR="0075783E">
        <w:rPr>
          <w:color w:val="auto"/>
        </w:rPr>
        <w:t xml:space="preserve">Section </w:t>
      </w:r>
      <w:r w:rsidR="0075783E" w:rsidRPr="0075783E">
        <w:rPr>
          <w:color w:val="0000FF"/>
        </w:rPr>
        <w:fldChar w:fldCharType="begin"/>
      </w:r>
      <w:r w:rsidR="0075783E" w:rsidRPr="0075783E">
        <w:rPr>
          <w:color w:val="0000FF"/>
        </w:rPr>
        <w:instrText xml:space="preserve"> REF _Ref524374161 \r \h  \* MERGEFORMAT </w:instrText>
      </w:r>
      <w:r w:rsidR="0075783E" w:rsidRPr="0075783E">
        <w:rPr>
          <w:color w:val="0000FF"/>
        </w:rPr>
      </w:r>
      <w:r w:rsidR="0075783E" w:rsidRPr="0075783E">
        <w:rPr>
          <w:color w:val="0000FF"/>
        </w:rPr>
        <w:fldChar w:fldCharType="separate"/>
      </w:r>
      <w:r w:rsidR="00EA3D29">
        <w:rPr>
          <w:color w:val="0000FF"/>
        </w:rPr>
        <w:t>4.2</w:t>
      </w:r>
      <w:r w:rsidR="0075783E" w:rsidRPr="0075783E">
        <w:rPr>
          <w:color w:val="0000FF"/>
        </w:rPr>
        <w:fldChar w:fldCharType="end"/>
      </w:r>
      <w:r w:rsidR="00976A92" w:rsidRPr="00B85D29">
        <w:rPr>
          <w:color w:val="auto"/>
        </w:rPr>
        <w:t>-</w:t>
      </w:r>
      <w:r w:rsidRPr="00B85D29">
        <w:rPr>
          <w:color w:val="auto"/>
        </w:rPr>
        <w:t>DOS</w:t>
      </w:r>
      <w:r w:rsidR="00321411" w:rsidRPr="00B85D29">
        <w:rPr>
          <w:color w:val="auto"/>
        </w:rPr>
        <w:t xml:space="preserve">E </w:t>
      </w:r>
      <w:r w:rsidRPr="00B85D29">
        <w:rPr>
          <w:color w:val="auto"/>
        </w:rPr>
        <w:t xml:space="preserve">AND </w:t>
      </w:r>
      <w:r w:rsidR="00976A92" w:rsidRPr="00B85D29">
        <w:rPr>
          <w:color w:val="auto"/>
        </w:rPr>
        <w:t xml:space="preserve">METHOD OF </w:t>
      </w:r>
      <w:r w:rsidRPr="00B85D29">
        <w:rPr>
          <w:color w:val="auto"/>
        </w:rPr>
        <w:t xml:space="preserve">ADMINISTRATION].  These elevations were not associated with clinically relevant increases in direct bilirubin, nor were they associated with clinical evidence of hepatitis or hepatic insufficiency [see </w:t>
      </w:r>
      <w:r w:rsidR="0075783E">
        <w:rPr>
          <w:color w:val="auto"/>
        </w:rPr>
        <w:t xml:space="preserve">Section </w:t>
      </w:r>
      <w:r w:rsidR="0075783E" w:rsidRPr="0075783E">
        <w:rPr>
          <w:color w:val="0000FF"/>
        </w:rPr>
        <w:fldChar w:fldCharType="begin"/>
      </w:r>
      <w:r w:rsidR="0075783E" w:rsidRPr="0075783E">
        <w:rPr>
          <w:color w:val="0000FF"/>
        </w:rPr>
        <w:instrText xml:space="preserve"> REF _Ref524373802 \r \h  \* MERGEFORMAT </w:instrText>
      </w:r>
      <w:r w:rsidR="0075783E" w:rsidRPr="0075783E">
        <w:rPr>
          <w:color w:val="0000FF"/>
        </w:rPr>
      </w:r>
      <w:r w:rsidR="0075783E" w:rsidRPr="0075783E">
        <w:rPr>
          <w:color w:val="0000FF"/>
        </w:rPr>
        <w:fldChar w:fldCharType="separate"/>
      </w:r>
      <w:r w:rsidR="00EA3D29">
        <w:rPr>
          <w:color w:val="0000FF"/>
        </w:rPr>
        <w:t>4.4</w:t>
      </w:r>
      <w:r w:rsidR="0075783E" w:rsidRPr="0075783E">
        <w:rPr>
          <w:color w:val="0000FF"/>
        </w:rPr>
        <w:fldChar w:fldCharType="end"/>
      </w:r>
      <w:r w:rsidR="00976A92" w:rsidRPr="00B85D29">
        <w:rPr>
          <w:color w:val="auto"/>
        </w:rPr>
        <w:t xml:space="preserve">-SPECIAL WARNINGS AND </w:t>
      </w:r>
      <w:r w:rsidRPr="00B85D29">
        <w:rPr>
          <w:color w:val="auto"/>
        </w:rPr>
        <w:t>PRECAUTIONS</w:t>
      </w:r>
      <w:r w:rsidR="00976A92" w:rsidRPr="00B85D29">
        <w:rPr>
          <w:color w:val="auto"/>
        </w:rPr>
        <w:t xml:space="preserve"> FOR USE</w:t>
      </w:r>
      <w:r w:rsidRPr="00B85D29">
        <w:rPr>
          <w:color w:val="auto"/>
        </w:rPr>
        <w:t>].</w:t>
      </w:r>
    </w:p>
    <w:p w:rsidR="008B44B4" w:rsidRDefault="008B44B4" w:rsidP="008B44B4">
      <w:pPr>
        <w:pStyle w:val="Caption"/>
        <w:rPr>
          <w:strike/>
          <w:color w:val="FF0000"/>
        </w:rPr>
      </w:pPr>
      <w:r>
        <w:t xml:space="preserve"> </w:t>
      </w:r>
      <w:bookmarkStart w:id="5" w:name="_Ref512793263"/>
      <w:r>
        <w:t>Table </w:t>
      </w:r>
      <w:r>
        <w:fldChar w:fldCharType="begin"/>
      </w:r>
      <w:r>
        <w:instrText xml:space="preserve"> SEQ Table \* ARABIC </w:instrText>
      </w:r>
      <w:r>
        <w:fldChar w:fldCharType="separate"/>
      </w:r>
      <w:r w:rsidR="00EA3D29">
        <w:rPr>
          <w:noProof/>
        </w:rPr>
        <w:t>2</w:t>
      </w:r>
      <w:r>
        <w:fldChar w:fldCharType="end"/>
      </w:r>
      <w:bookmarkEnd w:id="5"/>
      <w:r>
        <w:t xml:space="preserve"> ­ </w:t>
      </w:r>
      <w:r w:rsidRPr="008B44B4">
        <w:t xml:space="preserve">Incidence of Liver </w:t>
      </w:r>
      <w:r w:rsidRPr="0007590F">
        <w:t>Enzyme Abnormalities in controlled clinical studies</w:t>
      </w:r>
      <w:r w:rsidRPr="008B44B4">
        <w:rPr>
          <w:color w:val="3333FF"/>
        </w:rPr>
        <w:t xml:space="preserve"> </w:t>
      </w:r>
      <w:r w:rsidR="0007590F">
        <w:rPr>
          <w:strike/>
          <w:color w:val="FF0000"/>
        </w:rPr>
        <w:t xml:space="preserve"> </w:t>
      </w:r>
    </w:p>
    <w:tbl>
      <w:tblPr>
        <w:tblW w:w="0" w:type="auto"/>
        <w:jc w:val="center"/>
        <w:tblBorders>
          <w:top w:val="single" w:sz="2" w:space="0" w:color="000000"/>
        </w:tblBorders>
        <w:tblLook w:val="04A0" w:firstRow="1" w:lastRow="0" w:firstColumn="1" w:lastColumn="0" w:noHBand="0" w:noVBand="1"/>
      </w:tblPr>
      <w:tblGrid>
        <w:gridCol w:w="1242"/>
        <w:gridCol w:w="1319"/>
        <w:gridCol w:w="2285"/>
        <w:gridCol w:w="2285"/>
        <w:gridCol w:w="2837"/>
      </w:tblGrid>
      <w:tr w:rsidR="003B0D46" w:rsidRPr="0007590F" w:rsidTr="00E50389">
        <w:trPr>
          <w:cantSplit/>
          <w:tblHeader/>
          <w:jc w:val="center"/>
        </w:trPr>
        <w:tc>
          <w:tcPr>
            <w:tcW w:w="1242" w:type="dxa"/>
            <w:tcBorders>
              <w:top w:val="single" w:sz="4" w:space="0" w:color="000000"/>
              <w:bottom w:val="single" w:sz="4" w:space="0" w:color="000000"/>
            </w:tcBorders>
            <w:shd w:val="clear" w:color="auto" w:fill="auto"/>
          </w:tcPr>
          <w:p w:rsidR="003B0D46" w:rsidRPr="0007590F" w:rsidRDefault="003B0D46" w:rsidP="00E50389">
            <w:pPr>
              <w:pStyle w:val="TblHeadingCenter"/>
            </w:pPr>
          </w:p>
        </w:tc>
        <w:tc>
          <w:tcPr>
            <w:tcW w:w="1319" w:type="dxa"/>
            <w:tcBorders>
              <w:top w:val="single" w:sz="4" w:space="0" w:color="000000"/>
              <w:bottom w:val="single" w:sz="4" w:space="0" w:color="000000"/>
            </w:tcBorders>
            <w:shd w:val="clear" w:color="auto" w:fill="auto"/>
          </w:tcPr>
          <w:p w:rsidR="003B0D46" w:rsidRPr="0007590F" w:rsidRDefault="003B0D46" w:rsidP="00E50389">
            <w:pPr>
              <w:pStyle w:val="TblHeadingCenter"/>
            </w:pPr>
            <w:r w:rsidRPr="0007590F">
              <w:t>Placebo + DMARD</w:t>
            </w:r>
          </w:p>
          <w:p w:rsidR="003B0D46" w:rsidRPr="0007590F" w:rsidRDefault="003B0D46" w:rsidP="00E50389">
            <w:pPr>
              <w:pStyle w:val="TblHeadingCenter"/>
            </w:pPr>
            <w:r w:rsidRPr="0007590F">
              <w:t>N = 661</w:t>
            </w:r>
          </w:p>
        </w:tc>
        <w:tc>
          <w:tcPr>
            <w:tcW w:w="0" w:type="auto"/>
            <w:tcBorders>
              <w:top w:val="single" w:sz="4" w:space="0" w:color="000000"/>
              <w:bottom w:val="single" w:sz="4" w:space="0" w:color="000000"/>
            </w:tcBorders>
            <w:shd w:val="clear" w:color="auto" w:fill="auto"/>
          </w:tcPr>
          <w:p w:rsidR="003B0D46" w:rsidRPr="0007590F" w:rsidRDefault="003B0D46" w:rsidP="00E50389">
            <w:pPr>
              <w:pStyle w:val="TblHeadingCenter"/>
            </w:pPr>
            <w:r w:rsidRPr="0007590F">
              <w:t>Kevzara 150 mg + DMARD</w:t>
            </w:r>
          </w:p>
          <w:p w:rsidR="003B0D46" w:rsidRPr="0007590F" w:rsidRDefault="003B0D46" w:rsidP="00E50389">
            <w:pPr>
              <w:pStyle w:val="TblHeadingCenter"/>
            </w:pPr>
            <w:r w:rsidRPr="0007590F">
              <w:t>N = 660</w:t>
            </w:r>
          </w:p>
        </w:tc>
        <w:tc>
          <w:tcPr>
            <w:tcW w:w="0" w:type="auto"/>
            <w:tcBorders>
              <w:top w:val="single" w:sz="4" w:space="0" w:color="000000"/>
              <w:bottom w:val="single" w:sz="4" w:space="0" w:color="000000"/>
            </w:tcBorders>
            <w:shd w:val="clear" w:color="auto" w:fill="auto"/>
          </w:tcPr>
          <w:p w:rsidR="003B0D46" w:rsidRPr="0007590F" w:rsidRDefault="003B0D46" w:rsidP="00E50389">
            <w:pPr>
              <w:pStyle w:val="TblHeadingCenter"/>
            </w:pPr>
            <w:r w:rsidRPr="0007590F">
              <w:t>Kevzara 200 mg + DMARD</w:t>
            </w:r>
          </w:p>
          <w:p w:rsidR="003B0D46" w:rsidRPr="0007590F" w:rsidRDefault="003B0D46" w:rsidP="00E50389">
            <w:pPr>
              <w:pStyle w:val="TblHeadingCenter"/>
            </w:pPr>
            <w:r w:rsidRPr="0007590F">
              <w:t>N = 661</w:t>
            </w:r>
          </w:p>
        </w:tc>
        <w:tc>
          <w:tcPr>
            <w:tcW w:w="0" w:type="auto"/>
            <w:tcBorders>
              <w:top w:val="single" w:sz="4" w:space="0" w:color="000000"/>
              <w:bottom w:val="single" w:sz="4" w:space="0" w:color="000000"/>
            </w:tcBorders>
            <w:shd w:val="clear" w:color="auto" w:fill="auto"/>
          </w:tcPr>
          <w:p w:rsidR="003B0D46" w:rsidRPr="0007590F" w:rsidRDefault="003B0D46" w:rsidP="00E50389">
            <w:pPr>
              <w:pStyle w:val="TblHeadingCenter"/>
            </w:pPr>
            <w:r w:rsidRPr="0007590F">
              <w:t>Kevzara Monotherapy Any Dose</w:t>
            </w:r>
          </w:p>
          <w:p w:rsidR="003B0D46" w:rsidRPr="0007590F" w:rsidRDefault="003B0D46" w:rsidP="00E50389">
            <w:pPr>
              <w:pStyle w:val="TblHeadingCenter"/>
            </w:pPr>
            <w:r w:rsidRPr="0007590F">
              <w:t>N = 467</w:t>
            </w:r>
          </w:p>
        </w:tc>
      </w:tr>
      <w:tr w:rsidR="003B0D46" w:rsidRPr="0007590F" w:rsidTr="00E50389">
        <w:trPr>
          <w:cantSplit/>
          <w:jc w:val="center"/>
        </w:trPr>
        <w:tc>
          <w:tcPr>
            <w:tcW w:w="1242" w:type="dxa"/>
            <w:tcBorders>
              <w:top w:val="single" w:sz="4" w:space="0" w:color="000000"/>
            </w:tcBorders>
            <w:shd w:val="clear" w:color="auto" w:fill="auto"/>
          </w:tcPr>
          <w:p w:rsidR="003B0D46" w:rsidRPr="0007590F" w:rsidRDefault="003B0D46" w:rsidP="00E50389">
            <w:pPr>
              <w:pStyle w:val="TblTextCenter"/>
              <w:jc w:val="left"/>
              <w:rPr>
                <w:b/>
              </w:rPr>
            </w:pPr>
            <w:r w:rsidRPr="0007590F">
              <w:rPr>
                <w:b/>
              </w:rPr>
              <w:t xml:space="preserve">AST </w:t>
            </w:r>
          </w:p>
        </w:tc>
        <w:tc>
          <w:tcPr>
            <w:tcW w:w="1319" w:type="dxa"/>
            <w:tcBorders>
              <w:top w:val="single" w:sz="4" w:space="0" w:color="000000"/>
            </w:tcBorders>
            <w:shd w:val="clear" w:color="auto" w:fill="auto"/>
          </w:tcPr>
          <w:p w:rsidR="003B0D46" w:rsidRPr="0007590F" w:rsidRDefault="003B0D46" w:rsidP="00E50389">
            <w:pPr>
              <w:pStyle w:val="TblTextCenter"/>
            </w:pPr>
          </w:p>
        </w:tc>
        <w:tc>
          <w:tcPr>
            <w:tcW w:w="0" w:type="auto"/>
            <w:tcBorders>
              <w:top w:val="single" w:sz="4" w:space="0" w:color="000000"/>
            </w:tcBorders>
            <w:shd w:val="clear" w:color="auto" w:fill="auto"/>
          </w:tcPr>
          <w:p w:rsidR="003B0D46" w:rsidRPr="0007590F" w:rsidRDefault="003B0D46" w:rsidP="00E50389">
            <w:pPr>
              <w:pStyle w:val="TblTextCenter"/>
            </w:pPr>
          </w:p>
        </w:tc>
        <w:tc>
          <w:tcPr>
            <w:tcW w:w="0" w:type="auto"/>
            <w:tcBorders>
              <w:top w:val="single" w:sz="4" w:space="0" w:color="000000"/>
            </w:tcBorders>
            <w:shd w:val="clear" w:color="auto" w:fill="auto"/>
          </w:tcPr>
          <w:p w:rsidR="003B0D46" w:rsidRPr="0007590F" w:rsidRDefault="003B0D46" w:rsidP="00E50389">
            <w:pPr>
              <w:pStyle w:val="TblTextCenter"/>
            </w:pPr>
          </w:p>
        </w:tc>
        <w:tc>
          <w:tcPr>
            <w:tcW w:w="0" w:type="auto"/>
            <w:tcBorders>
              <w:top w:val="single" w:sz="4" w:space="0" w:color="000000"/>
            </w:tcBorders>
            <w:shd w:val="clear" w:color="auto" w:fill="auto"/>
          </w:tcPr>
          <w:p w:rsidR="003B0D46" w:rsidRPr="0007590F" w:rsidRDefault="003B0D46" w:rsidP="00E50389">
            <w:pPr>
              <w:pStyle w:val="TblTextCenter"/>
            </w:pPr>
          </w:p>
        </w:tc>
      </w:tr>
      <w:tr w:rsidR="003B0D46" w:rsidRPr="0007590F" w:rsidTr="00E50389">
        <w:trPr>
          <w:cantSplit/>
          <w:jc w:val="center"/>
        </w:trPr>
        <w:tc>
          <w:tcPr>
            <w:tcW w:w="1242" w:type="dxa"/>
            <w:shd w:val="clear" w:color="auto" w:fill="auto"/>
          </w:tcPr>
          <w:p w:rsidR="003B0D46" w:rsidRPr="0007590F" w:rsidRDefault="003B0D46" w:rsidP="00E50389">
            <w:pPr>
              <w:pStyle w:val="TblTextCenter"/>
              <w:jc w:val="left"/>
            </w:pPr>
            <w:r w:rsidRPr="0007590F">
              <w:t xml:space="preserve">&gt;3x ULN – </w:t>
            </w:r>
          </w:p>
          <w:p w:rsidR="003B0D46" w:rsidRPr="0007590F" w:rsidRDefault="003B0D46" w:rsidP="00E50389">
            <w:pPr>
              <w:pStyle w:val="TblTextCenter"/>
              <w:jc w:val="left"/>
            </w:pPr>
            <w:r w:rsidRPr="0007590F">
              <w:t>5 x ULN</w:t>
            </w:r>
          </w:p>
        </w:tc>
        <w:tc>
          <w:tcPr>
            <w:tcW w:w="1319" w:type="dxa"/>
            <w:shd w:val="clear" w:color="auto" w:fill="auto"/>
          </w:tcPr>
          <w:p w:rsidR="003B0D46" w:rsidRPr="0007590F" w:rsidRDefault="003B0D46" w:rsidP="00E50389">
            <w:pPr>
              <w:pStyle w:val="TblTextCenter"/>
            </w:pPr>
            <w:r w:rsidRPr="0007590F">
              <w:t>0%</w:t>
            </w:r>
          </w:p>
        </w:tc>
        <w:tc>
          <w:tcPr>
            <w:tcW w:w="0" w:type="auto"/>
            <w:shd w:val="clear" w:color="auto" w:fill="auto"/>
          </w:tcPr>
          <w:p w:rsidR="003B0D46" w:rsidRPr="0007590F" w:rsidRDefault="003B0D46" w:rsidP="00E50389">
            <w:pPr>
              <w:pStyle w:val="TblTextCenter"/>
            </w:pPr>
            <w:r w:rsidRPr="0007590F">
              <w:t>1.2%</w:t>
            </w:r>
          </w:p>
        </w:tc>
        <w:tc>
          <w:tcPr>
            <w:tcW w:w="0" w:type="auto"/>
            <w:shd w:val="clear" w:color="auto" w:fill="auto"/>
          </w:tcPr>
          <w:p w:rsidR="003B0D46" w:rsidRPr="0007590F" w:rsidRDefault="003B0D46" w:rsidP="00E50389">
            <w:pPr>
              <w:pStyle w:val="TblTextCenter"/>
            </w:pPr>
            <w:r w:rsidRPr="0007590F">
              <w:t>1.1%</w:t>
            </w:r>
          </w:p>
        </w:tc>
        <w:tc>
          <w:tcPr>
            <w:tcW w:w="0" w:type="auto"/>
            <w:shd w:val="clear" w:color="auto" w:fill="auto"/>
          </w:tcPr>
          <w:p w:rsidR="003B0D46" w:rsidRPr="0007590F" w:rsidRDefault="003B0D46" w:rsidP="00E50389">
            <w:pPr>
              <w:pStyle w:val="TblTextCenter"/>
            </w:pPr>
            <w:r w:rsidRPr="0007590F">
              <w:t>1.1%</w:t>
            </w:r>
          </w:p>
        </w:tc>
      </w:tr>
      <w:tr w:rsidR="003B0D46" w:rsidRPr="0007590F" w:rsidTr="00E50389">
        <w:trPr>
          <w:cantSplit/>
          <w:jc w:val="center"/>
        </w:trPr>
        <w:tc>
          <w:tcPr>
            <w:tcW w:w="1242" w:type="dxa"/>
            <w:shd w:val="clear" w:color="auto" w:fill="auto"/>
          </w:tcPr>
          <w:p w:rsidR="003B0D46" w:rsidRPr="0007590F" w:rsidRDefault="003B0D46" w:rsidP="00E50389">
            <w:pPr>
              <w:pStyle w:val="TblTextCenter"/>
              <w:jc w:val="left"/>
            </w:pPr>
            <w:r w:rsidRPr="0007590F">
              <w:t>&gt;5 x ULN</w:t>
            </w:r>
          </w:p>
        </w:tc>
        <w:tc>
          <w:tcPr>
            <w:tcW w:w="1319" w:type="dxa"/>
            <w:shd w:val="clear" w:color="auto" w:fill="auto"/>
          </w:tcPr>
          <w:p w:rsidR="003B0D46" w:rsidRPr="0007590F" w:rsidRDefault="003B0D46" w:rsidP="00E50389">
            <w:pPr>
              <w:pStyle w:val="TblTextCenter"/>
            </w:pPr>
            <w:r w:rsidRPr="0007590F">
              <w:t>0%</w:t>
            </w:r>
          </w:p>
        </w:tc>
        <w:tc>
          <w:tcPr>
            <w:tcW w:w="0" w:type="auto"/>
            <w:shd w:val="clear" w:color="auto" w:fill="auto"/>
          </w:tcPr>
          <w:p w:rsidR="003B0D46" w:rsidRPr="0007590F" w:rsidRDefault="003B0D46" w:rsidP="00E50389">
            <w:pPr>
              <w:pStyle w:val="TblTextCenter"/>
            </w:pPr>
            <w:r w:rsidRPr="0007590F">
              <w:t>0.6%</w:t>
            </w:r>
          </w:p>
        </w:tc>
        <w:tc>
          <w:tcPr>
            <w:tcW w:w="0" w:type="auto"/>
            <w:shd w:val="clear" w:color="auto" w:fill="auto"/>
          </w:tcPr>
          <w:p w:rsidR="003B0D46" w:rsidRPr="0007590F" w:rsidRDefault="003B0D46" w:rsidP="00E50389">
            <w:pPr>
              <w:pStyle w:val="TblTextCenter"/>
            </w:pPr>
            <w:r w:rsidRPr="0007590F">
              <w:t>0.2%</w:t>
            </w:r>
          </w:p>
        </w:tc>
        <w:tc>
          <w:tcPr>
            <w:tcW w:w="0" w:type="auto"/>
            <w:shd w:val="clear" w:color="auto" w:fill="auto"/>
          </w:tcPr>
          <w:p w:rsidR="003B0D46" w:rsidRPr="0007590F" w:rsidRDefault="003B0D46" w:rsidP="00E50389">
            <w:pPr>
              <w:pStyle w:val="TblTextCenter"/>
            </w:pPr>
            <w:r w:rsidRPr="0007590F">
              <w:t>0%</w:t>
            </w:r>
          </w:p>
        </w:tc>
      </w:tr>
      <w:tr w:rsidR="003B0D46" w:rsidRPr="0007590F" w:rsidTr="00E50389">
        <w:trPr>
          <w:cantSplit/>
          <w:jc w:val="center"/>
        </w:trPr>
        <w:tc>
          <w:tcPr>
            <w:tcW w:w="1242" w:type="dxa"/>
            <w:shd w:val="clear" w:color="auto" w:fill="auto"/>
          </w:tcPr>
          <w:p w:rsidR="003B0D46" w:rsidRPr="0007590F" w:rsidRDefault="003B0D46" w:rsidP="00E50389">
            <w:pPr>
              <w:pStyle w:val="TblTextCenter"/>
              <w:jc w:val="left"/>
              <w:rPr>
                <w:b/>
              </w:rPr>
            </w:pPr>
            <w:r w:rsidRPr="0007590F">
              <w:rPr>
                <w:b/>
              </w:rPr>
              <w:t xml:space="preserve">ALT </w:t>
            </w:r>
          </w:p>
        </w:tc>
        <w:tc>
          <w:tcPr>
            <w:tcW w:w="1319" w:type="dxa"/>
            <w:shd w:val="clear" w:color="auto" w:fill="auto"/>
          </w:tcPr>
          <w:p w:rsidR="003B0D46" w:rsidRPr="0007590F" w:rsidRDefault="003B0D46" w:rsidP="00E50389">
            <w:pPr>
              <w:pStyle w:val="TblTextCenter"/>
            </w:pPr>
          </w:p>
        </w:tc>
        <w:tc>
          <w:tcPr>
            <w:tcW w:w="0" w:type="auto"/>
            <w:shd w:val="clear" w:color="auto" w:fill="auto"/>
          </w:tcPr>
          <w:p w:rsidR="003B0D46" w:rsidRPr="0007590F" w:rsidRDefault="003B0D46" w:rsidP="00E50389">
            <w:pPr>
              <w:pStyle w:val="TblTextCenter"/>
            </w:pPr>
          </w:p>
        </w:tc>
        <w:tc>
          <w:tcPr>
            <w:tcW w:w="0" w:type="auto"/>
            <w:shd w:val="clear" w:color="auto" w:fill="auto"/>
          </w:tcPr>
          <w:p w:rsidR="003B0D46" w:rsidRPr="0007590F" w:rsidRDefault="003B0D46" w:rsidP="00E50389">
            <w:pPr>
              <w:pStyle w:val="TblTextCenter"/>
            </w:pPr>
          </w:p>
        </w:tc>
        <w:tc>
          <w:tcPr>
            <w:tcW w:w="0" w:type="auto"/>
            <w:shd w:val="clear" w:color="auto" w:fill="auto"/>
          </w:tcPr>
          <w:p w:rsidR="003B0D46" w:rsidRPr="0007590F" w:rsidRDefault="003B0D46" w:rsidP="00E50389">
            <w:pPr>
              <w:pStyle w:val="TblTextCenter"/>
            </w:pPr>
          </w:p>
        </w:tc>
      </w:tr>
      <w:tr w:rsidR="003B0D46" w:rsidRPr="0007590F" w:rsidTr="00E50389">
        <w:trPr>
          <w:cantSplit/>
          <w:jc w:val="center"/>
        </w:trPr>
        <w:tc>
          <w:tcPr>
            <w:tcW w:w="1242" w:type="dxa"/>
            <w:shd w:val="clear" w:color="auto" w:fill="auto"/>
          </w:tcPr>
          <w:p w:rsidR="003B0D46" w:rsidRPr="0007590F" w:rsidRDefault="003B0D46" w:rsidP="00E50389">
            <w:pPr>
              <w:pStyle w:val="TblTextCenter"/>
              <w:jc w:val="left"/>
            </w:pPr>
            <w:r w:rsidRPr="0007590F">
              <w:t xml:space="preserve">&gt;3 x ULN – </w:t>
            </w:r>
          </w:p>
          <w:p w:rsidR="003B0D46" w:rsidRPr="0007590F" w:rsidRDefault="003B0D46" w:rsidP="00E50389">
            <w:pPr>
              <w:pStyle w:val="TblTextCenter"/>
              <w:jc w:val="left"/>
            </w:pPr>
            <w:r w:rsidRPr="0007590F">
              <w:t>5 x ULN</w:t>
            </w:r>
          </w:p>
        </w:tc>
        <w:tc>
          <w:tcPr>
            <w:tcW w:w="1319" w:type="dxa"/>
            <w:shd w:val="clear" w:color="auto" w:fill="auto"/>
          </w:tcPr>
          <w:p w:rsidR="003B0D46" w:rsidRPr="0007590F" w:rsidRDefault="003B0D46" w:rsidP="00E50389">
            <w:pPr>
              <w:pStyle w:val="TblTextCenter"/>
            </w:pPr>
            <w:r w:rsidRPr="0007590F">
              <w:t>0.6%</w:t>
            </w:r>
          </w:p>
        </w:tc>
        <w:tc>
          <w:tcPr>
            <w:tcW w:w="0" w:type="auto"/>
            <w:shd w:val="clear" w:color="auto" w:fill="auto"/>
          </w:tcPr>
          <w:p w:rsidR="003B0D46" w:rsidRPr="0007590F" w:rsidRDefault="003B0D46" w:rsidP="00E50389">
            <w:pPr>
              <w:pStyle w:val="TblTextCenter"/>
            </w:pPr>
            <w:r w:rsidRPr="0007590F">
              <w:t>3.2%</w:t>
            </w:r>
          </w:p>
        </w:tc>
        <w:tc>
          <w:tcPr>
            <w:tcW w:w="0" w:type="auto"/>
            <w:shd w:val="clear" w:color="auto" w:fill="auto"/>
          </w:tcPr>
          <w:p w:rsidR="003B0D46" w:rsidRPr="0007590F" w:rsidRDefault="003B0D46" w:rsidP="00E50389">
            <w:pPr>
              <w:pStyle w:val="TblTextCenter"/>
            </w:pPr>
            <w:r w:rsidRPr="0007590F">
              <w:t>2.4%</w:t>
            </w:r>
          </w:p>
        </w:tc>
        <w:tc>
          <w:tcPr>
            <w:tcW w:w="0" w:type="auto"/>
            <w:shd w:val="clear" w:color="auto" w:fill="auto"/>
          </w:tcPr>
          <w:p w:rsidR="003B0D46" w:rsidRPr="0007590F" w:rsidRDefault="003B0D46" w:rsidP="00E50389">
            <w:pPr>
              <w:pStyle w:val="TblTextCenter"/>
            </w:pPr>
            <w:r w:rsidRPr="0007590F">
              <w:t>1.9%</w:t>
            </w:r>
          </w:p>
        </w:tc>
      </w:tr>
      <w:tr w:rsidR="003B0D46" w:rsidRPr="0007590F" w:rsidTr="00E50389">
        <w:trPr>
          <w:cantSplit/>
          <w:jc w:val="center"/>
        </w:trPr>
        <w:tc>
          <w:tcPr>
            <w:tcW w:w="1242" w:type="dxa"/>
            <w:tcBorders>
              <w:bottom w:val="single" w:sz="12" w:space="0" w:color="auto"/>
            </w:tcBorders>
            <w:shd w:val="clear" w:color="auto" w:fill="auto"/>
          </w:tcPr>
          <w:p w:rsidR="003B0D46" w:rsidRPr="0007590F" w:rsidRDefault="003B0D46" w:rsidP="00E50389">
            <w:pPr>
              <w:pStyle w:val="TblTextCenter"/>
              <w:jc w:val="left"/>
            </w:pPr>
            <w:r w:rsidRPr="0007590F">
              <w:t>&gt;5 x ULN</w:t>
            </w:r>
          </w:p>
        </w:tc>
        <w:tc>
          <w:tcPr>
            <w:tcW w:w="1319" w:type="dxa"/>
            <w:tcBorders>
              <w:bottom w:val="single" w:sz="12" w:space="0" w:color="auto"/>
            </w:tcBorders>
            <w:shd w:val="clear" w:color="auto" w:fill="auto"/>
          </w:tcPr>
          <w:p w:rsidR="003B0D46" w:rsidRPr="0007590F" w:rsidRDefault="003B0D46" w:rsidP="00E50389">
            <w:pPr>
              <w:pStyle w:val="TblTextCenter"/>
            </w:pPr>
            <w:r w:rsidRPr="0007590F">
              <w:t>0%</w:t>
            </w:r>
          </w:p>
        </w:tc>
        <w:tc>
          <w:tcPr>
            <w:tcW w:w="0" w:type="auto"/>
            <w:tcBorders>
              <w:bottom w:val="single" w:sz="12" w:space="0" w:color="auto"/>
            </w:tcBorders>
            <w:shd w:val="clear" w:color="auto" w:fill="auto"/>
          </w:tcPr>
          <w:p w:rsidR="003B0D46" w:rsidRPr="0007590F" w:rsidRDefault="003B0D46" w:rsidP="00E50389">
            <w:pPr>
              <w:pStyle w:val="TblTextCenter"/>
            </w:pPr>
            <w:r w:rsidRPr="0007590F">
              <w:t>1.1%</w:t>
            </w:r>
          </w:p>
        </w:tc>
        <w:tc>
          <w:tcPr>
            <w:tcW w:w="0" w:type="auto"/>
            <w:tcBorders>
              <w:bottom w:val="single" w:sz="12" w:space="0" w:color="auto"/>
            </w:tcBorders>
            <w:shd w:val="clear" w:color="auto" w:fill="auto"/>
          </w:tcPr>
          <w:p w:rsidR="003B0D46" w:rsidRPr="0007590F" w:rsidRDefault="003B0D46" w:rsidP="00E50389">
            <w:pPr>
              <w:pStyle w:val="TblTextCenter"/>
            </w:pPr>
            <w:r w:rsidRPr="0007590F">
              <w:t>0.8%</w:t>
            </w:r>
          </w:p>
        </w:tc>
        <w:tc>
          <w:tcPr>
            <w:tcW w:w="0" w:type="auto"/>
            <w:tcBorders>
              <w:bottom w:val="single" w:sz="12" w:space="0" w:color="auto"/>
            </w:tcBorders>
            <w:shd w:val="clear" w:color="auto" w:fill="auto"/>
          </w:tcPr>
          <w:p w:rsidR="003B0D46" w:rsidRPr="0007590F" w:rsidRDefault="003B0D46" w:rsidP="00E50389">
            <w:pPr>
              <w:pStyle w:val="TblTextCenter"/>
            </w:pPr>
            <w:r w:rsidRPr="0007590F">
              <w:t>0.2%</w:t>
            </w:r>
          </w:p>
        </w:tc>
      </w:tr>
      <w:tr w:rsidR="003B0D46" w:rsidRPr="0007590F" w:rsidTr="00E50389">
        <w:trPr>
          <w:cantSplit/>
          <w:jc w:val="center"/>
        </w:trPr>
        <w:tc>
          <w:tcPr>
            <w:tcW w:w="0" w:type="auto"/>
            <w:gridSpan w:val="5"/>
            <w:tcBorders>
              <w:top w:val="single" w:sz="12" w:space="0" w:color="auto"/>
            </w:tcBorders>
            <w:shd w:val="clear" w:color="auto" w:fill="auto"/>
          </w:tcPr>
          <w:p w:rsidR="003B0D46" w:rsidRPr="0007590F" w:rsidRDefault="003B0D46" w:rsidP="00E50389">
            <w:pPr>
              <w:pStyle w:val="TblFigFootnote"/>
            </w:pPr>
            <w:r w:rsidRPr="0007590F">
              <w:t>ULN = Upper Limit of Normal</w:t>
            </w:r>
          </w:p>
        </w:tc>
      </w:tr>
    </w:tbl>
    <w:p w:rsidR="003B0D46" w:rsidRDefault="003B0D46" w:rsidP="0007590F">
      <w:pPr>
        <w:spacing w:before="0"/>
      </w:pPr>
    </w:p>
    <w:p w:rsidR="003B0D46" w:rsidRDefault="003B0D46" w:rsidP="00BB452D">
      <w:pPr>
        <w:pStyle w:val="Heading5"/>
        <w:numPr>
          <w:ilvl w:val="0"/>
          <w:numId w:val="0"/>
        </w:numPr>
        <w:ind w:left="1009" w:hanging="1009"/>
      </w:pPr>
      <w:r>
        <w:t>Lipids</w:t>
      </w:r>
    </w:p>
    <w:p w:rsidR="003B0D46" w:rsidRDefault="003B0D46" w:rsidP="003B0D46">
      <w:r>
        <w:t>Lipid parameters (LDL, HDL, and triglycerides) were first assessed at 4 weeks following initiation of Kevzara + DMARD in the placebo-controlled population. Increases were observed at this time point with no additional increases observed thereafter. Changes in lipid parameters from baseline to Week 4 are summarized below:</w:t>
      </w:r>
    </w:p>
    <w:p w:rsidR="003B0D46" w:rsidRPr="0007590F" w:rsidRDefault="003B0D46" w:rsidP="00BB452D">
      <w:pPr>
        <w:pStyle w:val="ListBulletLevel1"/>
        <w:numPr>
          <w:ilvl w:val="0"/>
          <w:numId w:val="34"/>
        </w:numPr>
        <w:rPr>
          <w:color w:val="auto"/>
        </w:rPr>
      </w:pPr>
      <w:r w:rsidRPr="0007590F">
        <w:rPr>
          <w:color w:val="auto"/>
        </w:rPr>
        <w:t>Mean LDL increased by 0.32mmol/ L in the KEVZARA 150 mg every two weeks + DMARD group and 0.41 mmol/L in the KEVZARA 200 mg every two weeks + DMARD group.</w:t>
      </w:r>
    </w:p>
    <w:p w:rsidR="003B0D46" w:rsidRPr="0007590F" w:rsidRDefault="003B0D46" w:rsidP="00BB452D">
      <w:pPr>
        <w:pStyle w:val="ListBulletLevel1"/>
        <w:numPr>
          <w:ilvl w:val="0"/>
          <w:numId w:val="34"/>
        </w:numPr>
        <w:rPr>
          <w:color w:val="auto"/>
        </w:rPr>
      </w:pPr>
      <w:r w:rsidRPr="0007590F">
        <w:rPr>
          <w:color w:val="auto"/>
        </w:rPr>
        <w:lastRenderedPageBreak/>
        <w:t>Mean triglycerides increased by 0.21mmol/L in the KEVZARA 150 mg every two weeks + DMARD group and 0.31 mmol/l in the KEVZARA 200 mg every two weeks + DMARD group.</w:t>
      </w:r>
    </w:p>
    <w:p w:rsidR="008C485C" w:rsidRPr="00976A92" w:rsidRDefault="003B0D46" w:rsidP="00976A92">
      <w:pPr>
        <w:pStyle w:val="ListBulletLevel1"/>
        <w:numPr>
          <w:ilvl w:val="0"/>
          <w:numId w:val="34"/>
        </w:numPr>
        <w:rPr>
          <w:color w:val="auto"/>
        </w:rPr>
      </w:pPr>
      <w:r w:rsidRPr="0007590F">
        <w:rPr>
          <w:color w:val="auto"/>
        </w:rPr>
        <w:t xml:space="preserve">Mean HDL increased by 0.08 mmol/L in both the KEVZARA 150 mg every two weeks + DMARD and KEVZARA 200 mg </w:t>
      </w:r>
      <w:r w:rsidR="00976A92">
        <w:rPr>
          <w:color w:val="auto"/>
        </w:rPr>
        <w:t>every two weeks + DMARD groups.</w:t>
      </w:r>
      <w:r w:rsidR="0007590F" w:rsidRPr="00976A92">
        <w:rPr>
          <w:i/>
          <w:color w:val="auto"/>
        </w:rPr>
        <w:t xml:space="preserve"> </w:t>
      </w:r>
    </w:p>
    <w:p w:rsidR="003B0D46" w:rsidRDefault="003B0D46" w:rsidP="003B0D46">
      <w:r w:rsidRPr="0007590F">
        <w:rPr>
          <w:color w:val="auto"/>
        </w:rPr>
        <w:t>In the Kevzara + DMARD long-term safety population and the Kevzara monotherapy population, the observations in li</w:t>
      </w:r>
      <w:r w:rsidRPr="003B0D46">
        <w:t>pid parameters were consistent with what was observed in the placebo-controlled clinical studies.</w:t>
      </w:r>
    </w:p>
    <w:p w:rsidR="003B0D46" w:rsidRDefault="003B0D46" w:rsidP="003B0D46">
      <w:pPr>
        <w:pStyle w:val="Heading4"/>
        <w:numPr>
          <w:ilvl w:val="0"/>
          <w:numId w:val="0"/>
        </w:numPr>
        <w:ind w:left="862" w:hanging="862"/>
      </w:pPr>
      <w:r>
        <w:t>Immunogenicity</w:t>
      </w:r>
    </w:p>
    <w:p w:rsidR="003B0D46" w:rsidRDefault="003B0D46" w:rsidP="003B0D46">
      <w:r>
        <w:t xml:space="preserve">As with all therapeutic proteins, there is a potential for immunogenicity with Kevzara. </w:t>
      </w:r>
    </w:p>
    <w:p w:rsidR="003B0D46" w:rsidRPr="0007590F" w:rsidRDefault="003B0D46" w:rsidP="003B0D46">
      <w:pPr>
        <w:rPr>
          <w:color w:val="auto"/>
        </w:rPr>
      </w:pPr>
      <w:r w:rsidRPr="0007590F">
        <w:rPr>
          <w:color w:val="auto"/>
        </w:rPr>
        <w:t>In the 52-week placebo-controlled population, 4.0% of patients treated with Kevzara 200 mg + DMARD, 5.6% of patients treated with Kevzara 150 mg + DMARD and 2.0% of patients treated with placebo + DMARD, exhibited an anti-drug antibody (ADA) response in the AD</w:t>
      </w:r>
      <w:r w:rsidRPr="00B85D29">
        <w:rPr>
          <w:color w:val="auto"/>
        </w:rPr>
        <w:t>A</w:t>
      </w:r>
      <w:r w:rsidR="0007590F" w:rsidRPr="00B85D29">
        <w:rPr>
          <w:color w:val="auto"/>
        </w:rPr>
        <w:t xml:space="preserve"> </w:t>
      </w:r>
      <w:r w:rsidRPr="00B85D29">
        <w:rPr>
          <w:color w:val="auto"/>
        </w:rPr>
        <w:t xml:space="preserve">assay. </w:t>
      </w:r>
      <w:r w:rsidR="00835265" w:rsidRPr="00B85D29">
        <w:rPr>
          <w:color w:val="auto"/>
        </w:rPr>
        <w:t>P</w:t>
      </w:r>
      <w:r w:rsidRPr="00B85D29">
        <w:rPr>
          <w:color w:val="auto"/>
        </w:rPr>
        <w:t>ositive response</w:t>
      </w:r>
      <w:r w:rsidRPr="0007590F">
        <w:rPr>
          <w:color w:val="auto"/>
        </w:rPr>
        <w:t>s in the neutralizing antibody</w:t>
      </w:r>
      <w:r w:rsidR="0007590F" w:rsidRPr="0007590F">
        <w:rPr>
          <w:color w:val="auto"/>
        </w:rPr>
        <w:t xml:space="preserve"> </w:t>
      </w:r>
      <w:r w:rsidRPr="0007590F">
        <w:rPr>
          <w:color w:val="auto"/>
        </w:rPr>
        <w:t>(NAb) assay were detected in 1.0% of patients on Kevzara 200 mg, 1.6% of patients on Kevzara 150 mg and 0.2% of patients on placebo.</w:t>
      </w:r>
    </w:p>
    <w:p w:rsidR="003B0D46" w:rsidRPr="0007590F" w:rsidRDefault="003B0D46" w:rsidP="003B0D46">
      <w:pPr>
        <w:rPr>
          <w:color w:val="auto"/>
        </w:rPr>
      </w:pPr>
      <w:r w:rsidRPr="0007590F">
        <w:rPr>
          <w:color w:val="auto"/>
        </w:rPr>
        <w:t>In the Kevzara monotherapy population, observations were consistent with the Kevzara + DMARD population.</w:t>
      </w:r>
    </w:p>
    <w:p w:rsidR="003B0D46" w:rsidRDefault="003B0D46" w:rsidP="003B0D46">
      <w:r>
        <w:t>ADA formation may affect pharmacokinetics of Kevzara. No correlation was observed between ADA development and either loss of efficacy or adverse events.</w:t>
      </w:r>
    </w:p>
    <w:p w:rsidR="003B0D46" w:rsidRDefault="003B0D46" w:rsidP="003B0D46">
      <w:r>
        <w:t>The detection of an immune response is highly dependent on the sensitivity and specificity of the assays used, sample handling, timing of sample collection, concomitant medications, and underlying disease. For these reasons, comparison of the incidence of antibodies to Kevzara with the incidence of antibodies to other products may be misleading.</w:t>
      </w:r>
    </w:p>
    <w:p w:rsidR="003B0D46" w:rsidRDefault="003B0D46" w:rsidP="003B0D46">
      <w:pPr>
        <w:pStyle w:val="Heading4"/>
        <w:numPr>
          <w:ilvl w:val="0"/>
          <w:numId w:val="0"/>
        </w:numPr>
        <w:ind w:left="862" w:hanging="862"/>
      </w:pPr>
      <w:r>
        <w:t>Malignancies</w:t>
      </w:r>
    </w:p>
    <w:p w:rsidR="003B0D46" w:rsidRDefault="003B0D46" w:rsidP="003B0D46">
      <w:r>
        <w:t xml:space="preserve">In the 52-week placebo-controlled population, 9 malignancies (exposure-adjusted event rate of 1.0 event per 100 patient-years) were diagnosed in patients receiving Kevzara + DMARD compared to 4 malignancies in patients in the control group (placebo + DMARD (exposure-adjusted event rate of 1.0 event per 100 patient-years). </w:t>
      </w:r>
    </w:p>
    <w:p w:rsidR="003B0D46" w:rsidRPr="0007590F" w:rsidRDefault="003B0D46" w:rsidP="003B0D46">
      <w:pPr>
        <w:rPr>
          <w:color w:val="auto"/>
        </w:rPr>
      </w:pPr>
      <w:r w:rsidRPr="0007590F">
        <w:rPr>
          <w:color w:val="auto"/>
        </w:rPr>
        <w:t>In the Kevzara + DMARD long-</w:t>
      </w:r>
      <w:r w:rsidR="00C85BBB">
        <w:rPr>
          <w:color w:val="auto"/>
        </w:rPr>
        <w:t xml:space="preserve">term safety population and the </w:t>
      </w:r>
      <w:r w:rsidRPr="0007590F">
        <w:rPr>
          <w:color w:val="auto"/>
        </w:rPr>
        <w:t>Kevzara monotherapy population, the rates of malignancies were consistent with the rate observed in the placebo-controlled population.</w:t>
      </w:r>
    </w:p>
    <w:p w:rsidR="008B44B4" w:rsidRPr="008B44B4" w:rsidRDefault="008B44B4" w:rsidP="008B44B4"/>
    <w:p w:rsidR="001A3992" w:rsidRDefault="001A3992" w:rsidP="001A3992">
      <w:pPr>
        <w:pStyle w:val="Heading2"/>
        <w:keepLines/>
        <w:spacing w:before="0" w:after="120"/>
        <w:rPr>
          <w:lang w:val="en-AU"/>
        </w:rPr>
      </w:pPr>
      <w:r w:rsidRPr="00717E34">
        <w:rPr>
          <w:lang w:val="en-AU"/>
        </w:rPr>
        <w:t>Overdose</w:t>
      </w:r>
    </w:p>
    <w:p w:rsidR="00D826E6" w:rsidRPr="00D826E6" w:rsidRDefault="003B0D46" w:rsidP="00D826E6">
      <w:pPr>
        <w:rPr>
          <w:lang w:val="en-AU"/>
        </w:rPr>
      </w:pPr>
      <w:r w:rsidRPr="003B0D46">
        <w:rPr>
          <w:lang w:val="en-AU"/>
        </w:rPr>
        <w:t>There is no specific treatment for Kevzara overdose. In the event of an overdose, the patient should be closely monitored, treated symptomatically, and supportive measures institu</w:t>
      </w:r>
      <w:r w:rsidR="00C37687">
        <w:rPr>
          <w:lang w:val="en-AU"/>
        </w:rPr>
        <w:t xml:space="preserve">ted as </w:t>
      </w:r>
      <w:r w:rsidRPr="003B0D46">
        <w:rPr>
          <w:lang w:val="en-AU"/>
        </w:rPr>
        <w:t>required. For further information on the management of overdose, contact the Poison Information Centre on 131126.</w:t>
      </w:r>
    </w:p>
    <w:p w:rsidR="00A62F6D" w:rsidRPr="00717E34" w:rsidRDefault="00A62F6D" w:rsidP="00024098">
      <w:pPr>
        <w:rPr>
          <w:lang w:val="en-AU"/>
        </w:rPr>
      </w:pPr>
    </w:p>
    <w:p w:rsidR="001A3992" w:rsidRPr="00717E34" w:rsidRDefault="001A3992" w:rsidP="00024098">
      <w:pPr>
        <w:pStyle w:val="Heading1"/>
        <w:keepNext w:val="0"/>
        <w:pageBreakBefore w:val="0"/>
        <w:spacing w:before="0" w:after="120"/>
        <w:rPr>
          <w:lang w:val="en-AU"/>
        </w:rPr>
      </w:pPr>
      <w:bookmarkStart w:id="6" w:name="_Ref524373961"/>
      <w:r w:rsidRPr="00717E34">
        <w:rPr>
          <w:lang w:val="en-AU"/>
        </w:rPr>
        <w:lastRenderedPageBreak/>
        <w:t>Pharmacological properties</w:t>
      </w:r>
      <w:bookmarkEnd w:id="6"/>
    </w:p>
    <w:p w:rsidR="001A3992" w:rsidRDefault="001A3992" w:rsidP="001A3992">
      <w:pPr>
        <w:pStyle w:val="Heading2"/>
        <w:spacing w:before="0" w:after="120"/>
        <w:rPr>
          <w:lang w:val="en-AU"/>
        </w:rPr>
      </w:pPr>
      <w:bookmarkStart w:id="7" w:name="_Ref524375369"/>
      <w:r w:rsidRPr="00717E34">
        <w:rPr>
          <w:lang w:val="en-AU"/>
        </w:rPr>
        <w:t>Pharmacodynamic properties</w:t>
      </w:r>
      <w:bookmarkEnd w:id="7"/>
      <w:r w:rsidRPr="00717E34">
        <w:rPr>
          <w:lang w:val="en-AU"/>
        </w:rPr>
        <w:t xml:space="preserve"> </w:t>
      </w:r>
    </w:p>
    <w:p w:rsidR="006300D9" w:rsidRPr="006300D9" w:rsidRDefault="006300D9" w:rsidP="006300D9">
      <w:pPr>
        <w:rPr>
          <w:lang w:val="en-AU"/>
        </w:rPr>
      </w:pPr>
    </w:p>
    <w:p w:rsidR="0024632F" w:rsidRDefault="0024632F" w:rsidP="00CA73C2">
      <w:pPr>
        <w:pStyle w:val="Heading3"/>
        <w:numPr>
          <w:ilvl w:val="0"/>
          <w:numId w:val="0"/>
        </w:numPr>
        <w:spacing w:before="0" w:after="120"/>
        <w:ind w:left="680" w:hanging="680"/>
        <w:rPr>
          <w:i/>
        </w:rPr>
      </w:pPr>
      <w:r w:rsidRPr="00CA73C2">
        <w:rPr>
          <w:i/>
        </w:rPr>
        <w:t>Mechanism of action</w:t>
      </w:r>
    </w:p>
    <w:p w:rsidR="00103643" w:rsidRPr="00B85D29" w:rsidRDefault="00103643" w:rsidP="00103643">
      <w:pPr>
        <w:rPr>
          <w:color w:val="auto"/>
        </w:rPr>
      </w:pPr>
      <w:r w:rsidRPr="00B85D29">
        <w:rPr>
          <w:color w:val="auto"/>
        </w:rPr>
        <w:t>Kevzara is a human IgG1 monoclonal antibody that binds specifically to both soluble and membrane-bound IL-6 receptors (sIL-6Rα and mIL-6Rα), and has been shown to inhibit IL-6-mediated signaling through these receptors. Sarilumab is produced by recombinant DNA technology in Chinese Hamster Ovary cell suspension culture.</w:t>
      </w:r>
    </w:p>
    <w:p w:rsidR="0002535F" w:rsidRDefault="0002535F" w:rsidP="0002535F">
      <w:r w:rsidRPr="00B85D29">
        <w:rPr>
          <w:color w:val="auto"/>
        </w:rPr>
        <w:t>Sarilumab binds specifically to both soluble and membrane-bo</w:t>
      </w:r>
      <w:r>
        <w:t xml:space="preserve">und IL-6 receptors (sIL-6Rα and mIL-6Rα), and inhibits IL-6-mediated signaling. IL-6 is a pleiotropic cytokine that stimulates diverse cellular responses such as proliferation, differentiation, survival and apoptosis and can activate hepatocytes to release acute-phase proteins, including C-reactive protein (CRP) and serum amyloid A. Elevated levels of IL-6 are found in the synovial fluid of patients with rheumatoid arthritis and play an important role in both the pathologic inflammation and joint destruction that are hallmarks of rheumatoid arthritis (RA). </w:t>
      </w:r>
    </w:p>
    <w:p w:rsidR="0002535F" w:rsidRDefault="0002535F" w:rsidP="0002535F">
      <w:r>
        <w:t xml:space="preserve">IL-6 is involved in diverse physiological processes such as migration and activation of T-cells, B-cells, monocytes and osteoclasts leading to systemic inflammation, synovial inflammation and bone erosion in patients with RA. The reduction of inflammation that occurs with IL-6 receptor </w:t>
      </w:r>
      <w:r w:rsidRPr="0002535F">
        <w:t>blockade is associated with laboratory changes such as decrease in absolute neutrophil count (ANC) and elevation in lipids.</w:t>
      </w:r>
    </w:p>
    <w:p w:rsidR="0002535F" w:rsidRDefault="0002535F" w:rsidP="0002535F">
      <w:pPr>
        <w:pStyle w:val="Heading3"/>
        <w:numPr>
          <w:ilvl w:val="0"/>
          <w:numId w:val="0"/>
        </w:numPr>
        <w:ind w:left="680" w:hanging="680"/>
        <w:rPr>
          <w:i/>
        </w:rPr>
      </w:pPr>
      <w:r w:rsidRPr="0002535F">
        <w:rPr>
          <w:i/>
        </w:rPr>
        <w:t>Pharmacodynamic Effects</w:t>
      </w:r>
    </w:p>
    <w:p w:rsidR="0002535F" w:rsidRPr="0002535F" w:rsidRDefault="0002535F" w:rsidP="0002535F">
      <w:r w:rsidRPr="0002535F">
        <w:t>Following single-dose subcutaneous administration of sarilumab 200mg and 150mg in patients with RA, rapid reduction of CRP levels was observed. Levels were reduced to normal as early as 4 days after treatment initiation. Following single-dose sarilumab administration, in patients with RA, absolute neutrophil counts decreased to the nadir between 3 to 4 days and thereafter recovered towards baseline. Treatment with sarilumab resulted in decreases in fibrinogen and serum amyloid A, and increases in haemoglobin and serum albumin.</w:t>
      </w:r>
    </w:p>
    <w:p w:rsidR="0002535F" w:rsidRPr="0002535F" w:rsidRDefault="0002535F" w:rsidP="0002535F"/>
    <w:p w:rsidR="001A3992" w:rsidRDefault="001A3992" w:rsidP="00CA73C2">
      <w:pPr>
        <w:pStyle w:val="Heading3"/>
        <w:numPr>
          <w:ilvl w:val="0"/>
          <w:numId w:val="0"/>
        </w:numPr>
        <w:spacing w:before="0" w:after="120"/>
        <w:ind w:left="680" w:hanging="680"/>
        <w:rPr>
          <w:i/>
          <w:lang w:val="en-AU"/>
        </w:rPr>
      </w:pPr>
      <w:r w:rsidRPr="00CA73C2">
        <w:rPr>
          <w:i/>
          <w:lang w:val="en-AU"/>
        </w:rPr>
        <w:t>Clinical trials</w:t>
      </w:r>
    </w:p>
    <w:p w:rsidR="0002535F" w:rsidRDefault="0002535F" w:rsidP="0002535F">
      <w:pPr>
        <w:rPr>
          <w:lang w:val="en-AU"/>
        </w:rPr>
      </w:pPr>
      <w:r w:rsidRPr="0007590F">
        <w:rPr>
          <w:color w:val="auto"/>
          <w:lang w:val="en-AU"/>
        </w:rPr>
        <w:t>The efficacy and safety of Kevzara were assessed in three randomized, double-blind, controlled multicenter studies (MOBILITY and TARGET were placebo-controlled studies and MONARCH was an active comparator controlled study) in patients older than18 years with moderately to severely active rheumatoid arthritis diagnosed</w:t>
      </w:r>
      <w:r w:rsidRPr="0002535F">
        <w:rPr>
          <w:lang w:val="en-AU"/>
        </w:rPr>
        <w:t xml:space="preserve"> according to American College of Rheumatology (ACR) criteria. Patients had at least 8 tender and 6 swollen joints at baseline.</w:t>
      </w:r>
    </w:p>
    <w:p w:rsidR="0002535F" w:rsidRDefault="00BB452D" w:rsidP="0002535F">
      <w:r w:rsidRPr="00BB452D">
        <w:rPr>
          <w:color w:val="0000FF"/>
        </w:rPr>
        <w:fldChar w:fldCharType="begin"/>
      </w:r>
      <w:r w:rsidRPr="00BB452D">
        <w:rPr>
          <w:color w:val="0000FF"/>
        </w:rPr>
        <w:instrText xml:space="preserve"> REF _Ref512793309 \h  \* MERGEFORMAT </w:instrText>
      </w:r>
      <w:r w:rsidRPr="00BB452D">
        <w:rPr>
          <w:color w:val="0000FF"/>
        </w:rPr>
      </w:r>
      <w:r w:rsidRPr="00BB452D">
        <w:rPr>
          <w:color w:val="0000FF"/>
        </w:rPr>
        <w:fldChar w:fldCharType="separate"/>
      </w:r>
      <w:r w:rsidR="00EA3D29" w:rsidRPr="00EA3D29">
        <w:rPr>
          <w:color w:val="0000FF"/>
        </w:rPr>
        <w:t>Table 3</w:t>
      </w:r>
      <w:r w:rsidRPr="00BB452D">
        <w:rPr>
          <w:color w:val="0000FF"/>
        </w:rPr>
        <w:fldChar w:fldCharType="end"/>
      </w:r>
      <w:r w:rsidR="0002535F" w:rsidRPr="0002535F">
        <w:t xml:space="preserve"> provides key baseline activity measures in subjects that participated in the 2 pivotal trials.</w:t>
      </w:r>
    </w:p>
    <w:p w:rsidR="00A23734" w:rsidRPr="0002535F" w:rsidRDefault="00A23734" w:rsidP="00A23734">
      <w:pPr>
        <w:pageBreakBefore/>
      </w:pPr>
    </w:p>
    <w:p w:rsidR="0002535F" w:rsidRDefault="0002535F" w:rsidP="0002535F">
      <w:pPr>
        <w:pStyle w:val="Caption"/>
      </w:pPr>
      <w:r>
        <w:rPr>
          <w:lang w:val="en-AU"/>
        </w:rPr>
        <w:t xml:space="preserve"> </w:t>
      </w:r>
      <w:bookmarkStart w:id="8" w:name="_Ref512793309"/>
      <w:r>
        <w:t>Table </w:t>
      </w:r>
      <w:r>
        <w:fldChar w:fldCharType="begin"/>
      </w:r>
      <w:r>
        <w:instrText xml:space="preserve"> SEQ Table \* ARABIC </w:instrText>
      </w:r>
      <w:r>
        <w:fldChar w:fldCharType="separate"/>
      </w:r>
      <w:r w:rsidR="00EA3D29">
        <w:rPr>
          <w:noProof/>
        </w:rPr>
        <w:t>3</w:t>
      </w:r>
      <w:r>
        <w:fldChar w:fldCharType="end"/>
      </w:r>
      <w:bookmarkEnd w:id="8"/>
      <w:r>
        <w:t xml:space="preserve"> ­ </w:t>
      </w:r>
      <w:r w:rsidRPr="0002535F">
        <w:t>Disease characteristics at baseline - Phase 3, placebo-controlled studies [MOBILITY (EFC11072 Part B, Cohort 2) and TARGET (EFC10832)]</w:t>
      </w:r>
    </w:p>
    <w:tbl>
      <w:tblPr>
        <w:tblW w:w="5000" w:type="pct"/>
        <w:jc w:val="center"/>
        <w:tblCellMar>
          <w:left w:w="0" w:type="dxa"/>
          <w:right w:w="0" w:type="dxa"/>
        </w:tblCellMar>
        <w:tblLook w:val="04A0" w:firstRow="1" w:lastRow="0" w:firstColumn="1" w:lastColumn="0" w:noHBand="0" w:noVBand="1"/>
      </w:tblPr>
      <w:tblGrid>
        <w:gridCol w:w="1596"/>
        <w:gridCol w:w="1296"/>
        <w:gridCol w:w="1296"/>
        <w:gridCol w:w="1573"/>
        <w:gridCol w:w="1300"/>
        <w:gridCol w:w="1360"/>
        <w:gridCol w:w="1547"/>
      </w:tblGrid>
      <w:tr w:rsidR="0002535F" w:rsidRPr="00282107" w:rsidTr="00E50389">
        <w:trPr>
          <w:cantSplit/>
          <w:trHeight w:val="120"/>
          <w:tblHeader/>
          <w:jc w:val="center"/>
        </w:trPr>
        <w:tc>
          <w:tcPr>
            <w:tcW w:w="80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535F" w:rsidRPr="00282107" w:rsidRDefault="0002535F" w:rsidP="00E50389">
            <w:pPr>
              <w:spacing w:before="10" w:after="10"/>
              <w:jc w:val="center"/>
              <w:rPr>
                <w:rFonts w:ascii="Arial" w:eastAsia="Calibri" w:hAnsi="Arial" w:cs="Arial"/>
                <w:b/>
                <w:bCs/>
                <w:color w:val="auto"/>
                <w:sz w:val="20"/>
                <w:szCs w:val="20"/>
                <w:lang w:eastAsia="fr-FR"/>
              </w:rPr>
            </w:pPr>
          </w:p>
        </w:tc>
        <w:tc>
          <w:tcPr>
            <w:tcW w:w="208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w:eastAsia="Calibri" w:hAnsi="Arial" w:cs="Arial"/>
                <w:b/>
                <w:bCs/>
                <w:color w:val="auto"/>
                <w:sz w:val="20"/>
                <w:szCs w:val="20"/>
                <w:lang w:eastAsia="fr-FR"/>
              </w:rPr>
            </w:pPr>
            <w:r w:rsidRPr="00282107">
              <w:rPr>
                <w:rFonts w:ascii="Arial" w:hAnsi="Arial" w:cs="Arial"/>
                <w:b/>
                <w:bCs/>
                <w:color w:val="auto"/>
                <w:sz w:val="20"/>
                <w:szCs w:val="20"/>
              </w:rPr>
              <w:t>MOBILITY</w:t>
            </w:r>
          </w:p>
        </w:tc>
        <w:tc>
          <w:tcPr>
            <w:tcW w:w="211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w:eastAsia="Calibri" w:hAnsi="Arial" w:cs="Arial"/>
                <w:b/>
                <w:bCs/>
                <w:color w:val="auto"/>
                <w:sz w:val="20"/>
                <w:szCs w:val="20"/>
                <w:lang w:eastAsia="fr-FR"/>
              </w:rPr>
            </w:pPr>
            <w:r w:rsidRPr="00282107">
              <w:rPr>
                <w:rFonts w:ascii="Arial" w:hAnsi="Arial" w:cs="Arial"/>
                <w:b/>
                <w:bCs/>
                <w:color w:val="auto"/>
                <w:sz w:val="20"/>
                <w:szCs w:val="20"/>
                <w:lang w:eastAsia="fr-FR"/>
              </w:rPr>
              <w:t>TARGET</w:t>
            </w:r>
          </w:p>
        </w:tc>
      </w:tr>
      <w:tr w:rsidR="0002535F" w:rsidRPr="00282107" w:rsidTr="00E50389">
        <w:trPr>
          <w:cantSplit/>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2535F" w:rsidRPr="00282107" w:rsidRDefault="0002535F" w:rsidP="00E50389">
            <w:pPr>
              <w:rPr>
                <w:rFonts w:ascii="Arial" w:eastAsia="Calibri" w:hAnsi="Arial" w:cs="Arial"/>
                <w:b/>
                <w:bCs/>
                <w:color w:val="auto"/>
                <w:sz w:val="20"/>
                <w:szCs w:val="20"/>
                <w:lang w:eastAsia="fr-FR"/>
              </w:rPr>
            </w:pP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Placebo</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(N=398)</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Sarilumab 150 mg q2w</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(N=400)</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Sarilumab 200 mg q2w</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(N=399)</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Placebo</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(N=181)</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Sarilumab 150 mg q2w</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(N=181)</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Sarilumab 200 mg q2w</w:t>
            </w:r>
          </w:p>
          <w:p w:rsidR="0002535F" w:rsidRPr="00282107" w:rsidRDefault="0002535F" w:rsidP="00E50389">
            <w:pPr>
              <w:spacing w:before="10" w:after="10"/>
              <w:jc w:val="center"/>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(N=184)</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Years of RA</w:t>
            </w:r>
            <w:r w:rsidRPr="00282107">
              <w:rPr>
                <w:rFonts w:ascii="Arial Narrow" w:hAnsi="Arial Narrow"/>
                <w:color w:val="auto"/>
                <w:sz w:val="20"/>
                <w:szCs w:val="20"/>
              </w:rPr>
              <w:t xml:space="preserve"> </w:t>
            </w:r>
            <w:r w:rsidRPr="00282107">
              <w:rPr>
                <w:rFonts w:ascii="Arial Narrow" w:hAnsi="Arial Narrow"/>
                <w:color w:val="auto"/>
                <w:sz w:val="20"/>
                <w:szCs w:val="20"/>
              </w:rPr>
              <w:br/>
              <w:t xml:space="preserve">Mean (SD)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9.05 (8.07)</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9.51 (8.45)</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8.57 (7.02)</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12.04 (9.99)</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11.55 (8.55)</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12.68 (9.63)</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
                <w:bCs/>
                <w:color w:val="auto"/>
                <w:sz w:val="18"/>
                <w:szCs w:val="20"/>
              </w:rPr>
              <w:t>Age (years)</w:t>
            </w:r>
          </w:p>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Cs/>
                <w:color w:val="auto"/>
                <w:sz w:val="18"/>
                <w:szCs w:val="20"/>
              </w:rP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 xml:space="preserve">50.9 (11.2)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 xml:space="preserve">50.1 (11.9) </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50.8 (11.8)</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51.9 (12.4)</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54.0 (11.7)</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52.9 (12.9)</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
                <w:bCs/>
                <w:color w:val="auto"/>
                <w:sz w:val="18"/>
                <w:szCs w:val="20"/>
              </w:rPr>
              <w:t>female</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 xml:space="preserve">80.7 %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79.8%</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 xml:space="preserve">84.5% </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85.1%</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78.5%</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82.1%</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
                <w:bCs/>
                <w:color w:val="auto"/>
                <w:sz w:val="18"/>
                <w:szCs w:val="20"/>
              </w:rPr>
              <w:t>Weight (kg)</w:t>
            </w:r>
          </w:p>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Cs/>
                <w:color w:val="auto"/>
                <w:sz w:val="18"/>
                <w:szCs w:val="20"/>
              </w:rP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74.15 (17.27)</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74.05 (18.54)</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74.68 (19.72)</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79.41 (21.3)</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78.59 (22.04)</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76.68 (21.25)</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
                <w:bCs/>
                <w:color w:val="auto"/>
                <w:sz w:val="18"/>
                <w:szCs w:val="20"/>
              </w:rPr>
              <w:t>BMI (kg/m</w:t>
            </w:r>
            <w:r w:rsidRPr="00282107">
              <w:rPr>
                <w:rFonts w:ascii="Arial Narrow" w:hAnsi="Arial Narrow"/>
                <w:b/>
                <w:bCs/>
                <w:color w:val="auto"/>
                <w:sz w:val="18"/>
                <w:szCs w:val="20"/>
                <w:vertAlign w:val="superscript"/>
              </w:rPr>
              <w:t>2</w:t>
            </w:r>
            <w:r w:rsidRPr="00282107">
              <w:rPr>
                <w:rFonts w:ascii="Arial Narrow" w:hAnsi="Arial Narrow"/>
                <w:b/>
                <w:bCs/>
                <w:color w:val="auto"/>
                <w:sz w:val="18"/>
                <w:szCs w:val="20"/>
              </w:rPr>
              <w:t>)</w:t>
            </w:r>
          </w:p>
          <w:p w:rsidR="0002535F" w:rsidRPr="00282107" w:rsidRDefault="0002535F" w:rsidP="00E50389">
            <w:pPr>
              <w:spacing w:before="60" w:after="60"/>
              <w:rPr>
                <w:rFonts w:ascii="Arial Narrow" w:hAnsi="Arial Narrow"/>
                <w:b/>
                <w:bCs/>
                <w:color w:val="auto"/>
                <w:sz w:val="18"/>
                <w:szCs w:val="20"/>
              </w:rPr>
            </w:pPr>
            <w:r w:rsidRPr="00282107">
              <w:rPr>
                <w:rFonts w:ascii="Arial Narrow" w:hAnsi="Arial Narrow"/>
                <w:bCs/>
                <w:color w:val="auto"/>
                <w:sz w:val="18"/>
                <w:szCs w:val="20"/>
              </w:rP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28.126 (5.84)</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28.04 (6.57)</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28.57 (6.67)</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30.24 (7.78)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29.14 (6.92)</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tcPr>
          <w:p w:rsidR="0002535F" w:rsidRPr="00282107" w:rsidRDefault="0002535F" w:rsidP="00E50389">
            <w:pPr>
              <w:spacing w:before="60" w:after="60"/>
              <w:jc w:val="center"/>
              <w:rPr>
                <w:rFonts w:ascii="Arial Narrow" w:hAnsi="Arial Narrow"/>
                <w:color w:val="auto"/>
                <w:sz w:val="18"/>
                <w:szCs w:val="20"/>
              </w:rPr>
            </w:pPr>
            <w:r w:rsidRPr="00282107">
              <w:rPr>
                <w:rFonts w:ascii="Arial Narrow" w:hAnsi="Arial Narrow"/>
                <w:color w:val="auto"/>
                <w:sz w:val="18"/>
                <w:szCs w:val="20"/>
              </w:rPr>
              <w:t>29.21 (6.75)</w:t>
            </w:r>
          </w:p>
        </w:tc>
      </w:tr>
      <w:tr w:rsidR="0002535F" w:rsidRPr="00282107" w:rsidTr="00E50389">
        <w:trPr>
          <w:cantSplit/>
          <w:trHeight w:val="264"/>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Functional class</w:t>
            </w:r>
          </w:p>
        </w:tc>
      </w:tr>
      <w:tr w:rsidR="0002535F" w:rsidRPr="00282107" w:rsidTr="00E50389">
        <w:trPr>
          <w:cantSplit/>
          <w:trHeight w:val="70"/>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ind w:firstLine="180"/>
              <w:rPr>
                <w:rFonts w:ascii="Arial Narrow" w:eastAsia="Calibri" w:hAnsi="Arial Narrow" w:cs="Calibri"/>
                <w:color w:val="auto"/>
                <w:sz w:val="20"/>
                <w:szCs w:val="20"/>
                <w:lang w:eastAsia="zh-TW"/>
              </w:rPr>
            </w:pPr>
            <w:r w:rsidRPr="00282107">
              <w:rPr>
                <w:rFonts w:ascii="Arial Narrow" w:hAnsi="Arial Narrow"/>
                <w:color w:val="auto"/>
                <w:sz w:val="20"/>
                <w:szCs w:val="20"/>
              </w:rPr>
              <w:t xml:space="preserve">I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11.8%</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13.3%</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10.5%</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7.2%</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11.0%</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10.3%</w:t>
            </w:r>
          </w:p>
        </w:tc>
      </w:tr>
      <w:tr w:rsidR="0002535F" w:rsidRPr="00282107" w:rsidTr="00E50389">
        <w:trPr>
          <w:cantSplit/>
          <w:trHeight w:val="70"/>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ind w:firstLine="180"/>
              <w:rPr>
                <w:rFonts w:ascii="Arial Narrow" w:eastAsia="Calibri" w:hAnsi="Arial Narrow" w:cs="Calibri"/>
                <w:color w:val="auto"/>
                <w:sz w:val="20"/>
                <w:szCs w:val="20"/>
                <w:lang w:eastAsia="zh-TW"/>
              </w:rPr>
            </w:pPr>
            <w:r w:rsidRPr="00282107">
              <w:rPr>
                <w:rFonts w:ascii="Arial Narrow" w:hAnsi="Arial Narrow"/>
                <w:color w:val="auto"/>
                <w:sz w:val="20"/>
                <w:szCs w:val="20"/>
              </w:rPr>
              <w:t xml:space="preserve">II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68.8%</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63.5%</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69.4%</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60.8%</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55.2%</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57.1%</w:t>
            </w:r>
          </w:p>
        </w:tc>
      </w:tr>
      <w:tr w:rsidR="0002535F" w:rsidRPr="00282107" w:rsidTr="00E50389">
        <w:trPr>
          <w:cantSplit/>
          <w:trHeight w:val="70"/>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ind w:firstLine="180"/>
              <w:rPr>
                <w:rFonts w:ascii="Arial Narrow" w:eastAsia="Calibri" w:hAnsi="Arial Narrow" w:cs="Calibri"/>
                <w:color w:val="auto"/>
                <w:sz w:val="20"/>
                <w:szCs w:val="20"/>
                <w:lang w:eastAsia="zh-TW"/>
              </w:rPr>
            </w:pPr>
            <w:r w:rsidRPr="00282107">
              <w:rPr>
                <w:rFonts w:ascii="Arial Narrow" w:hAnsi="Arial Narrow"/>
                <w:color w:val="auto"/>
                <w:sz w:val="20"/>
                <w:szCs w:val="20"/>
              </w:rPr>
              <w:t xml:space="preserve">III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19.3%</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23.3 %</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20.1%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32.0%</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33.7%</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32.6%</w:t>
            </w:r>
          </w:p>
        </w:tc>
      </w:tr>
      <w:tr w:rsidR="0002535F" w:rsidRPr="00282107" w:rsidTr="00E50389">
        <w:trPr>
          <w:cantSplit/>
          <w:trHeight w:val="228"/>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ind w:firstLine="180"/>
              <w:rPr>
                <w:rFonts w:ascii="Arial Narrow" w:eastAsia="Calibri" w:hAnsi="Arial Narrow" w:cs="Calibri"/>
                <w:color w:val="auto"/>
                <w:sz w:val="20"/>
                <w:szCs w:val="20"/>
                <w:lang w:eastAsia="zh-TW"/>
              </w:rPr>
            </w:pPr>
            <w:r w:rsidRPr="00282107">
              <w:rPr>
                <w:rFonts w:ascii="Arial Narrow" w:hAnsi="Arial Narrow"/>
                <w:color w:val="auto"/>
                <w:sz w:val="20"/>
                <w:szCs w:val="20"/>
              </w:rPr>
              <w:t>IV</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0</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RF positive</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84.4%</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87.1%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82.6%</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78.9%</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74.6%</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72.9%</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ind w:right="-171"/>
              <w:rPr>
                <w:rFonts w:ascii="Arial Narrow" w:eastAsia="Calibri" w:hAnsi="Arial Narrow" w:cs="Calibri"/>
                <w:b/>
                <w:bCs/>
                <w:color w:val="auto"/>
                <w:sz w:val="20"/>
                <w:szCs w:val="20"/>
                <w:lang w:eastAsia="zh-TW"/>
              </w:rPr>
            </w:pPr>
            <w:r w:rsidRPr="00282107">
              <w:rPr>
                <w:rFonts w:ascii="Arial Narrow" w:hAnsi="Arial Narrow"/>
                <w:b/>
                <w:bCs/>
                <w:color w:val="auto"/>
                <w:sz w:val="20"/>
                <w:szCs w:val="20"/>
              </w:rPr>
              <w:t>Anti</w:t>
            </w:r>
            <w:r w:rsidRPr="00282107">
              <w:rPr>
                <w:rFonts w:ascii="Arial Narrow" w:hAnsi="Arial Narrow"/>
                <w:b/>
                <w:bCs/>
                <w:color w:val="auto"/>
                <w:sz w:val="20"/>
                <w:szCs w:val="20"/>
              </w:rPr>
              <w:noBreakHyphen/>
              <w:t xml:space="preserve">CCP positive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85.4%</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90.2%</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84.9%</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83.3%</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75.0%</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76.1%</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TJC (0</w:t>
            </w:r>
            <w:r w:rsidRPr="00282107">
              <w:rPr>
                <w:rFonts w:ascii="Arial Narrow" w:hAnsi="Arial Narrow"/>
                <w:b/>
                <w:bCs/>
                <w:color w:val="auto"/>
                <w:sz w:val="20"/>
                <w:szCs w:val="20"/>
              </w:rPr>
              <w:noBreakHyphen/>
              <w:t>68)</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26.80 (13.75)</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27.21 (14.15)</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26.50 (14.46)</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29.42 (14.54)</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27.66 (15.57)</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29.55 (15.54)</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SJC (0</w:t>
            </w:r>
            <w:r w:rsidRPr="00282107">
              <w:rPr>
                <w:rFonts w:ascii="Arial Narrow" w:hAnsi="Arial Narrow"/>
                <w:b/>
                <w:bCs/>
                <w:color w:val="auto"/>
                <w:sz w:val="20"/>
                <w:szCs w:val="20"/>
              </w:rPr>
              <w:noBreakHyphen/>
              <w:t>66)</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16.68 (9.30)</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16.60 (8.96)</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16.77 (9.68)</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20.21 (11.34)</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19.60 (11.23)</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19.97 (11.94)</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CRP (mg/L)</w:t>
            </w:r>
            <w:r w:rsidRPr="00282107">
              <w:rPr>
                <w:rFonts w:ascii="Arial Narrow" w:hAnsi="Arial Narrow"/>
                <w:color w:val="auto"/>
                <w:sz w:val="20"/>
                <w:szCs w:val="20"/>
              </w:rPr>
              <w:t xml:space="preserve"> </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20.46 (23.01)</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22.57 (23.10)</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22.23 (23.78)</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26.02 (25.20)</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23.60 (23.44)</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30.77 (28.35)</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HAQ</w:t>
            </w:r>
            <w:r w:rsidRPr="00282107">
              <w:rPr>
                <w:rFonts w:ascii="Arial Narrow" w:hAnsi="Arial Narrow"/>
                <w:b/>
                <w:bCs/>
                <w:color w:val="auto"/>
                <w:sz w:val="20"/>
                <w:szCs w:val="20"/>
              </w:rPr>
              <w:noBreakHyphen/>
              <w:t>DI  (0</w:t>
            </w:r>
            <w:r w:rsidRPr="00282107">
              <w:rPr>
                <w:rFonts w:ascii="Arial Narrow" w:hAnsi="Arial Narrow"/>
                <w:b/>
                <w:bCs/>
                <w:color w:val="auto"/>
                <w:sz w:val="20"/>
                <w:szCs w:val="20"/>
              </w:rPr>
              <w:noBreakHyphen/>
              <w:t>3)</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1.61 (0.66)</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1.63 (0.63)</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1.69 (0.64)</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1.80 (0.64)</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1.72 (0.62)</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1.82 (0.62)</w:t>
            </w:r>
          </w:p>
        </w:tc>
      </w:tr>
      <w:tr w:rsidR="0002535F" w:rsidRPr="00282107" w:rsidTr="00E50389">
        <w:trPr>
          <w:cantSplit/>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DAS28</w:t>
            </w:r>
            <w:r w:rsidRPr="00282107">
              <w:rPr>
                <w:rFonts w:ascii="Arial Narrow" w:hAnsi="Arial Narrow"/>
                <w:b/>
                <w:bCs/>
                <w:color w:val="auto"/>
                <w:sz w:val="20"/>
                <w:szCs w:val="20"/>
              </w:rPr>
              <w:noBreakHyphen/>
              <w:t>CRP</w:t>
            </w:r>
            <w:r w:rsidRPr="00282107">
              <w:rPr>
                <w:rFonts w:ascii="Arial Narrow" w:hAnsi="Arial Narrow"/>
                <w:color w:val="auto"/>
                <w:sz w:val="20"/>
                <w:szCs w:val="20"/>
              </w:rPr>
              <w:t xml:space="preserve"> </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5.93 (0.87)</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5.95 (0.91)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5.97 (0.87)</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6.23 (0.86)</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6.09 (0.90)</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6.29 (0.98)</w:t>
            </w:r>
          </w:p>
        </w:tc>
      </w:tr>
      <w:tr w:rsidR="0002535F" w:rsidRPr="00282107" w:rsidTr="00E50389">
        <w:trPr>
          <w:cantSplit/>
          <w:trHeight w:val="64"/>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CDAI (0</w:t>
            </w:r>
            <w:r w:rsidRPr="00282107">
              <w:rPr>
                <w:rFonts w:ascii="Arial Narrow" w:hAnsi="Arial Narrow"/>
                <w:b/>
                <w:bCs/>
                <w:color w:val="auto"/>
                <w:sz w:val="20"/>
                <w:szCs w:val="20"/>
              </w:rPr>
              <w:noBreakHyphen/>
              <w:t>76)</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40.60 (11.95)</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40.45 (12.51)</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40.40 (12.33)</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44.17 (12.27)</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42.53 (12.89)</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44.11 (13.93)</w:t>
            </w:r>
          </w:p>
        </w:tc>
      </w:tr>
      <w:tr w:rsidR="0002535F" w:rsidRPr="00282107" w:rsidTr="00E50389">
        <w:trPr>
          <w:cantSplit/>
          <w:trHeight w:val="64"/>
          <w:jc w:val="center"/>
        </w:trPr>
        <w:tc>
          <w:tcPr>
            <w:tcW w:w="8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535F" w:rsidRPr="00282107" w:rsidRDefault="0002535F" w:rsidP="00E50389">
            <w:pPr>
              <w:spacing w:before="60" w:after="60"/>
              <w:rPr>
                <w:rFonts w:ascii="Arial Narrow" w:eastAsia="Calibri" w:hAnsi="Arial Narrow" w:cs="Calibri"/>
                <w:color w:val="auto"/>
                <w:sz w:val="20"/>
                <w:szCs w:val="20"/>
                <w:lang w:eastAsia="zh-TW"/>
              </w:rPr>
            </w:pPr>
            <w:r w:rsidRPr="00282107">
              <w:rPr>
                <w:rFonts w:ascii="Arial Narrow" w:hAnsi="Arial Narrow"/>
                <w:b/>
                <w:bCs/>
                <w:color w:val="auto"/>
                <w:sz w:val="20"/>
                <w:szCs w:val="20"/>
              </w:rPr>
              <w:t>mTSS (0</w:t>
            </w:r>
            <w:r w:rsidRPr="00282107">
              <w:rPr>
                <w:rFonts w:ascii="Arial Narrow" w:hAnsi="Arial Narrow"/>
                <w:b/>
                <w:bCs/>
                <w:color w:val="auto"/>
                <w:sz w:val="20"/>
                <w:szCs w:val="20"/>
              </w:rPr>
              <w:noBreakHyphen/>
              <w:t>448)</w:t>
            </w:r>
            <w:r w:rsidRPr="00282107">
              <w:rPr>
                <w:rFonts w:ascii="Arial Narrow" w:hAnsi="Arial Narrow"/>
                <w:color w:val="auto"/>
                <w:sz w:val="20"/>
                <w:szCs w:val="20"/>
              </w:rPr>
              <w:br/>
              <w:t>Mean (SD)</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47.74 (63.78)</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54.64 (64.95)</w:t>
            </w:r>
          </w:p>
        </w:tc>
        <w:tc>
          <w:tcPr>
            <w:tcW w:w="78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44.99 (56.31)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NA</w:t>
            </w:r>
          </w:p>
        </w:tc>
        <w:tc>
          <w:tcPr>
            <w:tcW w:w="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NA</w:t>
            </w:r>
          </w:p>
        </w:tc>
        <w:tc>
          <w:tcPr>
            <w:tcW w:w="7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2535F" w:rsidRPr="00282107" w:rsidRDefault="0002535F" w:rsidP="00E50389">
            <w:pPr>
              <w:spacing w:before="60" w:after="60"/>
              <w:jc w:val="center"/>
              <w:rPr>
                <w:rFonts w:ascii="Arial Narrow" w:eastAsia="Calibri" w:hAnsi="Arial Narrow" w:cs="Calibri"/>
                <w:color w:val="auto"/>
                <w:sz w:val="20"/>
                <w:szCs w:val="20"/>
                <w:lang w:eastAsia="zh-TW"/>
              </w:rPr>
            </w:pPr>
            <w:r w:rsidRPr="00282107">
              <w:rPr>
                <w:rFonts w:ascii="Arial Narrow" w:hAnsi="Arial Narrow"/>
                <w:color w:val="auto"/>
                <w:sz w:val="20"/>
                <w:szCs w:val="20"/>
              </w:rPr>
              <w:t>NA</w:t>
            </w:r>
          </w:p>
        </w:tc>
      </w:tr>
      <w:tr w:rsidR="0002535F" w:rsidRPr="00282107" w:rsidTr="00E50389">
        <w:trPr>
          <w:cantSplit/>
          <w:trHeight w:val="64"/>
          <w:jc w:val="center"/>
        </w:trPr>
        <w:tc>
          <w:tcPr>
            <w:tcW w:w="5000" w:type="pct"/>
            <w:gridSpan w:val="7"/>
            <w:tcMar>
              <w:top w:w="0" w:type="dxa"/>
              <w:left w:w="108" w:type="dxa"/>
              <w:bottom w:w="0" w:type="dxa"/>
              <w:right w:w="108" w:type="dxa"/>
            </w:tcMar>
            <w:hideMark/>
          </w:tcPr>
          <w:p w:rsidR="0002535F" w:rsidRDefault="0002535F" w:rsidP="00E50389">
            <w:pPr>
              <w:snapToGrid w:val="0"/>
              <w:rPr>
                <w:rFonts w:ascii="Arial Narrow" w:eastAsia="Calibri" w:hAnsi="Arial Narrow" w:cs="Calibri"/>
                <w:color w:val="auto"/>
                <w:sz w:val="18"/>
                <w:szCs w:val="18"/>
                <w:lang w:eastAsia="zh-TW"/>
              </w:rPr>
            </w:pPr>
            <w:r w:rsidRPr="00282107">
              <w:rPr>
                <w:rFonts w:ascii="Arial Narrow" w:hAnsi="Arial Narrow"/>
                <w:color w:val="auto"/>
                <w:sz w:val="18"/>
                <w:szCs w:val="18"/>
              </w:rPr>
              <w:t>CCP= cyclic citrullinated peptide; CDAI=Clinical disease Activity Index; CRP=C-reactive protein; DAS=Disease activity Score; HAQ-DI=Health assessment Questionnaire - Disability Index; mTSS=modified Total Sharp Score; NA=not available; RF=rheumatoid factor NA=not available; SD=standard deviation; SJC=Swollen Joint Count; TJC=Tender Joint Count.</w:t>
            </w:r>
          </w:p>
          <w:p w:rsidR="0002535F" w:rsidRPr="0002535F" w:rsidRDefault="0002535F" w:rsidP="00E50389">
            <w:pPr>
              <w:snapToGrid w:val="0"/>
              <w:rPr>
                <w:rFonts w:ascii="Arial Narrow" w:eastAsia="Calibri" w:hAnsi="Arial Narrow" w:cs="Calibri"/>
                <w:color w:val="auto"/>
                <w:sz w:val="18"/>
                <w:szCs w:val="18"/>
                <w:lang w:eastAsia="zh-TW"/>
              </w:rPr>
            </w:pPr>
            <w:r w:rsidRPr="00282107">
              <w:rPr>
                <w:rFonts w:ascii="Arial Narrow" w:hAnsi="Arial Narrow"/>
                <w:color w:val="auto"/>
                <w:sz w:val="18"/>
                <w:szCs w:val="18"/>
              </w:rPr>
              <w:t>RF (Rheumatoid Factor) positive: ≥15 IU/mL; Anti</w:t>
            </w:r>
            <w:r w:rsidRPr="00282107">
              <w:rPr>
                <w:rFonts w:ascii="Arial Narrow" w:hAnsi="Arial Narrow"/>
                <w:color w:val="auto"/>
                <w:sz w:val="18"/>
                <w:szCs w:val="18"/>
              </w:rPr>
              <w:noBreakHyphen/>
              <w:t>Cyclic Citrullinated Peptide (CCP) positive: ≥17 IU/mL</w:t>
            </w:r>
          </w:p>
        </w:tc>
      </w:tr>
    </w:tbl>
    <w:p w:rsidR="0002535F" w:rsidRDefault="0002535F" w:rsidP="0002535F">
      <w:pPr>
        <w:spacing w:before="0"/>
        <w:jc w:val="center"/>
        <w:rPr>
          <w:lang w:val="en-AU"/>
        </w:rPr>
      </w:pPr>
    </w:p>
    <w:p w:rsidR="0002535F" w:rsidRDefault="00E50389" w:rsidP="00E50389">
      <w:pPr>
        <w:pStyle w:val="Heading4"/>
        <w:numPr>
          <w:ilvl w:val="0"/>
          <w:numId w:val="0"/>
        </w:numPr>
        <w:ind w:left="862" w:hanging="862"/>
      </w:pPr>
      <w:r w:rsidRPr="00E50389">
        <w:lastRenderedPageBreak/>
        <w:t>Placebo-controlled Studies</w:t>
      </w:r>
    </w:p>
    <w:p w:rsidR="00E50389" w:rsidRDefault="00E50389" w:rsidP="00E50389">
      <w:r w:rsidRPr="00E50389">
        <w:t>The MOBILITY study evaluated 1197 patients with moderately to severely active rheumatoid arthritis who had inadequate clinical response to methotrexate (MTX). Patients received subcutaneous Kevzara 200 mg, Kevzara 150 mg, or placebo every 2 weeks with concomitant MTX. After Week 16, patients with an inadequate response could have been rescued with KEVZARA 200 mg every two weeks. 67.7% of patients who received the 200 mg dose and 67.5% of patients who received the 150 mg dose completed the double-blind period, compared to</w:t>
      </w:r>
      <w:r>
        <w:t xml:space="preserve"> 49.2% in the placebo group. The primary endpoints were the proportion of Kevzara patients who achieved an ACR20 response at Week 24, changes from baseline in Health Assessment Questionnaire – Disability Index (HAQ-DI) score at Week 16, and change from baseline in van der Heijde-modified Total Sharp Score (mTSS) at Week 52. The key secondary endpoint was a major clinical response (defined as ACR70 response maintained for 24 weeks).</w:t>
      </w:r>
    </w:p>
    <w:p w:rsidR="00E50389" w:rsidRDefault="00E50389" w:rsidP="00E50389">
      <w:r>
        <w:t xml:space="preserve">The TARGET study evaluated 546 patients with moderately to severely active rheumatoid arthritis who had an inadequate clinical response or were intolerant to one or more TNF-α antagonists. Patients received subcutaneous Kevzara 200 mg, Kevzara 150 mg, or placebo every 2 weeks with a </w:t>
      </w:r>
      <w:r w:rsidRPr="0007590F">
        <w:rPr>
          <w:color w:val="auto"/>
        </w:rPr>
        <w:t>concomitant non-biologic</w:t>
      </w:r>
      <w:r w:rsidR="00C61E82" w:rsidRPr="0007590F">
        <w:rPr>
          <w:color w:val="auto"/>
        </w:rPr>
        <w:t>al</w:t>
      </w:r>
      <w:r w:rsidRPr="0007590F">
        <w:rPr>
          <w:color w:val="auto"/>
        </w:rPr>
        <w:t xml:space="preserve"> DMARDs</w:t>
      </w:r>
      <w:r>
        <w:t>. After Week 12, patients with an inadequate response could have been rescued with KEVZARA 200 mg every two weeks.   72.3% of patients who received the 200 mg dose and 69.1% % of patients who received the 150 mg dose completed the double-blind period, compared to 55.8 % in the placebo group. The primary endpoints were the proportion of Kevzara patients who achieved an ACR20 response at Week 24 and the changes from baseline HAQ-DI score at Week 12.</w:t>
      </w:r>
    </w:p>
    <w:p w:rsidR="000E1A58" w:rsidRPr="00BB452D" w:rsidRDefault="00E50389" w:rsidP="00E50389">
      <w:pPr>
        <w:pStyle w:val="Heading5"/>
        <w:numPr>
          <w:ilvl w:val="0"/>
          <w:numId w:val="0"/>
        </w:numPr>
        <w:ind w:left="1009" w:hanging="1009"/>
        <w:rPr>
          <w:b/>
        </w:rPr>
      </w:pPr>
      <w:r w:rsidRPr="00BB452D">
        <w:rPr>
          <w:b/>
        </w:rPr>
        <w:t>Clinical Response</w:t>
      </w:r>
    </w:p>
    <w:p w:rsidR="00E50389" w:rsidRDefault="00E50389" w:rsidP="00E50389">
      <w:r w:rsidRPr="00E50389">
        <w:t xml:space="preserve">The percentages of KEVZARA+MTX/DMARD-treated patients achieving ACR20, 50 and 70 responses in Studies 1 and 2 are shown </w:t>
      </w:r>
      <w:r w:rsidR="00BB452D">
        <w:t>in</w:t>
      </w:r>
      <w:r w:rsidR="00DF0F51">
        <w:t xml:space="preserve"> </w:t>
      </w:r>
      <w:r w:rsidR="00DF0F51" w:rsidRPr="00DF0F51">
        <w:rPr>
          <w:color w:val="0000FF"/>
        </w:rPr>
        <w:fldChar w:fldCharType="begin"/>
      </w:r>
      <w:r w:rsidR="00DF0F51" w:rsidRPr="00DF0F51">
        <w:rPr>
          <w:color w:val="0000FF"/>
        </w:rPr>
        <w:instrText xml:space="preserve"> REF _Ref524420116 \h  \* MERGEFORMAT </w:instrText>
      </w:r>
      <w:r w:rsidR="00DF0F51" w:rsidRPr="00DF0F51">
        <w:rPr>
          <w:color w:val="0000FF"/>
        </w:rPr>
      </w:r>
      <w:r w:rsidR="00DF0F51" w:rsidRPr="00DF0F51">
        <w:rPr>
          <w:color w:val="0000FF"/>
        </w:rPr>
        <w:fldChar w:fldCharType="separate"/>
      </w:r>
      <w:r w:rsidR="00EA3D29" w:rsidRPr="00EA3D29">
        <w:rPr>
          <w:color w:val="0000FF"/>
        </w:rPr>
        <w:t>Table 4</w:t>
      </w:r>
      <w:r w:rsidR="00DF0F51" w:rsidRPr="00DF0F51">
        <w:rPr>
          <w:color w:val="0000FF"/>
        </w:rPr>
        <w:fldChar w:fldCharType="end"/>
      </w:r>
      <w:r w:rsidR="00DF0F51">
        <w:t xml:space="preserve">. </w:t>
      </w:r>
      <w:r w:rsidRPr="00E50389">
        <w:t xml:space="preserve">In both studies, patients treated with either 200 mg or 150 mg of KEVZARA +MTX/DMARD every two weeks had </w:t>
      </w:r>
      <w:r w:rsidR="00C37687">
        <w:t xml:space="preserve">higher ACR20, ACR50, and ACR70 </w:t>
      </w:r>
      <w:r w:rsidRPr="00E50389">
        <w:t>response rates versus placebo-treated patients at Week 24.</w:t>
      </w:r>
    </w:p>
    <w:p w:rsidR="00A23734" w:rsidRDefault="00A23734" w:rsidP="00A23734">
      <w:pPr>
        <w:pStyle w:val="Caption"/>
      </w:pPr>
      <w:r>
        <w:t xml:space="preserve"> </w:t>
      </w:r>
      <w:bookmarkStart w:id="9" w:name="_Ref524420116"/>
      <w:r>
        <w:t>Table </w:t>
      </w:r>
      <w:r>
        <w:fldChar w:fldCharType="begin"/>
      </w:r>
      <w:r>
        <w:instrText xml:space="preserve"> SEQ Table \* ARABIC </w:instrText>
      </w:r>
      <w:r>
        <w:fldChar w:fldCharType="separate"/>
      </w:r>
      <w:r w:rsidR="00EA3D29">
        <w:rPr>
          <w:noProof/>
        </w:rPr>
        <w:t>4</w:t>
      </w:r>
      <w:r>
        <w:fldChar w:fldCharType="end"/>
      </w:r>
      <w:bookmarkEnd w:id="9"/>
      <w:r>
        <w:t xml:space="preserve"> ­ </w:t>
      </w:r>
      <w:r w:rsidRPr="00A23734">
        <w:t>Clinical Response at Weeks 12, 24 and 52 in Placebo-Controlled MOBILITY and TARGET studies in adults with moderate to severely active RA *</w:t>
      </w:r>
    </w:p>
    <w:p w:rsidR="00A23734" w:rsidRPr="00A23734" w:rsidRDefault="00A23734" w:rsidP="00A23734"/>
    <w:tbl>
      <w:tblPr>
        <w:tblW w:w="5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932"/>
        <w:gridCol w:w="1620"/>
        <w:gridCol w:w="1598"/>
        <w:gridCol w:w="1278"/>
        <w:gridCol w:w="1596"/>
        <w:gridCol w:w="1684"/>
      </w:tblGrid>
      <w:tr w:rsidR="00A23734" w:rsidRPr="00282107" w:rsidTr="005C7C84">
        <w:trPr>
          <w:cantSplit/>
          <w:jc w:val="center"/>
        </w:trPr>
        <w:tc>
          <w:tcPr>
            <w:tcW w:w="5000" w:type="pct"/>
            <w:gridSpan w:val="7"/>
            <w:shd w:val="clear" w:color="auto" w:fill="auto"/>
            <w:vAlign w:val="center"/>
          </w:tcPr>
          <w:p w:rsidR="00A23734" w:rsidRPr="00282107" w:rsidRDefault="00A23734" w:rsidP="005C7C84">
            <w:pPr>
              <w:pStyle w:val="TblHeadingCenter"/>
              <w:spacing w:before="2" w:after="2"/>
              <w:rPr>
                <w:rFonts w:ascii="Times New Roman" w:hAnsi="Times New Roman" w:cs="Times New Roman"/>
                <w:sz w:val="18"/>
                <w:lang w:val="en-US" w:eastAsia="fr-FR"/>
              </w:rPr>
            </w:pPr>
            <w:r w:rsidRPr="00282107">
              <w:rPr>
                <w:rFonts w:ascii="Times New Roman" w:hAnsi="Times New Roman" w:cs="Times New Roman"/>
                <w:lang w:val="en-US" w:eastAsia="fr-FR"/>
              </w:rPr>
              <w:t>Percentage of Patients</w:t>
            </w:r>
          </w:p>
        </w:tc>
      </w:tr>
      <w:tr w:rsidR="00A23734" w:rsidRPr="00282107" w:rsidTr="005C7C84">
        <w:trPr>
          <w:cantSplit/>
          <w:jc w:val="center"/>
        </w:trPr>
        <w:tc>
          <w:tcPr>
            <w:tcW w:w="1076" w:type="pct"/>
            <w:vMerge w:val="restart"/>
            <w:shd w:val="clear" w:color="auto" w:fill="auto"/>
            <w:vAlign w:val="center"/>
          </w:tcPr>
          <w:p w:rsidR="00A23734" w:rsidRPr="00282107" w:rsidRDefault="00A23734" w:rsidP="005C7C84">
            <w:pPr>
              <w:pStyle w:val="TblHeadingCenter"/>
              <w:spacing w:before="2" w:after="2"/>
              <w:rPr>
                <w:rFonts w:ascii="Times New Roman" w:hAnsi="Times New Roman" w:cs="Times New Roman"/>
                <w:sz w:val="18"/>
                <w:highlight w:val="yellow"/>
                <w:lang w:val="en-US" w:eastAsia="fr-FR"/>
              </w:rPr>
            </w:pPr>
          </w:p>
        </w:tc>
        <w:tc>
          <w:tcPr>
            <w:tcW w:w="1870" w:type="pct"/>
            <w:gridSpan w:val="3"/>
            <w:shd w:val="clear" w:color="auto" w:fill="auto"/>
            <w:vAlign w:val="center"/>
          </w:tcPr>
          <w:p w:rsidR="00A23734" w:rsidRPr="00282107" w:rsidRDefault="00A23734" w:rsidP="005C7C84">
            <w:pPr>
              <w:pStyle w:val="TblHeadingCenter"/>
              <w:spacing w:before="2" w:after="2"/>
              <w:rPr>
                <w:rFonts w:ascii="Times New Roman" w:hAnsi="Times New Roman" w:cs="Times New Roman"/>
                <w:lang w:val="en-US"/>
              </w:rPr>
            </w:pPr>
            <w:r w:rsidRPr="00282107">
              <w:rPr>
                <w:rFonts w:ascii="Times New Roman" w:hAnsi="Times New Roman" w:cs="Times New Roman"/>
                <w:lang w:val="en-US"/>
              </w:rPr>
              <w:t>MOBILITY</w:t>
            </w:r>
          </w:p>
          <w:p w:rsidR="00A23734" w:rsidRPr="00282107" w:rsidRDefault="00A23734" w:rsidP="005C7C84">
            <w:pPr>
              <w:pStyle w:val="TblHeadingCenter"/>
              <w:spacing w:before="2" w:after="2"/>
              <w:rPr>
                <w:rFonts w:ascii="Times New Roman" w:hAnsi="Times New Roman" w:cs="Times New Roman"/>
                <w:lang w:val="en-US"/>
              </w:rPr>
            </w:pPr>
            <w:r w:rsidRPr="00282107">
              <w:rPr>
                <w:rFonts w:ascii="Times New Roman" w:hAnsi="Times New Roman" w:cs="Times New Roman"/>
                <w:lang w:val="en-US"/>
              </w:rPr>
              <w:t>MTX Inadequate Responders</w:t>
            </w:r>
          </w:p>
        </w:tc>
        <w:tc>
          <w:tcPr>
            <w:tcW w:w="2054" w:type="pct"/>
            <w:gridSpan w:val="3"/>
            <w:shd w:val="clear" w:color="auto" w:fill="auto"/>
            <w:vAlign w:val="center"/>
          </w:tcPr>
          <w:p w:rsidR="00A23734" w:rsidRPr="00282107" w:rsidRDefault="00A23734" w:rsidP="005C7C84">
            <w:pPr>
              <w:pStyle w:val="TblHeadingCenter"/>
              <w:spacing w:before="2" w:after="2"/>
              <w:rPr>
                <w:rFonts w:ascii="Times New Roman" w:hAnsi="Times New Roman" w:cs="Times New Roman"/>
                <w:lang w:val="en-US"/>
              </w:rPr>
            </w:pPr>
            <w:r w:rsidRPr="00282107">
              <w:rPr>
                <w:rFonts w:ascii="Times New Roman" w:hAnsi="Times New Roman" w:cs="Times New Roman"/>
                <w:lang w:val="en-US"/>
              </w:rPr>
              <w:t>TARGET</w:t>
            </w:r>
          </w:p>
          <w:p w:rsidR="00A23734" w:rsidRPr="00282107" w:rsidRDefault="00A23734" w:rsidP="005C7C84">
            <w:pPr>
              <w:pStyle w:val="TblHeadingCenter"/>
              <w:spacing w:before="2" w:after="2"/>
              <w:rPr>
                <w:rFonts w:ascii="Times New Roman" w:hAnsi="Times New Roman" w:cs="Times New Roman"/>
                <w:lang w:val="en-US"/>
              </w:rPr>
            </w:pPr>
            <w:r w:rsidRPr="00282107">
              <w:rPr>
                <w:rFonts w:ascii="Times New Roman" w:hAnsi="Times New Roman" w:cs="Times New Roman"/>
                <w:lang w:val="en-US"/>
              </w:rPr>
              <w:t xml:space="preserve">TNF Inhibitor Inadequate Responders </w:t>
            </w:r>
          </w:p>
        </w:tc>
      </w:tr>
      <w:tr w:rsidR="00A23734" w:rsidRPr="00282107" w:rsidTr="005C7C84">
        <w:trPr>
          <w:cantSplit/>
          <w:jc w:val="center"/>
        </w:trPr>
        <w:tc>
          <w:tcPr>
            <w:tcW w:w="1076" w:type="pct"/>
            <w:vMerge/>
            <w:tcBorders>
              <w:bottom w:val="single" w:sz="4" w:space="0" w:color="auto"/>
            </w:tcBorders>
            <w:shd w:val="clear" w:color="auto" w:fill="auto"/>
            <w:vAlign w:val="bottom"/>
          </w:tcPr>
          <w:p w:rsidR="00A23734" w:rsidRPr="00282107" w:rsidRDefault="00A23734" w:rsidP="005C7C84">
            <w:pPr>
              <w:pStyle w:val="TblTextCenter"/>
              <w:spacing w:before="2" w:after="2"/>
              <w:rPr>
                <w:rFonts w:ascii="Times New Roman" w:hAnsi="Times New Roman"/>
                <w:sz w:val="18"/>
                <w:highlight w:val="yellow"/>
              </w:rPr>
            </w:pPr>
          </w:p>
        </w:tc>
        <w:tc>
          <w:tcPr>
            <w:tcW w:w="420"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Placebo + MTX</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N=398</w:t>
            </w:r>
          </w:p>
          <w:p w:rsidR="00A23734" w:rsidRPr="00282107" w:rsidRDefault="00A23734" w:rsidP="005C7C84">
            <w:pPr>
              <w:pStyle w:val="TblTextCenter"/>
              <w:spacing w:before="2" w:after="2"/>
              <w:rPr>
                <w:rFonts w:ascii="Times New Roman" w:hAnsi="Times New Roman"/>
                <w:b/>
                <w:sz w:val="18"/>
              </w:rPr>
            </w:pPr>
          </w:p>
        </w:tc>
        <w:tc>
          <w:tcPr>
            <w:tcW w:w="730"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KEVZARA 150 mg +</w:t>
            </w:r>
            <w:r w:rsidRPr="00282107">
              <w:rPr>
                <w:rFonts w:ascii="Times New Roman" w:hAnsi="Times New Roman"/>
              </w:rPr>
              <w:t> </w:t>
            </w:r>
            <w:r w:rsidRPr="00282107">
              <w:rPr>
                <w:rFonts w:ascii="Times New Roman" w:hAnsi="Times New Roman"/>
                <w:b/>
                <w:sz w:val="20"/>
                <w:szCs w:val="20"/>
              </w:rPr>
              <w:t>MTX</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N=400</w:t>
            </w:r>
          </w:p>
          <w:p w:rsidR="00A23734" w:rsidRPr="00282107" w:rsidRDefault="00A23734" w:rsidP="005C7C84">
            <w:pPr>
              <w:pStyle w:val="NoSpacing"/>
              <w:contextualSpacing/>
              <w:jc w:val="center"/>
              <w:rPr>
                <w:rFonts w:ascii="Times New Roman" w:hAnsi="Times New Roman"/>
                <w:b/>
                <w:sz w:val="18"/>
              </w:rPr>
            </w:pPr>
          </w:p>
        </w:tc>
        <w:tc>
          <w:tcPr>
            <w:tcW w:w="720"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KEVZARA 200 mg + MTX</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N=399</w:t>
            </w:r>
          </w:p>
          <w:p w:rsidR="00A23734" w:rsidRPr="00282107" w:rsidRDefault="00A23734" w:rsidP="005C7C84">
            <w:pPr>
              <w:pStyle w:val="NoSpacing"/>
              <w:contextualSpacing/>
              <w:jc w:val="center"/>
              <w:rPr>
                <w:rFonts w:ascii="Times New Roman" w:hAnsi="Times New Roman"/>
                <w:b/>
                <w:sz w:val="20"/>
                <w:szCs w:val="20"/>
              </w:rPr>
            </w:pPr>
          </w:p>
          <w:p w:rsidR="00A23734" w:rsidRPr="00282107" w:rsidRDefault="00A23734" w:rsidP="005C7C84">
            <w:pPr>
              <w:pStyle w:val="TblTextCenter"/>
              <w:spacing w:before="2" w:after="2"/>
              <w:rPr>
                <w:rFonts w:ascii="Times New Roman" w:hAnsi="Times New Roman"/>
                <w:b/>
                <w:sz w:val="18"/>
              </w:rPr>
            </w:pPr>
          </w:p>
        </w:tc>
        <w:tc>
          <w:tcPr>
            <w:tcW w:w="576"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Placebo + DMARD(s)</w:t>
            </w:r>
            <w:r w:rsidRPr="00282107">
              <w:rPr>
                <w:rStyle w:val="TblFigFootnoteReference"/>
                <w:rFonts w:ascii="Times New Roman" w:hAnsi="Times New Roman"/>
                <w:i w:val="0"/>
                <w:vertAlign w:val="superscript"/>
              </w:rPr>
              <w:t xml:space="preserve"> †</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N=181</w:t>
            </w:r>
          </w:p>
          <w:p w:rsidR="00A23734" w:rsidRPr="00282107" w:rsidRDefault="00A23734" w:rsidP="005C7C84">
            <w:pPr>
              <w:pStyle w:val="TblTextCenter"/>
              <w:spacing w:before="2" w:after="2"/>
              <w:rPr>
                <w:rFonts w:ascii="Times New Roman" w:hAnsi="Times New Roman"/>
                <w:b/>
                <w:sz w:val="18"/>
              </w:rPr>
            </w:pPr>
          </w:p>
        </w:tc>
        <w:tc>
          <w:tcPr>
            <w:tcW w:w="719"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KEVZARA 150 mg + DMARD(s)</w:t>
            </w:r>
            <w:r w:rsidRPr="00282107">
              <w:rPr>
                <w:rStyle w:val="TblFigFootnoteReference"/>
                <w:rFonts w:ascii="Times New Roman" w:hAnsi="Times New Roman"/>
                <w:i w:val="0"/>
                <w:vertAlign w:val="superscript"/>
              </w:rPr>
              <w:t xml:space="preserve"> †</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N=181</w:t>
            </w:r>
          </w:p>
          <w:p w:rsidR="00A23734" w:rsidRPr="00282107" w:rsidRDefault="00A23734" w:rsidP="005C7C84">
            <w:pPr>
              <w:pStyle w:val="NoSpacing"/>
              <w:contextualSpacing/>
              <w:jc w:val="center"/>
              <w:rPr>
                <w:rFonts w:ascii="Times New Roman" w:hAnsi="Times New Roman"/>
                <w:b/>
                <w:sz w:val="18"/>
              </w:rPr>
            </w:pPr>
          </w:p>
        </w:tc>
        <w:tc>
          <w:tcPr>
            <w:tcW w:w="759" w:type="pct"/>
            <w:tcBorders>
              <w:bottom w:val="single" w:sz="4" w:space="0" w:color="auto"/>
            </w:tcBorders>
            <w:shd w:val="clear" w:color="auto" w:fill="auto"/>
          </w:tcPr>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KEVZARA 200 mg + DMARD(s)</w:t>
            </w:r>
            <w:r w:rsidRPr="00282107">
              <w:rPr>
                <w:rStyle w:val="TblFigFootnoteReference"/>
                <w:rFonts w:ascii="Times New Roman" w:hAnsi="Times New Roman"/>
                <w:i w:val="0"/>
                <w:vertAlign w:val="superscript"/>
              </w:rPr>
              <w:t xml:space="preserve"> †</w:t>
            </w:r>
          </w:p>
          <w:p w:rsidR="00A23734" w:rsidRPr="00282107" w:rsidRDefault="00A23734" w:rsidP="005C7C84">
            <w:pPr>
              <w:pStyle w:val="NoSpacing"/>
              <w:contextualSpacing/>
              <w:jc w:val="center"/>
              <w:rPr>
                <w:rFonts w:ascii="Times New Roman" w:hAnsi="Times New Roman"/>
                <w:b/>
                <w:sz w:val="20"/>
                <w:szCs w:val="20"/>
              </w:rPr>
            </w:pPr>
            <w:r w:rsidRPr="00282107">
              <w:rPr>
                <w:rFonts w:ascii="Times New Roman" w:hAnsi="Times New Roman"/>
                <w:b/>
                <w:sz w:val="20"/>
                <w:szCs w:val="20"/>
              </w:rPr>
              <w:t>N=184</w:t>
            </w:r>
          </w:p>
          <w:p w:rsidR="00A23734" w:rsidRPr="00282107" w:rsidRDefault="00A23734" w:rsidP="005C7C84">
            <w:pPr>
              <w:pStyle w:val="NoSpacing"/>
              <w:contextualSpacing/>
              <w:jc w:val="center"/>
              <w:rPr>
                <w:rFonts w:ascii="Times New Roman" w:hAnsi="Times New Roman"/>
                <w:b/>
                <w:sz w:val="18"/>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tabs>
                <w:tab w:val="right" w:pos="810"/>
              </w:tabs>
              <w:spacing w:before="0" w:after="0"/>
              <w:ind w:hanging="90"/>
              <w:jc w:val="left"/>
              <w:rPr>
                <w:rFonts w:ascii="Times New Roman" w:hAnsi="Times New Roman"/>
                <w:b/>
              </w:rPr>
            </w:pPr>
            <w:r w:rsidRPr="00282107">
              <w:rPr>
                <w:rFonts w:ascii="Times New Roman" w:hAnsi="Times New Roman"/>
                <w:b/>
              </w:rPr>
              <w:t>ACR20</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12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34.7%</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54.0%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64.9%</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37.6%</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54.1%</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62.5%</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7"/>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19.4%</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(12.6%, 26.1%) </w:t>
            </w:r>
          </w:p>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30.2%</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 (23.6%, 36.8%)</w:t>
            </w:r>
          </w:p>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16.6%</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(6.7%, 26.5%)</w:t>
            </w:r>
          </w:p>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 xml:space="preserve"> </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25.3%</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(15.7%, 34.8%)</w:t>
            </w:r>
          </w:p>
          <w:p w:rsidR="00A23734" w:rsidRPr="00282107" w:rsidRDefault="00A23734" w:rsidP="005C7C84">
            <w:pPr>
              <w:pStyle w:val="TblTextCenter"/>
              <w:spacing w:before="0" w:after="0"/>
              <w:rPr>
                <w:rFonts w:ascii="Times New Roman" w:hAnsi="Times New Roman"/>
                <w:highlight w:val="yellow"/>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24</w:t>
            </w:r>
            <w:r w:rsidRPr="00282107">
              <w:rPr>
                <w:rFonts w:ascii="Times New Roman" w:hAnsi="Times New Roman"/>
                <w:vertAlign w:val="superscript"/>
              </w:rPr>
              <w:t>§</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33.4%</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58.0%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66.4%</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33.7%</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55.8%</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60.9%</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 </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24.6%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(18.0%, 31.3%) </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33.0%</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(26.5%, 39.5%) </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22.1%</w:t>
            </w:r>
          </w:p>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(12.6%, 31.6%)</w:t>
            </w:r>
          </w:p>
          <w:p w:rsidR="00A23734" w:rsidRPr="00282107" w:rsidRDefault="00A23734" w:rsidP="005C7C84">
            <w:pPr>
              <w:pStyle w:val="TblTextCenter"/>
              <w:spacing w:before="0" w:after="0"/>
              <w:ind w:hanging="18"/>
              <w:rPr>
                <w:rFonts w:ascii="Times New Roman" w:hAnsi="Times New Roman"/>
                <w:highlight w:val="yellow"/>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27.4%</w:t>
            </w:r>
          </w:p>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 xml:space="preserve">(17.7%, 37.0%) </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jc w:val="left"/>
              <w:rPr>
                <w:rFonts w:ascii="Times New Roman" w:hAnsi="Times New Roman"/>
              </w:rPr>
            </w:pPr>
            <w:r w:rsidRPr="00282107">
              <w:rPr>
                <w:rFonts w:ascii="Times New Roman" w:hAnsi="Times New Roman"/>
                <w:b/>
              </w:rPr>
              <w:lastRenderedPageBreak/>
              <w:t>Week 52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31.7%</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53.5%</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58.6%</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left="182" w:hanging="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21.9%</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(15.2%, 28.5%)</w:t>
            </w:r>
          </w:p>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27.0%</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(20.5%, 33.6%)</w:t>
            </w:r>
          </w:p>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NA</w:t>
            </w:r>
            <w:r w:rsidRPr="00282107">
              <w:rPr>
                <w:rFonts w:ascii="Times New Roman" w:hAnsi="Times New Roman"/>
                <w:vertAlign w:val="superscript"/>
              </w:rPr>
              <w:t>¶</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r>
      <w:tr w:rsidR="00A23734" w:rsidRPr="00282107" w:rsidTr="005C7C84">
        <w:trPr>
          <w:cantSplit/>
          <w:trHeight w:val="288"/>
          <w:jc w:val="center"/>
        </w:trPr>
        <w:tc>
          <w:tcPr>
            <w:tcW w:w="1076" w:type="pct"/>
            <w:tcBorders>
              <w:top w:val="single" w:sz="4" w:space="0" w:color="auto"/>
              <w:bottom w:val="nil"/>
            </w:tcBorders>
            <w:shd w:val="clear" w:color="auto" w:fill="auto"/>
            <w:vAlign w:val="center"/>
          </w:tcPr>
          <w:p w:rsidR="00A23734" w:rsidRPr="00282107" w:rsidRDefault="00A23734" w:rsidP="005C7C84">
            <w:pPr>
              <w:pStyle w:val="TblTextCenter"/>
              <w:spacing w:before="0" w:after="0"/>
              <w:jc w:val="left"/>
              <w:rPr>
                <w:rFonts w:ascii="Times New Roman" w:hAnsi="Times New Roman"/>
              </w:rPr>
            </w:pPr>
            <w:r w:rsidRPr="00282107">
              <w:rPr>
                <w:rFonts w:ascii="Times New Roman" w:hAnsi="Times New Roman"/>
                <w:b/>
              </w:rPr>
              <w:t>ACR50</w:t>
            </w:r>
          </w:p>
        </w:tc>
        <w:tc>
          <w:tcPr>
            <w:tcW w:w="42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3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p>
        </w:tc>
        <w:tc>
          <w:tcPr>
            <w:tcW w:w="72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p>
        </w:tc>
        <w:tc>
          <w:tcPr>
            <w:tcW w:w="576"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5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12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12.3%</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highlight w:val="yellow"/>
              </w:rPr>
            </w:pPr>
            <w:r w:rsidRPr="00282107">
              <w:rPr>
                <w:rFonts w:ascii="Times New Roman" w:eastAsia="Times New Roman" w:hAnsi="Times New Roman"/>
              </w:rPr>
              <w:t>26.5%</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highlight w:val="yellow"/>
              </w:rPr>
            </w:pPr>
            <w:r w:rsidRPr="00282107">
              <w:rPr>
                <w:rFonts w:ascii="Times New Roman" w:hAnsi="Times New Roman"/>
              </w:rPr>
              <w:t>36.3%</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13.3%</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30.4%</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33.2%</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14.2%</w:t>
            </w:r>
          </w:p>
          <w:p w:rsidR="00A23734" w:rsidRPr="00282107" w:rsidRDefault="00A23734" w:rsidP="005C7C84">
            <w:pPr>
              <w:pStyle w:val="TblTextCenter"/>
              <w:spacing w:before="0" w:after="0"/>
              <w:rPr>
                <w:rFonts w:ascii="Times New Roman" w:eastAsia="Times New Roman" w:hAnsi="Times New Roman"/>
                <w:highlight w:val="yellow"/>
              </w:rPr>
            </w:pPr>
            <w:r w:rsidRPr="00282107">
              <w:rPr>
                <w:rFonts w:ascii="Times New Roman" w:eastAsia="Times New Roman" w:hAnsi="Times New Roman"/>
              </w:rPr>
              <w:t>(8.9%, 19.6%)</w:t>
            </w:r>
            <w:r w:rsidRPr="00282107">
              <w:rPr>
                <w:rFonts w:ascii="Times New Roman" w:hAnsi="Times New Roman"/>
              </w:rPr>
              <w:t xml:space="preserve"> </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24.1%</w:t>
            </w:r>
          </w:p>
          <w:p w:rsidR="00A23734" w:rsidRPr="00282107" w:rsidRDefault="00A23734" w:rsidP="005C7C84">
            <w:pPr>
              <w:pStyle w:val="TblTextCenter"/>
              <w:spacing w:before="0" w:after="0"/>
              <w:rPr>
                <w:rFonts w:ascii="Times New Roman" w:eastAsia="Times New Roman" w:hAnsi="Times New Roman"/>
                <w:highlight w:val="yellow"/>
              </w:rPr>
            </w:pPr>
            <w:r w:rsidRPr="00282107">
              <w:rPr>
                <w:rFonts w:ascii="Times New Roman" w:eastAsia="Times New Roman" w:hAnsi="Times New Roman"/>
              </w:rPr>
              <w:t>(18.4%, 29.8%)</w:t>
            </w:r>
            <w:r w:rsidRPr="00282107">
              <w:rPr>
                <w:rFonts w:ascii="Times New Roman" w:hAnsi="Times New Roman"/>
              </w:rPr>
              <w:t xml:space="preserve"> </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17.1%</w:t>
            </w:r>
          </w:p>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 xml:space="preserve">(9.2%, 25.1%) </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20.1%</w:t>
            </w:r>
          </w:p>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 xml:space="preserve">(12.0%, 28.3%) </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24</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16.6%</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37.0%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45.6%</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18.2%</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37.0%</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40.8%</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20.4%</w:t>
            </w:r>
          </w:p>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(14.5%, 26.3%)</w:t>
            </w:r>
          </w:p>
          <w:p w:rsidR="00A23734" w:rsidRPr="00282107" w:rsidRDefault="00A23734" w:rsidP="005C7C84">
            <w:pPr>
              <w:pStyle w:val="TblTextCenter"/>
              <w:spacing w:before="0" w:after="0"/>
              <w:rPr>
                <w:rFonts w:ascii="Times New Roman" w:eastAsia="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 xml:space="preserve">29.1% </w:t>
            </w:r>
          </w:p>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(23.0%, 35.1%)</w:t>
            </w:r>
          </w:p>
          <w:p w:rsidR="00A23734" w:rsidRPr="00282107" w:rsidRDefault="00A23734" w:rsidP="005C7C84">
            <w:pPr>
              <w:pStyle w:val="TblTextCenter"/>
              <w:spacing w:before="0" w:after="0"/>
              <w:rPr>
                <w:rFonts w:ascii="Times New Roman" w:eastAsia="Times New Roman" w:hAnsi="Times New Roman"/>
              </w:rPr>
            </w:pPr>
            <w:r w:rsidRPr="00282107">
              <w:rPr>
                <w:rFonts w:ascii="Times New Roman" w:hAnsi="Times New Roman"/>
              </w:rPr>
              <w:t xml:space="preserve"> </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 xml:space="preserve">18.8% </w:t>
            </w:r>
          </w:p>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(10.2%, 27.4%)</w:t>
            </w:r>
          </w:p>
          <w:p w:rsidR="00A23734" w:rsidRPr="00282107" w:rsidRDefault="00A23734" w:rsidP="005C7C84">
            <w:pPr>
              <w:pStyle w:val="TblTextCenter"/>
              <w:spacing w:before="0" w:after="0"/>
              <w:ind w:hanging="18"/>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22.8%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(14.0%, 31.6%)</w:t>
            </w:r>
          </w:p>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jc w:val="left"/>
              <w:rPr>
                <w:rFonts w:ascii="Times New Roman" w:hAnsi="Times New Roman"/>
              </w:rPr>
            </w:pPr>
            <w:r w:rsidRPr="00282107">
              <w:rPr>
                <w:rFonts w:ascii="Times New Roman" w:hAnsi="Times New Roman"/>
                <w:b/>
              </w:rPr>
              <w:t>Week 52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18.1%</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hAnsi="Times New Roman"/>
              </w:rPr>
              <w:t>40.0%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hAnsi="Times New Roman"/>
              </w:rPr>
              <w:t>42.9%</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left="182" w:hanging="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21.9%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(15.8%, 28.0%)</w:t>
            </w:r>
          </w:p>
          <w:p w:rsidR="00A23734" w:rsidRPr="00282107" w:rsidRDefault="00A23734" w:rsidP="005C7C84">
            <w:pPr>
              <w:pStyle w:val="TblTextCenter"/>
              <w:spacing w:before="0" w:after="0"/>
              <w:rPr>
                <w:rFonts w:ascii="Times New Roman" w:eastAsia="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24.8%</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(18.7%, 30.9%)</w:t>
            </w:r>
          </w:p>
          <w:p w:rsidR="00A23734" w:rsidRPr="00282107" w:rsidRDefault="00A23734" w:rsidP="005C7C84">
            <w:pPr>
              <w:pStyle w:val="TblTextCenter"/>
              <w:spacing w:before="0" w:after="0"/>
              <w:rPr>
                <w:rFonts w:ascii="Times New Roman" w:eastAsia="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NA</w:t>
            </w:r>
            <w:r w:rsidRPr="00282107">
              <w:rPr>
                <w:rFonts w:ascii="Times New Roman" w:hAnsi="Times New Roman"/>
                <w:vertAlign w:val="superscript"/>
              </w:rPr>
              <w:t>¶</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ind w:hanging="18"/>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r>
      <w:tr w:rsidR="00A23734" w:rsidRPr="00282107" w:rsidTr="005C7C84">
        <w:trPr>
          <w:cantSplit/>
          <w:trHeight w:val="288"/>
          <w:jc w:val="center"/>
        </w:trPr>
        <w:tc>
          <w:tcPr>
            <w:tcW w:w="1076"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jc w:val="left"/>
              <w:rPr>
                <w:rFonts w:ascii="Times New Roman" w:hAnsi="Times New Roman"/>
              </w:rPr>
            </w:pPr>
            <w:r w:rsidRPr="00282107">
              <w:rPr>
                <w:rFonts w:ascii="Times New Roman" w:hAnsi="Times New Roman"/>
                <w:b/>
              </w:rPr>
              <w:t>ACR70</w:t>
            </w:r>
          </w:p>
        </w:tc>
        <w:tc>
          <w:tcPr>
            <w:tcW w:w="420"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hAnsi="Times New Roman"/>
                <w:highlight w:val="yellow"/>
              </w:rPr>
            </w:pPr>
          </w:p>
        </w:tc>
        <w:tc>
          <w:tcPr>
            <w:tcW w:w="730"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eastAsia="Times New Roman" w:hAnsi="Times New Roman"/>
              </w:rPr>
            </w:pPr>
          </w:p>
        </w:tc>
        <w:tc>
          <w:tcPr>
            <w:tcW w:w="720"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eastAsia="Times New Roman" w:hAnsi="Times New Roman"/>
              </w:rPr>
            </w:pPr>
          </w:p>
        </w:tc>
        <w:tc>
          <w:tcPr>
            <w:tcW w:w="576"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hAnsi="Times New Roman"/>
                <w:highlight w:val="yellow"/>
              </w:rPr>
            </w:pPr>
          </w:p>
        </w:tc>
        <w:tc>
          <w:tcPr>
            <w:tcW w:w="719"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hAnsi="Times New Roman"/>
                <w:highlight w:val="yellow"/>
              </w:rPr>
            </w:pPr>
          </w:p>
        </w:tc>
        <w:tc>
          <w:tcPr>
            <w:tcW w:w="759"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rPr>
                <w:rFonts w:ascii="Times New Roman" w:hAnsi="Times New Roman"/>
                <w:highlight w:val="yellow"/>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12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4.0%</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hAnsi="Times New Roman"/>
              </w:rPr>
              <w:t>11.0%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hAnsi="Times New Roman"/>
              </w:rPr>
              <w:t>17.5%</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2.2%</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13.8%</w:t>
            </w:r>
          </w:p>
        </w:tc>
        <w:tc>
          <w:tcPr>
            <w:tcW w:w="759" w:type="pct"/>
            <w:tcBorders>
              <w:top w:val="nil"/>
              <w:bottom w:val="nil"/>
            </w:tcBorders>
            <w:shd w:val="clear" w:color="auto" w:fill="auto"/>
            <w:vAlign w:val="center"/>
          </w:tcPr>
          <w:p w:rsidR="00A23734" w:rsidRPr="00282107" w:rsidRDefault="00A23734" w:rsidP="005C7C84">
            <w:pPr>
              <w:pStyle w:val="TblTextCenter"/>
              <w:tabs>
                <w:tab w:val="left" w:pos="300"/>
                <w:tab w:val="center" w:pos="846"/>
              </w:tabs>
              <w:spacing w:before="0" w:after="0"/>
              <w:rPr>
                <w:rFonts w:ascii="Times New Roman" w:hAnsi="Times New Roman"/>
              </w:rPr>
            </w:pPr>
            <w:r w:rsidRPr="00282107">
              <w:rPr>
                <w:rFonts w:ascii="Times New Roman" w:hAnsi="Times New Roman"/>
              </w:rPr>
              <w:t>14.7%</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7.0%</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(3.4%, 10.6%)</w:t>
            </w:r>
          </w:p>
          <w:p w:rsidR="00A23734" w:rsidRPr="00282107" w:rsidRDefault="00A23734" w:rsidP="005C7C84">
            <w:pPr>
              <w:pStyle w:val="TblTextCenter"/>
              <w:spacing w:before="0" w:after="0"/>
              <w:rPr>
                <w:rFonts w:ascii="Times New Roman" w:eastAsia="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13.5%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(9.4%, 17.7%)</w:t>
            </w:r>
          </w:p>
          <w:p w:rsidR="00A23734" w:rsidRPr="00282107" w:rsidRDefault="00A23734" w:rsidP="005C7C84">
            <w:pPr>
              <w:pStyle w:val="TblTextCenter"/>
              <w:spacing w:before="0" w:after="0"/>
              <w:rPr>
                <w:rFonts w:ascii="Times New Roman" w:eastAsia="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11.6%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(6.2%, 17.0%)</w:t>
            </w:r>
          </w:p>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12.5%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(7.1%, 17.9%)</w:t>
            </w:r>
          </w:p>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b/>
              </w:rPr>
              <w:t>Week 24</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7.3%</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19.8%</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24.8%</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7.2%</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19.9%</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16.3%</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12.5%</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(7.8%, 17.1%)</w:t>
            </w:r>
          </w:p>
          <w:p w:rsidR="00A23734" w:rsidRPr="00282107" w:rsidRDefault="00A23734" w:rsidP="005C7C84">
            <w:pPr>
              <w:pStyle w:val="TblTextCenter"/>
              <w:spacing w:before="0" w:after="0"/>
              <w:rPr>
                <w:rFonts w:ascii="Times New Roman" w:eastAsia="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17.5%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(12.6%, 22.5%)</w:t>
            </w:r>
          </w:p>
          <w:p w:rsidR="00A23734" w:rsidRPr="00282107" w:rsidRDefault="00A23734" w:rsidP="005C7C84">
            <w:pPr>
              <w:pStyle w:val="TblTextCenter"/>
              <w:spacing w:before="0" w:after="0"/>
              <w:rPr>
                <w:rFonts w:ascii="Times New Roman" w:eastAsia="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12.7%</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(6.1%, 19.3%)</w:t>
            </w:r>
          </w:p>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9.2%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(2.8%, 15.7%)</w:t>
            </w:r>
          </w:p>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2"/>
              <w:jc w:val="left"/>
              <w:rPr>
                <w:rFonts w:ascii="Times New Roman" w:hAnsi="Times New Roman"/>
              </w:rPr>
            </w:pPr>
            <w:r w:rsidRPr="00282107">
              <w:rPr>
                <w:rFonts w:ascii="Times New Roman" w:hAnsi="Times New Roman"/>
                <w:b/>
              </w:rPr>
              <w:t>Week 52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9.0%</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24.8%</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26.8%</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left="182" w:hanging="18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 xml:space="preserve">15.7% </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(10.6%, 20.8%)</w:t>
            </w:r>
          </w:p>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17.8%</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(12.6%, 23.0%)</w:t>
            </w:r>
          </w:p>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highlight w:val="yellow"/>
              </w:rPr>
            </w:pPr>
            <w:r w:rsidRPr="00282107">
              <w:rPr>
                <w:rFonts w:ascii="Times New Roman" w:hAnsi="Times New Roman"/>
              </w:rPr>
              <w:t>NA</w:t>
            </w:r>
            <w:r w:rsidRPr="00282107">
              <w:rPr>
                <w:rFonts w:ascii="Times New Roman" w:hAnsi="Times New Roman"/>
                <w:vertAlign w:val="superscript"/>
              </w:rPr>
              <w:t>¶</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r>
      <w:tr w:rsidR="00A23734" w:rsidRPr="00282107" w:rsidTr="005C7C84">
        <w:trPr>
          <w:cantSplit/>
          <w:trHeight w:val="288"/>
          <w:jc w:val="center"/>
        </w:trPr>
        <w:tc>
          <w:tcPr>
            <w:tcW w:w="1076" w:type="pct"/>
            <w:tcBorders>
              <w:top w:val="single" w:sz="4" w:space="0" w:color="auto"/>
              <w:bottom w:val="nil"/>
            </w:tcBorders>
            <w:shd w:val="clear" w:color="auto" w:fill="auto"/>
            <w:vAlign w:val="center"/>
          </w:tcPr>
          <w:p w:rsidR="00A23734" w:rsidRPr="00282107" w:rsidRDefault="00A23734" w:rsidP="005C7C84">
            <w:pPr>
              <w:pStyle w:val="TblTextCenter"/>
              <w:keepNext/>
              <w:spacing w:before="0" w:after="0"/>
              <w:jc w:val="left"/>
              <w:rPr>
                <w:rFonts w:ascii="Times New Roman" w:hAnsi="Times New Roman"/>
                <w:b/>
              </w:rPr>
            </w:pPr>
            <w:r w:rsidRPr="00282107">
              <w:rPr>
                <w:rFonts w:ascii="Times New Roman" w:hAnsi="Times New Roman"/>
                <w:b/>
              </w:rPr>
              <w:t>Major clinical response</w:t>
            </w:r>
            <w:r w:rsidRPr="00282107">
              <w:rPr>
                <w:rFonts w:ascii="Times New Roman" w:hAnsi="Times New Roman"/>
                <w:b/>
                <w:vertAlign w:val="superscript"/>
              </w:rPr>
              <w:t>#</w:t>
            </w:r>
          </w:p>
        </w:tc>
        <w:tc>
          <w:tcPr>
            <w:tcW w:w="420" w:type="pct"/>
            <w:tcBorders>
              <w:top w:val="single" w:sz="4" w:space="0" w:color="auto"/>
              <w:bottom w:val="nil"/>
            </w:tcBorders>
            <w:shd w:val="clear" w:color="auto" w:fill="auto"/>
          </w:tcPr>
          <w:p w:rsidR="00A23734" w:rsidRPr="00282107" w:rsidRDefault="00A23734" w:rsidP="005C7C84">
            <w:pPr>
              <w:pStyle w:val="TblTextCenter"/>
              <w:spacing w:before="0" w:after="0"/>
              <w:rPr>
                <w:rFonts w:ascii="Times New Roman" w:hAnsi="Times New Roman"/>
              </w:rPr>
            </w:pPr>
          </w:p>
        </w:tc>
        <w:tc>
          <w:tcPr>
            <w:tcW w:w="730" w:type="pct"/>
            <w:tcBorders>
              <w:top w:val="single" w:sz="4" w:space="0" w:color="auto"/>
              <w:bottom w:val="nil"/>
            </w:tcBorders>
            <w:shd w:val="clear" w:color="auto" w:fill="auto"/>
          </w:tcPr>
          <w:p w:rsidR="00A23734" w:rsidRPr="00282107" w:rsidRDefault="00A23734" w:rsidP="005C7C84">
            <w:pPr>
              <w:pStyle w:val="TblTextCenter"/>
              <w:spacing w:before="0" w:after="0"/>
              <w:rPr>
                <w:rFonts w:ascii="Times New Roman" w:hAnsi="Times New Roman"/>
              </w:rPr>
            </w:pPr>
          </w:p>
        </w:tc>
        <w:tc>
          <w:tcPr>
            <w:tcW w:w="720" w:type="pct"/>
            <w:tcBorders>
              <w:top w:val="single" w:sz="4" w:space="0" w:color="auto"/>
              <w:bottom w:val="nil"/>
            </w:tcBorders>
            <w:shd w:val="clear" w:color="auto" w:fill="auto"/>
          </w:tcPr>
          <w:p w:rsidR="00A23734" w:rsidRPr="00282107" w:rsidRDefault="00A23734" w:rsidP="005C7C84">
            <w:pPr>
              <w:pStyle w:val="TblTextCenter"/>
              <w:spacing w:before="0" w:after="0"/>
              <w:rPr>
                <w:rFonts w:ascii="Times New Roman" w:hAnsi="Times New Roman"/>
              </w:rPr>
            </w:pPr>
          </w:p>
        </w:tc>
        <w:tc>
          <w:tcPr>
            <w:tcW w:w="576"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0"/>
              <w:jc w:val="left"/>
              <w:rPr>
                <w:rFonts w:ascii="Times New Roman" w:hAnsi="Times New Roman"/>
              </w:rPr>
            </w:pPr>
            <w:r w:rsidRPr="00282107">
              <w:rPr>
                <w:rFonts w:ascii="Times New Roman" w:hAnsi="Times New Roman"/>
              </w:rPr>
              <w:t>Responders</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nil"/>
            </w:tcBorders>
            <w:shd w:val="clear" w:color="auto" w:fill="auto"/>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3.0%</w:t>
            </w:r>
          </w:p>
        </w:tc>
        <w:tc>
          <w:tcPr>
            <w:tcW w:w="730" w:type="pct"/>
            <w:tcBorders>
              <w:top w:val="nil"/>
              <w:bottom w:val="nil"/>
            </w:tcBorders>
            <w:shd w:val="clear" w:color="auto" w:fill="auto"/>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12.8%</w:t>
            </w:r>
          </w:p>
        </w:tc>
        <w:tc>
          <w:tcPr>
            <w:tcW w:w="720" w:type="pct"/>
            <w:tcBorders>
              <w:top w:val="nil"/>
              <w:bottom w:val="nil"/>
            </w:tcBorders>
            <w:shd w:val="clear" w:color="auto" w:fill="auto"/>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14.8%</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NA</w:t>
            </w:r>
            <w:r w:rsidRPr="00282107">
              <w:rPr>
                <w:rFonts w:ascii="Times New Roman" w:hAnsi="Times New Roman"/>
                <w:vertAlign w:val="superscript"/>
              </w:rPr>
              <w:t>¶</w:t>
            </w:r>
          </w:p>
        </w:tc>
      </w:tr>
      <w:tr w:rsidR="00A23734" w:rsidRPr="00282107" w:rsidTr="005C7C84">
        <w:trPr>
          <w:cantSplit/>
          <w:trHeight w:val="288"/>
          <w:jc w:val="center"/>
        </w:trPr>
        <w:tc>
          <w:tcPr>
            <w:tcW w:w="1076" w:type="pct"/>
            <w:tcBorders>
              <w:top w:val="nil"/>
              <w:bottom w:val="single" w:sz="4" w:space="0" w:color="auto"/>
            </w:tcBorders>
            <w:shd w:val="clear" w:color="auto" w:fill="auto"/>
            <w:vAlign w:val="center"/>
          </w:tcPr>
          <w:p w:rsidR="00A23734" w:rsidRPr="00282107" w:rsidRDefault="00A23734" w:rsidP="005C7C84">
            <w:pPr>
              <w:pStyle w:val="TblTextCenter"/>
              <w:spacing w:before="0" w:after="0"/>
              <w:jc w:val="left"/>
              <w:rPr>
                <w:rFonts w:ascii="Times New Roman" w:hAnsi="Times New Roman"/>
              </w:rPr>
            </w:pPr>
            <w:r w:rsidRPr="00282107">
              <w:rPr>
                <w:rFonts w:ascii="Times New Roman" w:hAnsi="Times New Roman"/>
              </w:rPr>
              <w:t>Difference from placebo, (95% CI)</w:t>
            </w:r>
            <w:r w:rsidRPr="00282107">
              <w:rPr>
                <w:rFonts w:ascii="Times New Roman" w:hAnsi="Times New Roman"/>
                <w:b/>
                <w:vertAlign w:val="superscript"/>
              </w:rPr>
              <w:t xml:space="preserve"> ‡</w:t>
            </w:r>
          </w:p>
          <w:p w:rsidR="00A23734" w:rsidRPr="00282107" w:rsidRDefault="00A23734" w:rsidP="005C7C84">
            <w:pPr>
              <w:pStyle w:val="TblTextCenter"/>
              <w:spacing w:before="0" w:after="0"/>
              <w:ind w:firstLine="180"/>
              <w:jc w:val="left"/>
              <w:rPr>
                <w:rFonts w:ascii="Times New Roman" w:hAnsi="Times New Roman"/>
              </w:rPr>
            </w:pPr>
          </w:p>
        </w:tc>
        <w:tc>
          <w:tcPr>
            <w:tcW w:w="420"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9.7%</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(6.1%, 13.4%)</w:t>
            </w:r>
          </w:p>
          <w:p w:rsidR="00A23734" w:rsidRPr="00282107" w:rsidRDefault="00A23734" w:rsidP="005C7C84">
            <w:pPr>
              <w:pStyle w:val="TblTextCenter"/>
              <w:spacing w:before="0" w:after="0"/>
              <w:rPr>
                <w:rFonts w:ascii="Times New Roman" w:hAnsi="Times New Roman"/>
              </w:rPr>
            </w:pPr>
          </w:p>
        </w:tc>
        <w:tc>
          <w:tcPr>
            <w:tcW w:w="720"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11.8%</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(7.9%, 15.6%)</w:t>
            </w:r>
          </w:p>
          <w:p w:rsidR="00A23734" w:rsidRPr="00282107" w:rsidRDefault="00A23734" w:rsidP="005C7C84">
            <w:pPr>
              <w:pStyle w:val="TblTextCenter"/>
              <w:spacing w:before="0" w:after="0"/>
              <w:rPr>
                <w:rFonts w:ascii="Times New Roman" w:hAnsi="Times New Roman"/>
              </w:rPr>
            </w:pPr>
          </w:p>
        </w:tc>
        <w:tc>
          <w:tcPr>
            <w:tcW w:w="576"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single" w:sz="4" w:space="0" w:color="auto"/>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single" w:sz="4" w:space="0" w:color="auto"/>
              <w:bottom w:val="nil"/>
            </w:tcBorders>
            <w:shd w:val="clear" w:color="auto" w:fill="auto"/>
            <w:vAlign w:val="center"/>
          </w:tcPr>
          <w:p w:rsidR="00A23734" w:rsidRPr="00282107" w:rsidRDefault="00A23734" w:rsidP="005C7C84">
            <w:pPr>
              <w:pStyle w:val="TblTextCenter"/>
              <w:spacing w:before="0" w:after="0"/>
              <w:jc w:val="left"/>
              <w:rPr>
                <w:rFonts w:ascii="Times New Roman" w:hAnsi="Times New Roman"/>
              </w:rPr>
            </w:pPr>
            <w:r w:rsidRPr="00282107">
              <w:rPr>
                <w:rFonts w:ascii="Times New Roman" w:hAnsi="Times New Roman"/>
                <w:b/>
              </w:rPr>
              <w:t>DAS28-CRP &lt; 2.6</w:t>
            </w:r>
            <w:r w:rsidRPr="00282107">
              <w:rPr>
                <w:rFonts w:ascii="Times New Roman" w:hAnsi="Times New Roman"/>
                <w:vertAlign w:val="superscript"/>
              </w:rPr>
              <w:t>Þ</w:t>
            </w:r>
          </w:p>
        </w:tc>
        <w:tc>
          <w:tcPr>
            <w:tcW w:w="42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20"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576"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single" w:sz="4" w:space="0" w:color="auto"/>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2"/>
              <w:jc w:val="left"/>
              <w:rPr>
                <w:rFonts w:ascii="Times New Roman" w:hAnsi="Times New Roman"/>
              </w:rPr>
            </w:pPr>
            <w:r w:rsidRPr="00282107">
              <w:rPr>
                <w:rFonts w:ascii="Times New Roman" w:hAnsi="Times New Roman"/>
                <w:b/>
              </w:rPr>
              <w:t>Week 12</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tabs>
                <w:tab w:val="left" w:pos="189"/>
                <w:tab w:val="left" w:pos="311"/>
              </w:tabs>
              <w:rPr>
                <w:rFonts w:ascii="Times New Roman" w:hAnsi="Times New Roman"/>
              </w:rPr>
            </w:pPr>
            <w:r w:rsidRPr="00282107">
              <w:rPr>
                <w:rFonts w:ascii="Times New Roman" w:hAnsi="Times New Roman"/>
              </w:rPr>
              <w:t>Percentage of patients</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4.8%</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18.0%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23.1%</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3.9%</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17.1%</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17.9%</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rPr>
                <w:rFonts w:ascii="Times New Roman" w:hAnsi="Times New Roman"/>
              </w:rPr>
            </w:pPr>
            <w:r w:rsidRPr="00282107">
              <w:rPr>
                <w:rFonts w:ascii="Times New Roman" w:hAnsi="Times New Roman"/>
              </w:rPr>
              <w:t>Difference from placebo</w:t>
            </w:r>
          </w:p>
          <w:p w:rsidR="00A23734" w:rsidRPr="00282107" w:rsidRDefault="00A23734" w:rsidP="005C7C84">
            <w:pPr>
              <w:pStyle w:val="TblTextCenter"/>
              <w:spacing w:before="0" w:after="0"/>
              <w:jc w:val="left"/>
              <w:rPr>
                <w:rFonts w:ascii="Times New Roman" w:hAnsi="Times New Roman"/>
              </w:rPr>
            </w:pPr>
            <w:r w:rsidRPr="00282107">
              <w:rPr>
                <w:rFonts w:ascii="Times New Roman" w:hAnsi="Times New Roman"/>
              </w:rPr>
              <w:t xml:space="preserve">(95% CI) </w:t>
            </w:r>
            <w:r w:rsidRPr="00282107">
              <w:rPr>
                <w:rFonts w:ascii="Times New Roman" w:hAnsi="Times New Roman"/>
                <w:b/>
                <w:vertAlign w:val="superscript"/>
              </w:rPr>
              <w:t>‡</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13.3%</w:t>
            </w:r>
          </w:p>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(9.0%, 17.5%)</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 xml:space="preserve">18.3% </w:t>
            </w:r>
          </w:p>
          <w:p w:rsidR="00A23734" w:rsidRPr="00282107" w:rsidRDefault="00A23734" w:rsidP="005C7C84">
            <w:pPr>
              <w:pStyle w:val="TblTextCenter"/>
              <w:spacing w:before="0" w:after="0"/>
              <w:rPr>
                <w:rFonts w:ascii="Times New Roman" w:eastAsia="Times New Roman" w:hAnsi="Times New Roman"/>
              </w:rPr>
            </w:pPr>
            <w:r w:rsidRPr="00282107">
              <w:rPr>
                <w:rFonts w:ascii="Times New Roman" w:eastAsia="Times New Roman" w:hAnsi="Times New Roman"/>
              </w:rPr>
              <w:t>(13.7%, 23.0%)</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13.3%</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(7.3%, 19.3%)</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14.1%</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(8.0%, 20.3%)</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eastAsia="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2"/>
              <w:jc w:val="left"/>
              <w:rPr>
                <w:rFonts w:ascii="Times New Roman" w:hAnsi="Times New Roman"/>
              </w:rPr>
            </w:pPr>
            <w:r w:rsidRPr="00282107">
              <w:rPr>
                <w:rFonts w:ascii="Times New Roman" w:hAnsi="Times New Roman"/>
                <w:b/>
              </w:rPr>
              <w:t>Week 24</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92"/>
              <w:jc w:val="left"/>
              <w:rPr>
                <w:rFonts w:ascii="Times New Roman" w:hAnsi="Times New Roman"/>
              </w:rPr>
            </w:pPr>
            <w:r w:rsidRPr="00282107">
              <w:rPr>
                <w:rFonts w:ascii="Times New Roman" w:hAnsi="Times New Roman"/>
              </w:rPr>
              <w:t>Percentage of patients</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10.1%</w:t>
            </w: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27.8%</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eastAsia="Times New Roman" w:hAnsi="Times New Roman"/>
              </w:rPr>
              <w:t>34.1%</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7.2%</w:t>
            </w: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24.9%</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28.8%</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rPr>
                <w:rFonts w:ascii="Times New Roman" w:hAnsi="Times New Roman"/>
              </w:rPr>
            </w:pPr>
            <w:r w:rsidRPr="00282107">
              <w:rPr>
                <w:rFonts w:ascii="Times New Roman" w:hAnsi="Times New Roman"/>
              </w:rPr>
              <w:t>Difference from placebo</w:t>
            </w:r>
          </w:p>
          <w:p w:rsidR="00A23734" w:rsidRPr="00282107" w:rsidRDefault="00A23734" w:rsidP="005C7C84">
            <w:pPr>
              <w:pStyle w:val="TblTextCenter"/>
              <w:spacing w:before="0" w:after="0"/>
              <w:ind w:firstLine="182"/>
              <w:jc w:val="left"/>
              <w:rPr>
                <w:rFonts w:ascii="Times New Roman" w:hAnsi="Times New Roman"/>
              </w:rPr>
            </w:pPr>
            <w:r w:rsidRPr="00282107">
              <w:rPr>
                <w:rFonts w:ascii="Times New Roman" w:hAnsi="Times New Roman"/>
              </w:rPr>
              <w:t xml:space="preserve">(95% CI) </w:t>
            </w:r>
            <w:r w:rsidRPr="00282107">
              <w:rPr>
                <w:rFonts w:ascii="Times New Roman" w:hAnsi="Times New Roman"/>
                <w:b/>
                <w:vertAlign w:val="superscript"/>
              </w:rPr>
              <w:t>‡</w:t>
            </w: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17.7%</w:t>
            </w:r>
          </w:p>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(12.5%, 23.0%)</w:t>
            </w: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24.0%</w:t>
            </w:r>
            <w:r w:rsidRPr="00282107">
              <w:rPr>
                <w:rFonts w:ascii="Times New Roman" w:hAnsi="Times New Roman"/>
              </w:rPr>
              <w:br/>
              <w:t>(18.5%, 29.5%)</w:t>
            </w: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17.7%</w:t>
            </w:r>
            <w:r w:rsidRPr="00282107">
              <w:rPr>
                <w:rFonts w:ascii="Times New Roman" w:hAnsi="Times New Roman"/>
              </w:rPr>
              <w:br/>
              <w:t>(10.5%, 24.9%)</w:t>
            </w: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r w:rsidRPr="00282107">
              <w:rPr>
                <w:rFonts w:ascii="Times New Roman" w:hAnsi="Times New Roman"/>
              </w:rPr>
              <w:t>21.7%</w:t>
            </w:r>
            <w:r w:rsidRPr="00282107">
              <w:rPr>
                <w:rFonts w:ascii="Times New Roman" w:hAnsi="Times New Roman"/>
              </w:rPr>
              <w:br/>
              <w:t>(14.3%, 29.1%)</w:t>
            </w:r>
          </w:p>
        </w:tc>
      </w:tr>
      <w:tr w:rsidR="00A23734" w:rsidRPr="00282107" w:rsidTr="005C7C84">
        <w:trPr>
          <w:cantSplit/>
          <w:trHeight w:val="288"/>
          <w:jc w:val="center"/>
        </w:trPr>
        <w:tc>
          <w:tcPr>
            <w:tcW w:w="1076" w:type="pct"/>
            <w:tcBorders>
              <w:top w:val="nil"/>
              <w:bottom w:val="nil"/>
            </w:tcBorders>
            <w:shd w:val="clear" w:color="auto" w:fill="auto"/>
            <w:vAlign w:val="center"/>
          </w:tcPr>
          <w:p w:rsidR="00A23734" w:rsidRPr="00282107" w:rsidRDefault="00A23734" w:rsidP="005C7C84">
            <w:pPr>
              <w:pStyle w:val="TblTextCenter"/>
              <w:spacing w:before="0" w:after="0"/>
              <w:ind w:firstLine="182"/>
              <w:jc w:val="left"/>
              <w:rPr>
                <w:rFonts w:ascii="Times New Roman" w:hAnsi="Times New Roman"/>
              </w:rPr>
            </w:pPr>
          </w:p>
        </w:tc>
        <w:tc>
          <w:tcPr>
            <w:tcW w:w="4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3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20"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576"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1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c>
          <w:tcPr>
            <w:tcW w:w="759" w:type="pct"/>
            <w:tcBorders>
              <w:top w:val="nil"/>
              <w:bottom w:val="nil"/>
            </w:tcBorders>
            <w:shd w:val="clear" w:color="auto" w:fill="auto"/>
            <w:vAlign w:val="center"/>
          </w:tcPr>
          <w:p w:rsidR="00A23734" w:rsidRPr="00282107" w:rsidRDefault="00A23734" w:rsidP="005C7C84">
            <w:pPr>
              <w:pStyle w:val="TblTextCenter"/>
              <w:spacing w:before="0" w:after="0"/>
              <w:rPr>
                <w:rFonts w:ascii="Times New Roman" w:hAnsi="Times New Roman"/>
              </w:rPr>
            </w:pPr>
          </w:p>
        </w:tc>
      </w:tr>
      <w:tr w:rsidR="00A23734" w:rsidRPr="00282107" w:rsidTr="005C7C84">
        <w:trPr>
          <w:cantSplit/>
          <w:trHeight w:val="288"/>
          <w:jc w:val="center"/>
        </w:trPr>
        <w:tc>
          <w:tcPr>
            <w:tcW w:w="5000" w:type="pct"/>
            <w:gridSpan w:val="7"/>
            <w:tcBorders>
              <w:left w:val="nil"/>
              <w:bottom w:val="nil"/>
              <w:right w:val="nil"/>
            </w:tcBorders>
            <w:shd w:val="clear" w:color="auto" w:fill="auto"/>
            <w:vAlign w:val="center"/>
          </w:tcPr>
          <w:p w:rsidR="00A23734" w:rsidRPr="00282107" w:rsidRDefault="00A23734" w:rsidP="005C7C84">
            <w:pPr>
              <w:pStyle w:val="NoSpacing"/>
              <w:contextualSpacing/>
              <w:rPr>
                <w:rFonts w:ascii="Times New Roman" w:hAnsi="Times New Roman"/>
                <w:sz w:val="20"/>
                <w:szCs w:val="20"/>
              </w:rPr>
            </w:pPr>
            <w:r w:rsidRPr="00282107">
              <w:rPr>
                <w:rFonts w:ascii="Times New Roman" w:hAnsi="Times New Roman"/>
                <w:sz w:val="20"/>
                <w:szCs w:val="20"/>
                <w:vertAlign w:val="superscript"/>
              </w:rPr>
              <w:lastRenderedPageBreak/>
              <w:t xml:space="preserve">* </w:t>
            </w:r>
            <w:r w:rsidRPr="00282107">
              <w:rPr>
                <w:rFonts w:ascii="Times New Roman" w:hAnsi="Times New Roman"/>
                <w:sz w:val="20"/>
                <w:szCs w:val="20"/>
              </w:rPr>
              <w:t>Patients who were rescued or discontinued were considered non-responders for the analyses included in this table. In Study 1, at week 52, 196, 270, and 270 patients remained on placebo, KEVZARA 150 mg, and KEVZARA 200 mg respectively.</w:t>
            </w:r>
          </w:p>
          <w:p w:rsidR="00A23734" w:rsidRPr="00282107" w:rsidRDefault="00A23734" w:rsidP="005C7C84">
            <w:pPr>
              <w:pStyle w:val="NoSpacing"/>
              <w:contextualSpacing/>
              <w:rPr>
                <w:rFonts w:ascii="Times New Roman" w:hAnsi="Times New Roman"/>
                <w:sz w:val="20"/>
                <w:szCs w:val="20"/>
              </w:rPr>
            </w:pPr>
            <w:r w:rsidRPr="00282107">
              <w:rPr>
                <w:rFonts w:ascii="Times New Roman" w:hAnsi="Times New Roman"/>
                <w:sz w:val="20"/>
                <w:szCs w:val="20"/>
                <w:vertAlign w:val="superscript"/>
              </w:rPr>
              <w:t xml:space="preserve">† </w:t>
            </w:r>
            <w:r w:rsidRPr="00282107">
              <w:rPr>
                <w:rFonts w:ascii="Times New Roman" w:hAnsi="Times New Roman"/>
                <w:sz w:val="20"/>
                <w:szCs w:val="20"/>
              </w:rPr>
              <w:t>DMARDs in Study 2 included MTX, sulfasalazine, leflunomide, and/or hydroxychloroquine</w:t>
            </w:r>
          </w:p>
          <w:p w:rsidR="00A23734" w:rsidRPr="00282107" w:rsidRDefault="00A23734" w:rsidP="005C7C84">
            <w:pPr>
              <w:pStyle w:val="TblFigFootnote"/>
              <w:spacing w:before="2" w:after="2"/>
              <w:rPr>
                <w:rFonts w:ascii="Times New Roman" w:hAnsi="Times New Roman"/>
                <w:sz w:val="20"/>
              </w:rPr>
            </w:pPr>
            <w:r w:rsidRPr="00282107">
              <w:rPr>
                <w:rFonts w:ascii="Times New Roman" w:hAnsi="Times New Roman"/>
                <w:b/>
                <w:vertAlign w:val="superscript"/>
              </w:rPr>
              <w:t>‡</w:t>
            </w:r>
            <w:r w:rsidRPr="00282107">
              <w:rPr>
                <w:rFonts w:ascii="Times New Roman" w:hAnsi="Times New Roman"/>
                <w:sz w:val="20"/>
              </w:rPr>
              <w:t>Weighted estimate of the rate difference; CI=confidence interval</w:t>
            </w:r>
          </w:p>
          <w:p w:rsidR="00A23734" w:rsidRPr="00282107" w:rsidRDefault="00A23734" w:rsidP="005C7C84">
            <w:pPr>
              <w:pStyle w:val="TblFigFootnote"/>
              <w:spacing w:before="2" w:after="2"/>
              <w:rPr>
                <w:rFonts w:ascii="Times New Roman" w:hAnsi="Times New Roman"/>
                <w:sz w:val="20"/>
              </w:rPr>
            </w:pPr>
            <w:r w:rsidRPr="00282107">
              <w:rPr>
                <w:rFonts w:ascii="Times New Roman" w:hAnsi="Times New Roman"/>
                <w:sz w:val="20"/>
                <w:vertAlign w:val="superscript"/>
              </w:rPr>
              <w:t>§</w:t>
            </w:r>
            <w:r w:rsidRPr="00282107">
              <w:rPr>
                <w:rFonts w:ascii="Times New Roman" w:hAnsi="Times New Roman"/>
                <w:sz w:val="20"/>
              </w:rPr>
              <w:t xml:space="preserve"> Primary end point</w:t>
            </w:r>
          </w:p>
          <w:p w:rsidR="00A23734" w:rsidRPr="00282107" w:rsidRDefault="00A23734" w:rsidP="005C7C84">
            <w:pPr>
              <w:pStyle w:val="TblFigFootnote"/>
              <w:spacing w:before="2" w:after="2"/>
              <w:rPr>
                <w:rFonts w:ascii="Times New Roman" w:hAnsi="Times New Roman"/>
                <w:sz w:val="20"/>
              </w:rPr>
            </w:pPr>
            <w:r w:rsidRPr="00282107">
              <w:rPr>
                <w:rFonts w:ascii="Times New Roman" w:hAnsi="Times New Roman"/>
                <w:sz w:val="20"/>
                <w:vertAlign w:val="superscript"/>
              </w:rPr>
              <w:t>¶</w:t>
            </w:r>
            <w:r w:rsidRPr="00282107">
              <w:rPr>
                <w:rFonts w:ascii="Times New Roman" w:hAnsi="Times New Roman"/>
                <w:sz w:val="20"/>
              </w:rPr>
              <w:t>NA=Not Applicable as Study 2 was a 24-week study</w:t>
            </w:r>
          </w:p>
          <w:p w:rsidR="00A23734" w:rsidRPr="00282107" w:rsidRDefault="00A23734" w:rsidP="005C7C84">
            <w:pPr>
              <w:pStyle w:val="NoSpacing"/>
              <w:rPr>
                <w:rFonts w:ascii="Times New Roman" w:hAnsi="Times New Roman"/>
                <w:sz w:val="20"/>
                <w:szCs w:val="20"/>
              </w:rPr>
            </w:pPr>
            <w:r w:rsidRPr="00282107">
              <w:rPr>
                <w:rFonts w:ascii="Times New Roman" w:hAnsi="Times New Roman"/>
                <w:sz w:val="20"/>
                <w:szCs w:val="20"/>
                <w:vertAlign w:val="superscript"/>
              </w:rPr>
              <w:t>#</w:t>
            </w:r>
            <w:r w:rsidRPr="00282107">
              <w:rPr>
                <w:rFonts w:ascii="Times New Roman" w:hAnsi="Times New Roman"/>
                <w:sz w:val="20"/>
                <w:szCs w:val="20"/>
              </w:rPr>
              <w:t xml:space="preserve"> Major clinical response = ACR70 for at least 24 consecutive weeks during the 52-week period.</w:t>
            </w:r>
          </w:p>
          <w:p w:rsidR="00A23734" w:rsidRPr="00282107" w:rsidRDefault="00A23734" w:rsidP="005C7C84">
            <w:pPr>
              <w:pStyle w:val="TblFigFootnote"/>
              <w:spacing w:before="2" w:after="2"/>
              <w:rPr>
                <w:rFonts w:ascii="Times New Roman" w:hAnsi="Times New Roman"/>
                <w:sz w:val="20"/>
              </w:rPr>
            </w:pPr>
            <w:r w:rsidRPr="00282107">
              <w:rPr>
                <w:rFonts w:ascii="Times New Roman" w:hAnsi="Times New Roman"/>
                <w:sz w:val="20"/>
                <w:vertAlign w:val="superscript"/>
              </w:rPr>
              <w:t>Þ</w:t>
            </w:r>
            <w:r w:rsidRPr="00282107">
              <w:rPr>
                <w:rFonts w:ascii="Times New Roman" w:hAnsi="Times New Roman"/>
                <w:sz w:val="20"/>
              </w:rPr>
              <w:t xml:space="preserve"> Patients with DAS28-CRP &lt; 2.6 may have active joints</w:t>
            </w:r>
          </w:p>
          <w:p w:rsidR="00A23734" w:rsidRPr="00E50389" w:rsidRDefault="00A23734" w:rsidP="005C7C84">
            <w:pPr>
              <w:pStyle w:val="TblFigFootnote"/>
              <w:spacing w:before="2" w:after="2"/>
              <w:rPr>
                <w:rFonts w:ascii="Times New Roman" w:hAnsi="Times New Roman"/>
                <w:sz w:val="16"/>
                <w:szCs w:val="16"/>
              </w:rPr>
            </w:pPr>
          </w:p>
        </w:tc>
      </w:tr>
    </w:tbl>
    <w:p w:rsidR="00A23734" w:rsidRDefault="00A23734" w:rsidP="00A23734">
      <w:pPr>
        <w:spacing w:before="0"/>
        <w:jc w:val="center"/>
      </w:pPr>
    </w:p>
    <w:p w:rsidR="00E50389" w:rsidRDefault="00E50389" w:rsidP="00E50389">
      <w:r w:rsidRPr="00E50389">
        <w:t>In the MOBILITY study higher ACR20 response rates were observed within 2 weeks compared to placebo and were mai</w:t>
      </w:r>
      <w:r>
        <w:t xml:space="preserve">ntained over the 52-week study </w:t>
      </w:r>
      <w:r w:rsidR="00C85BBB">
        <w:t>(</w:t>
      </w:r>
      <w:r w:rsidR="00BB452D" w:rsidRPr="00BB452D">
        <w:rPr>
          <w:color w:val="0000FF"/>
        </w:rPr>
        <w:fldChar w:fldCharType="begin"/>
      </w:r>
      <w:r w:rsidR="00BB452D" w:rsidRPr="00BB452D">
        <w:rPr>
          <w:color w:val="0000FF"/>
        </w:rPr>
        <w:instrText xml:space="preserve"> REF _Ref512793480 \h  \* MERGEFORMAT </w:instrText>
      </w:r>
      <w:r w:rsidR="00BB452D" w:rsidRPr="00BB452D">
        <w:rPr>
          <w:color w:val="0000FF"/>
        </w:rPr>
      </w:r>
      <w:r w:rsidR="00BB452D" w:rsidRPr="00BB452D">
        <w:rPr>
          <w:color w:val="0000FF"/>
        </w:rPr>
        <w:fldChar w:fldCharType="separate"/>
      </w:r>
      <w:r w:rsidR="00EA3D29" w:rsidRPr="00EA3D29">
        <w:rPr>
          <w:color w:val="0000FF"/>
        </w:rPr>
        <w:t>Figure 1</w:t>
      </w:r>
      <w:r w:rsidR="00BB452D" w:rsidRPr="00BB452D">
        <w:rPr>
          <w:color w:val="0000FF"/>
        </w:rPr>
        <w:fldChar w:fldCharType="end"/>
      </w:r>
      <w:r w:rsidRPr="00E50389">
        <w:t xml:space="preserve">and </w:t>
      </w:r>
      <w:r w:rsidR="00BB452D" w:rsidRPr="00BB452D">
        <w:rPr>
          <w:color w:val="0000FF"/>
        </w:rPr>
        <w:fldChar w:fldCharType="begin"/>
      </w:r>
      <w:r w:rsidR="00BB452D" w:rsidRPr="00BB452D">
        <w:rPr>
          <w:color w:val="0000FF"/>
        </w:rPr>
        <w:instrText xml:space="preserve"> REF _Ref512793489 \h  \* MERGEFORMAT </w:instrText>
      </w:r>
      <w:r w:rsidR="00BB452D" w:rsidRPr="00BB452D">
        <w:rPr>
          <w:color w:val="0000FF"/>
        </w:rPr>
      </w:r>
      <w:r w:rsidR="00BB452D" w:rsidRPr="00BB452D">
        <w:rPr>
          <w:color w:val="0000FF"/>
        </w:rPr>
        <w:fldChar w:fldCharType="separate"/>
      </w:r>
      <w:r w:rsidR="00EA3D29" w:rsidRPr="00EA3D29">
        <w:rPr>
          <w:color w:val="0000FF"/>
        </w:rPr>
        <w:t>Figure 2</w:t>
      </w:r>
      <w:r w:rsidR="00BB452D" w:rsidRPr="00BB452D">
        <w:rPr>
          <w:color w:val="0000FF"/>
        </w:rPr>
        <w:fldChar w:fldCharType="end"/>
      </w:r>
      <w:r w:rsidRPr="00E50389">
        <w:t>)</w:t>
      </w:r>
    </w:p>
    <w:p w:rsidR="00E50389" w:rsidRPr="00E50389" w:rsidRDefault="00E50389" w:rsidP="00E50389">
      <w:pPr>
        <w:pStyle w:val="Caption"/>
      </w:pPr>
      <w:r>
        <w:t xml:space="preserve"> </w:t>
      </w:r>
      <w:bookmarkStart w:id="10" w:name="_Ref512793480"/>
      <w:r>
        <w:t>Figure </w:t>
      </w:r>
      <w:r>
        <w:fldChar w:fldCharType="begin"/>
      </w:r>
      <w:r>
        <w:instrText xml:space="preserve"> SEQ Figure \* ARABIC </w:instrText>
      </w:r>
      <w:r>
        <w:fldChar w:fldCharType="separate"/>
      </w:r>
      <w:r w:rsidR="00EA3D29">
        <w:rPr>
          <w:noProof/>
        </w:rPr>
        <w:t>1</w:t>
      </w:r>
      <w:r>
        <w:fldChar w:fldCharType="end"/>
      </w:r>
      <w:bookmarkEnd w:id="10"/>
      <w:r>
        <w:t xml:space="preserve"> ­ </w:t>
      </w:r>
      <w:r w:rsidRPr="00E50389">
        <w:t>Percent of ACR20 Response by Visit for MOBILITY</w:t>
      </w:r>
    </w:p>
    <w:p w:rsidR="00E50389" w:rsidRDefault="00187181" w:rsidP="00E50389">
      <w:pPr>
        <w:spacing w:before="0"/>
        <w:jc w:val="center"/>
      </w:pPr>
      <w:r>
        <w:rPr>
          <w:noProof/>
          <w:lang w:val="en-AU" w:eastAsia="en-AU"/>
        </w:rPr>
        <w:drawing>
          <wp:inline distT="0" distB="0" distL="0" distR="0">
            <wp:extent cx="45243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857500"/>
                    </a:xfrm>
                    <a:prstGeom prst="rect">
                      <a:avLst/>
                    </a:prstGeom>
                    <a:noFill/>
                    <a:ln>
                      <a:noFill/>
                    </a:ln>
                  </pic:spPr>
                </pic:pic>
              </a:graphicData>
            </a:graphic>
          </wp:inline>
        </w:drawing>
      </w:r>
    </w:p>
    <w:p w:rsidR="00E50389" w:rsidRDefault="00E50389" w:rsidP="00E50389">
      <w:pPr>
        <w:pStyle w:val="Caption"/>
      </w:pPr>
      <w:r>
        <w:lastRenderedPageBreak/>
        <w:t xml:space="preserve"> </w:t>
      </w:r>
      <w:bookmarkStart w:id="11" w:name="_Ref512793489"/>
      <w:r>
        <w:t>Figure </w:t>
      </w:r>
      <w:r>
        <w:fldChar w:fldCharType="begin"/>
      </w:r>
      <w:r>
        <w:instrText xml:space="preserve"> SEQ Figure \* ARABIC </w:instrText>
      </w:r>
      <w:r>
        <w:fldChar w:fldCharType="separate"/>
      </w:r>
      <w:r w:rsidR="00EA3D29">
        <w:rPr>
          <w:noProof/>
        </w:rPr>
        <w:t>2</w:t>
      </w:r>
      <w:r>
        <w:fldChar w:fldCharType="end"/>
      </w:r>
      <w:bookmarkEnd w:id="11"/>
      <w:r>
        <w:t xml:space="preserve"> ­ </w:t>
      </w:r>
      <w:r w:rsidRPr="00E50389">
        <w:t>Percent of ACR20 Response by Visit for TARGET</w:t>
      </w:r>
    </w:p>
    <w:p w:rsidR="00E50389" w:rsidRPr="00E50389" w:rsidRDefault="00187181" w:rsidP="00A23734">
      <w:pPr>
        <w:spacing w:before="0"/>
        <w:jc w:val="center"/>
      </w:pPr>
      <w:r>
        <w:rPr>
          <w:b/>
          <w:noProof/>
          <w:spacing w:val="-2"/>
          <w:sz w:val="20"/>
          <w:szCs w:val="20"/>
          <w:lang w:val="en-AU" w:eastAsia="en-AU"/>
        </w:rPr>
        <w:drawing>
          <wp:inline distT="0" distB="0" distL="0" distR="0">
            <wp:extent cx="470535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3181350"/>
                    </a:xfrm>
                    <a:prstGeom prst="rect">
                      <a:avLst/>
                    </a:prstGeom>
                    <a:noFill/>
                    <a:ln>
                      <a:noFill/>
                    </a:ln>
                  </pic:spPr>
                </pic:pic>
              </a:graphicData>
            </a:graphic>
          </wp:inline>
        </w:drawing>
      </w:r>
    </w:p>
    <w:p w:rsidR="00E50389" w:rsidRDefault="00E50389" w:rsidP="00976A92">
      <w:pPr>
        <w:pageBreakBefore/>
      </w:pPr>
      <w:r w:rsidRPr="00E50389">
        <w:lastRenderedPageBreak/>
        <w:t xml:space="preserve">The results of the components of the ACR response criteria at Week 24 for the MOBILITY and TARGET studies are shown in </w:t>
      </w:r>
      <w:r w:rsidR="00BB452D" w:rsidRPr="00BB452D">
        <w:rPr>
          <w:color w:val="0000FF"/>
        </w:rPr>
        <w:fldChar w:fldCharType="begin"/>
      </w:r>
      <w:r w:rsidR="00BB452D" w:rsidRPr="00BB452D">
        <w:rPr>
          <w:color w:val="0000FF"/>
        </w:rPr>
        <w:instrText xml:space="preserve"> REF _Ref512793379 \h  \* MERGEFORMAT </w:instrText>
      </w:r>
      <w:r w:rsidR="00BB452D" w:rsidRPr="00BB452D">
        <w:rPr>
          <w:color w:val="0000FF"/>
        </w:rPr>
      </w:r>
      <w:r w:rsidR="00BB452D" w:rsidRPr="00BB452D">
        <w:rPr>
          <w:color w:val="0000FF"/>
        </w:rPr>
        <w:fldChar w:fldCharType="separate"/>
      </w:r>
      <w:r w:rsidR="00EA3D29" w:rsidRPr="00EA3D29">
        <w:rPr>
          <w:color w:val="0000FF"/>
        </w:rPr>
        <w:t>Table 5</w:t>
      </w:r>
      <w:r w:rsidR="00BB452D" w:rsidRPr="00BB452D">
        <w:rPr>
          <w:color w:val="0000FF"/>
        </w:rPr>
        <w:fldChar w:fldCharType="end"/>
      </w:r>
      <w:r w:rsidR="00BB452D">
        <w:rPr>
          <w:color w:val="0000FF"/>
        </w:rPr>
        <w:t xml:space="preserve">. </w:t>
      </w:r>
      <w:r w:rsidRPr="00E50389">
        <w:t>Results at 52 weeks in MOBILITY were similar to the results at 24 weeks for TARGET.</w:t>
      </w:r>
    </w:p>
    <w:p w:rsidR="00E50389" w:rsidRDefault="00E50389" w:rsidP="00976A92">
      <w:pPr>
        <w:pStyle w:val="Caption"/>
        <w:jc w:val="left"/>
      </w:pPr>
      <w:r>
        <w:t xml:space="preserve"> </w:t>
      </w:r>
      <w:bookmarkStart w:id="12" w:name="_Ref512793379"/>
      <w:r>
        <w:t>Table </w:t>
      </w:r>
      <w:r>
        <w:fldChar w:fldCharType="begin"/>
      </w:r>
      <w:r>
        <w:instrText xml:space="preserve"> SEQ Table \* ARABIC </w:instrText>
      </w:r>
      <w:r>
        <w:fldChar w:fldCharType="separate"/>
      </w:r>
      <w:r w:rsidR="00EA3D29">
        <w:rPr>
          <w:noProof/>
        </w:rPr>
        <w:t>5</w:t>
      </w:r>
      <w:r>
        <w:fldChar w:fldCharType="end"/>
      </w:r>
      <w:bookmarkEnd w:id="12"/>
      <w:r>
        <w:t xml:space="preserve"> ­ </w:t>
      </w:r>
      <w:r w:rsidRPr="00E50389">
        <w:t>Mean change from baseline in component</w:t>
      </w:r>
      <w:r w:rsidR="00C85BBB">
        <w:t>s of ACR score at Week 12 (</w:t>
      </w:r>
      <w:r w:rsidRPr="00E50389">
        <w:t>prior to rescue) in adults with moderate to severe active RA</w:t>
      </w:r>
    </w:p>
    <w:tbl>
      <w:tblPr>
        <w:tblW w:w="0" w:type="auto"/>
        <w:jc w:val="center"/>
        <w:tblBorders>
          <w:top w:val="single" w:sz="2" w:space="0" w:color="000000"/>
        </w:tblBorders>
        <w:tblLook w:val="04A0" w:firstRow="1" w:lastRow="0" w:firstColumn="1" w:lastColumn="0" w:noHBand="0" w:noVBand="1"/>
      </w:tblPr>
      <w:tblGrid>
        <w:gridCol w:w="2545"/>
        <w:gridCol w:w="846"/>
        <w:gridCol w:w="1262"/>
        <w:gridCol w:w="1262"/>
        <w:gridCol w:w="947"/>
        <w:gridCol w:w="1480"/>
        <w:gridCol w:w="1518"/>
      </w:tblGrid>
      <w:tr w:rsidR="00BB452D" w:rsidRPr="00442F79" w:rsidTr="00C27A4D">
        <w:trPr>
          <w:cantSplit/>
          <w:trHeight w:val="384"/>
          <w:tblHeader/>
          <w:jc w:val="center"/>
        </w:trPr>
        <w:tc>
          <w:tcPr>
            <w:tcW w:w="0" w:type="auto"/>
            <w:tcBorders>
              <w:top w:val="single" w:sz="4" w:space="0" w:color="000000"/>
              <w:bottom w:val="single" w:sz="4" w:space="0" w:color="auto"/>
            </w:tcBorders>
            <w:shd w:val="clear" w:color="auto" w:fill="auto"/>
            <w:tcMar>
              <w:top w:w="0" w:type="dxa"/>
              <w:left w:w="0" w:type="dxa"/>
              <w:bottom w:w="0" w:type="dxa"/>
              <w:right w:w="0" w:type="dxa"/>
            </w:tcMar>
            <w:vAlign w:val="center"/>
          </w:tcPr>
          <w:p w:rsidR="00BB452D" w:rsidRPr="00442F79" w:rsidRDefault="00BB452D" w:rsidP="00C27A4D">
            <w:pPr>
              <w:pStyle w:val="TblHeadingCenter"/>
            </w:pPr>
          </w:p>
        </w:tc>
        <w:tc>
          <w:tcPr>
            <w:tcW w:w="0" w:type="auto"/>
            <w:gridSpan w:val="3"/>
            <w:tcBorders>
              <w:top w:val="single" w:sz="4" w:space="0" w:color="000000"/>
              <w:bottom w:val="single" w:sz="4" w:space="0" w:color="auto"/>
            </w:tcBorders>
            <w:shd w:val="clear" w:color="auto" w:fill="auto"/>
            <w:vAlign w:val="bottom"/>
          </w:tcPr>
          <w:p w:rsidR="00BB452D" w:rsidRPr="00442F79" w:rsidRDefault="00BB452D" w:rsidP="00C27A4D">
            <w:pPr>
              <w:pStyle w:val="TblHeadingCenter"/>
            </w:pPr>
            <w:r w:rsidRPr="00442F79">
              <w:t>MOBILITY</w:t>
            </w:r>
          </w:p>
        </w:tc>
        <w:tc>
          <w:tcPr>
            <w:tcW w:w="0" w:type="auto"/>
            <w:gridSpan w:val="3"/>
            <w:tcBorders>
              <w:top w:val="single" w:sz="4" w:space="0" w:color="000000"/>
              <w:bottom w:val="single" w:sz="4" w:space="0" w:color="auto"/>
            </w:tcBorders>
            <w:shd w:val="clear" w:color="auto" w:fill="auto"/>
            <w:vAlign w:val="bottom"/>
          </w:tcPr>
          <w:p w:rsidR="00BB452D" w:rsidRPr="00442F79" w:rsidRDefault="00BB452D" w:rsidP="00C27A4D">
            <w:pPr>
              <w:pStyle w:val="TblHeadingCenter"/>
            </w:pPr>
            <w:r w:rsidRPr="00442F79">
              <w:t>TARGET</w:t>
            </w:r>
          </w:p>
        </w:tc>
      </w:tr>
      <w:tr w:rsidR="00BB452D" w:rsidRPr="00442F79" w:rsidTr="00C27A4D">
        <w:trPr>
          <w:cantSplit/>
          <w:trHeight w:val="384"/>
          <w:jc w:val="center"/>
        </w:trPr>
        <w:tc>
          <w:tcPr>
            <w:tcW w:w="0" w:type="auto"/>
            <w:tcBorders>
              <w:top w:val="single" w:sz="4" w:space="0" w:color="auto"/>
              <w:left w:val="single" w:sz="4" w:space="0" w:color="auto"/>
              <w:bottom w:val="single" w:sz="4" w:space="0" w:color="auto"/>
            </w:tcBorders>
            <w:shd w:val="clear" w:color="auto" w:fill="auto"/>
            <w:tcMar>
              <w:top w:w="0" w:type="dxa"/>
              <w:left w:w="0" w:type="dxa"/>
              <w:bottom w:w="0" w:type="dxa"/>
              <w:right w:w="0" w:type="dxa"/>
            </w:tcMar>
            <w:vAlign w:val="center"/>
            <w:hideMark/>
          </w:tcPr>
          <w:p w:rsidR="00BB452D" w:rsidRPr="00442F79" w:rsidRDefault="00BB452D" w:rsidP="00C27A4D">
            <w:pPr>
              <w:pStyle w:val="TblTextCenter"/>
              <w:jc w:val="left"/>
              <w:rPr>
                <w:b/>
              </w:rPr>
            </w:pPr>
            <w:r w:rsidRPr="00442F79">
              <w:rPr>
                <w:b/>
              </w:rPr>
              <w:t>Component means (range/units)</w:t>
            </w:r>
          </w:p>
        </w:tc>
        <w:tc>
          <w:tcPr>
            <w:tcW w:w="0" w:type="auto"/>
            <w:tcBorders>
              <w:top w:val="single" w:sz="4" w:space="0" w:color="auto"/>
              <w:bottom w:val="single" w:sz="4" w:space="0" w:color="auto"/>
            </w:tcBorders>
            <w:shd w:val="clear" w:color="auto" w:fill="auto"/>
            <w:vAlign w:val="bottom"/>
            <w:hideMark/>
          </w:tcPr>
          <w:p w:rsidR="00BB452D" w:rsidRPr="00442F79" w:rsidRDefault="00BB452D" w:rsidP="00C27A4D">
            <w:pPr>
              <w:pStyle w:val="TblTextCenter"/>
              <w:rPr>
                <w:b/>
              </w:rPr>
            </w:pPr>
            <w:r w:rsidRPr="00442F79">
              <w:rPr>
                <w:b/>
              </w:rPr>
              <w:t xml:space="preserve">Placebo </w:t>
            </w:r>
            <w:r w:rsidRPr="00442F79">
              <w:rPr>
                <w:b/>
              </w:rPr>
              <w:br/>
              <w:t>+ MTX</w:t>
            </w:r>
            <w:r w:rsidRPr="00442F79">
              <w:rPr>
                <w:b/>
              </w:rPr>
              <w:br/>
              <w:t>(N=398)</w:t>
            </w:r>
          </w:p>
        </w:tc>
        <w:tc>
          <w:tcPr>
            <w:tcW w:w="0" w:type="auto"/>
            <w:tcBorders>
              <w:top w:val="single" w:sz="4" w:space="0" w:color="auto"/>
              <w:bottom w:val="single" w:sz="4" w:space="0" w:color="auto"/>
            </w:tcBorders>
            <w:shd w:val="clear" w:color="auto" w:fill="auto"/>
            <w:vAlign w:val="bottom"/>
            <w:hideMark/>
          </w:tcPr>
          <w:p w:rsidR="00BB452D" w:rsidRPr="00442F79" w:rsidRDefault="00BB452D" w:rsidP="00C27A4D">
            <w:pPr>
              <w:pStyle w:val="TblTextCenter"/>
              <w:rPr>
                <w:b/>
              </w:rPr>
            </w:pPr>
            <w:r w:rsidRPr="00442F79">
              <w:rPr>
                <w:b/>
              </w:rPr>
              <w:t xml:space="preserve">KEVZARA </w:t>
            </w:r>
            <w:r w:rsidRPr="00442F79">
              <w:rPr>
                <w:b/>
              </w:rPr>
              <w:br/>
              <w:t>150 mg + MTX</w:t>
            </w:r>
          </w:p>
          <w:p w:rsidR="00BB452D" w:rsidRPr="00442F79" w:rsidRDefault="00BB452D" w:rsidP="00C27A4D">
            <w:pPr>
              <w:pStyle w:val="TblTextCenter"/>
              <w:rPr>
                <w:b/>
              </w:rPr>
            </w:pPr>
            <w:r w:rsidRPr="00442F79">
              <w:rPr>
                <w:b/>
              </w:rPr>
              <w:t>(N=400)</w:t>
            </w:r>
          </w:p>
        </w:tc>
        <w:tc>
          <w:tcPr>
            <w:tcW w:w="0" w:type="auto"/>
            <w:tcBorders>
              <w:top w:val="single" w:sz="4" w:space="0" w:color="auto"/>
              <w:bottom w:val="single" w:sz="4" w:space="0" w:color="auto"/>
            </w:tcBorders>
            <w:shd w:val="clear" w:color="auto" w:fill="auto"/>
            <w:vAlign w:val="bottom"/>
            <w:hideMark/>
          </w:tcPr>
          <w:p w:rsidR="00BB452D" w:rsidRPr="00442F79" w:rsidRDefault="00BB452D" w:rsidP="00C27A4D">
            <w:pPr>
              <w:pStyle w:val="TblTextCenter"/>
              <w:rPr>
                <w:b/>
              </w:rPr>
            </w:pPr>
            <w:r w:rsidRPr="00442F79">
              <w:rPr>
                <w:b/>
              </w:rPr>
              <w:t xml:space="preserve">KEVZARA </w:t>
            </w:r>
            <w:r w:rsidRPr="00442F79">
              <w:rPr>
                <w:b/>
              </w:rPr>
              <w:br/>
              <w:t>200 mg + MTX</w:t>
            </w:r>
          </w:p>
          <w:p w:rsidR="00BB452D" w:rsidRPr="00442F79" w:rsidRDefault="00BB452D" w:rsidP="00C27A4D">
            <w:pPr>
              <w:pStyle w:val="TblTextCenter"/>
              <w:rPr>
                <w:b/>
              </w:rPr>
            </w:pPr>
            <w:r w:rsidRPr="00442F79">
              <w:rPr>
                <w:b/>
              </w:rPr>
              <w:t>(N=399)</w:t>
            </w:r>
          </w:p>
        </w:tc>
        <w:tc>
          <w:tcPr>
            <w:tcW w:w="0" w:type="auto"/>
            <w:tcBorders>
              <w:top w:val="single" w:sz="4" w:space="0" w:color="auto"/>
              <w:bottom w:val="single" w:sz="4" w:space="0" w:color="auto"/>
            </w:tcBorders>
            <w:shd w:val="clear" w:color="auto" w:fill="auto"/>
            <w:vAlign w:val="bottom"/>
            <w:hideMark/>
          </w:tcPr>
          <w:p w:rsidR="00BB452D" w:rsidRPr="00442F79" w:rsidRDefault="00BB452D" w:rsidP="00C27A4D">
            <w:pPr>
              <w:pStyle w:val="TblTextCenter"/>
              <w:rPr>
                <w:b/>
              </w:rPr>
            </w:pPr>
            <w:r w:rsidRPr="00442F79">
              <w:rPr>
                <w:b/>
              </w:rPr>
              <w:t xml:space="preserve">Placebo </w:t>
            </w:r>
            <w:r w:rsidRPr="00442F79">
              <w:rPr>
                <w:b/>
              </w:rPr>
              <w:br/>
              <w:t>+ DMARD</w:t>
            </w:r>
          </w:p>
          <w:p w:rsidR="00BB452D" w:rsidRPr="00442F79" w:rsidRDefault="00BB452D" w:rsidP="00C27A4D">
            <w:pPr>
              <w:pStyle w:val="TblTextCenter"/>
              <w:rPr>
                <w:b/>
              </w:rPr>
            </w:pPr>
            <w:r w:rsidRPr="00442F79">
              <w:rPr>
                <w:b/>
              </w:rPr>
              <w:t>(N=181)</w:t>
            </w:r>
          </w:p>
        </w:tc>
        <w:tc>
          <w:tcPr>
            <w:tcW w:w="0" w:type="auto"/>
            <w:tcBorders>
              <w:top w:val="single" w:sz="4" w:space="0" w:color="auto"/>
              <w:bottom w:val="single" w:sz="4" w:space="0" w:color="auto"/>
            </w:tcBorders>
            <w:shd w:val="clear" w:color="auto" w:fill="auto"/>
            <w:vAlign w:val="bottom"/>
            <w:hideMark/>
          </w:tcPr>
          <w:p w:rsidR="00BB452D" w:rsidRPr="00442F79" w:rsidRDefault="00BB452D" w:rsidP="00C27A4D">
            <w:pPr>
              <w:pStyle w:val="TblTextCenter"/>
              <w:rPr>
                <w:b/>
              </w:rPr>
            </w:pPr>
            <w:r w:rsidRPr="00442F79">
              <w:rPr>
                <w:b/>
              </w:rPr>
              <w:t xml:space="preserve">KEVZARA </w:t>
            </w:r>
            <w:r w:rsidRPr="00442F79">
              <w:rPr>
                <w:b/>
              </w:rPr>
              <w:br/>
              <w:t>150 mg + DMARD</w:t>
            </w:r>
          </w:p>
          <w:p w:rsidR="00BB452D" w:rsidRPr="00442F79" w:rsidRDefault="00BB452D" w:rsidP="00C27A4D">
            <w:pPr>
              <w:pStyle w:val="TblTextCenter"/>
              <w:rPr>
                <w:b/>
              </w:rPr>
            </w:pPr>
            <w:r w:rsidRPr="00442F79">
              <w:rPr>
                <w:b/>
              </w:rPr>
              <w:t>(N=181)</w:t>
            </w:r>
          </w:p>
        </w:tc>
        <w:tc>
          <w:tcPr>
            <w:tcW w:w="0" w:type="auto"/>
            <w:tcBorders>
              <w:top w:val="single" w:sz="4" w:space="0" w:color="auto"/>
              <w:bottom w:val="single" w:sz="4" w:space="0" w:color="auto"/>
              <w:right w:val="single" w:sz="4" w:space="0" w:color="auto"/>
            </w:tcBorders>
            <w:shd w:val="clear" w:color="auto" w:fill="auto"/>
            <w:vAlign w:val="bottom"/>
            <w:hideMark/>
          </w:tcPr>
          <w:p w:rsidR="00BB452D" w:rsidRPr="00442F79" w:rsidRDefault="00BB452D" w:rsidP="00C27A4D">
            <w:pPr>
              <w:pStyle w:val="TblTextCenter"/>
              <w:rPr>
                <w:b/>
              </w:rPr>
            </w:pPr>
            <w:r w:rsidRPr="00442F79">
              <w:rPr>
                <w:b/>
              </w:rPr>
              <w:t>KEVZARA</w:t>
            </w:r>
            <w:r w:rsidRPr="00442F79">
              <w:rPr>
                <w:b/>
              </w:rPr>
              <w:br/>
              <w:t xml:space="preserve"> 200 mg + DMARD</w:t>
            </w:r>
          </w:p>
          <w:p w:rsidR="00BB452D" w:rsidRPr="00442F79" w:rsidRDefault="00BB452D" w:rsidP="00C27A4D">
            <w:pPr>
              <w:pStyle w:val="TblTextCenter"/>
              <w:rPr>
                <w:b/>
              </w:rPr>
            </w:pPr>
            <w:r w:rsidRPr="00442F79">
              <w:rPr>
                <w:b/>
              </w:rPr>
              <w:t>(N=184)</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Tender Joints (0</w:t>
            </w:r>
            <w:r w:rsidRPr="00442F79">
              <w:rPr>
                <w:b/>
              </w:rPr>
              <w:noBreakHyphen/>
              <w:t>68)</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26.80</w:t>
            </w:r>
          </w:p>
        </w:tc>
        <w:tc>
          <w:tcPr>
            <w:tcW w:w="0" w:type="auto"/>
            <w:tcBorders>
              <w:top w:val="nil"/>
            </w:tcBorders>
            <w:shd w:val="clear" w:color="auto" w:fill="auto"/>
            <w:vAlign w:val="center"/>
          </w:tcPr>
          <w:p w:rsidR="00BB452D" w:rsidRPr="00442F79" w:rsidRDefault="00BB452D" w:rsidP="00C27A4D">
            <w:pPr>
              <w:pStyle w:val="TblTextCenter"/>
            </w:pPr>
            <w:r w:rsidRPr="00442F79">
              <w:t>27.21</w:t>
            </w:r>
          </w:p>
        </w:tc>
        <w:tc>
          <w:tcPr>
            <w:tcW w:w="0" w:type="auto"/>
            <w:tcBorders>
              <w:top w:val="nil"/>
            </w:tcBorders>
            <w:shd w:val="clear" w:color="auto" w:fill="auto"/>
            <w:vAlign w:val="center"/>
          </w:tcPr>
          <w:p w:rsidR="00BB452D" w:rsidRPr="00442F79" w:rsidRDefault="00BB452D" w:rsidP="00C27A4D">
            <w:pPr>
              <w:pStyle w:val="TblTextCenter"/>
            </w:pPr>
            <w:r w:rsidRPr="00442F79">
              <w:t>26.50</w:t>
            </w:r>
          </w:p>
        </w:tc>
        <w:tc>
          <w:tcPr>
            <w:tcW w:w="0" w:type="auto"/>
            <w:tcBorders>
              <w:top w:val="nil"/>
            </w:tcBorders>
            <w:shd w:val="clear" w:color="auto" w:fill="auto"/>
            <w:vAlign w:val="center"/>
          </w:tcPr>
          <w:p w:rsidR="00BB452D" w:rsidRPr="00442F79" w:rsidRDefault="00BB452D" w:rsidP="00C27A4D">
            <w:pPr>
              <w:pStyle w:val="TblTextCenter"/>
            </w:pPr>
            <w:r w:rsidRPr="00442F79">
              <w:t>29.42</w:t>
            </w:r>
          </w:p>
        </w:tc>
        <w:tc>
          <w:tcPr>
            <w:tcW w:w="0" w:type="auto"/>
            <w:tcBorders>
              <w:top w:val="nil"/>
            </w:tcBorders>
            <w:shd w:val="clear" w:color="auto" w:fill="auto"/>
            <w:vAlign w:val="center"/>
          </w:tcPr>
          <w:p w:rsidR="00BB452D" w:rsidRPr="00442F79" w:rsidRDefault="00BB452D" w:rsidP="00C27A4D">
            <w:pPr>
              <w:pStyle w:val="TblTextCenter"/>
            </w:pPr>
            <w:r w:rsidRPr="00442F79">
              <w:t>27.66</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29.55</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16.25</w:t>
            </w:r>
          </w:p>
        </w:tc>
        <w:tc>
          <w:tcPr>
            <w:tcW w:w="0" w:type="auto"/>
            <w:tcBorders>
              <w:top w:val="nil"/>
            </w:tcBorders>
            <w:shd w:val="clear" w:color="auto" w:fill="auto"/>
            <w:vAlign w:val="center"/>
          </w:tcPr>
          <w:p w:rsidR="00BB452D" w:rsidRPr="00442F79" w:rsidRDefault="00BB452D" w:rsidP="00C27A4D">
            <w:pPr>
              <w:pStyle w:val="TblTextCenter"/>
            </w:pPr>
            <w:r w:rsidRPr="00442F79">
              <w:t>12.88</w:t>
            </w:r>
          </w:p>
        </w:tc>
        <w:tc>
          <w:tcPr>
            <w:tcW w:w="0" w:type="auto"/>
            <w:tcBorders>
              <w:top w:val="nil"/>
            </w:tcBorders>
            <w:shd w:val="clear" w:color="auto" w:fill="auto"/>
            <w:vAlign w:val="center"/>
          </w:tcPr>
          <w:p w:rsidR="00BB452D" w:rsidRPr="00442F79" w:rsidRDefault="00BB452D" w:rsidP="00C27A4D">
            <w:pPr>
              <w:pStyle w:val="TblTextCenter"/>
            </w:pPr>
            <w:r w:rsidRPr="00442F79">
              <w:t>11.78</w:t>
            </w:r>
          </w:p>
        </w:tc>
        <w:tc>
          <w:tcPr>
            <w:tcW w:w="0" w:type="auto"/>
            <w:tcBorders>
              <w:top w:val="nil"/>
            </w:tcBorders>
            <w:shd w:val="clear" w:color="auto" w:fill="auto"/>
            <w:vAlign w:val="center"/>
          </w:tcPr>
          <w:p w:rsidR="00BB452D" w:rsidRPr="00442F79" w:rsidRDefault="00BB452D" w:rsidP="00C27A4D">
            <w:pPr>
              <w:pStyle w:val="TblTextCenter"/>
            </w:pPr>
            <w:r w:rsidRPr="00442F79">
              <w:t>19.18</w:t>
            </w:r>
          </w:p>
        </w:tc>
        <w:tc>
          <w:tcPr>
            <w:tcW w:w="0" w:type="auto"/>
            <w:tcBorders>
              <w:top w:val="nil"/>
            </w:tcBorders>
            <w:shd w:val="clear" w:color="auto" w:fill="auto"/>
            <w:vAlign w:val="center"/>
          </w:tcPr>
          <w:p w:rsidR="00BB452D" w:rsidRPr="00442F79" w:rsidRDefault="00BB452D" w:rsidP="00C27A4D">
            <w:pPr>
              <w:pStyle w:val="TblTextCenter"/>
            </w:pPr>
            <w:r w:rsidRPr="00442F79">
              <w:t>13.38</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13.10</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hideMark/>
          </w:tcPr>
          <w:p w:rsidR="00BB452D" w:rsidRPr="00442F79" w:rsidRDefault="00BB452D" w:rsidP="00C27A4D">
            <w:pPr>
              <w:pStyle w:val="TblTextCenter"/>
              <w:jc w:val="left"/>
            </w:pPr>
            <w:r w:rsidRPr="00442F79">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-10.51</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-14.42</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-14.94</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-9.79</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-14.11</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-15.92</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Swollen Joints (0</w:t>
            </w:r>
            <w:r w:rsidRPr="00442F79">
              <w:rPr>
                <w:b/>
              </w:rPr>
              <w:noBreakHyphen/>
              <w:t>66)</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16.68</w:t>
            </w:r>
          </w:p>
        </w:tc>
        <w:tc>
          <w:tcPr>
            <w:tcW w:w="0" w:type="auto"/>
            <w:tcBorders>
              <w:top w:val="nil"/>
            </w:tcBorders>
            <w:shd w:val="clear" w:color="auto" w:fill="auto"/>
            <w:vAlign w:val="center"/>
          </w:tcPr>
          <w:p w:rsidR="00BB452D" w:rsidRPr="00442F79" w:rsidRDefault="00BB452D" w:rsidP="00C27A4D">
            <w:pPr>
              <w:pStyle w:val="TblTextCenter"/>
            </w:pPr>
            <w:r w:rsidRPr="00442F79">
              <w:t>16.60</w:t>
            </w:r>
          </w:p>
        </w:tc>
        <w:tc>
          <w:tcPr>
            <w:tcW w:w="0" w:type="auto"/>
            <w:tcBorders>
              <w:top w:val="nil"/>
            </w:tcBorders>
            <w:shd w:val="clear" w:color="auto" w:fill="auto"/>
            <w:vAlign w:val="center"/>
          </w:tcPr>
          <w:p w:rsidR="00BB452D" w:rsidRPr="00442F79" w:rsidRDefault="00BB452D" w:rsidP="00C27A4D">
            <w:pPr>
              <w:pStyle w:val="TblTextCenter"/>
            </w:pPr>
            <w:r w:rsidRPr="00442F79">
              <w:t>16.77</w:t>
            </w:r>
          </w:p>
        </w:tc>
        <w:tc>
          <w:tcPr>
            <w:tcW w:w="0" w:type="auto"/>
            <w:tcBorders>
              <w:top w:val="nil"/>
            </w:tcBorders>
            <w:shd w:val="clear" w:color="auto" w:fill="auto"/>
            <w:vAlign w:val="center"/>
          </w:tcPr>
          <w:p w:rsidR="00BB452D" w:rsidRPr="00442F79" w:rsidRDefault="00BB452D" w:rsidP="00C27A4D">
            <w:pPr>
              <w:pStyle w:val="TblTextCenter"/>
            </w:pPr>
            <w:r w:rsidRPr="00442F79">
              <w:t>20.21</w:t>
            </w:r>
          </w:p>
        </w:tc>
        <w:tc>
          <w:tcPr>
            <w:tcW w:w="0" w:type="auto"/>
            <w:tcBorders>
              <w:top w:val="nil"/>
            </w:tcBorders>
            <w:shd w:val="clear" w:color="auto" w:fill="auto"/>
            <w:vAlign w:val="center"/>
          </w:tcPr>
          <w:p w:rsidR="00BB452D" w:rsidRPr="00442F79" w:rsidRDefault="00BB452D" w:rsidP="00C27A4D">
            <w:pPr>
              <w:pStyle w:val="TblTextCenter"/>
            </w:pPr>
            <w:r w:rsidRPr="00442F79">
              <w:t>19.60</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19.97</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9.66</w:t>
            </w:r>
          </w:p>
        </w:tc>
        <w:tc>
          <w:tcPr>
            <w:tcW w:w="0" w:type="auto"/>
            <w:tcBorders>
              <w:top w:val="nil"/>
            </w:tcBorders>
            <w:shd w:val="clear" w:color="auto" w:fill="auto"/>
            <w:vAlign w:val="center"/>
          </w:tcPr>
          <w:p w:rsidR="00BB452D" w:rsidRPr="00442F79" w:rsidRDefault="00BB452D" w:rsidP="00C27A4D">
            <w:pPr>
              <w:pStyle w:val="TblTextCenter"/>
            </w:pPr>
            <w:r w:rsidRPr="00442F79">
              <w:t>7.50</w:t>
            </w:r>
          </w:p>
        </w:tc>
        <w:tc>
          <w:tcPr>
            <w:tcW w:w="0" w:type="auto"/>
            <w:tcBorders>
              <w:top w:val="nil"/>
            </w:tcBorders>
            <w:shd w:val="clear" w:color="auto" w:fill="auto"/>
            <w:vAlign w:val="center"/>
          </w:tcPr>
          <w:p w:rsidR="00BB452D" w:rsidRPr="00442F79" w:rsidRDefault="00BB452D" w:rsidP="00C27A4D">
            <w:pPr>
              <w:pStyle w:val="TblTextCenter"/>
            </w:pPr>
            <w:r w:rsidRPr="00442F79">
              <w:t>6.79</w:t>
            </w:r>
          </w:p>
        </w:tc>
        <w:tc>
          <w:tcPr>
            <w:tcW w:w="0" w:type="auto"/>
            <w:tcBorders>
              <w:top w:val="nil"/>
            </w:tcBorders>
            <w:shd w:val="clear" w:color="auto" w:fill="auto"/>
            <w:vAlign w:val="center"/>
          </w:tcPr>
          <w:p w:rsidR="00BB452D" w:rsidRPr="00442F79" w:rsidRDefault="00BB452D" w:rsidP="00C27A4D">
            <w:pPr>
              <w:pStyle w:val="TblTextCenter"/>
            </w:pPr>
            <w:r w:rsidRPr="00442F79">
              <w:t>12.50</w:t>
            </w:r>
          </w:p>
        </w:tc>
        <w:tc>
          <w:tcPr>
            <w:tcW w:w="0" w:type="auto"/>
            <w:tcBorders>
              <w:top w:val="nil"/>
            </w:tcBorders>
            <w:shd w:val="clear" w:color="auto" w:fill="auto"/>
            <w:vAlign w:val="center"/>
          </w:tcPr>
          <w:p w:rsidR="00BB452D" w:rsidRPr="00442F79" w:rsidRDefault="00BB452D" w:rsidP="00C27A4D">
            <w:pPr>
              <w:pStyle w:val="TblTextCenter"/>
            </w:pPr>
            <w:r w:rsidRPr="00442F79">
              <w:t>8.82</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8.28</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tcPr>
          <w:p w:rsidR="00BB452D" w:rsidRPr="00442F79" w:rsidRDefault="00BB452D" w:rsidP="00C27A4D">
            <w:pPr>
              <w:pStyle w:val="TblTextCenter"/>
              <w:jc w:val="left"/>
            </w:pPr>
            <w:r w:rsidRPr="00442F79">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-7.02</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-9.03</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-10.12</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-7.25</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-10.77</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-10.89</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Pain VAS* (0</w:t>
            </w:r>
            <w:r w:rsidRPr="00442F79">
              <w:rPr>
                <w:b/>
              </w:rPr>
              <w:noBreakHyphen/>
              <w:t>100 mm)</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63.71</w:t>
            </w:r>
          </w:p>
        </w:tc>
        <w:tc>
          <w:tcPr>
            <w:tcW w:w="0" w:type="auto"/>
            <w:tcBorders>
              <w:top w:val="nil"/>
            </w:tcBorders>
            <w:shd w:val="clear" w:color="auto" w:fill="auto"/>
            <w:vAlign w:val="center"/>
          </w:tcPr>
          <w:p w:rsidR="00BB452D" w:rsidRPr="00442F79" w:rsidRDefault="00BB452D" w:rsidP="00C27A4D">
            <w:pPr>
              <w:pStyle w:val="TblTextCenter"/>
            </w:pPr>
            <w:r w:rsidRPr="00442F79">
              <w:t>65.48</w:t>
            </w:r>
          </w:p>
        </w:tc>
        <w:tc>
          <w:tcPr>
            <w:tcW w:w="0" w:type="auto"/>
            <w:tcBorders>
              <w:top w:val="nil"/>
            </w:tcBorders>
            <w:shd w:val="clear" w:color="auto" w:fill="auto"/>
            <w:vAlign w:val="center"/>
          </w:tcPr>
          <w:p w:rsidR="00BB452D" w:rsidRPr="00442F79" w:rsidRDefault="00BB452D" w:rsidP="00C27A4D">
            <w:pPr>
              <w:pStyle w:val="TblTextCenter"/>
            </w:pPr>
            <w:r w:rsidRPr="00442F79">
              <w:t>66.71</w:t>
            </w:r>
          </w:p>
        </w:tc>
        <w:tc>
          <w:tcPr>
            <w:tcW w:w="0" w:type="auto"/>
            <w:tcBorders>
              <w:top w:val="nil"/>
            </w:tcBorders>
            <w:shd w:val="clear" w:color="auto" w:fill="auto"/>
            <w:vAlign w:val="center"/>
          </w:tcPr>
          <w:p w:rsidR="00BB452D" w:rsidRPr="00442F79" w:rsidRDefault="00BB452D" w:rsidP="00C27A4D">
            <w:pPr>
              <w:pStyle w:val="TblTextCenter"/>
            </w:pPr>
            <w:r w:rsidRPr="00442F79">
              <w:t>71.57</w:t>
            </w:r>
          </w:p>
        </w:tc>
        <w:tc>
          <w:tcPr>
            <w:tcW w:w="0" w:type="auto"/>
            <w:tcBorders>
              <w:top w:val="nil"/>
            </w:tcBorders>
            <w:shd w:val="clear" w:color="auto" w:fill="auto"/>
            <w:vAlign w:val="center"/>
          </w:tcPr>
          <w:p w:rsidR="00BB452D" w:rsidRPr="00442F79" w:rsidRDefault="00BB452D" w:rsidP="00C27A4D">
            <w:pPr>
              <w:pStyle w:val="TblTextCenter"/>
            </w:pPr>
            <w:r w:rsidRPr="00442F79">
              <w:t>71.02</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74.86</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49.25</w:t>
            </w:r>
          </w:p>
        </w:tc>
        <w:tc>
          <w:tcPr>
            <w:tcW w:w="0" w:type="auto"/>
            <w:tcBorders>
              <w:top w:val="nil"/>
            </w:tcBorders>
            <w:shd w:val="clear" w:color="auto" w:fill="auto"/>
            <w:vAlign w:val="center"/>
          </w:tcPr>
          <w:p w:rsidR="00BB452D" w:rsidRPr="00442F79" w:rsidRDefault="00BB452D" w:rsidP="00C27A4D">
            <w:pPr>
              <w:pStyle w:val="TblTextCenter"/>
            </w:pPr>
            <w:r w:rsidRPr="00442F79">
              <w:t>41.47</w:t>
            </w:r>
          </w:p>
        </w:tc>
        <w:tc>
          <w:tcPr>
            <w:tcW w:w="0" w:type="auto"/>
            <w:tcBorders>
              <w:top w:val="nil"/>
            </w:tcBorders>
            <w:shd w:val="clear" w:color="auto" w:fill="auto"/>
            <w:vAlign w:val="center"/>
          </w:tcPr>
          <w:p w:rsidR="00BB452D" w:rsidRPr="00442F79" w:rsidRDefault="00BB452D" w:rsidP="00C27A4D">
            <w:pPr>
              <w:pStyle w:val="TblTextCenter"/>
            </w:pPr>
            <w:r w:rsidRPr="00442F79">
              <w:t>36.93</w:t>
            </w:r>
          </w:p>
        </w:tc>
        <w:tc>
          <w:tcPr>
            <w:tcW w:w="0" w:type="auto"/>
            <w:tcBorders>
              <w:top w:val="nil"/>
            </w:tcBorders>
            <w:shd w:val="clear" w:color="auto" w:fill="auto"/>
            <w:vAlign w:val="center"/>
          </w:tcPr>
          <w:p w:rsidR="00BB452D" w:rsidRPr="00442F79" w:rsidRDefault="00BB452D" w:rsidP="00C27A4D">
            <w:pPr>
              <w:pStyle w:val="TblTextCenter"/>
            </w:pPr>
            <w:r w:rsidRPr="00442F79">
              <w:t>54.77</w:t>
            </w:r>
          </w:p>
        </w:tc>
        <w:tc>
          <w:tcPr>
            <w:tcW w:w="0" w:type="auto"/>
            <w:tcBorders>
              <w:top w:val="nil"/>
            </w:tcBorders>
            <w:shd w:val="clear" w:color="auto" w:fill="auto"/>
            <w:vAlign w:val="center"/>
          </w:tcPr>
          <w:p w:rsidR="00BB452D" w:rsidRPr="00442F79" w:rsidRDefault="00BB452D" w:rsidP="00C27A4D">
            <w:pPr>
              <w:pStyle w:val="TblTextCenter"/>
            </w:pPr>
            <w:r w:rsidRPr="00442F79">
              <w:t>43.45</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41.66</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tcPr>
          <w:p w:rsidR="00BB452D" w:rsidRPr="00442F79" w:rsidRDefault="00BB452D" w:rsidP="00C27A4D">
            <w:pPr>
              <w:pStyle w:val="TblTextCenter"/>
              <w:jc w:val="left"/>
            </w:pPr>
            <w:r w:rsidRPr="00442F79">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-14.45</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-23.73</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-29.77</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-16.12</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-27.95</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-32.77</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Physician global VAS* (0</w:t>
            </w:r>
            <w:r w:rsidRPr="00442F79">
              <w:rPr>
                <w:b/>
              </w:rPr>
              <w:noBreakHyphen/>
              <w:t>100 mm)</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62.86</w:t>
            </w:r>
          </w:p>
        </w:tc>
        <w:tc>
          <w:tcPr>
            <w:tcW w:w="0" w:type="auto"/>
            <w:tcBorders>
              <w:top w:val="nil"/>
            </w:tcBorders>
            <w:shd w:val="clear" w:color="auto" w:fill="auto"/>
            <w:vAlign w:val="center"/>
          </w:tcPr>
          <w:p w:rsidR="00BB452D" w:rsidRPr="00442F79" w:rsidRDefault="00BB452D" w:rsidP="00C27A4D">
            <w:pPr>
              <w:pStyle w:val="TblTextCenter"/>
            </w:pPr>
            <w:r w:rsidRPr="00442F79">
              <w:t>63.43</w:t>
            </w:r>
          </w:p>
        </w:tc>
        <w:tc>
          <w:tcPr>
            <w:tcW w:w="0" w:type="auto"/>
            <w:tcBorders>
              <w:top w:val="nil"/>
            </w:tcBorders>
            <w:shd w:val="clear" w:color="auto" w:fill="auto"/>
            <w:vAlign w:val="center"/>
          </w:tcPr>
          <w:p w:rsidR="00BB452D" w:rsidRPr="00442F79" w:rsidRDefault="00BB452D" w:rsidP="00C27A4D">
            <w:pPr>
              <w:pStyle w:val="TblTextCenter"/>
            </w:pPr>
            <w:r w:rsidRPr="00442F79">
              <w:t>63.59</w:t>
            </w:r>
          </w:p>
        </w:tc>
        <w:tc>
          <w:tcPr>
            <w:tcW w:w="0" w:type="auto"/>
            <w:tcBorders>
              <w:top w:val="nil"/>
            </w:tcBorders>
            <w:shd w:val="clear" w:color="auto" w:fill="auto"/>
            <w:vAlign w:val="center"/>
          </w:tcPr>
          <w:p w:rsidR="00BB452D" w:rsidRPr="00442F79" w:rsidRDefault="00BB452D" w:rsidP="00C27A4D">
            <w:pPr>
              <w:pStyle w:val="TblTextCenter"/>
            </w:pPr>
            <w:r w:rsidRPr="00442F79">
              <w:t>68.39</w:t>
            </w:r>
          </w:p>
        </w:tc>
        <w:tc>
          <w:tcPr>
            <w:tcW w:w="0" w:type="auto"/>
            <w:tcBorders>
              <w:top w:val="nil"/>
            </w:tcBorders>
            <w:shd w:val="clear" w:color="auto" w:fill="auto"/>
            <w:vAlign w:val="center"/>
          </w:tcPr>
          <w:p w:rsidR="00BB452D" w:rsidRPr="00442F79" w:rsidRDefault="00BB452D" w:rsidP="00C27A4D">
            <w:pPr>
              <w:pStyle w:val="TblTextCenter"/>
            </w:pPr>
            <w:r w:rsidRPr="00442F79">
              <w:t>68.10</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67.76</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39.25</w:t>
            </w:r>
          </w:p>
        </w:tc>
        <w:tc>
          <w:tcPr>
            <w:tcW w:w="0" w:type="auto"/>
            <w:tcBorders>
              <w:top w:val="nil"/>
            </w:tcBorders>
            <w:shd w:val="clear" w:color="auto" w:fill="auto"/>
            <w:vAlign w:val="center"/>
          </w:tcPr>
          <w:p w:rsidR="00BB452D" w:rsidRPr="00442F79" w:rsidRDefault="00BB452D" w:rsidP="00C27A4D">
            <w:pPr>
              <w:pStyle w:val="TblTextCenter"/>
            </w:pPr>
            <w:r w:rsidRPr="00442F79">
              <w:t>31.32</w:t>
            </w:r>
          </w:p>
        </w:tc>
        <w:tc>
          <w:tcPr>
            <w:tcW w:w="0" w:type="auto"/>
            <w:tcBorders>
              <w:top w:val="nil"/>
            </w:tcBorders>
            <w:shd w:val="clear" w:color="auto" w:fill="auto"/>
            <w:vAlign w:val="center"/>
          </w:tcPr>
          <w:p w:rsidR="00BB452D" w:rsidRPr="00442F79" w:rsidRDefault="00BB452D" w:rsidP="00C27A4D">
            <w:pPr>
              <w:pStyle w:val="TblTextCenter"/>
            </w:pPr>
            <w:r w:rsidRPr="00442F79">
              <w:t>28.47</w:t>
            </w:r>
          </w:p>
        </w:tc>
        <w:tc>
          <w:tcPr>
            <w:tcW w:w="0" w:type="auto"/>
            <w:tcBorders>
              <w:top w:val="nil"/>
            </w:tcBorders>
            <w:shd w:val="clear" w:color="auto" w:fill="auto"/>
            <w:vAlign w:val="center"/>
          </w:tcPr>
          <w:p w:rsidR="00BB452D" w:rsidRPr="00442F79" w:rsidRDefault="00BB452D" w:rsidP="00C27A4D">
            <w:pPr>
              <w:pStyle w:val="TblTextCenter"/>
            </w:pPr>
            <w:r w:rsidRPr="00442F79">
              <w:t>43.73</w:t>
            </w:r>
          </w:p>
        </w:tc>
        <w:tc>
          <w:tcPr>
            <w:tcW w:w="0" w:type="auto"/>
            <w:tcBorders>
              <w:top w:val="nil"/>
            </w:tcBorders>
            <w:shd w:val="clear" w:color="auto" w:fill="auto"/>
            <w:vAlign w:val="center"/>
          </w:tcPr>
          <w:p w:rsidR="00BB452D" w:rsidRPr="00442F79" w:rsidRDefault="00BB452D" w:rsidP="00C27A4D">
            <w:pPr>
              <w:pStyle w:val="TblTextCenter"/>
            </w:pPr>
            <w:r w:rsidRPr="00442F79">
              <w:t>33.65</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30.18</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tcPr>
          <w:p w:rsidR="00BB452D" w:rsidRPr="00442F79" w:rsidRDefault="00BB452D" w:rsidP="00C27A4D">
            <w:pPr>
              <w:pStyle w:val="TblTextCenter"/>
              <w:jc w:val="left"/>
            </w:pPr>
            <w:r w:rsidRPr="00442F79">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-23.63</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-31.85</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-34.84</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-24.60</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-34.92</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-36.92</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Patient global VAS* (0</w:t>
            </w:r>
            <w:r w:rsidRPr="00442F79">
              <w:rPr>
                <w:b/>
              </w:rPr>
              <w:noBreakHyphen/>
              <w:t>100 mm)</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63.70</w:t>
            </w:r>
          </w:p>
        </w:tc>
        <w:tc>
          <w:tcPr>
            <w:tcW w:w="0" w:type="auto"/>
            <w:tcBorders>
              <w:top w:val="nil"/>
            </w:tcBorders>
            <w:shd w:val="clear" w:color="auto" w:fill="auto"/>
            <w:vAlign w:val="center"/>
          </w:tcPr>
          <w:p w:rsidR="00BB452D" w:rsidRPr="00442F79" w:rsidRDefault="00BB452D" w:rsidP="00C27A4D">
            <w:pPr>
              <w:pStyle w:val="TblTextCenter"/>
            </w:pPr>
            <w:r w:rsidRPr="00442F79">
              <w:t>64.43</w:t>
            </w:r>
          </w:p>
        </w:tc>
        <w:tc>
          <w:tcPr>
            <w:tcW w:w="0" w:type="auto"/>
            <w:tcBorders>
              <w:top w:val="nil"/>
            </w:tcBorders>
            <w:shd w:val="clear" w:color="auto" w:fill="auto"/>
            <w:vAlign w:val="center"/>
          </w:tcPr>
          <w:p w:rsidR="00BB452D" w:rsidRPr="00442F79" w:rsidRDefault="00BB452D" w:rsidP="00C27A4D">
            <w:pPr>
              <w:pStyle w:val="TblTextCenter"/>
            </w:pPr>
            <w:r w:rsidRPr="00442F79">
              <w:t>66.49</w:t>
            </w:r>
          </w:p>
        </w:tc>
        <w:tc>
          <w:tcPr>
            <w:tcW w:w="0" w:type="auto"/>
            <w:tcBorders>
              <w:top w:val="nil"/>
            </w:tcBorders>
            <w:shd w:val="clear" w:color="auto" w:fill="auto"/>
            <w:vAlign w:val="center"/>
          </w:tcPr>
          <w:p w:rsidR="00BB452D" w:rsidRPr="00442F79" w:rsidRDefault="00BB452D" w:rsidP="00C27A4D">
            <w:pPr>
              <w:pStyle w:val="TblTextCenter"/>
            </w:pPr>
            <w:r w:rsidRPr="00442F79">
              <w:t>68.77</w:t>
            </w:r>
          </w:p>
        </w:tc>
        <w:tc>
          <w:tcPr>
            <w:tcW w:w="0" w:type="auto"/>
            <w:tcBorders>
              <w:top w:val="nil"/>
            </w:tcBorders>
            <w:shd w:val="clear" w:color="auto" w:fill="auto"/>
            <w:vAlign w:val="center"/>
          </w:tcPr>
          <w:p w:rsidR="00BB452D" w:rsidRPr="00442F79" w:rsidRDefault="00BB452D" w:rsidP="00C27A4D">
            <w:pPr>
              <w:pStyle w:val="TblTextCenter"/>
            </w:pPr>
            <w:r w:rsidRPr="00442F79">
              <w:t>67.71</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70.89</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49.37</w:t>
            </w:r>
          </w:p>
        </w:tc>
        <w:tc>
          <w:tcPr>
            <w:tcW w:w="0" w:type="auto"/>
            <w:tcBorders>
              <w:top w:val="nil"/>
            </w:tcBorders>
            <w:shd w:val="clear" w:color="auto" w:fill="auto"/>
            <w:vAlign w:val="center"/>
          </w:tcPr>
          <w:p w:rsidR="00BB452D" w:rsidRPr="00442F79" w:rsidRDefault="00BB452D" w:rsidP="00C27A4D">
            <w:pPr>
              <w:pStyle w:val="TblTextCenter"/>
            </w:pPr>
            <w:r w:rsidRPr="00442F79">
              <w:t>41.52</w:t>
            </w:r>
          </w:p>
        </w:tc>
        <w:tc>
          <w:tcPr>
            <w:tcW w:w="0" w:type="auto"/>
            <w:tcBorders>
              <w:top w:val="nil"/>
            </w:tcBorders>
            <w:shd w:val="clear" w:color="auto" w:fill="auto"/>
            <w:vAlign w:val="center"/>
          </w:tcPr>
          <w:p w:rsidR="00BB452D" w:rsidRPr="00442F79" w:rsidRDefault="00BB452D" w:rsidP="00C27A4D">
            <w:pPr>
              <w:pStyle w:val="TblTextCenter"/>
            </w:pPr>
            <w:r w:rsidRPr="00442F79">
              <w:t>38.05</w:t>
            </w:r>
          </w:p>
        </w:tc>
        <w:tc>
          <w:tcPr>
            <w:tcW w:w="0" w:type="auto"/>
            <w:tcBorders>
              <w:top w:val="nil"/>
            </w:tcBorders>
            <w:shd w:val="clear" w:color="auto" w:fill="auto"/>
            <w:vAlign w:val="center"/>
          </w:tcPr>
          <w:p w:rsidR="00BB452D" w:rsidRPr="00442F79" w:rsidRDefault="00BB452D" w:rsidP="00C27A4D">
            <w:pPr>
              <w:pStyle w:val="TblTextCenter"/>
            </w:pPr>
            <w:r w:rsidRPr="00442F79">
              <w:t>53.67</w:t>
            </w:r>
          </w:p>
        </w:tc>
        <w:tc>
          <w:tcPr>
            <w:tcW w:w="0" w:type="auto"/>
            <w:tcBorders>
              <w:top w:val="nil"/>
            </w:tcBorders>
            <w:shd w:val="clear" w:color="auto" w:fill="auto"/>
            <w:vAlign w:val="center"/>
          </w:tcPr>
          <w:p w:rsidR="00BB452D" w:rsidRPr="00442F79" w:rsidRDefault="00BB452D" w:rsidP="00C27A4D">
            <w:pPr>
              <w:pStyle w:val="TblTextCenter"/>
            </w:pPr>
            <w:r w:rsidRPr="00442F79">
              <w:t>41.99</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41.74</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tcPr>
          <w:p w:rsidR="00BB452D" w:rsidRPr="00442F79" w:rsidRDefault="00BB452D" w:rsidP="00C27A4D">
            <w:pPr>
              <w:pStyle w:val="TblTextCenter"/>
              <w:jc w:val="left"/>
            </w:pPr>
            <w:r w:rsidRPr="00442F79">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-13.92</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-22.88</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-28.39</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-15.05</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-26.05</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-28.83</w:t>
            </w: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HAQ</w:t>
            </w:r>
            <w:r w:rsidRPr="00442F79">
              <w:rPr>
                <w:b/>
              </w:rPr>
              <w:noBreakHyphen/>
              <w:t>DI (0</w:t>
            </w:r>
            <w:r w:rsidRPr="00442F79">
              <w:rPr>
                <w:b/>
              </w:rPr>
              <w:noBreakHyphen/>
              <w:t>3)</w:t>
            </w: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tcBorders>
            <w:shd w:val="clear" w:color="auto" w:fill="auto"/>
            <w:vAlign w:val="center"/>
          </w:tcPr>
          <w:p w:rsidR="00BB452D" w:rsidRPr="00442F79" w:rsidRDefault="00BB452D" w:rsidP="00C27A4D">
            <w:pPr>
              <w:pStyle w:val="TblTextCenter"/>
            </w:pP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nil"/>
            </w:tcBorders>
            <w:shd w:val="clear" w:color="auto" w:fill="auto"/>
            <w:vAlign w:val="center"/>
          </w:tcPr>
          <w:p w:rsidR="00BB452D" w:rsidRPr="00442F79" w:rsidRDefault="00BB452D" w:rsidP="00C27A4D">
            <w:pPr>
              <w:pStyle w:val="TblTextCenter"/>
            </w:pPr>
            <w:r w:rsidRPr="00442F79">
              <w:t>1.61</w:t>
            </w:r>
          </w:p>
        </w:tc>
        <w:tc>
          <w:tcPr>
            <w:tcW w:w="0" w:type="auto"/>
            <w:tcBorders>
              <w:top w:val="nil"/>
            </w:tcBorders>
            <w:shd w:val="clear" w:color="auto" w:fill="auto"/>
            <w:vAlign w:val="center"/>
          </w:tcPr>
          <w:p w:rsidR="00BB452D" w:rsidRPr="00442F79" w:rsidRDefault="00BB452D" w:rsidP="00C27A4D">
            <w:pPr>
              <w:pStyle w:val="TblTextCenter"/>
            </w:pPr>
            <w:r w:rsidRPr="00442F79">
              <w:t>1.63</w:t>
            </w:r>
          </w:p>
        </w:tc>
        <w:tc>
          <w:tcPr>
            <w:tcW w:w="0" w:type="auto"/>
            <w:tcBorders>
              <w:top w:val="nil"/>
            </w:tcBorders>
            <w:shd w:val="clear" w:color="auto" w:fill="auto"/>
            <w:vAlign w:val="center"/>
          </w:tcPr>
          <w:p w:rsidR="00BB452D" w:rsidRPr="00442F79" w:rsidRDefault="00BB452D" w:rsidP="00C27A4D">
            <w:pPr>
              <w:pStyle w:val="TblTextCenter"/>
            </w:pPr>
            <w:r w:rsidRPr="00442F79">
              <w:t>1.69</w:t>
            </w:r>
          </w:p>
        </w:tc>
        <w:tc>
          <w:tcPr>
            <w:tcW w:w="0" w:type="auto"/>
            <w:tcBorders>
              <w:top w:val="nil"/>
            </w:tcBorders>
            <w:shd w:val="clear" w:color="auto" w:fill="auto"/>
            <w:vAlign w:val="center"/>
          </w:tcPr>
          <w:p w:rsidR="00BB452D" w:rsidRPr="00442F79" w:rsidRDefault="00BB452D" w:rsidP="00C27A4D">
            <w:pPr>
              <w:pStyle w:val="TblTextCenter"/>
            </w:pPr>
            <w:r w:rsidRPr="00442F79">
              <w:t>1.80</w:t>
            </w:r>
          </w:p>
        </w:tc>
        <w:tc>
          <w:tcPr>
            <w:tcW w:w="0" w:type="auto"/>
            <w:tcBorders>
              <w:top w:val="nil"/>
            </w:tcBorders>
            <w:shd w:val="clear" w:color="auto" w:fill="auto"/>
            <w:vAlign w:val="center"/>
          </w:tcPr>
          <w:p w:rsidR="00BB452D" w:rsidRPr="00442F79" w:rsidRDefault="00BB452D" w:rsidP="00C27A4D">
            <w:pPr>
              <w:pStyle w:val="TblTextCenter"/>
            </w:pPr>
            <w:r w:rsidRPr="00442F79">
              <w:t>1.72</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1.82</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1.34</w:t>
            </w:r>
          </w:p>
        </w:tc>
        <w:tc>
          <w:tcPr>
            <w:tcW w:w="0" w:type="auto"/>
            <w:tcBorders>
              <w:top w:val="nil"/>
            </w:tcBorders>
            <w:shd w:val="clear" w:color="auto" w:fill="auto"/>
            <w:vAlign w:val="center"/>
          </w:tcPr>
          <w:p w:rsidR="00BB452D" w:rsidRPr="00442F79" w:rsidRDefault="00BB452D" w:rsidP="00C27A4D">
            <w:pPr>
              <w:pStyle w:val="TblTextCenter"/>
            </w:pPr>
            <w:r w:rsidRPr="00442F79">
              <w:t>1.15</w:t>
            </w:r>
          </w:p>
        </w:tc>
        <w:tc>
          <w:tcPr>
            <w:tcW w:w="0" w:type="auto"/>
            <w:tcBorders>
              <w:top w:val="nil"/>
            </w:tcBorders>
            <w:shd w:val="clear" w:color="auto" w:fill="auto"/>
            <w:vAlign w:val="center"/>
          </w:tcPr>
          <w:p w:rsidR="00BB452D" w:rsidRPr="00442F79" w:rsidRDefault="00BB452D" w:rsidP="00C27A4D">
            <w:pPr>
              <w:pStyle w:val="TblTextCenter"/>
            </w:pPr>
            <w:r w:rsidRPr="00442F79">
              <w:t>1.13</w:t>
            </w:r>
          </w:p>
        </w:tc>
        <w:tc>
          <w:tcPr>
            <w:tcW w:w="0" w:type="auto"/>
            <w:tcBorders>
              <w:top w:val="nil"/>
            </w:tcBorders>
            <w:shd w:val="clear" w:color="auto" w:fill="auto"/>
            <w:vAlign w:val="center"/>
          </w:tcPr>
          <w:p w:rsidR="00BB452D" w:rsidRPr="00442F79" w:rsidRDefault="00BB452D" w:rsidP="00C27A4D">
            <w:pPr>
              <w:pStyle w:val="TblTextCenter"/>
            </w:pPr>
            <w:r w:rsidRPr="00442F79">
              <w:t>1.49</w:t>
            </w:r>
          </w:p>
        </w:tc>
        <w:tc>
          <w:tcPr>
            <w:tcW w:w="0" w:type="auto"/>
            <w:tcBorders>
              <w:top w:val="nil"/>
            </w:tcBorders>
            <w:shd w:val="clear" w:color="auto" w:fill="auto"/>
            <w:vAlign w:val="center"/>
          </w:tcPr>
          <w:p w:rsidR="00BB452D" w:rsidRPr="00442F79" w:rsidRDefault="00BB452D" w:rsidP="00C27A4D">
            <w:pPr>
              <w:pStyle w:val="TblTextCenter"/>
            </w:pPr>
            <w:r w:rsidRPr="00442F79">
              <w:t>1.23</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1.33</w:t>
            </w:r>
          </w:p>
        </w:tc>
      </w:tr>
      <w:tr w:rsidR="00BB452D" w:rsidRPr="00442F79" w:rsidTr="00C27A4D">
        <w:trPr>
          <w:cantSplit/>
          <w:jc w:val="center"/>
        </w:trPr>
        <w:tc>
          <w:tcPr>
            <w:tcW w:w="0" w:type="auto"/>
            <w:tcBorders>
              <w:top w:val="nil"/>
              <w:left w:val="single" w:sz="4" w:space="0" w:color="auto"/>
            </w:tcBorders>
            <w:shd w:val="clear" w:color="auto" w:fill="auto"/>
            <w:vAlign w:val="center"/>
          </w:tcPr>
          <w:p w:rsidR="00BB452D" w:rsidRPr="00442F79" w:rsidRDefault="00BB452D" w:rsidP="00C27A4D">
            <w:pPr>
              <w:pStyle w:val="TblTextCenter"/>
              <w:jc w:val="left"/>
            </w:pPr>
            <w:r w:rsidRPr="00442F79">
              <w:t>Change from baseline</w:t>
            </w:r>
          </w:p>
        </w:tc>
        <w:tc>
          <w:tcPr>
            <w:tcW w:w="0" w:type="auto"/>
            <w:tcBorders>
              <w:top w:val="nil"/>
            </w:tcBorders>
            <w:shd w:val="clear" w:color="auto" w:fill="auto"/>
            <w:vAlign w:val="center"/>
          </w:tcPr>
          <w:p w:rsidR="00BB452D" w:rsidRPr="00442F79" w:rsidRDefault="00BB452D" w:rsidP="00C27A4D">
            <w:pPr>
              <w:pStyle w:val="TblTextCenter"/>
            </w:pPr>
            <w:r w:rsidRPr="00442F79">
              <w:t>-0.27</w:t>
            </w:r>
          </w:p>
        </w:tc>
        <w:tc>
          <w:tcPr>
            <w:tcW w:w="0" w:type="auto"/>
            <w:tcBorders>
              <w:top w:val="nil"/>
            </w:tcBorders>
            <w:shd w:val="clear" w:color="auto" w:fill="auto"/>
            <w:vAlign w:val="center"/>
          </w:tcPr>
          <w:p w:rsidR="00BB452D" w:rsidRPr="00442F79" w:rsidRDefault="00BB452D" w:rsidP="00C27A4D">
            <w:pPr>
              <w:pStyle w:val="TblTextCenter"/>
            </w:pPr>
            <w:r w:rsidRPr="00442F79">
              <w:t>-0.47</w:t>
            </w:r>
          </w:p>
        </w:tc>
        <w:tc>
          <w:tcPr>
            <w:tcW w:w="0" w:type="auto"/>
            <w:tcBorders>
              <w:top w:val="nil"/>
            </w:tcBorders>
            <w:shd w:val="clear" w:color="auto" w:fill="auto"/>
            <w:vAlign w:val="center"/>
          </w:tcPr>
          <w:p w:rsidR="00BB452D" w:rsidRPr="00442F79" w:rsidRDefault="00BB452D" w:rsidP="00C27A4D">
            <w:pPr>
              <w:pStyle w:val="TblTextCenter"/>
            </w:pPr>
            <w:r w:rsidRPr="00442F79">
              <w:t>-0.57</w:t>
            </w:r>
          </w:p>
        </w:tc>
        <w:tc>
          <w:tcPr>
            <w:tcW w:w="0" w:type="auto"/>
            <w:tcBorders>
              <w:top w:val="nil"/>
            </w:tcBorders>
            <w:shd w:val="clear" w:color="auto" w:fill="auto"/>
            <w:vAlign w:val="center"/>
          </w:tcPr>
          <w:p w:rsidR="00BB452D" w:rsidRPr="00442F79" w:rsidRDefault="00BB452D" w:rsidP="00C27A4D">
            <w:pPr>
              <w:pStyle w:val="TblTextCenter"/>
            </w:pPr>
            <w:r w:rsidRPr="00442F79">
              <w:t>-0.29</w:t>
            </w:r>
          </w:p>
        </w:tc>
        <w:tc>
          <w:tcPr>
            <w:tcW w:w="0" w:type="auto"/>
            <w:tcBorders>
              <w:top w:val="nil"/>
            </w:tcBorders>
            <w:shd w:val="clear" w:color="auto" w:fill="auto"/>
            <w:vAlign w:val="center"/>
          </w:tcPr>
          <w:p w:rsidR="00BB452D" w:rsidRPr="00442F79" w:rsidRDefault="00BB452D" w:rsidP="00C27A4D">
            <w:pPr>
              <w:pStyle w:val="TblTextCenter"/>
            </w:pPr>
            <w:r w:rsidRPr="00442F79">
              <w:t>-0.50</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-0.49</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hideMark/>
          </w:tcPr>
          <w:p w:rsidR="00BB452D" w:rsidRPr="00442F79" w:rsidRDefault="00BB452D" w:rsidP="00C27A4D">
            <w:pPr>
              <w:pStyle w:val="TblTextCenter"/>
              <w:jc w:val="left"/>
              <w:rPr>
                <w:b/>
              </w:rPr>
            </w:pPr>
            <w:r w:rsidRPr="00442F79">
              <w:rPr>
                <w:b/>
              </w:rPr>
              <w:t>CRP (mg/L)</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p>
        </w:tc>
      </w:tr>
      <w:tr w:rsidR="00BB452D" w:rsidRPr="00442F79" w:rsidTr="00C27A4D">
        <w:trPr>
          <w:cantSplit/>
          <w:jc w:val="center"/>
        </w:trPr>
        <w:tc>
          <w:tcPr>
            <w:tcW w:w="0" w:type="auto"/>
            <w:tcBorders>
              <w:top w:val="single" w:sz="4" w:space="0" w:color="auto"/>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Baseline </w:t>
            </w:r>
          </w:p>
        </w:tc>
        <w:tc>
          <w:tcPr>
            <w:tcW w:w="0" w:type="auto"/>
            <w:tcBorders>
              <w:top w:val="single" w:sz="4" w:space="0" w:color="auto"/>
            </w:tcBorders>
            <w:shd w:val="clear" w:color="auto" w:fill="auto"/>
            <w:vAlign w:val="center"/>
          </w:tcPr>
          <w:p w:rsidR="00BB452D" w:rsidRPr="00442F79" w:rsidRDefault="00BB452D" w:rsidP="00C27A4D">
            <w:pPr>
              <w:pStyle w:val="TblTextCenter"/>
            </w:pPr>
            <w:r w:rsidRPr="00442F79">
              <w:t>20.46</w:t>
            </w:r>
          </w:p>
        </w:tc>
        <w:tc>
          <w:tcPr>
            <w:tcW w:w="0" w:type="auto"/>
            <w:tcBorders>
              <w:top w:val="single" w:sz="4" w:space="0" w:color="auto"/>
            </w:tcBorders>
            <w:shd w:val="clear" w:color="auto" w:fill="auto"/>
            <w:vAlign w:val="center"/>
          </w:tcPr>
          <w:p w:rsidR="00BB452D" w:rsidRPr="00442F79" w:rsidRDefault="00BB452D" w:rsidP="00C27A4D">
            <w:pPr>
              <w:pStyle w:val="TblTextCenter"/>
            </w:pPr>
            <w:r w:rsidRPr="00442F79">
              <w:t>22.57</w:t>
            </w:r>
          </w:p>
        </w:tc>
        <w:tc>
          <w:tcPr>
            <w:tcW w:w="0" w:type="auto"/>
            <w:tcBorders>
              <w:top w:val="single" w:sz="4" w:space="0" w:color="auto"/>
            </w:tcBorders>
            <w:shd w:val="clear" w:color="auto" w:fill="auto"/>
            <w:vAlign w:val="center"/>
          </w:tcPr>
          <w:p w:rsidR="00BB452D" w:rsidRPr="00442F79" w:rsidRDefault="00BB452D" w:rsidP="00C27A4D">
            <w:pPr>
              <w:pStyle w:val="TblTextCenter"/>
            </w:pPr>
            <w:r w:rsidRPr="00442F79">
              <w:t>22.23</w:t>
            </w:r>
          </w:p>
        </w:tc>
        <w:tc>
          <w:tcPr>
            <w:tcW w:w="0" w:type="auto"/>
            <w:tcBorders>
              <w:top w:val="single" w:sz="4" w:space="0" w:color="auto"/>
            </w:tcBorders>
            <w:shd w:val="clear" w:color="auto" w:fill="auto"/>
            <w:vAlign w:val="center"/>
          </w:tcPr>
          <w:p w:rsidR="00BB452D" w:rsidRPr="00442F79" w:rsidRDefault="00BB452D" w:rsidP="00C27A4D">
            <w:pPr>
              <w:pStyle w:val="TblTextCenter"/>
            </w:pPr>
            <w:r w:rsidRPr="00442F79">
              <w:t>26.02</w:t>
            </w:r>
          </w:p>
        </w:tc>
        <w:tc>
          <w:tcPr>
            <w:tcW w:w="0" w:type="auto"/>
            <w:tcBorders>
              <w:top w:val="single" w:sz="4" w:space="0" w:color="auto"/>
            </w:tcBorders>
            <w:shd w:val="clear" w:color="auto" w:fill="auto"/>
            <w:vAlign w:val="center"/>
          </w:tcPr>
          <w:p w:rsidR="00BB452D" w:rsidRPr="00442F79" w:rsidRDefault="00BB452D" w:rsidP="00C27A4D">
            <w:pPr>
              <w:pStyle w:val="TblTextCenter"/>
            </w:pPr>
            <w:r w:rsidRPr="00442F79">
              <w:t>23.60</w:t>
            </w:r>
          </w:p>
        </w:tc>
        <w:tc>
          <w:tcPr>
            <w:tcW w:w="0" w:type="auto"/>
            <w:tcBorders>
              <w:top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30.77</w:t>
            </w:r>
          </w:p>
        </w:tc>
      </w:tr>
      <w:tr w:rsidR="00BB452D" w:rsidRPr="00442F79" w:rsidTr="00C27A4D">
        <w:trPr>
          <w:cantSplit/>
          <w:jc w:val="center"/>
        </w:trPr>
        <w:tc>
          <w:tcPr>
            <w:tcW w:w="0" w:type="auto"/>
            <w:tcBorders>
              <w:top w:val="nil"/>
              <w:left w:val="single" w:sz="4" w:space="0" w:color="auto"/>
            </w:tcBorders>
            <w:shd w:val="clear" w:color="auto" w:fill="auto"/>
            <w:vAlign w:val="center"/>
            <w:hideMark/>
          </w:tcPr>
          <w:p w:rsidR="00BB452D" w:rsidRPr="00442F79" w:rsidRDefault="00BB452D" w:rsidP="00C27A4D">
            <w:pPr>
              <w:pStyle w:val="TblTextCenter"/>
              <w:jc w:val="left"/>
            </w:pPr>
            <w:r w:rsidRPr="00442F79">
              <w:t xml:space="preserve">Week 12 </w:t>
            </w:r>
          </w:p>
        </w:tc>
        <w:tc>
          <w:tcPr>
            <w:tcW w:w="0" w:type="auto"/>
            <w:tcBorders>
              <w:top w:val="nil"/>
            </w:tcBorders>
            <w:shd w:val="clear" w:color="auto" w:fill="auto"/>
            <w:vAlign w:val="center"/>
          </w:tcPr>
          <w:p w:rsidR="00BB452D" w:rsidRPr="00442F79" w:rsidRDefault="00BB452D" w:rsidP="00C27A4D">
            <w:pPr>
              <w:pStyle w:val="TblTextCenter"/>
            </w:pPr>
            <w:r w:rsidRPr="00442F79">
              <w:t>19.61</w:t>
            </w:r>
          </w:p>
        </w:tc>
        <w:tc>
          <w:tcPr>
            <w:tcW w:w="0" w:type="auto"/>
            <w:tcBorders>
              <w:top w:val="nil"/>
            </w:tcBorders>
            <w:shd w:val="clear" w:color="auto" w:fill="auto"/>
            <w:vAlign w:val="center"/>
          </w:tcPr>
          <w:p w:rsidR="00BB452D" w:rsidRPr="00442F79" w:rsidRDefault="00BB452D" w:rsidP="00C27A4D">
            <w:pPr>
              <w:pStyle w:val="TblTextCenter"/>
            </w:pPr>
            <w:r w:rsidRPr="00442F79">
              <w:t>9.24</w:t>
            </w:r>
          </w:p>
        </w:tc>
        <w:tc>
          <w:tcPr>
            <w:tcW w:w="0" w:type="auto"/>
            <w:tcBorders>
              <w:top w:val="nil"/>
            </w:tcBorders>
            <w:shd w:val="clear" w:color="auto" w:fill="auto"/>
            <w:vAlign w:val="center"/>
          </w:tcPr>
          <w:p w:rsidR="00BB452D" w:rsidRPr="00442F79" w:rsidRDefault="00BB452D" w:rsidP="00C27A4D">
            <w:pPr>
              <w:pStyle w:val="TblTextCenter"/>
            </w:pPr>
            <w:r w:rsidRPr="00442F79">
              <w:t>3.30</w:t>
            </w:r>
          </w:p>
        </w:tc>
        <w:tc>
          <w:tcPr>
            <w:tcW w:w="0" w:type="auto"/>
            <w:tcBorders>
              <w:top w:val="nil"/>
            </w:tcBorders>
            <w:shd w:val="clear" w:color="auto" w:fill="auto"/>
            <w:vAlign w:val="center"/>
          </w:tcPr>
          <w:p w:rsidR="00BB452D" w:rsidRPr="00442F79" w:rsidRDefault="00BB452D" w:rsidP="00C27A4D">
            <w:pPr>
              <w:pStyle w:val="TblTextCenter"/>
            </w:pPr>
            <w:r w:rsidRPr="00442F79">
              <w:t>21.72</w:t>
            </w:r>
          </w:p>
        </w:tc>
        <w:tc>
          <w:tcPr>
            <w:tcW w:w="0" w:type="auto"/>
            <w:tcBorders>
              <w:top w:val="nil"/>
            </w:tcBorders>
            <w:shd w:val="clear" w:color="auto" w:fill="auto"/>
            <w:vAlign w:val="center"/>
          </w:tcPr>
          <w:p w:rsidR="00BB452D" w:rsidRPr="00442F79" w:rsidRDefault="00BB452D" w:rsidP="00C27A4D">
            <w:pPr>
              <w:pStyle w:val="TblTextCenter"/>
            </w:pPr>
            <w:r w:rsidRPr="00442F79">
              <w:t>9.21</w:t>
            </w:r>
          </w:p>
        </w:tc>
        <w:tc>
          <w:tcPr>
            <w:tcW w:w="0" w:type="auto"/>
            <w:tcBorders>
              <w:top w:val="nil"/>
              <w:right w:val="single" w:sz="4" w:space="0" w:color="auto"/>
            </w:tcBorders>
            <w:shd w:val="clear" w:color="auto" w:fill="auto"/>
            <w:vAlign w:val="center"/>
          </w:tcPr>
          <w:p w:rsidR="00BB452D" w:rsidRPr="00442F79" w:rsidRDefault="00BB452D" w:rsidP="00C27A4D">
            <w:pPr>
              <w:pStyle w:val="TblTextCenter"/>
            </w:pPr>
            <w:r w:rsidRPr="00442F79">
              <w:t>4.58</w:t>
            </w:r>
          </w:p>
        </w:tc>
      </w:tr>
      <w:tr w:rsidR="00BB452D" w:rsidRPr="00442F79" w:rsidTr="00C27A4D">
        <w:trPr>
          <w:cantSplit/>
          <w:jc w:val="center"/>
        </w:trPr>
        <w:tc>
          <w:tcPr>
            <w:tcW w:w="0" w:type="auto"/>
            <w:tcBorders>
              <w:top w:val="nil"/>
              <w:left w:val="single" w:sz="4" w:space="0" w:color="auto"/>
              <w:bottom w:val="single" w:sz="4" w:space="0" w:color="auto"/>
            </w:tcBorders>
            <w:shd w:val="clear" w:color="auto" w:fill="auto"/>
            <w:vAlign w:val="center"/>
          </w:tcPr>
          <w:p w:rsidR="00BB452D" w:rsidRPr="00442F79" w:rsidRDefault="00BB452D" w:rsidP="00C27A4D">
            <w:pPr>
              <w:pStyle w:val="TblTextCenter"/>
              <w:jc w:val="left"/>
            </w:pPr>
            <w:r w:rsidRPr="00442F79">
              <w:lastRenderedPageBreak/>
              <w:t>Change from baseline</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-0.58</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-13.59</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-18.31</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-3.39</w:t>
            </w:r>
          </w:p>
        </w:tc>
        <w:tc>
          <w:tcPr>
            <w:tcW w:w="0" w:type="auto"/>
            <w:tcBorders>
              <w:top w:val="nil"/>
              <w:bottom w:val="single" w:sz="4" w:space="0" w:color="auto"/>
            </w:tcBorders>
            <w:shd w:val="clear" w:color="auto" w:fill="auto"/>
            <w:vAlign w:val="center"/>
          </w:tcPr>
          <w:p w:rsidR="00BB452D" w:rsidRPr="00442F79" w:rsidRDefault="00BB452D" w:rsidP="00C27A4D">
            <w:pPr>
              <w:pStyle w:val="TblTextCenter"/>
            </w:pPr>
            <w:r w:rsidRPr="00442F79">
              <w:t>-14.24</w:t>
            </w:r>
          </w:p>
        </w:tc>
        <w:tc>
          <w:tcPr>
            <w:tcW w:w="0" w:type="auto"/>
            <w:tcBorders>
              <w:top w:val="nil"/>
              <w:bottom w:val="single" w:sz="4" w:space="0" w:color="auto"/>
              <w:right w:val="single" w:sz="4" w:space="0" w:color="auto"/>
            </w:tcBorders>
            <w:shd w:val="clear" w:color="auto" w:fill="auto"/>
            <w:vAlign w:val="center"/>
          </w:tcPr>
          <w:p w:rsidR="00BB452D" w:rsidRPr="00442F79" w:rsidRDefault="00BB452D" w:rsidP="00C27A4D">
            <w:pPr>
              <w:pStyle w:val="TblTextCenter"/>
            </w:pPr>
            <w:r w:rsidRPr="00442F79">
              <w:t>-25.91</w:t>
            </w:r>
          </w:p>
        </w:tc>
      </w:tr>
      <w:tr w:rsidR="00BB452D" w:rsidRPr="00442F79" w:rsidTr="00C27A4D">
        <w:trPr>
          <w:cantSplit/>
          <w:jc w:val="center"/>
        </w:trPr>
        <w:tc>
          <w:tcPr>
            <w:tcW w:w="0" w:type="auto"/>
            <w:gridSpan w:val="7"/>
            <w:tcBorders>
              <w:top w:val="single" w:sz="4" w:space="0" w:color="auto"/>
            </w:tcBorders>
            <w:shd w:val="clear" w:color="auto" w:fill="auto"/>
            <w:vAlign w:val="bottom"/>
          </w:tcPr>
          <w:p w:rsidR="00BB452D" w:rsidRPr="00442F79" w:rsidRDefault="00BB452D" w:rsidP="00C27A4D">
            <w:pPr>
              <w:pStyle w:val="TblTextCenter"/>
              <w:jc w:val="left"/>
            </w:pPr>
            <w:r w:rsidRPr="00442F79">
              <w:t>* VAS=visual analog scale</w:t>
            </w:r>
          </w:p>
        </w:tc>
      </w:tr>
      <w:tr w:rsidR="00BB452D" w:rsidRPr="00442F79" w:rsidTr="00C27A4D">
        <w:trPr>
          <w:cantSplit/>
          <w:jc w:val="center"/>
        </w:trPr>
        <w:tc>
          <w:tcPr>
            <w:tcW w:w="0" w:type="auto"/>
            <w:gridSpan w:val="7"/>
            <w:tcBorders>
              <w:top w:val="single" w:sz="12" w:space="0" w:color="auto"/>
            </w:tcBorders>
            <w:shd w:val="clear" w:color="auto" w:fill="auto"/>
          </w:tcPr>
          <w:p w:rsidR="00BB452D" w:rsidRPr="00442F79" w:rsidRDefault="00BB452D" w:rsidP="00C27A4D">
            <w:pPr>
              <w:pStyle w:val="TblFigFootnote"/>
            </w:pPr>
          </w:p>
        </w:tc>
      </w:tr>
    </w:tbl>
    <w:p w:rsidR="00BB452D" w:rsidRDefault="00BB452D" w:rsidP="00BB452D">
      <w:pPr>
        <w:spacing w:before="0"/>
        <w:jc w:val="center"/>
      </w:pPr>
    </w:p>
    <w:p w:rsidR="00BB452D" w:rsidRPr="00BB452D" w:rsidRDefault="00BB452D" w:rsidP="00BB452D">
      <w:pPr>
        <w:pStyle w:val="Heading5"/>
        <w:numPr>
          <w:ilvl w:val="0"/>
          <w:numId w:val="0"/>
        </w:numPr>
        <w:ind w:left="1009" w:hanging="1009"/>
      </w:pPr>
      <w:r w:rsidRPr="00BB452D">
        <w:t>Radiographic Response</w:t>
      </w:r>
    </w:p>
    <w:p w:rsidR="00BB452D" w:rsidRDefault="00BB452D" w:rsidP="00BB452D">
      <w:r w:rsidRPr="0007590F">
        <w:rPr>
          <w:color w:val="auto"/>
        </w:rPr>
        <w:t>In MOBILITY</w:t>
      </w:r>
      <w:r w:rsidRPr="00BB452D">
        <w:t>, structural joint damage was assessed radiographically and expressed as change in van der Heijde-modified Total Sharp Score (mTSS) and its components, the erosion score and joint space narrowing score at Week 52. Radiographs of hands and feet were obtained at baseline, 24 weeks, and 52 weeks and scored independently by at least two well-trained readers who were blinded to treatment group and visit number.</w:t>
      </w:r>
    </w:p>
    <w:p w:rsidR="00BB452D" w:rsidRDefault="00BB452D" w:rsidP="00BB452D">
      <w:r>
        <w:t xml:space="preserve">Both doses of Kevzara + MTX were superior to placebo + MTX in the change from baseline in mTSS at 24 and 52 </w:t>
      </w:r>
      <w:r w:rsidRPr="00BB452D">
        <w:t>weeks (</w:t>
      </w:r>
      <w:r w:rsidRPr="00BB452D">
        <w:rPr>
          <w:color w:val="0000FF"/>
        </w:rPr>
        <w:fldChar w:fldCharType="begin"/>
      </w:r>
      <w:r w:rsidRPr="00BB452D">
        <w:rPr>
          <w:color w:val="0000FF"/>
        </w:rPr>
        <w:instrText xml:space="preserve"> REF _Ref512793420 \h  \* MERGEFORMAT </w:instrText>
      </w:r>
      <w:r w:rsidRPr="00BB452D">
        <w:rPr>
          <w:color w:val="0000FF"/>
        </w:rPr>
      </w:r>
      <w:r w:rsidRPr="00BB452D">
        <w:rPr>
          <w:color w:val="0000FF"/>
        </w:rPr>
        <w:fldChar w:fldCharType="separate"/>
      </w:r>
      <w:r w:rsidR="00EA3D29" w:rsidRPr="00EA3D29">
        <w:rPr>
          <w:color w:val="0000FF"/>
        </w:rPr>
        <w:t>Table 6</w:t>
      </w:r>
      <w:r w:rsidRPr="00BB452D">
        <w:rPr>
          <w:color w:val="0000FF"/>
        </w:rPr>
        <w:fldChar w:fldCharType="end"/>
      </w:r>
      <w:r w:rsidRPr="00BB452D">
        <w:t>).</w:t>
      </w:r>
      <w:r>
        <w:t xml:space="preserve">  Less progression of both erosion and joint space narrowing scores at 24 and 52 weeks was reported in the sarilumab treatment groups compared to the placebo group.</w:t>
      </w:r>
    </w:p>
    <w:p w:rsidR="00BB452D" w:rsidRDefault="00BB452D" w:rsidP="00BB452D">
      <w:r>
        <w:t>Treatment with Kevzara + MTX was associated with significantly less radiographic progression of structural damage as compared with placebo. At Week 52, 55.6% of patients receiving Kevzara 200 mg and 47.8% of patients receiving Kevzara 150 mg had no progression of structural damage (as defined by a change in the Total Sharp Score of zero or less) compared with 38.7% of patients receiving placebo.</w:t>
      </w:r>
    </w:p>
    <w:p w:rsidR="00BB2932" w:rsidRPr="00976A92" w:rsidRDefault="00BB452D" w:rsidP="00BB452D">
      <w:r w:rsidRPr="00BB452D">
        <w:t xml:space="preserve">Treatment with Kevzara 200 mg and 150 mg + MTX inhibited the progression of structural </w:t>
      </w:r>
      <w:r w:rsidRPr="0007590F">
        <w:rPr>
          <w:color w:val="auto"/>
        </w:rPr>
        <w:t>damage by 91% and 68%,</w:t>
      </w:r>
      <w:r w:rsidRPr="00BB452D">
        <w:t xml:space="preserve"> respectively, compared to placebo + MTX at Week 52.</w:t>
      </w:r>
    </w:p>
    <w:p w:rsidR="00BB452D" w:rsidRDefault="00BB452D" w:rsidP="00BB452D">
      <w:pPr>
        <w:pStyle w:val="Caption"/>
      </w:pPr>
      <w:r>
        <w:t xml:space="preserve"> </w:t>
      </w:r>
      <w:bookmarkStart w:id="13" w:name="_Ref512793420"/>
      <w:r>
        <w:t>Table </w:t>
      </w:r>
      <w:r>
        <w:fldChar w:fldCharType="begin"/>
      </w:r>
      <w:r>
        <w:instrText xml:space="preserve"> SEQ Table \* ARABIC </w:instrText>
      </w:r>
      <w:r>
        <w:fldChar w:fldCharType="separate"/>
      </w:r>
      <w:r w:rsidR="00EA3D29">
        <w:rPr>
          <w:noProof/>
        </w:rPr>
        <w:t>6</w:t>
      </w:r>
      <w:r>
        <w:fldChar w:fldCharType="end"/>
      </w:r>
      <w:bookmarkEnd w:id="13"/>
      <w:r>
        <w:t xml:space="preserve"> ­ </w:t>
      </w:r>
      <w:r w:rsidRPr="00BB452D">
        <w:t>Mean Radiographic Change from Baseline at Weeks 24 and Week 52 in MOBILITY</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905"/>
        <w:gridCol w:w="1219"/>
        <w:gridCol w:w="1219"/>
      </w:tblGrid>
      <w:tr w:rsidR="00BB452D" w:rsidRPr="0007590F" w:rsidTr="00C27A4D">
        <w:trPr>
          <w:cantSplit/>
          <w:trHeight w:val="778"/>
          <w:tblHeader/>
          <w:jc w:val="center"/>
        </w:trPr>
        <w:tc>
          <w:tcPr>
            <w:tcW w:w="0" w:type="auto"/>
            <w:vMerge w:val="restart"/>
            <w:shd w:val="clear" w:color="auto" w:fill="auto"/>
            <w:vAlign w:val="center"/>
            <w:hideMark/>
          </w:tcPr>
          <w:p w:rsidR="00BB452D" w:rsidRPr="0007590F" w:rsidRDefault="00BB452D" w:rsidP="00C27A4D">
            <w:pPr>
              <w:pStyle w:val="TblHeadingCenter"/>
            </w:pPr>
            <w:r w:rsidRPr="0007590F">
              <w:t> </w:t>
            </w:r>
          </w:p>
        </w:tc>
        <w:tc>
          <w:tcPr>
            <w:tcW w:w="0" w:type="auto"/>
            <w:gridSpan w:val="3"/>
            <w:shd w:val="clear" w:color="auto" w:fill="auto"/>
            <w:vAlign w:val="center"/>
            <w:hideMark/>
          </w:tcPr>
          <w:p w:rsidR="00BB452D" w:rsidRPr="0007590F" w:rsidRDefault="00BB452D" w:rsidP="00C27A4D">
            <w:pPr>
              <w:pStyle w:val="TblHeadingCenter"/>
            </w:pPr>
            <w:r w:rsidRPr="0007590F">
              <w:t>MOBILITY</w:t>
            </w:r>
          </w:p>
          <w:p w:rsidR="00BB452D" w:rsidRPr="0007590F" w:rsidRDefault="00BB452D" w:rsidP="00C27A4D">
            <w:pPr>
              <w:pStyle w:val="TblHeadingCenter"/>
            </w:pPr>
            <w:r w:rsidRPr="0007590F">
              <w:t>MTX Inadequate Responders</w:t>
            </w:r>
          </w:p>
        </w:tc>
      </w:tr>
      <w:tr w:rsidR="00BB452D" w:rsidRPr="0007590F" w:rsidTr="00C27A4D">
        <w:trPr>
          <w:cantSplit/>
          <w:tblHeader/>
          <w:jc w:val="center"/>
        </w:trPr>
        <w:tc>
          <w:tcPr>
            <w:tcW w:w="0" w:type="auto"/>
            <w:vMerge/>
            <w:shd w:val="clear" w:color="auto" w:fill="auto"/>
            <w:vAlign w:val="center"/>
            <w:hideMark/>
          </w:tcPr>
          <w:p w:rsidR="00BB452D" w:rsidRPr="0007590F" w:rsidRDefault="00BB452D" w:rsidP="00C27A4D">
            <w:pPr>
              <w:rPr>
                <w:b/>
                <w:color w:val="auto"/>
                <w:szCs w:val="22"/>
              </w:rPr>
            </w:pPr>
          </w:p>
        </w:tc>
        <w:tc>
          <w:tcPr>
            <w:tcW w:w="0" w:type="auto"/>
            <w:shd w:val="clear" w:color="auto" w:fill="auto"/>
            <w:hideMark/>
          </w:tcPr>
          <w:p w:rsidR="00BB452D" w:rsidRPr="0007590F" w:rsidRDefault="00BB452D" w:rsidP="00C27A4D">
            <w:pPr>
              <w:pStyle w:val="TblTextCenter"/>
            </w:pPr>
            <w:r w:rsidRPr="0007590F">
              <w:t>Placebo </w:t>
            </w:r>
            <w:r w:rsidRPr="0007590F">
              <w:br/>
              <w:t>+ MTX</w:t>
            </w:r>
          </w:p>
          <w:p w:rsidR="00BB452D" w:rsidRPr="0007590F" w:rsidRDefault="00BB452D" w:rsidP="00C27A4D">
            <w:pPr>
              <w:pStyle w:val="TblTextCenter"/>
            </w:pPr>
            <w:r w:rsidRPr="0007590F">
              <w:t>(N = 398)</w:t>
            </w:r>
          </w:p>
        </w:tc>
        <w:tc>
          <w:tcPr>
            <w:tcW w:w="0" w:type="auto"/>
            <w:shd w:val="clear" w:color="auto" w:fill="auto"/>
            <w:hideMark/>
          </w:tcPr>
          <w:p w:rsidR="00BB452D" w:rsidRPr="0007590F" w:rsidRDefault="00BB452D" w:rsidP="00C27A4D">
            <w:pPr>
              <w:pStyle w:val="TblTextCenter"/>
            </w:pPr>
            <w:r w:rsidRPr="0007590F">
              <w:t>‘TM’ </w:t>
            </w:r>
            <w:r w:rsidRPr="0007590F">
              <w:br/>
              <w:t>150 mg q2w* </w:t>
            </w:r>
            <w:r w:rsidRPr="0007590F">
              <w:br/>
              <w:t>+ MTX</w:t>
            </w:r>
          </w:p>
          <w:p w:rsidR="00BB452D" w:rsidRPr="0007590F" w:rsidRDefault="00BB452D" w:rsidP="00C27A4D">
            <w:pPr>
              <w:pStyle w:val="TblTextCenter"/>
            </w:pPr>
            <w:r w:rsidRPr="0007590F">
              <w:t>(N = 400)</w:t>
            </w:r>
          </w:p>
        </w:tc>
        <w:tc>
          <w:tcPr>
            <w:tcW w:w="0" w:type="auto"/>
            <w:shd w:val="clear" w:color="auto" w:fill="auto"/>
            <w:hideMark/>
          </w:tcPr>
          <w:p w:rsidR="00BB452D" w:rsidRPr="0007590F" w:rsidRDefault="00BB452D" w:rsidP="00C27A4D">
            <w:pPr>
              <w:pStyle w:val="TblTextCenter"/>
            </w:pPr>
            <w:r w:rsidRPr="0007590F">
              <w:t>‘TM’</w:t>
            </w:r>
            <w:r w:rsidRPr="0007590F">
              <w:br/>
              <w:t>200 mg q2w* </w:t>
            </w:r>
            <w:r w:rsidRPr="0007590F">
              <w:br/>
              <w:t>+ MTX</w:t>
            </w:r>
          </w:p>
          <w:p w:rsidR="00BB452D" w:rsidRPr="0007590F" w:rsidRDefault="00BB452D" w:rsidP="00C27A4D">
            <w:pPr>
              <w:pStyle w:val="TblTextCenter"/>
            </w:pPr>
            <w:r w:rsidRPr="0007590F">
              <w:t>(N = 399)</w:t>
            </w:r>
          </w:p>
        </w:tc>
      </w:tr>
      <w:tr w:rsidR="00BB452D" w:rsidRPr="0007590F" w:rsidTr="00C27A4D">
        <w:trPr>
          <w:cantSplit/>
          <w:trHeight w:val="360"/>
          <w:jc w:val="center"/>
        </w:trPr>
        <w:tc>
          <w:tcPr>
            <w:tcW w:w="0" w:type="auto"/>
            <w:shd w:val="clear" w:color="auto" w:fill="auto"/>
            <w:hideMark/>
          </w:tcPr>
          <w:p w:rsidR="00BB452D" w:rsidRPr="0007590F" w:rsidRDefault="00BB452D" w:rsidP="00C27A4D">
            <w:pPr>
              <w:pStyle w:val="TblTextCenter"/>
              <w:jc w:val="left"/>
              <w:rPr>
                <w:b/>
              </w:rPr>
            </w:pPr>
            <w:r w:rsidRPr="0007590F">
              <w:rPr>
                <w:b/>
              </w:rPr>
              <w:t>Mean change at Week 24</w:t>
            </w:r>
          </w:p>
        </w:tc>
        <w:tc>
          <w:tcPr>
            <w:tcW w:w="0" w:type="auto"/>
            <w:shd w:val="clear" w:color="auto" w:fill="auto"/>
            <w:vAlign w:val="center"/>
            <w:hideMark/>
          </w:tcPr>
          <w:p w:rsidR="00BB452D" w:rsidRPr="0007590F" w:rsidRDefault="00BB452D" w:rsidP="00C27A4D">
            <w:pPr>
              <w:pStyle w:val="TblTextCenter"/>
            </w:pPr>
            <w:r w:rsidRPr="0007590F">
              <w:t> </w:t>
            </w:r>
          </w:p>
        </w:tc>
        <w:tc>
          <w:tcPr>
            <w:tcW w:w="0" w:type="auto"/>
            <w:shd w:val="clear" w:color="auto" w:fill="auto"/>
            <w:vAlign w:val="center"/>
            <w:hideMark/>
          </w:tcPr>
          <w:p w:rsidR="00BB452D" w:rsidRPr="0007590F" w:rsidRDefault="00BB452D" w:rsidP="00C27A4D">
            <w:pPr>
              <w:pStyle w:val="TblTextCenter"/>
            </w:pPr>
            <w:r w:rsidRPr="0007590F">
              <w:t> </w:t>
            </w:r>
          </w:p>
        </w:tc>
        <w:tc>
          <w:tcPr>
            <w:tcW w:w="0" w:type="auto"/>
            <w:shd w:val="clear" w:color="auto" w:fill="auto"/>
            <w:vAlign w:val="center"/>
            <w:hideMark/>
          </w:tcPr>
          <w:p w:rsidR="00BB452D" w:rsidRPr="0007590F" w:rsidRDefault="00BB452D" w:rsidP="00C27A4D">
            <w:pPr>
              <w:pStyle w:val="TblTextCenter"/>
            </w:pPr>
            <w:r w:rsidRPr="0007590F">
              <w:t> </w:t>
            </w:r>
          </w:p>
        </w:tc>
      </w:tr>
      <w:tr w:rsidR="00BB452D" w:rsidRPr="0007590F" w:rsidTr="00C27A4D">
        <w:trPr>
          <w:cantSplit/>
          <w:trHeight w:val="360"/>
          <w:jc w:val="center"/>
        </w:trPr>
        <w:tc>
          <w:tcPr>
            <w:tcW w:w="0" w:type="auto"/>
            <w:shd w:val="clear" w:color="auto" w:fill="auto"/>
            <w:hideMark/>
          </w:tcPr>
          <w:p w:rsidR="00BB452D" w:rsidRPr="0007590F" w:rsidRDefault="00BB452D" w:rsidP="00C27A4D">
            <w:pPr>
              <w:pStyle w:val="TblTextCenter"/>
              <w:jc w:val="left"/>
            </w:pPr>
            <w:r w:rsidRPr="0007590F">
              <w:t>Modified Total Sharp Score (mTSS)</w:t>
            </w:r>
          </w:p>
        </w:tc>
        <w:tc>
          <w:tcPr>
            <w:tcW w:w="0" w:type="auto"/>
            <w:shd w:val="clear" w:color="auto" w:fill="auto"/>
            <w:vAlign w:val="center"/>
            <w:hideMark/>
          </w:tcPr>
          <w:p w:rsidR="00BB452D" w:rsidRPr="0007590F" w:rsidRDefault="00BB452D" w:rsidP="00C27A4D">
            <w:pPr>
              <w:pStyle w:val="TblTextCenter"/>
            </w:pPr>
            <w:r w:rsidRPr="0007590F">
              <w:t>1.22</w:t>
            </w:r>
          </w:p>
        </w:tc>
        <w:tc>
          <w:tcPr>
            <w:tcW w:w="0" w:type="auto"/>
            <w:shd w:val="clear" w:color="auto" w:fill="auto"/>
            <w:vAlign w:val="center"/>
            <w:hideMark/>
          </w:tcPr>
          <w:p w:rsidR="00BB452D" w:rsidRPr="0007590F" w:rsidRDefault="00BB452D" w:rsidP="00C27A4D">
            <w:pPr>
              <w:pStyle w:val="TblTextCenter"/>
            </w:pPr>
            <w:r w:rsidRPr="0007590F">
              <w:t>0.54††</w:t>
            </w:r>
          </w:p>
        </w:tc>
        <w:tc>
          <w:tcPr>
            <w:tcW w:w="0" w:type="auto"/>
            <w:shd w:val="clear" w:color="auto" w:fill="auto"/>
            <w:vAlign w:val="center"/>
            <w:hideMark/>
          </w:tcPr>
          <w:p w:rsidR="00BB452D" w:rsidRPr="0007590F" w:rsidRDefault="00BB452D" w:rsidP="00C27A4D">
            <w:pPr>
              <w:pStyle w:val="TblTextCenter"/>
            </w:pPr>
            <w:r w:rsidRPr="0007590F">
              <w:t>0.13†††</w:t>
            </w:r>
          </w:p>
        </w:tc>
      </w:tr>
      <w:tr w:rsidR="00BB452D" w:rsidRPr="0007590F" w:rsidTr="00C27A4D">
        <w:trPr>
          <w:cantSplit/>
          <w:trHeight w:val="165"/>
          <w:jc w:val="center"/>
        </w:trPr>
        <w:tc>
          <w:tcPr>
            <w:tcW w:w="0" w:type="auto"/>
            <w:shd w:val="clear" w:color="auto" w:fill="auto"/>
            <w:hideMark/>
          </w:tcPr>
          <w:p w:rsidR="00BB452D" w:rsidRPr="0007590F" w:rsidRDefault="00BB452D" w:rsidP="00C27A4D">
            <w:pPr>
              <w:pStyle w:val="TblTextCenter"/>
              <w:jc w:val="left"/>
            </w:pPr>
            <w:r w:rsidRPr="0007590F">
              <w:t>Erosion score (0-280)</w:t>
            </w:r>
          </w:p>
        </w:tc>
        <w:tc>
          <w:tcPr>
            <w:tcW w:w="0" w:type="auto"/>
            <w:shd w:val="clear" w:color="auto" w:fill="auto"/>
            <w:hideMark/>
          </w:tcPr>
          <w:p w:rsidR="00BB452D" w:rsidRPr="0007590F" w:rsidRDefault="00BB452D" w:rsidP="00C27A4D">
            <w:pPr>
              <w:pStyle w:val="TblTextCenter"/>
            </w:pPr>
            <w:r w:rsidRPr="0007590F">
              <w:t>0.68</w:t>
            </w:r>
          </w:p>
        </w:tc>
        <w:tc>
          <w:tcPr>
            <w:tcW w:w="0" w:type="auto"/>
            <w:shd w:val="clear" w:color="auto" w:fill="auto"/>
            <w:hideMark/>
          </w:tcPr>
          <w:p w:rsidR="00BB452D" w:rsidRPr="0007590F" w:rsidRDefault="00BB452D" w:rsidP="00C27A4D">
            <w:pPr>
              <w:pStyle w:val="TblTextCenter"/>
            </w:pPr>
            <w:r w:rsidRPr="0007590F">
              <w:t>0.26</w:t>
            </w:r>
            <w:r w:rsidRPr="0007590F">
              <w:rPr>
                <w:vertAlign w:val="subscript"/>
              </w:rPr>
              <w:t>††</w:t>
            </w:r>
          </w:p>
        </w:tc>
        <w:tc>
          <w:tcPr>
            <w:tcW w:w="0" w:type="auto"/>
            <w:shd w:val="clear" w:color="auto" w:fill="auto"/>
            <w:hideMark/>
          </w:tcPr>
          <w:p w:rsidR="00BB452D" w:rsidRPr="0007590F" w:rsidRDefault="00BB452D" w:rsidP="00C27A4D">
            <w:pPr>
              <w:pStyle w:val="TblTextCenter"/>
            </w:pPr>
            <w:r w:rsidRPr="0007590F">
              <w:t>0.02</w:t>
            </w:r>
            <w:r w:rsidRPr="0007590F">
              <w:rPr>
                <w:vertAlign w:val="subscript"/>
              </w:rPr>
              <w:t>†††</w:t>
            </w:r>
          </w:p>
        </w:tc>
      </w:tr>
      <w:tr w:rsidR="00BB452D" w:rsidRPr="0007590F" w:rsidTr="00C27A4D">
        <w:trPr>
          <w:cantSplit/>
          <w:trHeight w:val="309"/>
          <w:jc w:val="center"/>
        </w:trPr>
        <w:tc>
          <w:tcPr>
            <w:tcW w:w="0" w:type="auto"/>
            <w:shd w:val="clear" w:color="auto" w:fill="auto"/>
            <w:hideMark/>
          </w:tcPr>
          <w:p w:rsidR="00BB452D" w:rsidRPr="0007590F" w:rsidRDefault="00BB452D" w:rsidP="00C27A4D">
            <w:pPr>
              <w:pStyle w:val="TblTextCenter"/>
              <w:jc w:val="left"/>
            </w:pPr>
            <w:r w:rsidRPr="0007590F">
              <w:t>Joint space narrowing score</w:t>
            </w:r>
          </w:p>
        </w:tc>
        <w:tc>
          <w:tcPr>
            <w:tcW w:w="0" w:type="auto"/>
            <w:shd w:val="clear" w:color="auto" w:fill="auto"/>
            <w:hideMark/>
          </w:tcPr>
          <w:p w:rsidR="00BB452D" w:rsidRPr="0007590F" w:rsidRDefault="00BB452D" w:rsidP="00C27A4D">
            <w:pPr>
              <w:pStyle w:val="TblTextCenter"/>
            </w:pPr>
            <w:r w:rsidRPr="0007590F">
              <w:t>0.54</w:t>
            </w:r>
          </w:p>
        </w:tc>
        <w:tc>
          <w:tcPr>
            <w:tcW w:w="0" w:type="auto"/>
            <w:shd w:val="clear" w:color="auto" w:fill="auto"/>
            <w:hideMark/>
          </w:tcPr>
          <w:p w:rsidR="00BB452D" w:rsidRPr="0007590F" w:rsidRDefault="00BB452D" w:rsidP="00C27A4D">
            <w:pPr>
              <w:pStyle w:val="TblTextCenter"/>
            </w:pPr>
            <w:r w:rsidRPr="0007590F">
              <w:t>0.28</w:t>
            </w:r>
          </w:p>
        </w:tc>
        <w:tc>
          <w:tcPr>
            <w:tcW w:w="0" w:type="auto"/>
            <w:shd w:val="clear" w:color="auto" w:fill="auto"/>
            <w:hideMark/>
          </w:tcPr>
          <w:p w:rsidR="00BB452D" w:rsidRPr="0007590F" w:rsidRDefault="00BB452D" w:rsidP="00C27A4D">
            <w:pPr>
              <w:pStyle w:val="TblTextCenter"/>
            </w:pPr>
            <w:r w:rsidRPr="0007590F">
              <w:t>0.12</w:t>
            </w:r>
            <w:r w:rsidRPr="0007590F">
              <w:rPr>
                <w:vertAlign w:val="subscript"/>
              </w:rPr>
              <w:t>††</w:t>
            </w:r>
          </w:p>
        </w:tc>
      </w:tr>
      <w:tr w:rsidR="00BB452D" w:rsidRPr="0007590F" w:rsidTr="00C27A4D">
        <w:trPr>
          <w:cantSplit/>
          <w:trHeight w:val="300"/>
          <w:jc w:val="center"/>
        </w:trPr>
        <w:tc>
          <w:tcPr>
            <w:tcW w:w="0" w:type="auto"/>
            <w:shd w:val="clear" w:color="auto" w:fill="auto"/>
            <w:hideMark/>
          </w:tcPr>
          <w:p w:rsidR="00BB452D" w:rsidRPr="0007590F" w:rsidRDefault="00BB452D" w:rsidP="00C27A4D">
            <w:pPr>
              <w:pStyle w:val="TblTextCenter"/>
              <w:jc w:val="left"/>
              <w:rPr>
                <w:b/>
              </w:rPr>
            </w:pPr>
            <w:r w:rsidRPr="0007590F">
              <w:rPr>
                <w:b/>
              </w:rPr>
              <w:t xml:space="preserve">Mean change at Week 52 </w:t>
            </w:r>
          </w:p>
        </w:tc>
        <w:tc>
          <w:tcPr>
            <w:tcW w:w="0" w:type="auto"/>
            <w:shd w:val="clear" w:color="auto" w:fill="auto"/>
            <w:hideMark/>
          </w:tcPr>
          <w:p w:rsidR="00BB452D" w:rsidRPr="0007590F" w:rsidRDefault="00BB452D" w:rsidP="00C27A4D">
            <w:pPr>
              <w:pStyle w:val="TblTextCenter"/>
            </w:pPr>
          </w:p>
        </w:tc>
        <w:tc>
          <w:tcPr>
            <w:tcW w:w="0" w:type="auto"/>
            <w:shd w:val="clear" w:color="auto" w:fill="auto"/>
            <w:hideMark/>
          </w:tcPr>
          <w:p w:rsidR="00BB452D" w:rsidRPr="0007590F" w:rsidRDefault="00BB452D" w:rsidP="00C27A4D">
            <w:pPr>
              <w:pStyle w:val="TblTextCenter"/>
            </w:pPr>
          </w:p>
        </w:tc>
        <w:tc>
          <w:tcPr>
            <w:tcW w:w="0" w:type="auto"/>
            <w:shd w:val="clear" w:color="auto" w:fill="auto"/>
            <w:hideMark/>
          </w:tcPr>
          <w:p w:rsidR="00BB452D" w:rsidRPr="0007590F" w:rsidRDefault="00BB452D" w:rsidP="00C27A4D">
            <w:pPr>
              <w:pStyle w:val="TblTextCenter"/>
            </w:pPr>
          </w:p>
        </w:tc>
      </w:tr>
      <w:tr w:rsidR="00BB452D" w:rsidRPr="0007590F" w:rsidTr="00C27A4D">
        <w:trPr>
          <w:cantSplit/>
          <w:trHeight w:val="360"/>
          <w:jc w:val="center"/>
        </w:trPr>
        <w:tc>
          <w:tcPr>
            <w:tcW w:w="0" w:type="auto"/>
            <w:shd w:val="clear" w:color="auto" w:fill="auto"/>
            <w:hideMark/>
          </w:tcPr>
          <w:p w:rsidR="00BB452D" w:rsidRPr="0007590F" w:rsidRDefault="00BB452D" w:rsidP="00C27A4D">
            <w:pPr>
              <w:pStyle w:val="TblTextCenter"/>
              <w:jc w:val="left"/>
            </w:pPr>
            <w:r w:rsidRPr="0007590F">
              <w:t>Modified Total Sharp Score (mTSS) ‡</w:t>
            </w:r>
          </w:p>
        </w:tc>
        <w:tc>
          <w:tcPr>
            <w:tcW w:w="0" w:type="auto"/>
            <w:shd w:val="clear" w:color="auto" w:fill="auto"/>
            <w:hideMark/>
          </w:tcPr>
          <w:p w:rsidR="00BB452D" w:rsidRPr="0007590F" w:rsidRDefault="00BB452D" w:rsidP="00C27A4D">
            <w:pPr>
              <w:pStyle w:val="TblTextCenter"/>
            </w:pPr>
            <w:r w:rsidRPr="0007590F">
              <w:t>2.78</w:t>
            </w:r>
          </w:p>
        </w:tc>
        <w:tc>
          <w:tcPr>
            <w:tcW w:w="0" w:type="auto"/>
            <w:shd w:val="clear" w:color="auto" w:fill="auto"/>
            <w:hideMark/>
          </w:tcPr>
          <w:p w:rsidR="00BB452D" w:rsidRPr="0007590F" w:rsidRDefault="00BB452D" w:rsidP="00C27A4D">
            <w:pPr>
              <w:pStyle w:val="TblTextCenter"/>
            </w:pPr>
            <w:r w:rsidRPr="0007590F">
              <w:t>0.90</w:t>
            </w:r>
            <w:r w:rsidRPr="0007590F">
              <w:rPr>
                <w:vertAlign w:val="subscript"/>
              </w:rPr>
              <w:t>†††</w:t>
            </w:r>
          </w:p>
        </w:tc>
        <w:tc>
          <w:tcPr>
            <w:tcW w:w="0" w:type="auto"/>
            <w:shd w:val="clear" w:color="auto" w:fill="auto"/>
            <w:hideMark/>
          </w:tcPr>
          <w:p w:rsidR="00BB452D" w:rsidRPr="0007590F" w:rsidRDefault="00BB452D" w:rsidP="00C27A4D">
            <w:pPr>
              <w:pStyle w:val="TblTextCenter"/>
            </w:pPr>
            <w:r w:rsidRPr="0007590F">
              <w:t>0.25</w:t>
            </w:r>
            <w:r w:rsidRPr="0007590F">
              <w:rPr>
                <w:vertAlign w:val="subscript"/>
              </w:rPr>
              <w:t>†††</w:t>
            </w:r>
          </w:p>
        </w:tc>
      </w:tr>
      <w:tr w:rsidR="00BB452D" w:rsidRPr="0007590F" w:rsidTr="00C27A4D">
        <w:trPr>
          <w:cantSplit/>
          <w:trHeight w:val="165"/>
          <w:jc w:val="center"/>
        </w:trPr>
        <w:tc>
          <w:tcPr>
            <w:tcW w:w="0" w:type="auto"/>
            <w:shd w:val="clear" w:color="auto" w:fill="auto"/>
            <w:hideMark/>
          </w:tcPr>
          <w:p w:rsidR="00BB452D" w:rsidRPr="0007590F" w:rsidRDefault="00BB452D" w:rsidP="00C27A4D">
            <w:pPr>
              <w:pStyle w:val="TblTextCenter"/>
              <w:jc w:val="left"/>
            </w:pPr>
            <w:r w:rsidRPr="0007590F">
              <w:t>Erosion score (0-280)</w:t>
            </w:r>
          </w:p>
        </w:tc>
        <w:tc>
          <w:tcPr>
            <w:tcW w:w="0" w:type="auto"/>
            <w:shd w:val="clear" w:color="auto" w:fill="auto"/>
            <w:hideMark/>
          </w:tcPr>
          <w:p w:rsidR="00BB452D" w:rsidRPr="0007590F" w:rsidRDefault="00BB452D" w:rsidP="00C27A4D">
            <w:pPr>
              <w:pStyle w:val="TblTextCenter"/>
            </w:pPr>
            <w:r w:rsidRPr="0007590F">
              <w:t>1.46</w:t>
            </w:r>
          </w:p>
        </w:tc>
        <w:tc>
          <w:tcPr>
            <w:tcW w:w="0" w:type="auto"/>
            <w:shd w:val="clear" w:color="auto" w:fill="auto"/>
            <w:hideMark/>
          </w:tcPr>
          <w:p w:rsidR="00BB452D" w:rsidRPr="0007590F" w:rsidRDefault="00BB452D" w:rsidP="00C27A4D">
            <w:pPr>
              <w:pStyle w:val="TblTextCenter"/>
            </w:pPr>
            <w:r w:rsidRPr="0007590F">
              <w:t>0.42</w:t>
            </w:r>
            <w:r w:rsidRPr="0007590F">
              <w:rPr>
                <w:vertAlign w:val="subscript"/>
              </w:rPr>
              <w:t>†††</w:t>
            </w:r>
          </w:p>
        </w:tc>
        <w:tc>
          <w:tcPr>
            <w:tcW w:w="0" w:type="auto"/>
            <w:shd w:val="clear" w:color="auto" w:fill="auto"/>
            <w:hideMark/>
          </w:tcPr>
          <w:p w:rsidR="00BB452D" w:rsidRPr="0007590F" w:rsidRDefault="00BB452D" w:rsidP="00C27A4D">
            <w:pPr>
              <w:pStyle w:val="TblTextCenter"/>
            </w:pPr>
            <w:r w:rsidRPr="0007590F">
              <w:t>0.05</w:t>
            </w:r>
            <w:r w:rsidRPr="0007590F">
              <w:rPr>
                <w:vertAlign w:val="subscript"/>
              </w:rPr>
              <w:t>†††</w:t>
            </w:r>
          </w:p>
        </w:tc>
      </w:tr>
      <w:tr w:rsidR="00BB452D" w:rsidRPr="0007590F" w:rsidTr="00C27A4D">
        <w:trPr>
          <w:cantSplit/>
          <w:trHeight w:val="309"/>
          <w:jc w:val="center"/>
        </w:trPr>
        <w:tc>
          <w:tcPr>
            <w:tcW w:w="0" w:type="auto"/>
            <w:shd w:val="clear" w:color="auto" w:fill="auto"/>
            <w:hideMark/>
          </w:tcPr>
          <w:p w:rsidR="00BB452D" w:rsidRPr="0007590F" w:rsidRDefault="00BB452D" w:rsidP="00C27A4D">
            <w:pPr>
              <w:pStyle w:val="TblTextCenter"/>
              <w:jc w:val="left"/>
            </w:pPr>
            <w:r w:rsidRPr="0007590F">
              <w:t>Joint space narrowing score</w:t>
            </w:r>
          </w:p>
        </w:tc>
        <w:tc>
          <w:tcPr>
            <w:tcW w:w="0" w:type="auto"/>
            <w:shd w:val="clear" w:color="auto" w:fill="auto"/>
            <w:hideMark/>
          </w:tcPr>
          <w:p w:rsidR="00BB452D" w:rsidRPr="0007590F" w:rsidRDefault="00BB452D" w:rsidP="00C27A4D">
            <w:pPr>
              <w:pStyle w:val="TblTextCenter"/>
            </w:pPr>
            <w:r w:rsidRPr="0007590F">
              <w:t xml:space="preserve">1.32 </w:t>
            </w:r>
          </w:p>
        </w:tc>
        <w:tc>
          <w:tcPr>
            <w:tcW w:w="0" w:type="auto"/>
            <w:shd w:val="clear" w:color="auto" w:fill="auto"/>
            <w:hideMark/>
          </w:tcPr>
          <w:p w:rsidR="00BB452D" w:rsidRPr="0007590F" w:rsidRDefault="00BB452D" w:rsidP="00C27A4D">
            <w:pPr>
              <w:pStyle w:val="TblTextCenter"/>
            </w:pPr>
            <w:r w:rsidRPr="0007590F">
              <w:t>0.47</w:t>
            </w:r>
            <w:r w:rsidRPr="0007590F">
              <w:rPr>
                <w:vertAlign w:val="subscript"/>
              </w:rPr>
              <w:t>††</w:t>
            </w:r>
          </w:p>
        </w:tc>
        <w:tc>
          <w:tcPr>
            <w:tcW w:w="0" w:type="auto"/>
            <w:shd w:val="clear" w:color="auto" w:fill="auto"/>
            <w:hideMark/>
          </w:tcPr>
          <w:p w:rsidR="00BB452D" w:rsidRPr="0007590F" w:rsidRDefault="00BB452D" w:rsidP="00C27A4D">
            <w:pPr>
              <w:pStyle w:val="TblTextCenter"/>
            </w:pPr>
            <w:r w:rsidRPr="0007590F">
              <w:t>0.20</w:t>
            </w:r>
            <w:r w:rsidRPr="0007590F">
              <w:rPr>
                <w:vertAlign w:val="subscript"/>
              </w:rPr>
              <w:t>†††</w:t>
            </w:r>
          </w:p>
        </w:tc>
      </w:tr>
      <w:tr w:rsidR="00BB452D" w:rsidRPr="0007590F" w:rsidTr="00C27A4D">
        <w:trPr>
          <w:cantSplit/>
          <w:trHeight w:val="309"/>
          <w:jc w:val="center"/>
        </w:trPr>
        <w:tc>
          <w:tcPr>
            <w:tcW w:w="0" w:type="auto"/>
            <w:gridSpan w:val="4"/>
            <w:shd w:val="clear" w:color="auto" w:fill="auto"/>
            <w:hideMark/>
          </w:tcPr>
          <w:p w:rsidR="00BB452D" w:rsidRPr="0007590F" w:rsidRDefault="00BB452D" w:rsidP="00C27A4D">
            <w:pPr>
              <w:pStyle w:val="TblFigFootnote"/>
            </w:pPr>
            <w:r w:rsidRPr="0007590F">
              <w:lastRenderedPageBreak/>
              <w:t>* q2w=every two weeks</w:t>
            </w:r>
          </w:p>
          <w:p w:rsidR="00BB452D" w:rsidRPr="0007590F" w:rsidRDefault="00BB452D" w:rsidP="00C27A4D">
            <w:pPr>
              <w:pStyle w:val="TblFigFootnote"/>
            </w:pPr>
            <w:r w:rsidRPr="0007590F">
              <w:rPr>
                <w:vertAlign w:val="subscript"/>
              </w:rPr>
              <w:t>†</w:t>
            </w:r>
            <w:r w:rsidRPr="0007590F">
              <w:t xml:space="preserve"> p-value &lt;0.01 </w:t>
            </w:r>
          </w:p>
          <w:p w:rsidR="00BB452D" w:rsidRPr="0007590F" w:rsidRDefault="00BB452D" w:rsidP="00C27A4D">
            <w:pPr>
              <w:pStyle w:val="TblFigFootnote"/>
            </w:pPr>
            <w:r w:rsidRPr="0007590F">
              <w:rPr>
                <w:vertAlign w:val="subscript"/>
              </w:rPr>
              <w:t>††</w:t>
            </w:r>
            <w:r w:rsidRPr="0007590F">
              <w:t xml:space="preserve"> p-value &lt;0.001</w:t>
            </w:r>
          </w:p>
          <w:p w:rsidR="00BB452D" w:rsidRPr="0007590F" w:rsidRDefault="00BB452D" w:rsidP="00C27A4D">
            <w:pPr>
              <w:pStyle w:val="TblFigFootnote"/>
            </w:pPr>
            <w:r w:rsidRPr="0007590F">
              <w:rPr>
                <w:vertAlign w:val="subscript"/>
              </w:rPr>
              <w:t>†††</w:t>
            </w:r>
            <w:r w:rsidRPr="0007590F">
              <w:t xml:space="preserve"> p-value &lt;0.0001</w:t>
            </w:r>
          </w:p>
          <w:p w:rsidR="00BB452D" w:rsidRPr="0007590F" w:rsidRDefault="00BB452D" w:rsidP="00C27A4D">
            <w:pPr>
              <w:pStyle w:val="TblFigFootnote"/>
            </w:pPr>
            <w:r w:rsidRPr="0007590F">
              <w:t xml:space="preserve">‡ Primary end point </w:t>
            </w:r>
          </w:p>
        </w:tc>
      </w:tr>
    </w:tbl>
    <w:p w:rsidR="00BB452D" w:rsidRDefault="00BB452D" w:rsidP="00BB452D">
      <w:pPr>
        <w:spacing w:before="0"/>
        <w:jc w:val="center"/>
      </w:pPr>
    </w:p>
    <w:p w:rsidR="00BB452D" w:rsidRDefault="00BB452D" w:rsidP="00BB452D">
      <w:pPr>
        <w:spacing w:before="0"/>
        <w:jc w:val="center"/>
      </w:pPr>
    </w:p>
    <w:p w:rsidR="00BB452D" w:rsidRDefault="00BB452D" w:rsidP="00BB452D">
      <w:pPr>
        <w:pStyle w:val="Heading5"/>
        <w:numPr>
          <w:ilvl w:val="0"/>
          <w:numId w:val="0"/>
        </w:numPr>
        <w:ind w:left="1009" w:hanging="1009"/>
      </w:pPr>
      <w:r w:rsidRPr="00BB452D">
        <w:t>Physical Function Response</w:t>
      </w:r>
    </w:p>
    <w:p w:rsidR="00BB452D" w:rsidRDefault="00BB452D" w:rsidP="00BB452D">
      <w:r w:rsidRPr="0007590F">
        <w:rPr>
          <w:color w:val="auto"/>
        </w:rPr>
        <w:t xml:space="preserve">Sarilumab has been shown to improve physical function. In </w:t>
      </w:r>
      <w:r>
        <w:t xml:space="preserve">both the MOBILITY and TARGET studies, physical function and disability were assessed by the Health Assessment Questionnaire Disability Index (HAQ-DI). Patients receiving Kevzara 200 mg and 150 mg + MTX/DMARD every two weeks demonstrated greater improvement from baseline in physical function compared to placebo at Week 16 and Week 12 in MOBILITY and TARGET, respectively. </w:t>
      </w:r>
    </w:p>
    <w:p w:rsidR="00BB452D" w:rsidRPr="00BB452D" w:rsidRDefault="00BB452D" w:rsidP="00BB452D">
      <w:r w:rsidRPr="00BB452D">
        <w:t>MOBILITY demonstrated significant improvement in physical function, as measured by the HAQ-DI at Week 16 compared to placebo (mean change of-0.58, -0.54 and -0.30 for Kevzara 200 mg + MTX, Kevzara 150 mg + MTX and placebo + MTX, every two weeks, respectively). TARGET demonstrated significant improvement in HAQ-DI scores at Week 12 compared to placebo (mean change of -0.49, -0.50</w:t>
      </w:r>
      <w:r w:rsidR="00C37687">
        <w:t xml:space="preserve"> and -0.29 for Kevzara 200 mg + </w:t>
      </w:r>
      <w:r w:rsidRPr="00BB452D">
        <w:t>DMARD, Kevzara 150 mg  + DMARD and placebo + DMARD, every two weeks, respectively).</w:t>
      </w:r>
    </w:p>
    <w:p w:rsidR="00BB452D" w:rsidRPr="00BB452D" w:rsidRDefault="00C37687" w:rsidP="00BB452D">
      <w:r>
        <w:t xml:space="preserve">In MOBILITY, the improvement in </w:t>
      </w:r>
      <w:r w:rsidR="00BB452D" w:rsidRPr="00BB452D">
        <w:t>physical functi</w:t>
      </w:r>
      <w:r>
        <w:t xml:space="preserve">oning as measured by HAQ-DI was </w:t>
      </w:r>
      <w:r w:rsidR="00BB452D" w:rsidRPr="00BB452D">
        <w:t xml:space="preserve">maintained up to Week 52 (- 0.75,  -0.71, and -0.46) for Kevzara 200 mg + MTX, Kevzara 150 mg + MTX, and placebo + MTX treatment groups, respectively). </w:t>
      </w:r>
    </w:p>
    <w:p w:rsidR="00BB452D" w:rsidRPr="00BB452D" w:rsidRDefault="00BB452D" w:rsidP="00BB452D">
      <w:r w:rsidRPr="00BB452D">
        <w:t>Patients treated with Kevzara + MTX (47.6% in the 200 mg treatment group and 47.0% in the 150 mg treatment group) achieved a clinically relevant improvement in HAQ-DI (change from baseline of ≥0.3 units) at Week 52 compared to 26.1% in the placebo + MTX treatment group.</w:t>
      </w:r>
    </w:p>
    <w:p w:rsidR="00BB452D" w:rsidRDefault="00BB452D" w:rsidP="00BB452D">
      <w:pPr>
        <w:pStyle w:val="Heading5"/>
        <w:numPr>
          <w:ilvl w:val="0"/>
          <w:numId w:val="0"/>
        </w:numPr>
        <w:ind w:left="1009" w:hanging="1009"/>
      </w:pPr>
      <w:r w:rsidRPr="00BB452D">
        <w:t>Patient Reported Outcomes</w:t>
      </w:r>
    </w:p>
    <w:p w:rsidR="00BB452D" w:rsidRDefault="00BB452D" w:rsidP="00BB452D">
      <w:r w:rsidRPr="00BB452D">
        <w:t>General health status was assessed by the Short Form health survey (SF-36) in Studies 1 and 2. Patients receiving KEVZARA 200 mg every two weeks + MTX/DMARD demonstrated greater improvement from baseline compared to placebo + MTX/DMARD in the physical component summary (PCS) at Week 24, but there was no evidence of a difference between the treatment groups in the mental component summary (MCS) at Week 24. Patients receiving KEVZARA 200 mg + MTX/DMARD reported greater improvement relative to placebo in the domains of Physical Functioning, Role Physical, Bodily Pain, General Health Perception, Vitality, Social Functioning and Mental Health.</w:t>
      </w:r>
    </w:p>
    <w:p w:rsidR="00BB452D" w:rsidRPr="0007590F" w:rsidRDefault="00BB452D" w:rsidP="00BB452D">
      <w:pPr>
        <w:pStyle w:val="Heading4"/>
        <w:numPr>
          <w:ilvl w:val="0"/>
          <w:numId w:val="0"/>
        </w:numPr>
        <w:ind w:left="862" w:hanging="862"/>
      </w:pPr>
      <w:r w:rsidRPr="0007590F">
        <w:lastRenderedPageBreak/>
        <w:t>Active Comparator-controlled Study</w:t>
      </w:r>
    </w:p>
    <w:p w:rsidR="00BB452D" w:rsidRPr="0007590F" w:rsidRDefault="00C61E82" w:rsidP="00BB452D">
      <w:pPr>
        <w:rPr>
          <w:color w:val="auto"/>
        </w:rPr>
      </w:pPr>
      <w:r w:rsidRPr="0007590F">
        <w:rPr>
          <w:color w:val="auto"/>
        </w:rPr>
        <w:t xml:space="preserve">MONARCH </w:t>
      </w:r>
      <w:r w:rsidR="00BB452D" w:rsidRPr="0007590F">
        <w:rPr>
          <w:color w:val="auto"/>
        </w:rPr>
        <w:t>was a 24 –week randomized double-blind, double-dummy study that compared Kevzara 200 mg monotherapy with adalimumab 40 mg monotherapy administered subcutaneously every two weeks in 369 patients with moderate to severe RA who were inappropriate for treatment with MTX including those who were intolerant of or inadequate responders to MTX.</w:t>
      </w:r>
    </w:p>
    <w:p w:rsidR="00BB452D" w:rsidRDefault="00BB452D" w:rsidP="00BB452D">
      <w:pPr>
        <w:rPr>
          <w:color w:val="auto"/>
        </w:rPr>
      </w:pPr>
      <w:r w:rsidRPr="0007590F">
        <w:rPr>
          <w:color w:val="auto"/>
        </w:rPr>
        <w:t xml:space="preserve">Kevzara 200 mg was superior to adalimumab 40 mg in reducing disease activity and improving physical function, with more patients achieving clinical remission over 24 weeks (see </w:t>
      </w:r>
      <w:r w:rsidRPr="00C85BBB">
        <w:rPr>
          <w:color w:val="0000FF"/>
        </w:rPr>
        <w:fldChar w:fldCharType="begin"/>
      </w:r>
      <w:r w:rsidRPr="00C85BBB">
        <w:rPr>
          <w:color w:val="0000FF"/>
        </w:rPr>
        <w:instrText xml:space="preserve"> REF _Ref512793226 \h  \* MERGEFORMAT </w:instrText>
      </w:r>
      <w:r w:rsidRPr="00C85BBB">
        <w:rPr>
          <w:color w:val="0000FF"/>
        </w:rPr>
      </w:r>
      <w:r w:rsidRPr="00C85BBB">
        <w:rPr>
          <w:color w:val="0000FF"/>
        </w:rPr>
        <w:fldChar w:fldCharType="separate"/>
      </w:r>
      <w:r w:rsidR="00EA3D29" w:rsidRPr="00EA3D29">
        <w:rPr>
          <w:color w:val="0000FF"/>
        </w:rPr>
        <w:t>Table 7</w:t>
      </w:r>
      <w:r w:rsidRPr="00C85BBB">
        <w:rPr>
          <w:color w:val="0000FF"/>
        </w:rPr>
        <w:fldChar w:fldCharType="end"/>
      </w:r>
      <w:r w:rsidRPr="0007590F">
        <w:rPr>
          <w:color w:val="auto"/>
        </w:rPr>
        <w:t>).</w:t>
      </w:r>
    </w:p>
    <w:p w:rsidR="00A23734" w:rsidRPr="0007590F" w:rsidRDefault="00A23734" w:rsidP="00BB452D">
      <w:pPr>
        <w:rPr>
          <w:color w:val="auto"/>
        </w:rPr>
      </w:pPr>
    </w:p>
    <w:p w:rsidR="00BB452D" w:rsidRPr="0007590F" w:rsidRDefault="00BB452D" w:rsidP="00BB452D">
      <w:pPr>
        <w:pStyle w:val="Caption"/>
      </w:pPr>
      <w:r w:rsidRPr="0007590F">
        <w:t xml:space="preserve"> </w:t>
      </w:r>
      <w:bookmarkStart w:id="14" w:name="_Ref512793226"/>
      <w:r w:rsidRPr="0007590F">
        <w:t>Table </w:t>
      </w:r>
      <w:r w:rsidRPr="0007590F">
        <w:fldChar w:fldCharType="begin"/>
      </w:r>
      <w:r w:rsidRPr="0007590F">
        <w:instrText xml:space="preserve"> SEQ Table \* ARABIC </w:instrText>
      </w:r>
      <w:r w:rsidRPr="0007590F">
        <w:fldChar w:fldCharType="separate"/>
      </w:r>
      <w:r w:rsidR="00EA3D29">
        <w:rPr>
          <w:noProof/>
        </w:rPr>
        <w:t>7</w:t>
      </w:r>
      <w:r w:rsidRPr="0007590F">
        <w:fldChar w:fldCharType="end"/>
      </w:r>
      <w:bookmarkEnd w:id="14"/>
      <w:r w:rsidRPr="0007590F">
        <w:t xml:space="preserve"> ­ Efficacy results for MONARCH</w:t>
      </w:r>
    </w:p>
    <w:tbl>
      <w:tblPr>
        <w:tblW w:w="0" w:type="auto"/>
        <w:jc w:val="center"/>
        <w:tblBorders>
          <w:top w:val="single" w:sz="2" w:space="0" w:color="000000"/>
        </w:tblBorders>
        <w:tblLook w:val="04A0" w:firstRow="1" w:lastRow="0" w:firstColumn="1" w:lastColumn="0" w:noHBand="0" w:noVBand="1"/>
      </w:tblPr>
      <w:tblGrid>
        <w:gridCol w:w="4885"/>
        <w:gridCol w:w="1980"/>
        <w:gridCol w:w="1886"/>
      </w:tblGrid>
      <w:tr w:rsidR="00B85D29" w:rsidRPr="00B85D29" w:rsidTr="00C27A4D">
        <w:trPr>
          <w:cantSplit/>
          <w:trHeight w:val="1481"/>
          <w:tblHeader/>
          <w:jc w:val="center"/>
        </w:trPr>
        <w:tc>
          <w:tcPr>
            <w:tcW w:w="0" w:type="auto"/>
            <w:tcBorders>
              <w:top w:val="single" w:sz="4" w:space="0" w:color="000000"/>
              <w:bottom w:val="single" w:sz="4" w:space="0" w:color="auto"/>
            </w:tcBorders>
            <w:shd w:val="clear" w:color="auto" w:fill="auto"/>
            <w:hideMark/>
          </w:tcPr>
          <w:p w:rsidR="00BB452D" w:rsidRPr="00B85D29" w:rsidRDefault="00BB452D" w:rsidP="00C27A4D">
            <w:pPr>
              <w:pStyle w:val="TblHeadingCenter"/>
            </w:pPr>
          </w:p>
        </w:tc>
        <w:tc>
          <w:tcPr>
            <w:tcW w:w="0" w:type="auto"/>
            <w:tcBorders>
              <w:top w:val="single" w:sz="4" w:space="0" w:color="000000"/>
              <w:bottom w:val="single" w:sz="4" w:space="0" w:color="auto"/>
            </w:tcBorders>
            <w:shd w:val="clear" w:color="auto" w:fill="auto"/>
            <w:hideMark/>
          </w:tcPr>
          <w:p w:rsidR="00BB452D" w:rsidRPr="00B85D29" w:rsidRDefault="00BB452D" w:rsidP="00C27A4D">
            <w:pPr>
              <w:pStyle w:val="TblHeadingCenter"/>
            </w:pPr>
            <w:r w:rsidRPr="00B85D29">
              <w:t xml:space="preserve">Adalimumab </w:t>
            </w:r>
          </w:p>
          <w:p w:rsidR="00BB452D" w:rsidRPr="00B85D29" w:rsidRDefault="00BB452D" w:rsidP="00C27A4D">
            <w:pPr>
              <w:pStyle w:val="TblHeadingCenter"/>
            </w:pPr>
            <w:r w:rsidRPr="00B85D29">
              <w:t>40 mg q2w*</w:t>
            </w:r>
          </w:p>
          <w:p w:rsidR="00BB452D" w:rsidRPr="00B85D29" w:rsidRDefault="00BB452D" w:rsidP="00C27A4D">
            <w:pPr>
              <w:pStyle w:val="TblHeadingCenter"/>
            </w:pPr>
            <w:r w:rsidRPr="00B85D29">
              <w:t>(N=185)</w:t>
            </w:r>
          </w:p>
        </w:tc>
        <w:tc>
          <w:tcPr>
            <w:tcW w:w="0" w:type="auto"/>
            <w:tcBorders>
              <w:top w:val="single" w:sz="4" w:space="0" w:color="000000"/>
              <w:bottom w:val="single" w:sz="4" w:space="0" w:color="auto"/>
            </w:tcBorders>
            <w:shd w:val="clear" w:color="auto" w:fill="auto"/>
            <w:hideMark/>
          </w:tcPr>
          <w:p w:rsidR="00BB452D" w:rsidRPr="00B85D29" w:rsidRDefault="00BB452D" w:rsidP="00C27A4D">
            <w:pPr>
              <w:pStyle w:val="TblHeadingCenter"/>
            </w:pPr>
            <w:r w:rsidRPr="00B85D29">
              <w:t>Kevzara</w:t>
            </w:r>
          </w:p>
          <w:p w:rsidR="00BB452D" w:rsidRPr="00B85D29" w:rsidRDefault="00BB452D" w:rsidP="00C27A4D">
            <w:pPr>
              <w:pStyle w:val="TblHeadingCenter"/>
            </w:pPr>
            <w:r w:rsidRPr="00B85D29">
              <w:t>200 mg q2w</w:t>
            </w:r>
          </w:p>
          <w:p w:rsidR="00BB452D" w:rsidRPr="00B85D29" w:rsidRDefault="00BB452D" w:rsidP="00C27A4D">
            <w:pPr>
              <w:pStyle w:val="TblHeadingCenter"/>
            </w:pPr>
            <w:r w:rsidRPr="00B85D29">
              <w:t xml:space="preserve"> (N=184)</w:t>
            </w:r>
          </w:p>
        </w:tc>
      </w:tr>
      <w:tr w:rsidR="00B85D29" w:rsidRPr="00B85D29" w:rsidTr="00C27A4D">
        <w:trPr>
          <w:cantSplit/>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jc w:val="left"/>
              <w:rPr>
                <w:b/>
              </w:rPr>
            </w:pPr>
            <w:r w:rsidRPr="00B85D29">
              <w:rPr>
                <w:b/>
              </w:rPr>
              <w:t>DAS28-ESR  (primary endpoint)</w:t>
            </w:r>
            <w:r w:rsidR="00F57C67" w:rsidRPr="00B85D29">
              <w:rPr>
                <w:b/>
              </w:rPr>
              <w:t xml:space="preserve"> (</w:t>
            </w:r>
            <w:r w:rsidR="008B21C4" w:rsidRPr="00B85D29">
              <w:rPr>
                <w:b/>
              </w:rPr>
              <w:t>LSM (SE)</w:t>
            </w:r>
          </w:p>
          <w:p w:rsidR="00BB452D" w:rsidRPr="00B85D29" w:rsidRDefault="00BB452D" w:rsidP="00C27A4D">
            <w:pPr>
              <w:pStyle w:val="TblTextCenter"/>
              <w:jc w:val="left"/>
            </w:pPr>
            <w:r w:rsidRPr="00B85D29">
              <w:t xml:space="preserve">      p-value versus adalimumab</w:t>
            </w:r>
          </w:p>
          <w:p w:rsidR="00BB452D" w:rsidRPr="00B85D29" w:rsidRDefault="00BB452D" w:rsidP="00C27A4D">
            <w:pPr>
              <w:pStyle w:val="TblTextCenter"/>
              <w:jc w:val="left"/>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-2.20 (0.106)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-3.28 (0.105)</w:t>
            </w:r>
          </w:p>
          <w:p w:rsidR="00BB452D" w:rsidRPr="00B85D29" w:rsidRDefault="00BB452D" w:rsidP="00C27A4D">
            <w:pPr>
              <w:pStyle w:val="TblTextCenter"/>
            </w:pPr>
            <w:r w:rsidRPr="00B85D29">
              <w:t>&lt; 0.0001</w:t>
            </w:r>
          </w:p>
        </w:tc>
      </w:tr>
      <w:tr w:rsidR="00B85D29" w:rsidRPr="00B85D29" w:rsidTr="0007590F">
        <w:trPr>
          <w:cantSplit/>
          <w:trHeight w:val="75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jc w:val="left"/>
              <w:rPr>
                <w:b/>
              </w:rPr>
            </w:pPr>
            <w:r w:rsidRPr="00B85D29">
              <w:rPr>
                <w:b/>
              </w:rPr>
              <w:t>DAS28-ESR remission (&lt; 2.6), n (%)</w:t>
            </w:r>
          </w:p>
          <w:p w:rsidR="00BB452D" w:rsidRPr="00B85D29" w:rsidRDefault="00BB452D" w:rsidP="00C27A4D">
            <w:pPr>
              <w:pStyle w:val="TblTextCenter"/>
              <w:jc w:val="left"/>
              <w:rPr>
                <w:b/>
              </w:rPr>
            </w:pPr>
            <w:r w:rsidRPr="00B85D29">
              <w:t xml:space="preserve">      p-value versus adalimumab</w:t>
            </w:r>
          </w:p>
          <w:p w:rsidR="00BB452D" w:rsidRPr="00B85D29" w:rsidRDefault="00BB452D" w:rsidP="00C27A4D">
            <w:pPr>
              <w:pStyle w:val="TblTextCenter"/>
              <w:jc w:val="left"/>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13 (7.0%)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49 (26.6%)</w:t>
            </w:r>
          </w:p>
          <w:p w:rsidR="00BB452D" w:rsidRPr="00B85D29" w:rsidRDefault="0007590F" w:rsidP="0007590F">
            <w:pPr>
              <w:pStyle w:val="TblTextCenter"/>
            </w:pPr>
            <w:r w:rsidRPr="00B85D29">
              <w:t>&lt; 0.0001</w:t>
            </w:r>
          </w:p>
        </w:tc>
      </w:tr>
      <w:tr w:rsidR="00B85D29" w:rsidRPr="00B85D29" w:rsidTr="00C27A4D">
        <w:trPr>
          <w:cantSplit/>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BB452D" w:rsidRPr="00B85D29" w:rsidRDefault="00BB452D" w:rsidP="00C27A4D">
            <w:pPr>
              <w:pStyle w:val="TblTextCenter"/>
              <w:jc w:val="left"/>
              <w:rPr>
                <w:b/>
              </w:rPr>
            </w:pPr>
            <w:r w:rsidRPr="00B85D29">
              <w:rPr>
                <w:b/>
              </w:rPr>
              <w:t>ACR20 response, n (%)</w:t>
            </w:r>
          </w:p>
          <w:p w:rsidR="00BB452D" w:rsidRPr="00B85D29" w:rsidRDefault="00BB452D" w:rsidP="00C27A4D">
            <w:pPr>
              <w:pStyle w:val="TblTextCenter"/>
              <w:jc w:val="left"/>
            </w:pPr>
            <w:r w:rsidRPr="00B85D29">
              <w:t xml:space="preserve">      p-value versus adalimumab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452D" w:rsidRPr="00B85D29" w:rsidRDefault="00BB452D" w:rsidP="00C27A4D">
            <w:pPr>
              <w:pStyle w:val="TblTextCenter"/>
            </w:pPr>
            <w:r w:rsidRPr="00B85D29">
              <w:t>108 (58.4%)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452D" w:rsidRPr="00B85D29" w:rsidRDefault="00BB452D" w:rsidP="00C27A4D">
            <w:pPr>
              <w:pStyle w:val="TblTextCenter"/>
            </w:pPr>
            <w:r w:rsidRPr="00B85D29">
              <w:t>132 (71.7%)</w:t>
            </w:r>
          </w:p>
          <w:p w:rsidR="00BB452D" w:rsidRPr="00B85D29" w:rsidRDefault="00BB452D" w:rsidP="00C27A4D">
            <w:pPr>
              <w:pStyle w:val="TblTextCenter"/>
            </w:pPr>
            <w:r w:rsidRPr="00B85D29">
              <w:t>0.0074</w:t>
            </w:r>
          </w:p>
        </w:tc>
      </w:tr>
      <w:tr w:rsidR="00B85D29" w:rsidRPr="00B85D29" w:rsidTr="00C27A4D">
        <w:trPr>
          <w:cantSplit/>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jc w:val="left"/>
              <w:rPr>
                <w:b/>
              </w:rPr>
            </w:pPr>
            <w:r w:rsidRPr="00B85D29">
              <w:rPr>
                <w:b/>
              </w:rPr>
              <w:t>ACR50 response, n (%)</w:t>
            </w:r>
          </w:p>
          <w:p w:rsidR="00BB452D" w:rsidRPr="00B85D29" w:rsidRDefault="00BB452D" w:rsidP="00C27A4D">
            <w:pPr>
              <w:pStyle w:val="TblTextCenter"/>
              <w:jc w:val="left"/>
            </w:pPr>
            <w:r w:rsidRPr="00B85D29">
              <w:t xml:space="preserve">      p-value versus adalimumab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55 (29.7%)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84 (45.7%)</w:t>
            </w:r>
          </w:p>
          <w:p w:rsidR="00BB452D" w:rsidRPr="00B85D29" w:rsidRDefault="00BB452D" w:rsidP="00C27A4D">
            <w:pPr>
              <w:pStyle w:val="TblTextCenter"/>
            </w:pPr>
            <w:r w:rsidRPr="00B85D29">
              <w:t>0.0017</w:t>
            </w:r>
          </w:p>
        </w:tc>
      </w:tr>
      <w:tr w:rsidR="00B85D29" w:rsidRPr="00B85D29" w:rsidTr="00C27A4D">
        <w:trPr>
          <w:cantSplit/>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jc w:val="left"/>
              <w:rPr>
                <w:b/>
              </w:rPr>
            </w:pPr>
            <w:r w:rsidRPr="00B85D29">
              <w:rPr>
                <w:b/>
              </w:rPr>
              <w:t>ACR70 response, n (%)</w:t>
            </w:r>
          </w:p>
          <w:p w:rsidR="00BB452D" w:rsidRPr="00B85D29" w:rsidRDefault="00BB452D" w:rsidP="00C27A4D">
            <w:pPr>
              <w:pStyle w:val="TblTextCenter"/>
              <w:jc w:val="left"/>
            </w:pPr>
            <w:r w:rsidRPr="00B85D29">
              <w:t xml:space="preserve">      p-value versus adalimumab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22 (11.9%)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43 (23.4%)</w:t>
            </w:r>
          </w:p>
          <w:p w:rsidR="00BB452D" w:rsidRPr="00B85D29" w:rsidRDefault="00BB452D" w:rsidP="00C27A4D">
            <w:pPr>
              <w:pStyle w:val="TblTextCenter"/>
            </w:pPr>
            <w:r w:rsidRPr="00B85D29">
              <w:t>0.0036</w:t>
            </w:r>
          </w:p>
        </w:tc>
      </w:tr>
      <w:tr w:rsidR="00B85D29" w:rsidRPr="00B85D29" w:rsidTr="00C27A4D">
        <w:trPr>
          <w:cantSplit/>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jc w:val="left"/>
              <w:rPr>
                <w:b/>
              </w:rPr>
            </w:pPr>
            <w:r w:rsidRPr="00B85D29">
              <w:rPr>
                <w:b/>
              </w:rPr>
              <w:t xml:space="preserve">HAQ-DI </w:t>
            </w:r>
            <w:r w:rsidR="00F57C67" w:rsidRPr="00B85D29">
              <w:rPr>
                <w:b/>
              </w:rPr>
              <w:t>(</w:t>
            </w:r>
            <w:r w:rsidR="008B21C4" w:rsidRPr="00B85D29">
              <w:rPr>
                <w:b/>
              </w:rPr>
              <w:t>LSM (SE)</w:t>
            </w:r>
          </w:p>
          <w:p w:rsidR="00BB452D" w:rsidRPr="00B85D29" w:rsidRDefault="00BB452D" w:rsidP="00C27A4D">
            <w:pPr>
              <w:pStyle w:val="TblTextCenter"/>
              <w:jc w:val="left"/>
            </w:pPr>
            <w:r w:rsidRPr="00B85D29">
              <w:t xml:space="preserve">      p-value versus adalimumab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-0.43(0.045)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B452D" w:rsidRPr="00B85D29" w:rsidRDefault="00BB452D" w:rsidP="00C27A4D">
            <w:pPr>
              <w:pStyle w:val="TblTextCenter"/>
            </w:pPr>
            <w:r w:rsidRPr="00B85D29">
              <w:t xml:space="preserve">-0.61(0.045) </w:t>
            </w:r>
          </w:p>
          <w:p w:rsidR="00BB452D" w:rsidRPr="00B85D29" w:rsidRDefault="00BB452D" w:rsidP="00C27A4D">
            <w:pPr>
              <w:pStyle w:val="TblTextCenter"/>
            </w:pPr>
            <w:r w:rsidRPr="00B85D29">
              <w:t>0.0037</w:t>
            </w:r>
          </w:p>
        </w:tc>
      </w:tr>
      <w:tr w:rsidR="00B85D29" w:rsidRPr="00B85D29" w:rsidTr="00C27A4D">
        <w:trPr>
          <w:cantSplit/>
          <w:trHeight w:val="440"/>
          <w:jc w:val="center"/>
        </w:trPr>
        <w:tc>
          <w:tcPr>
            <w:tcW w:w="0" w:type="auto"/>
            <w:gridSpan w:val="3"/>
            <w:tcBorders>
              <w:top w:val="single" w:sz="4" w:space="0" w:color="auto"/>
            </w:tcBorders>
            <w:shd w:val="clear" w:color="auto" w:fill="auto"/>
          </w:tcPr>
          <w:p w:rsidR="00BB452D" w:rsidRPr="00B85D29" w:rsidRDefault="00BB452D" w:rsidP="00C27A4D">
            <w:pPr>
              <w:pStyle w:val="TblFigFootnote"/>
            </w:pPr>
            <w:r w:rsidRPr="00B85D29">
              <w:t>*Includes patients who increased the frequency of dosing of adalimumab 40 mg to every week because of an inadequate response</w:t>
            </w:r>
          </w:p>
          <w:p w:rsidR="008B21C4" w:rsidRPr="00B85D29" w:rsidRDefault="008B21C4" w:rsidP="00C27A4D">
            <w:pPr>
              <w:pStyle w:val="TblFigFootnote"/>
            </w:pPr>
            <w:r w:rsidRPr="00B85D29">
              <w:t>LSM (SE) = least square mean (standard error)</w:t>
            </w:r>
          </w:p>
          <w:p w:rsidR="00BB452D" w:rsidRPr="00B85D29" w:rsidRDefault="00BB452D" w:rsidP="00C27A4D">
            <w:pPr>
              <w:pStyle w:val="TblFigFootnote"/>
              <w:rPr>
                <w:strike/>
              </w:rPr>
            </w:pPr>
          </w:p>
        </w:tc>
      </w:tr>
    </w:tbl>
    <w:p w:rsidR="00BB452D" w:rsidRDefault="00BB452D" w:rsidP="00BB452D">
      <w:pPr>
        <w:spacing w:before="0"/>
        <w:jc w:val="center"/>
      </w:pPr>
    </w:p>
    <w:p w:rsidR="00E50389" w:rsidRPr="00E50389" w:rsidRDefault="00E50389" w:rsidP="00E50389"/>
    <w:p w:rsidR="001A3992" w:rsidRDefault="001A3992" w:rsidP="001A3992">
      <w:pPr>
        <w:pStyle w:val="Heading2"/>
        <w:spacing w:before="0" w:after="120"/>
        <w:rPr>
          <w:lang w:val="en-AU"/>
        </w:rPr>
      </w:pPr>
      <w:bookmarkStart w:id="15" w:name="_Ref524375346"/>
      <w:r w:rsidRPr="00717E34">
        <w:rPr>
          <w:lang w:val="en-AU"/>
        </w:rPr>
        <w:t>Pharmacokinetic properties</w:t>
      </w:r>
      <w:bookmarkEnd w:id="15"/>
      <w:r w:rsidRPr="00717E34">
        <w:rPr>
          <w:lang w:val="en-AU"/>
        </w:rPr>
        <w:t xml:space="preserve"> </w:t>
      </w:r>
    </w:p>
    <w:p w:rsidR="00BB452D" w:rsidRDefault="0024632F" w:rsidP="00BB452D">
      <w:pPr>
        <w:pStyle w:val="Heading3"/>
        <w:numPr>
          <w:ilvl w:val="0"/>
          <w:numId w:val="0"/>
        </w:numPr>
        <w:rPr>
          <w:i/>
        </w:rPr>
      </w:pPr>
      <w:r w:rsidRPr="0062537C">
        <w:rPr>
          <w:i/>
        </w:rPr>
        <w:t>Absorption</w:t>
      </w:r>
    </w:p>
    <w:p w:rsidR="00BB452D" w:rsidRPr="0007590F" w:rsidRDefault="00BB452D" w:rsidP="00BB452D">
      <w:pPr>
        <w:rPr>
          <w:color w:val="auto"/>
        </w:rPr>
      </w:pPr>
      <w:r>
        <w:t xml:space="preserve">The </w:t>
      </w:r>
      <w:r w:rsidRPr="0007590F">
        <w:rPr>
          <w:color w:val="auto"/>
        </w:rPr>
        <w:t xml:space="preserve">pharmacokinetics of </w:t>
      </w:r>
      <w:r w:rsidR="0007590F" w:rsidRPr="0007590F">
        <w:rPr>
          <w:color w:val="auto"/>
        </w:rPr>
        <w:t>sarilumab were characterized in</w:t>
      </w:r>
      <w:r w:rsidRPr="0007590F">
        <w:rPr>
          <w:color w:val="auto"/>
        </w:rPr>
        <w:t xml:space="preserve"> 2186 patients with RA treated with sarilumab which included 751 p</w:t>
      </w:r>
      <w:r w:rsidR="0007590F" w:rsidRPr="0007590F">
        <w:rPr>
          <w:color w:val="auto"/>
        </w:rPr>
        <w:t>atients treated with 150 mg and</w:t>
      </w:r>
      <w:r w:rsidRPr="0007590F">
        <w:rPr>
          <w:color w:val="auto"/>
        </w:rPr>
        <w:t xml:space="preserve"> 891 patients treated with 200 mg SC doses every two weeks for up to 52 weeks. The median t</w:t>
      </w:r>
      <w:r w:rsidRPr="0007590F">
        <w:rPr>
          <w:color w:val="auto"/>
          <w:vertAlign w:val="subscript"/>
        </w:rPr>
        <w:t>max</w:t>
      </w:r>
      <w:r w:rsidRPr="0007590F">
        <w:rPr>
          <w:color w:val="auto"/>
        </w:rPr>
        <w:t xml:space="preserve"> was observed in 2 to 4 days.</w:t>
      </w:r>
    </w:p>
    <w:p w:rsidR="00BB452D" w:rsidRDefault="00BB452D" w:rsidP="00BB452D">
      <w:r>
        <w:lastRenderedPageBreak/>
        <w:t>At steady state, exposure over the dosing interval measured by area under curve (AUC) increased 2-fold with an increase in dose from 150 to 200 mg every two weeks. Steady state was reached in 14 to 16 weeks with a 2- to 3-fold accumulation compared to single dose exposure.</w:t>
      </w:r>
    </w:p>
    <w:p w:rsidR="00BB452D" w:rsidRPr="0007590F" w:rsidRDefault="00BB452D" w:rsidP="00BB452D">
      <w:pPr>
        <w:rPr>
          <w:color w:val="auto"/>
        </w:rPr>
      </w:pPr>
      <w:r w:rsidRPr="0007590F">
        <w:rPr>
          <w:color w:val="auto"/>
        </w:rPr>
        <w:t>For the 150-mg every two weeks dose regimen, the estimated mean (± SD) steady-state AUC, C</w:t>
      </w:r>
      <w:r w:rsidRPr="0007590F">
        <w:rPr>
          <w:color w:val="auto"/>
          <w:vertAlign w:val="subscript"/>
        </w:rPr>
        <w:t>min</w:t>
      </w:r>
      <w:r w:rsidRPr="0007590F">
        <w:rPr>
          <w:color w:val="auto"/>
        </w:rPr>
        <w:t xml:space="preserve"> and C</w:t>
      </w:r>
      <w:r w:rsidRPr="0007590F">
        <w:rPr>
          <w:color w:val="auto"/>
          <w:vertAlign w:val="subscript"/>
        </w:rPr>
        <w:t>max</w:t>
      </w:r>
      <w:r w:rsidRPr="0007590F">
        <w:rPr>
          <w:color w:val="auto"/>
        </w:rPr>
        <w:t xml:space="preserve"> of sarilumab were 210 ± 115 mg.day/L,  6.95± 7.60mg/L, and 20.4± 8.27</w:t>
      </w:r>
      <w:r w:rsidR="0007590F" w:rsidRPr="0007590F">
        <w:rPr>
          <w:color w:val="auto"/>
        </w:rPr>
        <w:t xml:space="preserve"> </w:t>
      </w:r>
      <w:r w:rsidRPr="0007590F">
        <w:rPr>
          <w:color w:val="auto"/>
        </w:rPr>
        <w:t>mg/L, respectively.</w:t>
      </w:r>
    </w:p>
    <w:p w:rsidR="00BB452D" w:rsidRPr="0007590F" w:rsidRDefault="00BB452D" w:rsidP="00BB452D">
      <w:pPr>
        <w:rPr>
          <w:color w:val="auto"/>
        </w:rPr>
      </w:pPr>
      <w:r w:rsidRPr="0007590F">
        <w:rPr>
          <w:color w:val="auto"/>
        </w:rPr>
        <w:t>For the 200mg every two weeks dose regimen, the estimated mean (± SD) steady-state AUC , C</w:t>
      </w:r>
      <w:r w:rsidRPr="0007590F">
        <w:rPr>
          <w:color w:val="auto"/>
          <w:vertAlign w:val="subscript"/>
        </w:rPr>
        <w:t>min</w:t>
      </w:r>
      <w:r w:rsidRPr="0007590F">
        <w:rPr>
          <w:color w:val="auto"/>
        </w:rPr>
        <w:t xml:space="preserve"> and C</w:t>
      </w:r>
      <w:r w:rsidRPr="0007590F">
        <w:rPr>
          <w:color w:val="auto"/>
          <w:vertAlign w:val="subscript"/>
        </w:rPr>
        <w:t>max</w:t>
      </w:r>
      <w:r w:rsidRPr="0007590F">
        <w:rPr>
          <w:color w:val="auto"/>
        </w:rPr>
        <w:t xml:space="preserve"> of sarilumab were 396 ± 194 mg.day/L, 16.7± 13.5mg/L, and 35.4± 13.9</w:t>
      </w:r>
      <w:r w:rsidRPr="0007590F">
        <w:rPr>
          <w:strike/>
          <w:color w:val="auto"/>
        </w:rPr>
        <w:t xml:space="preserve"> </w:t>
      </w:r>
      <w:r w:rsidRPr="0007590F">
        <w:rPr>
          <w:color w:val="auto"/>
        </w:rPr>
        <w:t>mg/L, respectively.</w:t>
      </w:r>
    </w:p>
    <w:p w:rsidR="005E4FC5" w:rsidRPr="0007590F" w:rsidRDefault="005E4FC5" w:rsidP="005E4FC5">
      <w:pPr>
        <w:rPr>
          <w:color w:val="auto"/>
        </w:rPr>
      </w:pPr>
      <w:r w:rsidRPr="0007590F">
        <w:rPr>
          <w:color w:val="auto"/>
        </w:rPr>
        <w:t>In a usability study sarilumab exposure after 200 mg Q2W was slightly higher (Cmax + 24-34%, AUC(0-2w) +7-21%) after use of a pre-filled pen compared to the pre-filled syringe.</w:t>
      </w:r>
    </w:p>
    <w:p w:rsidR="0024632F" w:rsidRPr="0007590F" w:rsidRDefault="0024632F" w:rsidP="00BB452D">
      <w:pPr>
        <w:pStyle w:val="Heading3"/>
        <w:numPr>
          <w:ilvl w:val="0"/>
          <w:numId w:val="0"/>
        </w:numPr>
        <w:rPr>
          <w:i/>
        </w:rPr>
      </w:pPr>
      <w:r w:rsidRPr="0007590F">
        <w:rPr>
          <w:i/>
        </w:rPr>
        <w:t>Distribution</w:t>
      </w:r>
    </w:p>
    <w:p w:rsidR="00BB452D" w:rsidRPr="0007590F" w:rsidRDefault="00BB452D" w:rsidP="00BB452D">
      <w:pPr>
        <w:rPr>
          <w:color w:val="auto"/>
        </w:rPr>
      </w:pPr>
      <w:r w:rsidRPr="0007590F">
        <w:rPr>
          <w:color w:val="auto"/>
        </w:rPr>
        <w:t xml:space="preserve">In patients with RA, the apparent volume of distribution at steady state was </w:t>
      </w:r>
      <w:r w:rsidR="0007590F">
        <w:rPr>
          <w:color w:val="auto"/>
        </w:rPr>
        <w:t xml:space="preserve">8.3 </w:t>
      </w:r>
      <w:r w:rsidRPr="0007590F">
        <w:rPr>
          <w:color w:val="auto"/>
        </w:rPr>
        <w:t>L.</w:t>
      </w:r>
    </w:p>
    <w:p w:rsidR="005E4FC5" w:rsidRPr="0007590F" w:rsidRDefault="005E4FC5" w:rsidP="005E4FC5">
      <w:pPr>
        <w:pStyle w:val="Heading3"/>
        <w:numPr>
          <w:ilvl w:val="0"/>
          <w:numId w:val="0"/>
        </w:numPr>
        <w:ind w:left="680" w:hanging="680"/>
        <w:rPr>
          <w:i/>
        </w:rPr>
      </w:pPr>
      <w:r w:rsidRPr="0007590F">
        <w:rPr>
          <w:i/>
        </w:rPr>
        <w:t>Metabolism</w:t>
      </w:r>
    </w:p>
    <w:p w:rsidR="005E4FC5" w:rsidRPr="0007590F" w:rsidRDefault="005E4FC5" w:rsidP="005E4FC5">
      <w:pPr>
        <w:rPr>
          <w:color w:val="auto"/>
        </w:rPr>
      </w:pPr>
      <w:r w:rsidRPr="0007590F">
        <w:rPr>
          <w:color w:val="auto"/>
        </w:rPr>
        <w:t>The metabolic pathway of sarilumab ha</w:t>
      </w:r>
      <w:r w:rsidR="00FC176E">
        <w:rPr>
          <w:color w:val="auto"/>
        </w:rPr>
        <w:t xml:space="preserve">s not been characterized. As a </w:t>
      </w:r>
      <w:r w:rsidRPr="0007590F">
        <w:rPr>
          <w:color w:val="auto"/>
        </w:rPr>
        <w:t xml:space="preserve">monoclonal antibody sarilumab is expected to be degraded into small peptides and amino acids via catabolic pathways in the same manner as endogenous IgG.  </w:t>
      </w:r>
    </w:p>
    <w:p w:rsidR="00BB452D" w:rsidRPr="00321411" w:rsidRDefault="0088658C" w:rsidP="00BB452D">
      <w:pPr>
        <w:pStyle w:val="Heading3"/>
        <w:numPr>
          <w:ilvl w:val="0"/>
          <w:numId w:val="0"/>
        </w:numPr>
        <w:ind w:left="680" w:hanging="680"/>
        <w:rPr>
          <w:i/>
          <w:strike/>
        </w:rPr>
      </w:pPr>
      <w:r w:rsidRPr="00321411">
        <w:rPr>
          <w:i/>
        </w:rPr>
        <w:t>Excretion</w:t>
      </w:r>
    </w:p>
    <w:p w:rsidR="00BB452D" w:rsidRPr="0007590F" w:rsidRDefault="00BB452D" w:rsidP="00BB452D">
      <w:pPr>
        <w:rPr>
          <w:color w:val="auto"/>
        </w:rPr>
      </w:pPr>
      <w:r>
        <w:t xml:space="preserve">Sarilumab is eliminated by parallel linear and non-linear pathways. At higher concentrations, the elimination is predominantly through the linear, non-saturable proteolytic pathway, while at lower concentrations, non-linear saturable target-mediated elimination predominates. </w:t>
      </w:r>
      <w:r w:rsidRPr="0007590F">
        <w:rPr>
          <w:color w:val="auto"/>
        </w:rPr>
        <w:t xml:space="preserve">These parallel elimination pathways result in an initial half-life of 8 to 10 days and a terminal concentration-dependent half-life of 2 to 4 days. </w:t>
      </w:r>
    </w:p>
    <w:p w:rsidR="00BB452D" w:rsidRPr="0007590F" w:rsidRDefault="00BB452D" w:rsidP="00BB452D">
      <w:pPr>
        <w:rPr>
          <w:color w:val="auto"/>
        </w:rPr>
      </w:pPr>
      <w:r w:rsidRPr="0007590F">
        <w:rPr>
          <w:color w:val="auto"/>
        </w:rPr>
        <w:t>After the last steady state dose of 150 mg and 200 mg sarilumab, the median times to non-detectable concentration are 30 and 49 days, respectively. Monoclonal antibodies are not eliminated via renal or hepatic pathways.</w:t>
      </w:r>
    </w:p>
    <w:p w:rsidR="00BB452D" w:rsidRPr="0007590F" w:rsidRDefault="00BB452D" w:rsidP="00BB452D">
      <w:pPr>
        <w:pStyle w:val="Heading3"/>
        <w:numPr>
          <w:ilvl w:val="0"/>
          <w:numId w:val="0"/>
        </w:numPr>
        <w:ind w:left="680" w:hanging="680"/>
        <w:rPr>
          <w:i/>
        </w:rPr>
      </w:pPr>
      <w:r w:rsidRPr="0007590F">
        <w:rPr>
          <w:i/>
        </w:rPr>
        <w:t>Linearity/non-linearity</w:t>
      </w:r>
    </w:p>
    <w:p w:rsidR="005E4FC5" w:rsidRPr="0007590F" w:rsidRDefault="00BB452D" w:rsidP="00BB452D">
      <w:pPr>
        <w:rPr>
          <w:color w:val="auto"/>
        </w:rPr>
      </w:pPr>
      <w:r w:rsidRPr="0007590F">
        <w:rPr>
          <w:color w:val="auto"/>
        </w:rPr>
        <w:t>A more than dose-proportional increase in pharmacokinetic exposure was observed in patients with RA. At steady state, exposure over the dosing interval measured by area under the curve (AUC) increased approximately 2-fold with a 1.33-fold increase in dose from 150 to 200 mg every two weeks.</w:t>
      </w:r>
    </w:p>
    <w:p w:rsidR="00BB452D" w:rsidRDefault="00BB452D" w:rsidP="00BB452D">
      <w:pPr>
        <w:pStyle w:val="Heading3"/>
        <w:numPr>
          <w:ilvl w:val="0"/>
          <w:numId w:val="0"/>
        </w:numPr>
        <w:ind w:left="680" w:hanging="680"/>
        <w:rPr>
          <w:i/>
        </w:rPr>
      </w:pPr>
      <w:r w:rsidRPr="00BB452D">
        <w:rPr>
          <w:i/>
        </w:rPr>
        <w:t>Pharmacokinetics in Specific Populations</w:t>
      </w:r>
    </w:p>
    <w:p w:rsidR="00BB452D" w:rsidRPr="00BB452D" w:rsidRDefault="00BB452D" w:rsidP="00BB452D">
      <w:r w:rsidRPr="00BB452D">
        <w:t>Population pharmacokinetic analyses in adult patients with RA showed that age, gender and race did not meaningfully influence the pharmacokinetics of sarilumab. Decrease in body weight resulted in an increase in sarilumab exposure, while an increase in body weight resulted in a decrease in sarilumab exposure. No dose adjustments are recommended for any of these demographics.</w:t>
      </w:r>
    </w:p>
    <w:p w:rsidR="00BB452D" w:rsidRDefault="00BB452D" w:rsidP="00BB452D">
      <w:pPr>
        <w:pStyle w:val="Heading5"/>
        <w:numPr>
          <w:ilvl w:val="0"/>
          <w:numId w:val="0"/>
        </w:numPr>
        <w:ind w:left="1009" w:hanging="1009"/>
      </w:pPr>
      <w:r>
        <w:lastRenderedPageBreak/>
        <w:t>Hepatic Impairment</w:t>
      </w:r>
    </w:p>
    <w:p w:rsidR="00BB452D" w:rsidRPr="00BB452D" w:rsidRDefault="00BB452D" w:rsidP="00BB452D">
      <w:r w:rsidRPr="00BB452D">
        <w:t>No formal study of the effect of hepatic impairment on the pharmacokinetics of sarilumab was conducted.</w:t>
      </w:r>
    </w:p>
    <w:p w:rsidR="00BB452D" w:rsidRDefault="00BB452D" w:rsidP="00BB452D">
      <w:pPr>
        <w:pStyle w:val="Heading5"/>
        <w:numPr>
          <w:ilvl w:val="0"/>
          <w:numId w:val="0"/>
        </w:numPr>
        <w:ind w:left="1009" w:hanging="1009"/>
      </w:pPr>
      <w:r w:rsidRPr="00BB452D">
        <w:t>Renal Impairment</w:t>
      </w:r>
    </w:p>
    <w:p w:rsidR="00BB452D" w:rsidRPr="00BB452D" w:rsidRDefault="00BB452D" w:rsidP="00BB452D">
      <w:r w:rsidRPr="00BB452D">
        <w:t>No formal study of the effect of renal impairment on the pharmacokinetics of sarilumab was conducted. Mild to moderate renal impairment did not affect the pharmacokinetics of sarilumab. No dosage adjustment is required in patients with mild to moderate renal impairment. Patients with severe renal impairment were not studied.</w:t>
      </w:r>
    </w:p>
    <w:p w:rsidR="00BB452D" w:rsidRDefault="00BB452D" w:rsidP="00BB452D">
      <w:pPr>
        <w:pStyle w:val="Heading5"/>
        <w:numPr>
          <w:ilvl w:val="0"/>
          <w:numId w:val="0"/>
        </w:numPr>
        <w:ind w:left="1009" w:hanging="1009"/>
      </w:pPr>
      <w:r w:rsidRPr="00BB452D">
        <w:t>CYP450 Substrates</w:t>
      </w:r>
    </w:p>
    <w:p w:rsidR="00194D6E" w:rsidRPr="00B85D29" w:rsidRDefault="00BB452D" w:rsidP="005B6EC2">
      <w:pPr>
        <w:rPr>
          <w:color w:val="auto"/>
        </w:rPr>
      </w:pPr>
      <w:r w:rsidRPr="00BB452D">
        <w:t>Simvastatin is a CYP3A4 substrate. In 17 patients with RA, one week following a single 200-mg SC administration of sarilumab, exposure of simvastatin and simvastatin acid decreased by 45% an</w:t>
      </w:r>
      <w:r w:rsidRPr="00321411">
        <w:rPr>
          <w:color w:val="auto"/>
        </w:rPr>
        <w:t>d 36%, re</w:t>
      </w:r>
      <w:r w:rsidRPr="00B85D29">
        <w:rPr>
          <w:color w:val="auto"/>
        </w:rPr>
        <w:t xml:space="preserve">spectively [see </w:t>
      </w:r>
      <w:r w:rsidR="0075783E">
        <w:rPr>
          <w:color w:val="auto"/>
        </w:rPr>
        <w:t xml:space="preserve">Section </w:t>
      </w:r>
      <w:r w:rsidR="0075783E" w:rsidRPr="0075783E">
        <w:rPr>
          <w:color w:val="0000FF"/>
        </w:rPr>
        <w:fldChar w:fldCharType="begin"/>
      </w:r>
      <w:r w:rsidR="0075783E" w:rsidRPr="0075783E">
        <w:rPr>
          <w:color w:val="0000FF"/>
        </w:rPr>
        <w:instrText xml:space="preserve"> REF _Ref524375223 \r \h  \* MERGEFORMAT </w:instrText>
      </w:r>
      <w:r w:rsidR="0075783E" w:rsidRPr="0075783E">
        <w:rPr>
          <w:color w:val="0000FF"/>
        </w:rPr>
      </w:r>
      <w:r w:rsidR="0075783E" w:rsidRPr="0075783E">
        <w:rPr>
          <w:color w:val="0000FF"/>
        </w:rPr>
        <w:fldChar w:fldCharType="separate"/>
      </w:r>
      <w:r w:rsidR="00EA3D29">
        <w:rPr>
          <w:color w:val="0000FF"/>
        </w:rPr>
        <w:t>4.5</w:t>
      </w:r>
      <w:r w:rsidR="0075783E" w:rsidRPr="0075783E">
        <w:rPr>
          <w:color w:val="0000FF"/>
        </w:rPr>
        <w:fldChar w:fldCharType="end"/>
      </w:r>
      <w:r w:rsidR="00976A92" w:rsidRPr="00B85D29">
        <w:rPr>
          <w:color w:val="auto"/>
        </w:rPr>
        <w:t>-</w:t>
      </w:r>
      <w:r w:rsidRPr="00B85D29">
        <w:rPr>
          <w:color w:val="auto"/>
        </w:rPr>
        <w:t>INTERACTIONS WITH OTHER MEDICINES</w:t>
      </w:r>
      <w:r w:rsidR="00976A92" w:rsidRPr="00B85D29">
        <w:rPr>
          <w:color w:val="auto"/>
        </w:rPr>
        <w:t xml:space="preserve"> AND OTHER FORMS OF INTERACTIONS</w:t>
      </w:r>
      <w:r w:rsidR="005B6EC2" w:rsidRPr="00B85D29">
        <w:rPr>
          <w:color w:val="auto"/>
        </w:rPr>
        <w:t>]</w:t>
      </w:r>
    </w:p>
    <w:p w:rsidR="005B6EC2" w:rsidRPr="005B6EC2" w:rsidRDefault="005B6EC2" w:rsidP="005B6EC2">
      <w:pPr>
        <w:rPr>
          <w:color w:val="0000FF"/>
          <w:u w:val="double"/>
        </w:rPr>
      </w:pPr>
    </w:p>
    <w:p w:rsidR="001A3992" w:rsidRPr="00717E34" w:rsidRDefault="001A3992" w:rsidP="001A3992">
      <w:pPr>
        <w:pStyle w:val="Heading2"/>
        <w:spacing w:before="0" w:after="120"/>
        <w:rPr>
          <w:lang w:val="en-AU"/>
        </w:rPr>
      </w:pPr>
      <w:r w:rsidRPr="00717E34">
        <w:rPr>
          <w:lang w:val="en-AU"/>
        </w:rPr>
        <w:t>Preclinical safety data</w:t>
      </w:r>
    </w:p>
    <w:p w:rsidR="001A3992" w:rsidRDefault="001A3992" w:rsidP="00CA73C2">
      <w:pPr>
        <w:pStyle w:val="Heading3"/>
        <w:numPr>
          <w:ilvl w:val="0"/>
          <w:numId w:val="0"/>
        </w:numPr>
        <w:spacing w:before="0" w:after="120"/>
        <w:rPr>
          <w:i/>
          <w:lang w:val="en-AU"/>
        </w:rPr>
      </w:pPr>
      <w:r w:rsidRPr="0062537C">
        <w:rPr>
          <w:i/>
          <w:lang w:val="en-AU"/>
        </w:rPr>
        <w:t>Genotoxicity</w:t>
      </w:r>
    </w:p>
    <w:p w:rsidR="00BB452D" w:rsidRPr="00BB452D" w:rsidRDefault="00BB452D" w:rsidP="00BB452D">
      <w:pPr>
        <w:rPr>
          <w:lang w:val="en-AU"/>
        </w:rPr>
      </w:pPr>
      <w:r w:rsidRPr="00BB452D">
        <w:rPr>
          <w:lang w:val="en-AU"/>
        </w:rPr>
        <w:t>The mutagenic potential of sarilumab has not been evaluated; however, monoclonal antibodies are not expected to alter DNA or chromosomes.</w:t>
      </w:r>
    </w:p>
    <w:p w:rsidR="00BC364A" w:rsidRPr="00717E34" w:rsidRDefault="00BC364A" w:rsidP="00BC364A">
      <w:pPr>
        <w:spacing w:before="120"/>
        <w:rPr>
          <w:lang w:val="en-AU"/>
        </w:rPr>
      </w:pPr>
    </w:p>
    <w:p w:rsidR="001A3992" w:rsidRDefault="001A3992" w:rsidP="00CA73C2">
      <w:pPr>
        <w:pStyle w:val="Heading3"/>
        <w:numPr>
          <w:ilvl w:val="0"/>
          <w:numId w:val="0"/>
        </w:numPr>
        <w:spacing w:before="0" w:after="120"/>
        <w:ind w:left="680" w:hanging="680"/>
        <w:rPr>
          <w:i/>
          <w:lang w:val="en-AU"/>
        </w:rPr>
      </w:pPr>
      <w:r w:rsidRPr="0062537C">
        <w:rPr>
          <w:i/>
          <w:lang w:val="en-AU"/>
        </w:rPr>
        <w:t>Carcinogenicity</w:t>
      </w:r>
    </w:p>
    <w:p w:rsidR="00BB452D" w:rsidRPr="00BB452D" w:rsidRDefault="00BB452D" w:rsidP="00BB452D">
      <w:pPr>
        <w:rPr>
          <w:lang w:val="en-AU"/>
        </w:rPr>
      </w:pPr>
      <w:r w:rsidRPr="00BB452D">
        <w:rPr>
          <w:lang w:val="en-AU"/>
        </w:rPr>
        <w:t>No long-term animal studies have been performed to establish the carcinogenic potential of sarilumab.</w:t>
      </w:r>
    </w:p>
    <w:p w:rsidR="00024098" w:rsidRPr="00717E34" w:rsidRDefault="00024098" w:rsidP="00024098">
      <w:pPr>
        <w:rPr>
          <w:lang w:val="en-AU"/>
        </w:rPr>
      </w:pPr>
    </w:p>
    <w:p w:rsidR="001A3992" w:rsidRPr="00717E34" w:rsidRDefault="001A3992" w:rsidP="00024098">
      <w:pPr>
        <w:pStyle w:val="Heading1"/>
        <w:keepNext w:val="0"/>
        <w:pageBreakBefore w:val="0"/>
        <w:spacing w:before="0" w:after="120"/>
        <w:rPr>
          <w:lang w:val="en-AU"/>
        </w:rPr>
      </w:pPr>
      <w:r w:rsidRPr="00717E34">
        <w:rPr>
          <w:lang w:val="en-AU"/>
        </w:rPr>
        <w:t>Pharmaceutical particulars</w:t>
      </w:r>
    </w:p>
    <w:p w:rsidR="001A3992" w:rsidRDefault="001A3992" w:rsidP="001A3992">
      <w:pPr>
        <w:pStyle w:val="Heading2"/>
        <w:spacing w:before="0" w:after="120"/>
        <w:rPr>
          <w:lang w:val="en-AU"/>
        </w:rPr>
      </w:pPr>
      <w:bookmarkStart w:id="16" w:name="_Ref524373876"/>
      <w:r w:rsidRPr="00717E34">
        <w:rPr>
          <w:lang w:val="en-AU"/>
        </w:rPr>
        <w:t>List of excipients</w:t>
      </w:r>
      <w:bookmarkEnd w:id="16"/>
      <w:r w:rsidRPr="00717E34">
        <w:rPr>
          <w:lang w:val="en-AU"/>
        </w:rPr>
        <w:t xml:space="preserve"> </w:t>
      </w:r>
    </w:p>
    <w:p w:rsidR="00CE42C9" w:rsidRPr="00FA5E03" w:rsidRDefault="00FA5E03" w:rsidP="00BB452D">
      <w:pPr>
        <w:rPr>
          <w:color w:val="auto"/>
        </w:rPr>
      </w:pPr>
      <w:r w:rsidRPr="00FA5E03">
        <w:rPr>
          <w:color w:val="auto"/>
        </w:rPr>
        <w:t>Each pre-filled syringe</w:t>
      </w:r>
      <w:r w:rsidR="00CE42C9" w:rsidRPr="00FA5E03">
        <w:rPr>
          <w:color w:val="auto"/>
        </w:rPr>
        <w:t xml:space="preserve"> a</w:t>
      </w:r>
      <w:r w:rsidRPr="00FA5E03">
        <w:rPr>
          <w:color w:val="auto"/>
        </w:rPr>
        <w:t>nd pre-filled injection pen</w:t>
      </w:r>
      <w:r w:rsidR="00CE42C9" w:rsidRPr="00FA5E03">
        <w:rPr>
          <w:color w:val="auto"/>
        </w:rPr>
        <w:t xml:space="preserve"> contain</w:t>
      </w:r>
      <w:r w:rsidRPr="00FA5E03">
        <w:rPr>
          <w:color w:val="auto"/>
        </w:rPr>
        <w:t>s</w:t>
      </w:r>
      <w:r w:rsidR="00CE42C9" w:rsidRPr="00FA5E03">
        <w:rPr>
          <w:color w:val="auto"/>
        </w:rPr>
        <w:t>:</w:t>
      </w:r>
    </w:p>
    <w:p w:rsidR="00BB452D" w:rsidRPr="00B85D29" w:rsidRDefault="004A2C70" w:rsidP="00BB452D">
      <w:pPr>
        <w:rPr>
          <w:color w:val="auto"/>
        </w:rPr>
      </w:pPr>
      <w:r w:rsidRPr="00FA5E03">
        <w:rPr>
          <w:color w:val="auto"/>
        </w:rPr>
        <w:t xml:space="preserve">8.94 mg </w:t>
      </w:r>
      <w:r w:rsidR="00FA5E03" w:rsidRPr="00FA5E03">
        <w:rPr>
          <w:color w:val="auto"/>
        </w:rPr>
        <w:t>arginine hydrochloride</w:t>
      </w:r>
      <w:r w:rsidRPr="00FA5E03">
        <w:rPr>
          <w:color w:val="auto"/>
        </w:rPr>
        <w:t xml:space="preserve">, 3.71 mg </w:t>
      </w:r>
      <w:r w:rsidR="00BB452D" w:rsidRPr="00FA5E03">
        <w:rPr>
          <w:color w:val="auto"/>
        </w:rPr>
        <w:t>histidine</w:t>
      </w:r>
      <w:r w:rsidRPr="00FA5E03">
        <w:rPr>
          <w:color w:val="auto"/>
        </w:rPr>
        <w:t xml:space="preserve">, 2.28 mg </w:t>
      </w:r>
      <w:r w:rsidR="00FA5E03" w:rsidRPr="00FA5E03">
        <w:rPr>
          <w:color w:val="auto"/>
        </w:rPr>
        <w:t>polysorbate 20</w:t>
      </w:r>
      <w:r w:rsidRPr="00FA5E03">
        <w:rPr>
          <w:color w:val="auto"/>
        </w:rPr>
        <w:t xml:space="preserve">,  57 mg </w:t>
      </w:r>
      <w:r w:rsidR="00FA5E03" w:rsidRPr="00FA5E03">
        <w:rPr>
          <w:color w:val="auto"/>
        </w:rPr>
        <w:t>sucrose</w:t>
      </w:r>
      <w:r w:rsidRPr="00FA5E03">
        <w:rPr>
          <w:color w:val="auto"/>
        </w:rPr>
        <w:t xml:space="preserve">, and </w:t>
      </w:r>
      <w:r>
        <w:rPr>
          <w:color w:val="auto"/>
        </w:rPr>
        <w:t>w</w:t>
      </w:r>
      <w:r w:rsidR="00BB452D" w:rsidRPr="00B85D29">
        <w:rPr>
          <w:color w:val="auto"/>
        </w:rPr>
        <w:t>ater for Injections, USP</w:t>
      </w:r>
      <w:r w:rsidR="00FA5E03">
        <w:rPr>
          <w:color w:val="auto"/>
        </w:rPr>
        <w:t>.</w:t>
      </w:r>
    </w:p>
    <w:p w:rsidR="00466BF1" w:rsidRPr="007C4C57" w:rsidRDefault="00466BF1" w:rsidP="007C4C57">
      <w:pPr>
        <w:rPr>
          <w:lang w:val="en-AU"/>
        </w:rPr>
      </w:pPr>
    </w:p>
    <w:p w:rsidR="001A3992" w:rsidRDefault="001A3992" w:rsidP="001A3992">
      <w:pPr>
        <w:pStyle w:val="Heading2"/>
        <w:keepLines/>
        <w:spacing w:before="0" w:after="120"/>
        <w:rPr>
          <w:lang w:val="en-AU"/>
        </w:rPr>
      </w:pPr>
      <w:r w:rsidRPr="00717E34">
        <w:rPr>
          <w:lang w:val="en-AU"/>
        </w:rPr>
        <w:t xml:space="preserve">Incompatibilities </w:t>
      </w:r>
    </w:p>
    <w:p w:rsidR="00BB452D" w:rsidRPr="0007590F" w:rsidRDefault="00BB452D" w:rsidP="00BB452D">
      <w:pPr>
        <w:rPr>
          <w:color w:val="auto"/>
          <w:lang w:val="en-AU"/>
        </w:rPr>
      </w:pPr>
      <w:r w:rsidRPr="0007590F">
        <w:rPr>
          <w:color w:val="auto"/>
          <w:lang w:val="en-AU"/>
        </w:rPr>
        <w:t>Incompatibilities were either not assessed or not identified as part of the registration of this medicine.</w:t>
      </w:r>
    </w:p>
    <w:p w:rsidR="00194D6E" w:rsidRPr="0007590F" w:rsidRDefault="00194D6E" w:rsidP="00194D6E">
      <w:pPr>
        <w:rPr>
          <w:color w:val="auto"/>
          <w:lang w:val="en-AU"/>
        </w:rPr>
      </w:pPr>
    </w:p>
    <w:p w:rsidR="001A3992" w:rsidRPr="0007590F" w:rsidRDefault="001A3992" w:rsidP="001A3992">
      <w:pPr>
        <w:pStyle w:val="Heading2"/>
        <w:spacing w:before="0" w:after="120"/>
        <w:rPr>
          <w:lang w:val="en-AU"/>
        </w:rPr>
      </w:pPr>
      <w:r w:rsidRPr="0007590F">
        <w:rPr>
          <w:lang w:val="en-AU"/>
        </w:rPr>
        <w:t xml:space="preserve">Shelf life </w:t>
      </w:r>
    </w:p>
    <w:p w:rsidR="00BB452D" w:rsidRPr="0007590F" w:rsidRDefault="00BB452D" w:rsidP="00BB452D">
      <w:pPr>
        <w:rPr>
          <w:color w:val="auto"/>
          <w:lang w:val="en-AU"/>
        </w:rPr>
      </w:pPr>
      <w:r w:rsidRPr="0007590F">
        <w:rPr>
          <w:color w:val="auto"/>
          <w:lang w:val="en-AU"/>
        </w:rPr>
        <w:t>The expiry date can be found on the packaging.</w:t>
      </w:r>
    </w:p>
    <w:p w:rsidR="0024632F" w:rsidRPr="0007590F" w:rsidRDefault="0024632F" w:rsidP="00194D6E">
      <w:pPr>
        <w:rPr>
          <w:color w:val="auto"/>
          <w:lang w:val="en-AU"/>
        </w:rPr>
      </w:pPr>
    </w:p>
    <w:p w:rsidR="001A3992" w:rsidRDefault="001A3992" w:rsidP="001A3992">
      <w:pPr>
        <w:pStyle w:val="Heading2"/>
        <w:keepLines/>
        <w:spacing w:before="0" w:after="120"/>
        <w:rPr>
          <w:lang w:val="en-AU"/>
        </w:rPr>
      </w:pPr>
      <w:r w:rsidRPr="00717E34">
        <w:rPr>
          <w:lang w:val="en-AU"/>
        </w:rPr>
        <w:t xml:space="preserve">Special precautions for storage </w:t>
      </w:r>
    </w:p>
    <w:p w:rsidR="0002535F" w:rsidRPr="0002535F" w:rsidRDefault="0002535F" w:rsidP="0002535F">
      <w:pPr>
        <w:rPr>
          <w:lang w:val="en-AU"/>
        </w:rPr>
      </w:pPr>
      <w:r w:rsidRPr="0002535F">
        <w:rPr>
          <w:lang w:val="en-AU"/>
        </w:rPr>
        <w:t>Refrigerate at 2◦C to 8◦C. Do not freeze.</w:t>
      </w:r>
    </w:p>
    <w:p w:rsidR="0002535F" w:rsidRPr="0002535F" w:rsidRDefault="0002535F" w:rsidP="0002535F">
      <w:pPr>
        <w:rPr>
          <w:lang w:val="en-AU"/>
        </w:rPr>
      </w:pPr>
      <w:r w:rsidRPr="0002535F">
        <w:rPr>
          <w:lang w:val="en-AU"/>
        </w:rPr>
        <w:t xml:space="preserve">The pre-filled </w:t>
      </w:r>
      <w:r w:rsidRPr="00C85BBB">
        <w:rPr>
          <w:color w:val="auto"/>
          <w:lang w:val="en-AU"/>
        </w:rPr>
        <w:t>syringe or pen should not be exposed to heat or direct sunlight. Protect from light by storage in the original carton until</w:t>
      </w:r>
      <w:r w:rsidRPr="0002535F">
        <w:rPr>
          <w:lang w:val="en-AU"/>
        </w:rPr>
        <w:t xml:space="preserve"> time of use.</w:t>
      </w:r>
    </w:p>
    <w:p w:rsidR="00D70EC1" w:rsidRPr="00D70EC1" w:rsidRDefault="00D70EC1" w:rsidP="00D70EC1">
      <w:pPr>
        <w:rPr>
          <w:lang w:val="en-AU"/>
        </w:rPr>
      </w:pPr>
    </w:p>
    <w:p w:rsidR="001A3992" w:rsidRDefault="001A3992" w:rsidP="001A3992">
      <w:pPr>
        <w:pStyle w:val="Heading2"/>
        <w:spacing w:before="0" w:after="120"/>
        <w:rPr>
          <w:lang w:val="en-AU"/>
        </w:rPr>
      </w:pPr>
      <w:r w:rsidRPr="00717E34">
        <w:rPr>
          <w:lang w:val="en-AU"/>
        </w:rPr>
        <w:t xml:space="preserve">Nature and contents of container </w:t>
      </w:r>
    </w:p>
    <w:p w:rsidR="00BB452D" w:rsidRPr="0007590F" w:rsidRDefault="00BB452D" w:rsidP="00BB452D">
      <w:pPr>
        <w:rPr>
          <w:color w:val="auto"/>
          <w:lang w:val="en-AU"/>
        </w:rPr>
      </w:pPr>
      <w:r w:rsidRPr="0007590F">
        <w:rPr>
          <w:color w:val="auto"/>
          <w:lang w:val="en-AU"/>
        </w:rPr>
        <w:t>All presentations contain a 1.14 ml solution in a syringe (type 1 glass) equipped with a stainless steel staked needle and an elastomer plunger stopper.</w:t>
      </w:r>
    </w:p>
    <w:p w:rsidR="003C2E44" w:rsidRPr="0007590F" w:rsidRDefault="003C2E44" w:rsidP="003C2E44">
      <w:pPr>
        <w:rPr>
          <w:color w:val="auto"/>
          <w:lang w:val="en-AU"/>
        </w:rPr>
      </w:pPr>
      <w:r w:rsidRPr="0007590F">
        <w:rPr>
          <w:color w:val="auto"/>
          <w:lang w:val="en-AU"/>
        </w:rPr>
        <w:t>Kevzara is available as:</w:t>
      </w:r>
    </w:p>
    <w:p w:rsidR="003C2E44" w:rsidRPr="0075783E" w:rsidRDefault="003C2E44" w:rsidP="003C2E44">
      <w:pPr>
        <w:rPr>
          <w:color w:val="auto"/>
          <w:lang w:val="en-AU"/>
        </w:rPr>
      </w:pPr>
      <w:r w:rsidRPr="0007590F">
        <w:rPr>
          <w:color w:val="auto"/>
          <w:lang w:val="en-AU"/>
        </w:rPr>
        <w:t>Single use pre</w:t>
      </w:r>
      <w:r w:rsidRPr="00321411">
        <w:rPr>
          <w:color w:val="auto"/>
          <w:lang w:val="en-AU"/>
        </w:rPr>
        <w:t>-filled syringe delivering 150mg</w:t>
      </w:r>
      <w:r w:rsidRPr="0075783E">
        <w:rPr>
          <w:color w:val="auto"/>
          <w:lang w:val="en-AU"/>
        </w:rPr>
        <w:t xml:space="preserve"> per 1.14 mL of Kevzara (131.6 mg/mL) in packs of </w:t>
      </w:r>
      <w:r w:rsidR="00835265" w:rsidRPr="0075783E">
        <w:rPr>
          <w:color w:val="auto"/>
          <w:lang w:val="en-AU"/>
        </w:rPr>
        <w:t>2</w:t>
      </w:r>
      <w:r w:rsidR="00B85D29" w:rsidRPr="0075783E">
        <w:rPr>
          <w:i/>
          <w:color w:val="auto"/>
          <w:lang w:val="en-AU"/>
        </w:rPr>
        <w:t>.</w:t>
      </w:r>
    </w:p>
    <w:p w:rsidR="003C2E44" w:rsidRPr="0075783E" w:rsidRDefault="003C2E44" w:rsidP="003C2E44">
      <w:pPr>
        <w:rPr>
          <w:color w:val="auto"/>
          <w:lang w:val="en-AU"/>
        </w:rPr>
      </w:pPr>
      <w:r w:rsidRPr="0075783E">
        <w:rPr>
          <w:color w:val="auto"/>
          <w:lang w:val="en-AU"/>
        </w:rPr>
        <w:t xml:space="preserve">Single use pre-filled injection syringe delivering 200mg per 1.14 mL of Kevzara (175 mg/mL) in packs of </w:t>
      </w:r>
      <w:r w:rsidR="00835265" w:rsidRPr="0075783E">
        <w:rPr>
          <w:color w:val="auto"/>
          <w:lang w:val="en-AU"/>
        </w:rPr>
        <w:t>2</w:t>
      </w:r>
      <w:r w:rsidR="00A23734" w:rsidRPr="0075783E">
        <w:rPr>
          <w:color w:val="auto"/>
          <w:lang w:val="en-AU"/>
        </w:rPr>
        <w:t xml:space="preserve">. </w:t>
      </w:r>
    </w:p>
    <w:p w:rsidR="003C2E44" w:rsidRPr="0075783E" w:rsidRDefault="003C2E44" w:rsidP="003C2E44">
      <w:pPr>
        <w:rPr>
          <w:color w:val="auto"/>
          <w:lang w:val="en-AU"/>
        </w:rPr>
      </w:pPr>
      <w:r w:rsidRPr="0075783E">
        <w:rPr>
          <w:color w:val="auto"/>
          <w:lang w:val="en-AU"/>
        </w:rPr>
        <w:t>Single use pre-filled pen delivering 150mg per 1.14 mL of Ke</w:t>
      </w:r>
      <w:r w:rsidR="00321411" w:rsidRPr="0075783E">
        <w:rPr>
          <w:color w:val="auto"/>
          <w:lang w:val="en-AU"/>
        </w:rPr>
        <w:t>vzara (131.6 mg/mL) in packs of</w:t>
      </w:r>
      <w:r w:rsidR="00835265" w:rsidRPr="0075783E">
        <w:rPr>
          <w:color w:val="auto"/>
          <w:lang w:val="en-AU"/>
        </w:rPr>
        <w:t xml:space="preserve"> 2</w:t>
      </w:r>
      <w:r w:rsidR="0075783E" w:rsidRPr="0075783E">
        <w:rPr>
          <w:color w:val="auto"/>
          <w:lang w:val="en-AU"/>
        </w:rPr>
        <w:t>.</w:t>
      </w:r>
    </w:p>
    <w:p w:rsidR="003C2E44" w:rsidRPr="0075783E" w:rsidRDefault="003C2E44" w:rsidP="003C2E44">
      <w:pPr>
        <w:rPr>
          <w:color w:val="auto"/>
          <w:lang w:val="en-AU"/>
        </w:rPr>
      </w:pPr>
      <w:r w:rsidRPr="0075783E">
        <w:rPr>
          <w:color w:val="auto"/>
          <w:lang w:val="en-AU"/>
        </w:rPr>
        <w:t xml:space="preserve">Single use pre-filled pen delivering 200mg per 1.14 mL of </w:t>
      </w:r>
      <w:r w:rsidR="00321411" w:rsidRPr="0075783E">
        <w:rPr>
          <w:color w:val="auto"/>
          <w:lang w:val="en-AU"/>
        </w:rPr>
        <w:t xml:space="preserve">Kevzara (175 mg/mL) in packs of </w:t>
      </w:r>
      <w:r w:rsidR="00835265" w:rsidRPr="0075783E">
        <w:rPr>
          <w:color w:val="auto"/>
          <w:lang w:val="en-AU"/>
        </w:rPr>
        <w:t>2</w:t>
      </w:r>
      <w:r w:rsidR="0075783E" w:rsidRPr="0075783E">
        <w:rPr>
          <w:color w:val="auto"/>
          <w:lang w:val="en-AU"/>
        </w:rPr>
        <w:t>.</w:t>
      </w:r>
    </w:p>
    <w:p w:rsidR="007C4C57" w:rsidRPr="007C4C57" w:rsidRDefault="007C4C57" w:rsidP="004F0E4A">
      <w:pPr>
        <w:rPr>
          <w:snapToGrid w:val="0"/>
          <w:lang w:val="en-AU"/>
        </w:rPr>
      </w:pPr>
    </w:p>
    <w:p w:rsidR="001A3992" w:rsidRDefault="001A3992" w:rsidP="001A3992">
      <w:pPr>
        <w:pStyle w:val="Heading2"/>
        <w:spacing w:before="0" w:after="120"/>
        <w:rPr>
          <w:lang w:val="en-AU"/>
        </w:rPr>
      </w:pPr>
      <w:r w:rsidRPr="00717E34">
        <w:rPr>
          <w:lang w:val="en-AU"/>
        </w:rPr>
        <w:t xml:space="preserve">Special precautions for disposal </w:t>
      </w:r>
    </w:p>
    <w:p w:rsidR="00D70EC1" w:rsidRPr="0007590F" w:rsidRDefault="00D70EC1" w:rsidP="00D70EC1">
      <w:pPr>
        <w:rPr>
          <w:color w:val="auto"/>
        </w:rPr>
      </w:pPr>
      <w:r w:rsidRPr="0007590F">
        <w:rPr>
          <w:color w:val="auto"/>
        </w:rPr>
        <w:t>In Australia, any unused medicine or waste material should be disposed of by taking to your local pharmacy.</w:t>
      </w:r>
    </w:p>
    <w:p w:rsidR="00717E34" w:rsidRPr="00717E34" w:rsidRDefault="00717E34" w:rsidP="00717E34">
      <w:pPr>
        <w:rPr>
          <w:lang w:val="en-AU"/>
        </w:rPr>
      </w:pPr>
    </w:p>
    <w:p w:rsidR="001A3992" w:rsidRDefault="001A3992" w:rsidP="001A3992">
      <w:pPr>
        <w:pStyle w:val="Heading2"/>
        <w:spacing w:before="0" w:after="120"/>
        <w:rPr>
          <w:lang w:val="en-AU"/>
        </w:rPr>
      </w:pPr>
      <w:r w:rsidRPr="00717E34">
        <w:rPr>
          <w:lang w:val="en-AU"/>
        </w:rPr>
        <w:t>Physicochemical properties</w:t>
      </w:r>
    </w:p>
    <w:p w:rsidR="003C2E44" w:rsidRPr="00C85BBB" w:rsidRDefault="003C2E44" w:rsidP="003C2E44">
      <w:pPr>
        <w:rPr>
          <w:color w:val="auto"/>
          <w:lang w:val="en-AU"/>
        </w:rPr>
      </w:pPr>
      <w:r w:rsidRPr="0007590F">
        <w:rPr>
          <w:color w:val="auto"/>
          <w:lang w:val="en-AU"/>
        </w:rPr>
        <w:t>Sarilumab is a covalent heterotetramer consisting of two disulfide linked human heavy chains, each covalently linked through disulfide bonds to a human kappa light chain. The sarilumab heavy chain has an IgG1 isotype constant region with a single N-linked glycosylation site, located within the constant region in the Fc portion of the molecule. The variable domains of the heavy and light chains combine to form the IL-6Rα binding site within the antibody.</w:t>
      </w:r>
    </w:p>
    <w:p w:rsidR="0024632F" w:rsidRDefault="0024632F" w:rsidP="00CA73C2">
      <w:pPr>
        <w:pStyle w:val="Heading3"/>
        <w:numPr>
          <w:ilvl w:val="0"/>
          <w:numId w:val="0"/>
        </w:numPr>
        <w:rPr>
          <w:i/>
        </w:rPr>
      </w:pPr>
      <w:r w:rsidRPr="0062537C">
        <w:rPr>
          <w:i/>
        </w:rPr>
        <w:lastRenderedPageBreak/>
        <w:t>structure</w:t>
      </w:r>
    </w:p>
    <w:p w:rsidR="00BB452D" w:rsidRPr="00C61E82" w:rsidRDefault="00187181" w:rsidP="00BB452D">
      <w:pPr>
        <w:spacing w:before="0"/>
        <w:jc w:val="center"/>
        <w:rPr>
          <w:i/>
          <w:color w:val="008000"/>
        </w:rPr>
      </w:pPr>
      <w:r>
        <w:rPr>
          <w:i/>
          <w:noProof/>
          <w:color w:val="008000"/>
          <w:lang w:val="en-AU" w:eastAsia="en-AU"/>
        </w:rPr>
        <w:drawing>
          <wp:inline distT="0" distB="0" distL="0" distR="0">
            <wp:extent cx="3914775" cy="3076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4775" cy="3076575"/>
                    </a:xfrm>
                    <a:prstGeom prst="rect">
                      <a:avLst/>
                    </a:prstGeom>
                    <a:noFill/>
                    <a:ln>
                      <a:noFill/>
                    </a:ln>
                  </pic:spPr>
                </pic:pic>
              </a:graphicData>
            </a:graphic>
          </wp:inline>
        </w:drawing>
      </w:r>
    </w:p>
    <w:p w:rsidR="00BB452D" w:rsidRPr="00BB452D" w:rsidRDefault="00BB452D" w:rsidP="00BB452D"/>
    <w:p w:rsidR="0024632F" w:rsidRDefault="0024632F" w:rsidP="00CA73C2">
      <w:pPr>
        <w:pStyle w:val="Heading3"/>
        <w:numPr>
          <w:ilvl w:val="0"/>
          <w:numId w:val="0"/>
        </w:numPr>
        <w:ind w:left="680" w:hanging="680"/>
        <w:rPr>
          <w:i/>
        </w:rPr>
      </w:pPr>
      <w:r w:rsidRPr="0062537C">
        <w:rPr>
          <w:i/>
        </w:rPr>
        <w:t>CAS number</w:t>
      </w:r>
    </w:p>
    <w:p w:rsidR="00BB452D" w:rsidRPr="00BB452D" w:rsidRDefault="00BB452D" w:rsidP="00BB452D">
      <w:r w:rsidRPr="00BB452D">
        <w:t>1189541-98-7</w:t>
      </w:r>
    </w:p>
    <w:p w:rsidR="001A3992" w:rsidRPr="00717E34" w:rsidRDefault="001A3992" w:rsidP="00703FA3">
      <w:pPr>
        <w:pStyle w:val="Heading3"/>
        <w:numPr>
          <w:ilvl w:val="0"/>
          <w:numId w:val="0"/>
        </w:numPr>
        <w:spacing w:before="0" w:after="120"/>
        <w:ind w:left="680"/>
        <w:rPr>
          <w:lang w:val="en-AU"/>
        </w:rPr>
      </w:pPr>
    </w:p>
    <w:p w:rsidR="001A3992" w:rsidRDefault="001A3992" w:rsidP="00024098">
      <w:pPr>
        <w:pStyle w:val="Heading1"/>
        <w:keepNext w:val="0"/>
        <w:pageBreakBefore w:val="0"/>
        <w:spacing w:before="0" w:after="120"/>
        <w:rPr>
          <w:lang w:val="en-AU"/>
        </w:rPr>
      </w:pPr>
      <w:r w:rsidRPr="00717E34">
        <w:rPr>
          <w:lang w:val="en-AU"/>
        </w:rPr>
        <w:t>Medicine schedule (Poisons Standard)</w:t>
      </w:r>
    </w:p>
    <w:p w:rsidR="00024098" w:rsidRPr="00717E34" w:rsidRDefault="00BB452D" w:rsidP="00024098">
      <w:pPr>
        <w:rPr>
          <w:lang w:val="en-AU"/>
        </w:rPr>
      </w:pPr>
      <w:r w:rsidRPr="00BB452D">
        <w:rPr>
          <w:lang w:val="en-AU"/>
        </w:rPr>
        <w:t>Schedule 4 (Prescription Only Medicine)</w:t>
      </w:r>
      <w:r w:rsidRPr="00BB452D">
        <w:rPr>
          <w:lang w:val="en-AU"/>
        </w:rPr>
        <w:cr/>
      </w:r>
    </w:p>
    <w:p w:rsidR="001A3992" w:rsidRDefault="001A3992" w:rsidP="00024098">
      <w:pPr>
        <w:pStyle w:val="Heading1"/>
        <w:keepNext w:val="0"/>
        <w:pageBreakBefore w:val="0"/>
        <w:spacing w:before="0" w:after="120"/>
        <w:rPr>
          <w:lang w:val="en-AU"/>
        </w:rPr>
      </w:pPr>
      <w:r w:rsidRPr="00717E34">
        <w:rPr>
          <w:lang w:val="en-AU"/>
        </w:rPr>
        <w:t>Sponsor</w:t>
      </w:r>
    </w:p>
    <w:p w:rsidR="00BB452D" w:rsidRDefault="00BB452D" w:rsidP="00BB452D">
      <w:r w:rsidRPr="00BB452D">
        <w:t>sanofi-aventis australia pty ltd</w:t>
      </w:r>
    </w:p>
    <w:p w:rsidR="00BB452D" w:rsidRDefault="00BB452D" w:rsidP="00BB452D">
      <w:r w:rsidRPr="00BB452D">
        <w:t xml:space="preserve"> 12-24 Talavera Road </w:t>
      </w:r>
    </w:p>
    <w:p w:rsidR="00BB452D" w:rsidRPr="00BB452D" w:rsidRDefault="00BB452D" w:rsidP="00BB452D">
      <w:r w:rsidRPr="00BB452D">
        <w:t>Macquarie Park</w:t>
      </w:r>
      <w:r w:rsidR="00C85BBB">
        <w:t xml:space="preserve">.  </w:t>
      </w:r>
      <w:r w:rsidRPr="00BB452D">
        <w:t>NSW 2113</w:t>
      </w:r>
    </w:p>
    <w:p w:rsidR="00024098" w:rsidRPr="00BB452D" w:rsidRDefault="00024098" w:rsidP="00BB452D"/>
    <w:p w:rsidR="001A3992" w:rsidRDefault="001A3992" w:rsidP="00024098">
      <w:pPr>
        <w:pStyle w:val="Heading1"/>
        <w:keepNext w:val="0"/>
        <w:pageBreakBefore w:val="0"/>
        <w:spacing w:before="0" w:after="120"/>
        <w:rPr>
          <w:lang w:val="en-AU"/>
        </w:rPr>
      </w:pPr>
      <w:r w:rsidRPr="00717E34">
        <w:rPr>
          <w:lang w:val="en-AU"/>
        </w:rPr>
        <w:t xml:space="preserve">Date of first approval  </w:t>
      </w:r>
    </w:p>
    <w:p w:rsidR="00782FB6" w:rsidRPr="00782FB6" w:rsidRDefault="00782FB6" w:rsidP="00782FB6">
      <w:pPr>
        <w:rPr>
          <w:lang w:val="en-AU"/>
        </w:rPr>
      </w:pPr>
      <w:r>
        <w:rPr>
          <w:lang w:val="en-AU"/>
        </w:rPr>
        <w:t>14 September 2018</w:t>
      </w:r>
    </w:p>
    <w:p w:rsidR="00477BD3" w:rsidRPr="00477BD3" w:rsidRDefault="00477BD3" w:rsidP="00477BD3">
      <w:pPr>
        <w:rPr>
          <w:lang w:val="en-AU"/>
        </w:rPr>
      </w:pPr>
    </w:p>
    <w:p w:rsidR="001A3992" w:rsidRPr="00717E34" w:rsidRDefault="001A3992" w:rsidP="00024098">
      <w:pPr>
        <w:pStyle w:val="Heading1"/>
        <w:keepNext w:val="0"/>
        <w:pageBreakBefore w:val="0"/>
        <w:spacing w:before="0" w:after="120"/>
        <w:rPr>
          <w:lang w:val="en-AU"/>
        </w:rPr>
      </w:pPr>
      <w:r w:rsidRPr="00717E34">
        <w:rPr>
          <w:lang w:val="en-AU"/>
        </w:rPr>
        <w:t xml:space="preserve">Date of revision </w:t>
      </w:r>
    </w:p>
    <w:p w:rsidR="001A3992" w:rsidRPr="00717E34" w:rsidRDefault="001A3992" w:rsidP="001A3992">
      <w:pPr>
        <w:pStyle w:val="Heading2"/>
        <w:numPr>
          <w:ilvl w:val="0"/>
          <w:numId w:val="0"/>
        </w:numPr>
        <w:spacing w:before="0" w:after="120"/>
        <w:rPr>
          <w:lang w:val="en-AU"/>
        </w:rPr>
      </w:pPr>
      <w:r w:rsidRPr="00717E34">
        <w:rPr>
          <w:lang w:val="en-AU"/>
        </w:rPr>
        <w:t>Summary table of changes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bottom w:w="57" w:type="dxa"/>
        </w:tblCellMar>
        <w:tblLook w:val="06A0" w:firstRow="1" w:lastRow="0" w:firstColumn="1" w:lastColumn="0" w:noHBand="1" w:noVBand="1"/>
      </w:tblPr>
      <w:tblGrid>
        <w:gridCol w:w="1384"/>
        <w:gridCol w:w="7858"/>
      </w:tblGrid>
      <w:tr w:rsidR="00ED0937" w:rsidRPr="00717E34" w:rsidTr="001A415B">
        <w:tc>
          <w:tcPr>
            <w:tcW w:w="1384" w:type="dxa"/>
            <w:tcBorders>
              <w:top w:val="single" w:sz="8" w:space="0" w:color="000000"/>
              <w:left w:val="single" w:sz="8" w:space="0" w:color="000000"/>
              <w:bottom w:val="single" w:sz="18" w:space="0" w:color="000000"/>
              <w:right w:val="single" w:sz="8" w:space="0" w:color="000000"/>
            </w:tcBorders>
            <w:shd w:val="clear" w:color="auto" w:fill="F2F2F2"/>
            <w:vAlign w:val="center"/>
          </w:tcPr>
          <w:p w:rsidR="00ED0937" w:rsidRPr="001A415B" w:rsidRDefault="00ED0937" w:rsidP="004D0FD8">
            <w:pPr>
              <w:rPr>
                <w:b/>
                <w:bCs/>
                <w:sz w:val="20"/>
                <w:lang w:val="en-AU"/>
              </w:rPr>
            </w:pPr>
            <w:r w:rsidRPr="001A415B">
              <w:rPr>
                <w:b/>
                <w:bCs/>
                <w:sz w:val="20"/>
                <w:lang w:val="en-AU"/>
              </w:rPr>
              <w:t>Section Changed</w:t>
            </w:r>
          </w:p>
        </w:tc>
        <w:tc>
          <w:tcPr>
            <w:tcW w:w="7858" w:type="dxa"/>
            <w:tcBorders>
              <w:top w:val="single" w:sz="8" w:space="0" w:color="000000"/>
              <w:left w:val="single" w:sz="8" w:space="0" w:color="000000"/>
              <w:bottom w:val="single" w:sz="18" w:space="0" w:color="000000"/>
              <w:right w:val="single" w:sz="8" w:space="0" w:color="000000"/>
            </w:tcBorders>
            <w:shd w:val="clear" w:color="auto" w:fill="F2F2F2"/>
            <w:vAlign w:val="center"/>
          </w:tcPr>
          <w:p w:rsidR="00ED0937" w:rsidRPr="001A415B" w:rsidRDefault="00ED0937" w:rsidP="004D0FD8">
            <w:pPr>
              <w:rPr>
                <w:b/>
                <w:bCs/>
                <w:sz w:val="20"/>
                <w:lang w:val="en-AU"/>
              </w:rPr>
            </w:pPr>
            <w:r w:rsidRPr="001A415B">
              <w:rPr>
                <w:b/>
                <w:bCs/>
                <w:sz w:val="20"/>
                <w:lang w:val="en-AU"/>
              </w:rPr>
              <w:t>Summary of new information</w:t>
            </w:r>
          </w:p>
        </w:tc>
      </w:tr>
      <w:tr w:rsidR="00ED0937" w:rsidRPr="00717E34" w:rsidTr="001A415B">
        <w:tc>
          <w:tcPr>
            <w:tcW w:w="1384" w:type="dxa"/>
            <w:shd w:val="clear" w:color="auto" w:fill="auto"/>
            <w:vAlign w:val="center"/>
          </w:tcPr>
          <w:p w:rsidR="00ED0937" w:rsidRPr="001A415B" w:rsidRDefault="00ED0937" w:rsidP="004D0FD8">
            <w:pPr>
              <w:rPr>
                <w:b/>
                <w:bCs/>
                <w:lang w:val="en-AU"/>
              </w:rPr>
            </w:pPr>
          </w:p>
        </w:tc>
        <w:tc>
          <w:tcPr>
            <w:tcW w:w="7858" w:type="dxa"/>
            <w:shd w:val="clear" w:color="auto" w:fill="auto"/>
            <w:vAlign w:val="center"/>
          </w:tcPr>
          <w:p w:rsidR="00ED0937" w:rsidRPr="001A415B" w:rsidRDefault="00ED0937" w:rsidP="004D0FD8">
            <w:pPr>
              <w:rPr>
                <w:lang w:val="en-AU"/>
              </w:rPr>
            </w:pPr>
          </w:p>
        </w:tc>
      </w:tr>
      <w:tr w:rsidR="00ED0937" w:rsidRPr="00717E34" w:rsidTr="001A415B">
        <w:tc>
          <w:tcPr>
            <w:tcW w:w="1384" w:type="dxa"/>
            <w:shd w:val="clear" w:color="auto" w:fill="auto"/>
            <w:vAlign w:val="center"/>
          </w:tcPr>
          <w:p w:rsidR="00ED0937" w:rsidRPr="001A415B" w:rsidRDefault="00ED0937" w:rsidP="004D0FD8">
            <w:pPr>
              <w:rPr>
                <w:b/>
                <w:bCs/>
                <w:lang w:val="en-AU"/>
              </w:rPr>
            </w:pPr>
          </w:p>
        </w:tc>
        <w:tc>
          <w:tcPr>
            <w:tcW w:w="7858" w:type="dxa"/>
            <w:shd w:val="clear" w:color="auto" w:fill="auto"/>
            <w:vAlign w:val="center"/>
          </w:tcPr>
          <w:p w:rsidR="00ED0937" w:rsidRPr="001A415B" w:rsidRDefault="00ED0937" w:rsidP="004D0FD8">
            <w:pPr>
              <w:rPr>
                <w:lang w:val="en-AU"/>
              </w:rPr>
            </w:pPr>
          </w:p>
        </w:tc>
      </w:tr>
      <w:tr w:rsidR="00ED0937" w:rsidRPr="00717E34" w:rsidTr="001A415B">
        <w:tc>
          <w:tcPr>
            <w:tcW w:w="1384" w:type="dxa"/>
            <w:shd w:val="clear" w:color="auto" w:fill="auto"/>
            <w:vAlign w:val="center"/>
          </w:tcPr>
          <w:p w:rsidR="00ED0937" w:rsidRPr="001A415B" w:rsidRDefault="00ED0937" w:rsidP="004D0FD8">
            <w:pPr>
              <w:rPr>
                <w:b/>
                <w:bCs/>
                <w:lang w:val="en-AU"/>
              </w:rPr>
            </w:pPr>
          </w:p>
        </w:tc>
        <w:tc>
          <w:tcPr>
            <w:tcW w:w="7858" w:type="dxa"/>
            <w:shd w:val="clear" w:color="auto" w:fill="auto"/>
            <w:vAlign w:val="center"/>
          </w:tcPr>
          <w:p w:rsidR="00ED0937" w:rsidRPr="001A415B" w:rsidRDefault="00ED0937" w:rsidP="004D0FD8">
            <w:pPr>
              <w:rPr>
                <w:lang w:val="en-AU"/>
              </w:rPr>
            </w:pPr>
          </w:p>
        </w:tc>
      </w:tr>
    </w:tbl>
    <w:p w:rsidR="001A3992" w:rsidRPr="00717E34" w:rsidRDefault="001A3992" w:rsidP="001A3992">
      <w:pPr>
        <w:spacing w:after="120"/>
        <w:rPr>
          <w:lang w:val="en-AU"/>
        </w:rPr>
      </w:pPr>
    </w:p>
    <w:p w:rsidR="00321411" w:rsidRDefault="00321411" w:rsidP="001A3992">
      <w:pPr>
        <w:spacing w:after="120"/>
        <w:rPr>
          <w:lang w:val="en-AU"/>
        </w:rPr>
      </w:pPr>
    </w:p>
    <w:p w:rsidR="00321411" w:rsidRPr="00321411" w:rsidRDefault="00321411" w:rsidP="00321411">
      <w:pPr>
        <w:rPr>
          <w:lang w:val="en-AU"/>
        </w:rPr>
      </w:pPr>
    </w:p>
    <w:p w:rsidR="00321411" w:rsidRPr="00321411" w:rsidRDefault="00321411" w:rsidP="00321411">
      <w:pPr>
        <w:rPr>
          <w:lang w:val="en-AU"/>
        </w:rPr>
      </w:pPr>
    </w:p>
    <w:p w:rsidR="00321411" w:rsidRDefault="00321411" w:rsidP="00321411">
      <w:pPr>
        <w:rPr>
          <w:lang w:val="en-AU"/>
        </w:rPr>
      </w:pPr>
    </w:p>
    <w:p w:rsidR="00321411" w:rsidRDefault="00321411" w:rsidP="00321411">
      <w:pPr>
        <w:rPr>
          <w:lang w:val="en-AU"/>
        </w:rPr>
      </w:pPr>
    </w:p>
    <w:p w:rsidR="00960CD5" w:rsidRPr="00321411" w:rsidRDefault="00321411" w:rsidP="00321411">
      <w:pPr>
        <w:tabs>
          <w:tab w:val="left" w:pos="3491"/>
        </w:tabs>
        <w:rPr>
          <w:lang w:val="en-AU"/>
        </w:rPr>
      </w:pPr>
      <w:r>
        <w:rPr>
          <w:lang w:val="en-AU"/>
        </w:rPr>
        <w:tab/>
      </w:r>
    </w:p>
    <w:sectPr w:rsidR="00960CD5" w:rsidRPr="00321411" w:rsidSect="00A23734">
      <w:headerReference w:type="default" r:id="rId14"/>
      <w:footerReference w:type="default" r:id="rId15"/>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42" w:rsidRDefault="00033A42" w:rsidP="001A3992">
      <w:r>
        <w:separator/>
      </w:r>
    </w:p>
  </w:endnote>
  <w:endnote w:type="continuationSeparator" w:id="0">
    <w:p w:rsidR="00033A42" w:rsidRDefault="00033A42"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B2B" w:rsidRDefault="00782FB6">
    <w:pPr>
      <w:pStyle w:val="Footer"/>
    </w:pPr>
    <w:r>
      <w:t>kev</w:t>
    </w:r>
    <w:r w:rsidR="00C35735">
      <w:t>z</w:t>
    </w:r>
    <w:r w:rsidR="00CF7724">
      <w:t>-</w:t>
    </w:r>
    <w:r w:rsidR="00CF7724" w:rsidRPr="00C85BBB">
      <w:t>cc</w:t>
    </w:r>
    <w:r>
      <w:t>dsv2</w:t>
    </w:r>
    <w:r w:rsidR="00433552" w:rsidRPr="00433552">
      <w:rPr>
        <w:strike/>
      </w:rPr>
      <w:t>-</w:t>
    </w:r>
    <w:r w:rsidR="0077111F" w:rsidRPr="00433552">
      <w:t>1</w:t>
    </w:r>
    <w:r>
      <w:t>4</w:t>
    </w:r>
    <w:r w:rsidR="008B06CA" w:rsidRPr="00433552">
      <w:t>sep</w:t>
    </w:r>
    <w:r w:rsidR="00664F98" w:rsidRPr="00433552">
      <w:t>18</w:t>
    </w:r>
    <w:r w:rsidR="00091B2B">
      <w:tab/>
      <w:t xml:space="preserve">Page </w:t>
    </w:r>
    <w:r w:rsidR="00091B2B">
      <w:rPr>
        <w:b/>
        <w:bCs/>
        <w:sz w:val="24"/>
        <w:szCs w:val="24"/>
      </w:rPr>
      <w:fldChar w:fldCharType="begin"/>
    </w:r>
    <w:r w:rsidR="00091B2B">
      <w:rPr>
        <w:b/>
        <w:bCs/>
      </w:rPr>
      <w:instrText xml:space="preserve"> PAGE </w:instrText>
    </w:r>
    <w:r w:rsidR="00091B2B">
      <w:rPr>
        <w:b/>
        <w:bCs/>
        <w:sz w:val="24"/>
        <w:szCs w:val="24"/>
      </w:rPr>
      <w:fldChar w:fldCharType="separate"/>
    </w:r>
    <w:r w:rsidR="00187181">
      <w:rPr>
        <w:b/>
        <w:bCs/>
        <w:noProof/>
      </w:rPr>
      <w:t>1</w:t>
    </w:r>
    <w:r w:rsidR="00091B2B">
      <w:rPr>
        <w:b/>
        <w:bCs/>
        <w:sz w:val="24"/>
        <w:szCs w:val="24"/>
      </w:rPr>
      <w:fldChar w:fldCharType="end"/>
    </w:r>
    <w:r w:rsidR="00091B2B">
      <w:t xml:space="preserve"> of </w:t>
    </w:r>
    <w:r w:rsidR="00091B2B">
      <w:rPr>
        <w:b/>
        <w:bCs/>
        <w:sz w:val="24"/>
        <w:szCs w:val="24"/>
      </w:rPr>
      <w:fldChar w:fldCharType="begin"/>
    </w:r>
    <w:r w:rsidR="00091B2B">
      <w:rPr>
        <w:b/>
        <w:bCs/>
      </w:rPr>
      <w:instrText xml:space="preserve"> NUMPAGES  </w:instrText>
    </w:r>
    <w:r w:rsidR="00091B2B">
      <w:rPr>
        <w:b/>
        <w:bCs/>
        <w:sz w:val="24"/>
        <w:szCs w:val="24"/>
      </w:rPr>
      <w:fldChar w:fldCharType="separate"/>
    </w:r>
    <w:r w:rsidR="00187181">
      <w:rPr>
        <w:b/>
        <w:bCs/>
        <w:noProof/>
      </w:rPr>
      <w:t>32</w:t>
    </w:r>
    <w:r w:rsidR="00091B2B">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42" w:rsidRDefault="00033A42" w:rsidP="001A3992">
      <w:r>
        <w:separator/>
      </w:r>
    </w:p>
  </w:footnote>
  <w:footnote w:type="continuationSeparator" w:id="0">
    <w:p w:rsidR="00033A42" w:rsidRDefault="00033A42" w:rsidP="001A3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74E06" w:rsidRPr="002E7F61" w:rsidTr="004A20B5">
      <w:trPr>
        <w:trHeight w:val="590"/>
      </w:trPr>
      <w:tc>
        <w:tcPr>
          <w:tcW w:w="8720" w:type="dxa"/>
          <w:shd w:val="clear" w:color="auto" w:fill="E4F2E0"/>
        </w:tcPr>
        <w:p w:rsidR="00F74E06" w:rsidRPr="002E7F61" w:rsidRDefault="00F74E06" w:rsidP="004A20B5">
          <w:pPr>
            <w:pStyle w:val="Footer"/>
            <w:rPr>
              <w:b/>
              <w:szCs w:val="18"/>
            </w:rPr>
          </w:pPr>
          <w:r w:rsidRPr="002E7F61">
            <w:rPr>
              <w:b/>
              <w:szCs w:val="18"/>
            </w:rPr>
            <w:t xml:space="preserve">Attachment 1: Product information </w:t>
          </w:r>
          <w:r w:rsidRPr="00235C20">
            <w:rPr>
              <w:b/>
              <w:szCs w:val="18"/>
            </w:rPr>
            <w:t>AusPAR Kevzara Sarilumab (rch) Sanofi-Aventis Australia Pty Ltd PM-2017-03119-1-3 Final 8 April 2019</w:t>
          </w:r>
          <w:r>
            <w:rPr>
              <w:b/>
              <w:szCs w:val="18"/>
            </w:rPr>
            <w:t xml:space="preserve">. </w:t>
          </w:r>
          <w:r w:rsidRPr="00FF2AA4">
            <w:rPr>
              <w:b/>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Cs w:val="18"/>
              </w:rPr>
              <w:t>https://www.tga.gov.au/product-information-pi</w:t>
            </w:r>
          </w:hyperlink>
          <w:r w:rsidRPr="00FF2AA4">
            <w:rPr>
              <w:b/>
              <w:szCs w:val="18"/>
              <w:u w:val="single"/>
            </w:rPr>
            <w:t>&gt;</w:t>
          </w:r>
        </w:p>
      </w:tc>
    </w:tr>
  </w:tbl>
  <w:p w:rsidR="00433552" w:rsidRDefault="00433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06B970"/>
    <w:lvl w:ilvl="0">
      <w:start w:val="1"/>
      <w:numFmt w:val="bullet"/>
      <w:lvlText w:val=""/>
      <w:lvlJc w:val="left"/>
      <w:pPr>
        <w:tabs>
          <w:tab w:val="num" w:pos="360"/>
        </w:tabs>
        <w:ind w:left="360" w:hanging="360"/>
      </w:pPr>
      <w:rPr>
        <w:rFonts w:ascii="Symbol" w:hAnsi="Symbol" w:hint="default"/>
      </w:rPr>
    </w:lvl>
  </w:abstractNum>
  <w:abstractNum w:abstractNumId="1">
    <w:nsid w:val="01733F3E"/>
    <w:multiLevelType w:val="hybridMultilevel"/>
    <w:tmpl w:val="5AB64ADE"/>
    <w:lvl w:ilvl="0" w:tplc="66147582">
      <w:start w:val="1"/>
      <w:numFmt w:val="bullet"/>
      <w:pStyle w:val="ListAlphabeticalLevel1"/>
      <w:lvlText w:val=""/>
      <w:lvlJc w:val="left"/>
      <w:pPr>
        <w:ind w:left="720" w:hanging="360"/>
      </w:pPr>
      <w:rPr>
        <w:rFonts w:ascii="Symbol" w:hAnsi="Symbol" w:hint="default"/>
      </w:rPr>
    </w:lvl>
    <w:lvl w:ilvl="1" w:tplc="57DC1BEC">
      <w:start w:val="1"/>
      <w:numFmt w:val="bullet"/>
      <w:lvlText w:val="o"/>
      <w:lvlJc w:val="left"/>
      <w:pPr>
        <w:ind w:left="1440" w:hanging="360"/>
      </w:pPr>
      <w:rPr>
        <w:rFonts w:ascii="Courier New" w:hAnsi="Courier New" w:cs="Courier New" w:hint="default"/>
      </w:rPr>
    </w:lvl>
    <w:lvl w:ilvl="2" w:tplc="84B461FC" w:tentative="1">
      <w:start w:val="1"/>
      <w:numFmt w:val="bullet"/>
      <w:lvlText w:val=""/>
      <w:lvlJc w:val="left"/>
      <w:pPr>
        <w:ind w:left="2160" w:hanging="360"/>
      </w:pPr>
      <w:rPr>
        <w:rFonts w:ascii="Wingdings" w:hAnsi="Wingdings" w:hint="default"/>
      </w:rPr>
    </w:lvl>
    <w:lvl w:ilvl="3" w:tplc="8E48C880" w:tentative="1">
      <w:start w:val="1"/>
      <w:numFmt w:val="bullet"/>
      <w:lvlText w:val=""/>
      <w:lvlJc w:val="left"/>
      <w:pPr>
        <w:ind w:left="2880" w:hanging="360"/>
      </w:pPr>
      <w:rPr>
        <w:rFonts w:ascii="Symbol" w:hAnsi="Symbol" w:hint="default"/>
      </w:rPr>
    </w:lvl>
    <w:lvl w:ilvl="4" w:tplc="4F32C64C" w:tentative="1">
      <w:start w:val="1"/>
      <w:numFmt w:val="bullet"/>
      <w:lvlText w:val="o"/>
      <w:lvlJc w:val="left"/>
      <w:pPr>
        <w:ind w:left="3600" w:hanging="360"/>
      </w:pPr>
      <w:rPr>
        <w:rFonts w:ascii="Courier New" w:hAnsi="Courier New" w:cs="Courier New" w:hint="default"/>
      </w:rPr>
    </w:lvl>
    <w:lvl w:ilvl="5" w:tplc="0B5AD00E" w:tentative="1">
      <w:start w:val="1"/>
      <w:numFmt w:val="bullet"/>
      <w:lvlText w:val=""/>
      <w:lvlJc w:val="left"/>
      <w:pPr>
        <w:ind w:left="4320" w:hanging="360"/>
      </w:pPr>
      <w:rPr>
        <w:rFonts w:ascii="Wingdings" w:hAnsi="Wingdings" w:hint="default"/>
      </w:rPr>
    </w:lvl>
    <w:lvl w:ilvl="6" w:tplc="41D88700" w:tentative="1">
      <w:start w:val="1"/>
      <w:numFmt w:val="bullet"/>
      <w:lvlText w:val=""/>
      <w:lvlJc w:val="left"/>
      <w:pPr>
        <w:ind w:left="5040" w:hanging="360"/>
      </w:pPr>
      <w:rPr>
        <w:rFonts w:ascii="Symbol" w:hAnsi="Symbol" w:hint="default"/>
      </w:rPr>
    </w:lvl>
    <w:lvl w:ilvl="7" w:tplc="89C27E50" w:tentative="1">
      <w:start w:val="1"/>
      <w:numFmt w:val="bullet"/>
      <w:lvlText w:val="o"/>
      <w:lvlJc w:val="left"/>
      <w:pPr>
        <w:ind w:left="5760" w:hanging="360"/>
      </w:pPr>
      <w:rPr>
        <w:rFonts w:ascii="Courier New" w:hAnsi="Courier New" w:cs="Courier New" w:hint="default"/>
      </w:rPr>
    </w:lvl>
    <w:lvl w:ilvl="8" w:tplc="54DE2050" w:tentative="1">
      <w:start w:val="1"/>
      <w:numFmt w:val="bullet"/>
      <w:lvlText w:val=""/>
      <w:lvlJc w:val="left"/>
      <w:pPr>
        <w:ind w:left="6480" w:hanging="360"/>
      </w:pPr>
      <w:rPr>
        <w:rFonts w:ascii="Wingdings" w:hAnsi="Wingdings" w:hint="default"/>
      </w:rPr>
    </w:lvl>
  </w:abstractNum>
  <w:abstractNum w:abstractNumId="2">
    <w:nsid w:val="0AA50DBD"/>
    <w:multiLevelType w:val="hybridMultilevel"/>
    <w:tmpl w:val="2C7E2A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0268D4"/>
    <w:multiLevelType w:val="multilevel"/>
    <w:tmpl w:val="07D24A4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5">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6">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DC41614"/>
    <w:multiLevelType w:val="multilevel"/>
    <w:tmpl w:val="56767712"/>
    <w:lvl w:ilvl="0">
      <w:start w:val="1"/>
      <w:numFmt w:val="decimal"/>
      <w:lvlRestart w:val="0"/>
      <w:pStyle w:val="Heading1NoNumbering"/>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8">
    <w:nsid w:val="24435439"/>
    <w:multiLevelType w:val="hybridMultilevel"/>
    <w:tmpl w:val="D23AB816"/>
    <w:lvl w:ilvl="0" w:tplc="48B80D2C">
      <w:start w:val="1"/>
      <w:numFmt w:val="bullet"/>
      <w:pStyle w:val="TblTextbulletedlist"/>
      <w:lvlText w:val=""/>
      <w:lvlJc w:val="left"/>
      <w:pPr>
        <w:ind w:left="720" w:hanging="360"/>
      </w:pPr>
      <w:rPr>
        <w:rFonts w:ascii="Symbol" w:hAnsi="Symbol" w:hint="default"/>
      </w:rPr>
    </w:lvl>
    <w:lvl w:ilvl="1" w:tplc="B47A348E" w:tentative="1">
      <w:start w:val="1"/>
      <w:numFmt w:val="bullet"/>
      <w:lvlText w:val="o"/>
      <w:lvlJc w:val="left"/>
      <w:pPr>
        <w:ind w:left="1440" w:hanging="360"/>
      </w:pPr>
      <w:rPr>
        <w:rFonts w:ascii="Courier New" w:hAnsi="Courier New" w:cs="Courier New" w:hint="default"/>
      </w:rPr>
    </w:lvl>
    <w:lvl w:ilvl="2" w:tplc="A3766842" w:tentative="1">
      <w:start w:val="1"/>
      <w:numFmt w:val="bullet"/>
      <w:lvlText w:val=""/>
      <w:lvlJc w:val="left"/>
      <w:pPr>
        <w:ind w:left="2160" w:hanging="360"/>
      </w:pPr>
      <w:rPr>
        <w:rFonts w:ascii="Wingdings" w:hAnsi="Wingdings" w:hint="default"/>
      </w:rPr>
    </w:lvl>
    <w:lvl w:ilvl="3" w:tplc="116CA1F2" w:tentative="1">
      <w:start w:val="1"/>
      <w:numFmt w:val="bullet"/>
      <w:lvlText w:val=""/>
      <w:lvlJc w:val="left"/>
      <w:pPr>
        <w:ind w:left="2880" w:hanging="360"/>
      </w:pPr>
      <w:rPr>
        <w:rFonts w:ascii="Symbol" w:hAnsi="Symbol" w:hint="default"/>
      </w:rPr>
    </w:lvl>
    <w:lvl w:ilvl="4" w:tplc="5EF8AB74" w:tentative="1">
      <w:start w:val="1"/>
      <w:numFmt w:val="bullet"/>
      <w:lvlText w:val="o"/>
      <w:lvlJc w:val="left"/>
      <w:pPr>
        <w:ind w:left="3600" w:hanging="360"/>
      </w:pPr>
      <w:rPr>
        <w:rFonts w:ascii="Courier New" w:hAnsi="Courier New" w:cs="Courier New" w:hint="default"/>
      </w:rPr>
    </w:lvl>
    <w:lvl w:ilvl="5" w:tplc="08400384" w:tentative="1">
      <w:start w:val="1"/>
      <w:numFmt w:val="bullet"/>
      <w:lvlText w:val=""/>
      <w:lvlJc w:val="left"/>
      <w:pPr>
        <w:ind w:left="4320" w:hanging="360"/>
      </w:pPr>
      <w:rPr>
        <w:rFonts w:ascii="Wingdings" w:hAnsi="Wingdings" w:hint="default"/>
      </w:rPr>
    </w:lvl>
    <w:lvl w:ilvl="6" w:tplc="1F56ACC4" w:tentative="1">
      <w:start w:val="1"/>
      <w:numFmt w:val="bullet"/>
      <w:lvlText w:val=""/>
      <w:lvlJc w:val="left"/>
      <w:pPr>
        <w:ind w:left="5040" w:hanging="360"/>
      </w:pPr>
      <w:rPr>
        <w:rFonts w:ascii="Symbol" w:hAnsi="Symbol" w:hint="default"/>
      </w:rPr>
    </w:lvl>
    <w:lvl w:ilvl="7" w:tplc="72A48964" w:tentative="1">
      <w:start w:val="1"/>
      <w:numFmt w:val="bullet"/>
      <w:lvlText w:val="o"/>
      <w:lvlJc w:val="left"/>
      <w:pPr>
        <w:ind w:left="5760" w:hanging="360"/>
      </w:pPr>
      <w:rPr>
        <w:rFonts w:ascii="Courier New" w:hAnsi="Courier New" w:cs="Courier New" w:hint="default"/>
      </w:rPr>
    </w:lvl>
    <w:lvl w:ilvl="8" w:tplc="31AA9294" w:tentative="1">
      <w:start w:val="1"/>
      <w:numFmt w:val="bullet"/>
      <w:lvlText w:val=""/>
      <w:lvlJc w:val="left"/>
      <w:pPr>
        <w:ind w:left="6480" w:hanging="360"/>
      </w:pPr>
      <w:rPr>
        <w:rFonts w:ascii="Wingdings" w:hAnsi="Wingdings" w:hint="default"/>
      </w:rPr>
    </w:lvl>
  </w:abstractNum>
  <w:abstractNum w:abstractNumId="9">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0">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1">
    <w:nsid w:val="398B4D5B"/>
    <w:multiLevelType w:val="hybridMultilevel"/>
    <w:tmpl w:val="AC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7507084"/>
    <w:multiLevelType w:val="hybridMultilevel"/>
    <w:tmpl w:val="B916056E"/>
    <w:lvl w:ilvl="0" w:tplc="04070001">
      <w:start w:val="1"/>
      <w:numFmt w:val="bullet"/>
      <w:pStyle w:val="ListNumbered"/>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C225032"/>
    <w:multiLevelType w:val="hybridMultilevel"/>
    <w:tmpl w:val="87D8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C58607A"/>
    <w:multiLevelType w:val="multilevel"/>
    <w:tmpl w:val="30987CDA"/>
    <w:lvl w:ilvl="0">
      <w:start w:val="1"/>
      <w:numFmt w:val="bullet"/>
      <w:lvlRestart w:val="0"/>
      <w:pStyle w:val="ListBulletLevel1"/>
      <w:lvlText w:val=""/>
      <w:lvlJc w:val="left"/>
      <w:pPr>
        <w:tabs>
          <w:tab w:val="num" w:pos="720"/>
        </w:tabs>
        <w:ind w:left="720" w:hanging="357"/>
      </w:pPr>
      <w:rPr>
        <w:rFonts w:ascii="Symbol" w:hAnsi="Symbol" w:hint="default"/>
      </w:rPr>
    </w:lvl>
    <w:lvl w:ilvl="1">
      <w:start w:val="1"/>
      <w:numFmt w:val="bullet"/>
      <w:lvlText w:val=""/>
      <w:lvlJc w:val="left"/>
      <w:pPr>
        <w:tabs>
          <w:tab w:val="num" w:pos="1083"/>
        </w:tabs>
        <w:ind w:left="1083" w:hanging="363"/>
      </w:pPr>
      <w:rPr>
        <w:rFonts w:ascii="Symbol" w:hAnsi="Symbol" w:hint="default"/>
      </w:rPr>
    </w:lvl>
    <w:lvl w:ilvl="2">
      <w:start w:val="1"/>
      <w:numFmt w:val="bullet"/>
      <w:lvlText w:val=""/>
      <w:lvlJc w:val="left"/>
      <w:pPr>
        <w:tabs>
          <w:tab w:val="num" w:pos="1440"/>
        </w:tabs>
        <w:ind w:left="1440" w:hanging="357"/>
      </w:pPr>
      <w:rPr>
        <w:rFonts w:ascii="Symbol" w:hAnsi="Symbol" w:hint="default"/>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15">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76F49FC"/>
    <w:multiLevelType w:val="hybridMultilevel"/>
    <w:tmpl w:val="76C6F65E"/>
    <w:lvl w:ilvl="0" w:tplc="101C85EE">
      <w:start w:val="1"/>
      <w:numFmt w:val="bullet"/>
      <w:lvlText w:val=""/>
      <w:lvlJc w:val="left"/>
      <w:pPr>
        <w:ind w:left="720" w:hanging="360"/>
      </w:pPr>
      <w:rPr>
        <w:rFonts w:ascii="Symbol" w:hAnsi="Symbol" w:hint="default"/>
      </w:rPr>
    </w:lvl>
    <w:lvl w:ilvl="1" w:tplc="7966C8CC" w:tentative="1">
      <w:start w:val="1"/>
      <w:numFmt w:val="bullet"/>
      <w:lvlText w:val="o"/>
      <w:lvlJc w:val="left"/>
      <w:pPr>
        <w:ind w:left="1440" w:hanging="360"/>
      </w:pPr>
      <w:rPr>
        <w:rFonts w:ascii="Courier New" w:hAnsi="Courier New" w:cs="Courier New" w:hint="default"/>
      </w:rPr>
    </w:lvl>
    <w:lvl w:ilvl="2" w:tplc="D4764310" w:tentative="1">
      <w:start w:val="1"/>
      <w:numFmt w:val="bullet"/>
      <w:lvlText w:val=""/>
      <w:lvlJc w:val="left"/>
      <w:pPr>
        <w:ind w:left="2160" w:hanging="360"/>
      </w:pPr>
      <w:rPr>
        <w:rFonts w:ascii="Wingdings" w:hAnsi="Wingdings" w:hint="default"/>
      </w:rPr>
    </w:lvl>
    <w:lvl w:ilvl="3" w:tplc="187230D2" w:tentative="1">
      <w:start w:val="1"/>
      <w:numFmt w:val="bullet"/>
      <w:lvlText w:val=""/>
      <w:lvlJc w:val="left"/>
      <w:pPr>
        <w:ind w:left="2880" w:hanging="360"/>
      </w:pPr>
      <w:rPr>
        <w:rFonts w:ascii="Symbol" w:hAnsi="Symbol" w:hint="default"/>
      </w:rPr>
    </w:lvl>
    <w:lvl w:ilvl="4" w:tplc="479A32E2" w:tentative="1">
      <w:start w:val="1"/>
      <w:numFmt w:val="bullet"/>
      <w:lvlText w:val="o"/>
      <w:lvlJc w:val="left"/>
      <w:pPr>
        <w:ind w:left="3600" w:hanging="360"/>
      </w:pPr>
      <w:rPr>
        <w:rFonts w:ascii="Courier New" w:hAnsi="Courier New" w:cs="Courier New" w:hint="default"/>
      </w:rPr>
    </w:lvl>
    <w:lvl w:ilvl="5" w:tplc="733C61FA" w:tentative="1">
      <w:start w:val="1"/>
      <w:numFmt w:val="bullet"/>
      <w:lvlText w:val=""/>
      <w:lvlJc w:val="left"/>
      <w:pPr>
        <w:ind w:left="4320" w:hanging="360"/>
      </w:pPr>
      <w:rPr>
        <w:rFonts w:ascii="Wingdings" w:hAnsi="Wingdings" w:hint="default"/>
      </w:rPr>
    </w:lvl>
    <w:lvl w:ilvl="6" w:tplc="5278339A" w:tentative="1">
      <w:start w:val="1"/>
      <w:numFmt w:val="bullet"/>
      <w:lvlText w:val=""/>
      <w:lvlJc w:val="left"/>
      <w:pPr>
        <w:ind w:left="5040" w:hanging="360"/>
      </w:pPr>
      <w:rPr>
        <w:rFonts w:ascii="Symbol" w:hAnsi="Symbol" w:hint="default"/>
      </w:rPr>
    </w:lvl>
    <w:lvl w:ilvl="7" w:tplc="1AC2F2BE" w:tentative="1">
      <w:start w:val="1"/>
      <w:numFmt w:val="bullet"/>
      <w:lvlText w:val="o"/>
      <w:lvlJc w:val="left"/>
      <w:pPr>
        <w:ind w:left="5760" w:hanging="360"/>
      </w:pPr>
      <w:rPr>
        <w:rFonts w:ascii="Courier New" w:hAnsi="Courier New" w:cs="Courier New" w:hint="default"/>
      </w:rPr>
    </w:lvl>
    <w:lvl w:ilvl="8" w:tplc="F5D69CFE" w:tentative="1">
      <w:start w:val="1"/>
      <w:numFmt w:val="bullet"/>
      <w:lvlText w:val=""/>
      <w:lvlJc w:val="left"/>
      <w:pPr>
        <w:ind w:left="6480" w:hanging="360"/>
      </w:pPr>
      <w:rPr>
        <w:rFonts w:ascii="Wingdings" w:hAnsi="Wingdings" w:hint="default"/>
      </w:rPr>
    </w:lvl>
  </w:abstractNum>
  <w:abstractNum w:abstractNumId="18">
    <w:nsid w:val="67FE48D7"/>
    <w:multiLevelType w:val="multilevel"/>
    <w:tmpl w:val="6AEC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A63BD"/>
    <w:multiLevelType w:val="hybridMultilevel"/>
    <w:tmpl w:val="1326ED9A"/>
    <w:lvl w:ilvl="0" w:tplc="BF28D318">
      <w:start w:val="1"/>
      <w:numFmt w:val="bullet"/>
      <w:lvlText w:val=""/>
      <w:lvlJc w:val="left"/>
      <w:pPr>
        <w:tabs>
          <w:tab w:val="num" w:pos="720"/>
        </w:tabs>
        <w:ind w:left="720" w:hanging="360"/>
      </w:pPr>
      <w:rPr>
        <w:rFonts w:ascii="Symbol" w:hAnsi="Symbol" w:hint="default"/>
      </w:rPr>
    </w:lvl>
    <w:lvl w:ilvl="1" w:tplc="DD7A55C6" w:tentative="1">
      <w:start w:val="1"/>
      <w:numFmt w:val="bullet"/>
      <w:lvlText w:val="o"/>
      <w:lvlJc w:val="left"/>
      <w:pPr>
        <w:tabs>
          <w:tab w:val="num" w:pos="1440"/>
        </w:tabs>
        <w:ind w:left="1440" w:hanging="360"/>
      </w:pPr>
      <w:rPr>
        <w:rFonts w:ascii="Courier New" w:hAnsi="Courier New" w:hint="default"/>
      </w:rPr>
    </w:lvl>
    <w:lvl w:ilvl="2" w:tplc="1B9EBCCE" w:tentative="1">
      <w:start w:val="1"/>
      <w:numFmt w:val="bullet"/>
      <w:lvlText w:val=""/>
      <w:lvlJc w:val="left"/>
      <w:pPr>
        <w:tabs>
          <w:tab w:val="num" w:pos="2160"/>
        </w:tabs>
        <w:ind w:left="2160" w:hanging="360"/>
      </w:pPr>
      <w:rPr>
        <w:rFonts w:ascii="Wingdings" w:hAnsi="Wingdings" w:hint="default"/>
      </w:rPr>
    </w:lvl>
    <w:lvl w:ilvl="3" w:tplc="C634583E" w:tentative="1">
      <w:start w:val="1"/>
      <w:numFmt w:val="bullet"/>
      <w:lvlText w:val=""/>
      <w:lvlJc w:val="left"/>
      <w:pPr>
        <w:tabs>
          <w:tab w:val="num" w:pos="2880"/>
        </w:tabs>
        <w:ind w:left="2880" w:hanging="360"/>
      </w:pPr>
      <w:rPr>
        <w:rFonts w:ascii="Symbol" w:hAnsi="Symbol" w:hint="default"/>
      </w:rPr>
    </w:lvl>
    <w:lvl w:ilvl="4" w:tplc="AA04F2D0" w:tentative="1">
      <w:start w:val="1"/>
      <w:numFmt w:val="bullet"/>
      <w:lvlText w:val="o"/>
      <w:lvlJc w:val="left"/>
      <w:pPr>
        <w:tabs>
          <w:tab w:val="num" w:pos="3600"/>
        </w:tabs>
        <w:ind w:left="3600" w:hanging="360"/>
      </w:pPr>
      <w:rPr>
        <w:rFonts w:ascii="Courier New" w:hAnsi="Courier New" w:hint="default"/>
      </w:rPr>
    </w:lvl>
    <w:lvl w:ilvl="5" w:tplc="A6626FA4" w:tentative="1">
      <w:start w:val="1"/>
      <w:numFmt w:val="bullet"/>
      <w:lvlText w:val=""/>
      <w:lvlJc w:val="left"/>
      <w:pPr>
        <w:tabs>
          <w:tab w:val="num" w:pos="4320"/>
        </w:tabs>
        <w:ind w:left="4320" w:hanging="360"/>
      </w:pPr>
      <w:rPr>
        <w:rFonts w:ascii="Wingdings" w:hAnsi="Wingdings" w:hint="default"/>
      </w:rPr>
    </w:lvl>
    <w:lvl w:ilvl="6" w:tplc="7D1E8620" w:tentative="1">
      <w:start w:val="1"/>
      <w:numFmt w:val="bullet"/>
      <w:lvlText w:val=""/>
      <w:lvlJc w:val="left"/>
      <w:pPr>
        <w:tabs>
          <w:tab w:val="num" w:pos="5040"/>
        </w:tabs>
        <w:ind w:left="5040" w:hanging="360"/>
      </w:pPr>
      <w:rPr>
        <w:rFonts w:ascii="Symbol" w:hAnsi="Symbol" w:hint="default"/>
      </w:rPr>
    </w:lvl>
    <w:lvl w:ilvl="7" w:tplc="F95012F2" w:tentative="1">
      <w:start w:val="1"/>
      <w:numFmt w:val="bullet"/>
      <w:lvlText w:val="o"/>
      <w:lvlJc w:val="left"/>
      <w:pPr>
        <w:tabs>
          <w:tab w:val="num" w:pos="5760"/>
        </w:tabs>
        <w:ind w:left="5760" w:hanging="360"/>
      </w:pPr>
      <w:rPr>
        <w:rFonts w:ascii="Courier New" w:hAnsi="Courier New" w:hint="default"/>
      </w:rPr>
    </w:lvl>
    <w:lvl w:ilvl="8" w:tplc="12466E80" w:tentative="1">
      <w:start w:val="1"/>
      <w:numFmt w:val="bullet"/>
      <w:lvlText w:val=""/>
      <w:lvlJc w:val="left"/>
      <w:pPr>
        <w:tabs>
          <w:tab w:val="num" w:pos="6480"/>
        </w:tabs>
        <w:ind w:left="6480" w:hanging="360"/>
      </w:pPr>
      <w:rPr>
        <w:rFonts w:ascii="Wingdings" w:hAnsi="Wingdings" w:hint="default"/>
      </w:rPr>
    </w:lvl>
  </w:abstractNum>
  <w:abstractNum w:abstractNumId="20">
    <w:nsid w:val="6F1706B4"/>
    <w:multiLevelType w:val="hybridMultilevel"/>
    <w:tmpl w:val="37565764"/>
    <w:lvl w:ilvl="0" w:tplc="CDE693DE">
      <w:start w:val="1"/>
      <w:numFmt w:val="bullet"/>
      <w:lvlText w:val=""/>
      <w:lvlJc w:val="left"/>
      <w:pPr>
        <w:ind w:left="870" w:hanging="360"/>
      </w:pPr>
      <w:rPr>
        <w:rFonts w:ascii="Wingdings" w:hAnsi="Wingdings" w:hint="default"/>
      </w:rPr>
    </w:lvl>
    <w:lvl w:ilvl="1" w:tplc="DE84EDB8">
      <w:start w:val="1"/>
      <w:numFmt w:val="bullet"/>
      <w:lvlText w:val="o"/>
      <w:lvlJc w:val="left"/>
      <w:pPr>
        <w:ind w:left="2160" w:hanging="360"/>
      </w:pPr>
    </w:lvl>
    <w:lvl w:ilvl="2" w:tplc="E56604CC">
      <w:start w:val="1"/>
      <w:numFmt w:val="bullet"/>
      <w:lvlText w:val=""/>
      <w:lvlJc w:val="left"/>
      <w:pPr>
        <w:ind w:left="2880" w:hanging="360"/>
      </w:pPr>
    </w:lvl>
    <w:lvl w:ilvl="3" w:tplc="3F6EE208">
      <w:start w:val="1"/>
      <w:numFmt w:val="bullet"/>
      <w:lvlText w:val=""/>
      <w:lvlJc w:val="left"/>
      <w:pPr>
        <w:ind w:left="3600" w:hanging="360"/>
      </w:pPr>
    </w:lvl>
    <w:lvl w:ilvl="4" w:tplc="669002BA">
      <w:start w:val="1"/>
      <w:numFmt w:val="bullet"/>
      <w:lvlText w:val="o"/>
      <w:lvlJc w:val="left"/>
      <w:pPr>
        <w:ind w:left="4320" w:hanging="360"/>
      </w:pPr>
    </w:lvl>
    <w:lvl w:ilvl="5" w:tplc="80FCAB6A">
      <w:start w:val="1"/>
      <w:numFmt w:val="bullet"/>
      <w:lvlText w:val=""/>
      <w:lvlJc w:val="left"/>
      <w:pPr>
        <w:ind w:left="5040" w:hanging="360"/>
      </w:pPr>
    </w:lvl>
    <w:lvl w:ilvl="6" w:tplc="1D407C0E">
      <w:start w:val="1"/>
      <w:numFmt w:val="bullet"/>
      <w:lvlText w:val=""/>
      <w:lvlJc w:val="left"/>
      <w:pPr>
        <w:ind w:left="5760" w:hanging="360"/>
      </w:pPr>
    </w:lvl>
    <w:lvl w:ilvl="7" w:tplc="48A2D9F0">
      <w:start w:val="1"/>
      <w:numFmt w:val="bullet"/>
      <w:lvlText w:val="o"/>
      <w:lvlJc w:val="left"/>
      <w:pPr>
        <w:ind w:left="6480" w:hanging="360"/>
      </w:pPr>
    </w:lvl>
    <w:lvl w:ilvl="8" w:tplc="22B60ABA">
      <w:start w:val="1"/>
      <w:numFmt w:val="bullet"/>
      <w:lvlText w:val=""/>
      <w:lvlJc w:val="left"/>
      <w:pPr>
        <w:ind w:left="7200" w:hanging="360"/>
      </w:pPr>
    </w:lvl>
  </w:abstractNum>
  <w:abstractNum w:abstractNumId="21">
    <w:nsid w:val="7033279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1192A58"/>
    <w:multiLevelType w:val="multilevel"/>
    <w:tmpl w:val="6EA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CE414F"/>
    <w:multiLevelType w:val="hybridMultilevel"/>
    <w:tmpl w:val="99F61858"/>
    <w:lvl w:ilvl="0" w:tplc="ED465E0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72613446"/>
    <w:multiLevelType w:val="hybridMultilevel"/>
    <w:tmpl w:val="D384F4F4"/>
    <w:lvl w:ilvl="0" w:tplc="ED465E08">
      <w:start w:val="1"/>
      <w:numFmt w:val="bullet"/>
      <w:pStyle w:val="List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7">
    <w:nsid w:val="7FB401D6"/>
    <w:multiLevelType w:val="hybridMultilevel"/>
    <w:tmpl w:val="270C463E"/>
    <w:lvl w:ilvl="0" w:tplc="D2E8B900">
      <w:start w:val="1"/>
      <w:numFmt w:val="bullet"/>
      <w:pStyle w:val="ListAlphabeticalLevel2"/>
      <w:lvlText w:val=""/>
      <w:lvlJc w:val="left"/>
      <w:pPr>
        <w:ind w:left="720" w:hanging="360"/>
      </w:pPr>
      <w:rPr>
        <w:rFonts w:ascii="Symbol" w:hAnsi="Symbol" w:hint="default"/>
      </w:rPr>
    </w:lvl>
    <w:lvl w:ilvl="1" w:tplc="CA3AA29A">
      <w:start w:val="1"/>
      <w:numFmt w:val="bullet"/>
      <w:lvlText w:val="o"/>
      <w:lvlJc w:val="left"/>
      <w:pPr>
        <w:ind w:left="1440" w:hanging="360"/>
      </w:pPr>
      <w:rPr>
        <w:rFonts w:ascii="Courier New" w:hAnsi="Courier New" w:cs="Courier New" w:hint="default"/>
      </w:rPr>
    </w:lvl>
    <w:lvl w:ilvl="2" w:tplc="A1408046">
      <w:start w:val="1"/>
      <w:numFmt w:val="bullet"/>
      <w:lvlText w:val=""/>
      <w:lvlJc w:val="left"/>
      <w:pPr>
        <w:ind w:left="2160" w:hanging="360"/>
      </w:pPr>
      <w:rPr>
        <w:rFonts w:ascii="Wingdings" w:hAnsi="Wingdings" w:hint="default"/>
      </w:rPr>
    </w:lvl>
    <w:lvl w:ilvl="3" w:tplc="87D45482" w:tentative="1">
      <w:start w:val="1"/>
      <w:numFmt w:val="bullet"/>
      <w:lvlText w:val=""/>
      <w:lvlJc w:val="left"/>
      <w:pPr>
        <w:ind w:left="2880" w:hanging="360"/>
      </w:pPr>
      <w:rPr>
        <w:rFonts w:ascii="Symbol" w:hAnsi="Symbol" w:hint="default"/>
      </w:rPr>
    </w:lvl>
    <w:lvl w:ilvl="4" w:tplc="641E463C" w:tentative="1">
      <w:start w:val="1"/>
      <w:numFmt w:val="bullet"/>
      <w:lvlText w:val="o"/>
      <w:lvlJc w:val="left"/>
      <w:pPr>
        <w:ind w:left="3600" w:hanging="360"/>
      </w:pPr>
      <w:rPr>
        <w:rFonts w:ascii="Courier New" w:hAnsi="Courier New" w:cs="Courier New" w:hint="default"/>
      </w:rPr>
    </w:lvl>
    <w:lvl w:ilvl="5" w:tplc="01BE442A" w:tentative="1">
      <w:start w:val="1"/>
      <w:numFmt w:val="bullet"/>
      <w:lvlText w:val=""/>
      <w:lvlJc w:val="left"/>
      <w:pPr>
        <w:ind w:left="4320" w:hanging="360"/>
      </w:pPr>
      <w:rPr>
        <w:rFonts w:ascii="Wingdings" w:hAnsi="Wingdings" w:hint="default"/>
      </w:rPr>
    </w:lvl>
    <w:lvl w:ilvl="6" w:tplc="62C0B4B6" w:tentative="1">
      <w:start w:val="1"/>
      <w:numFmt w:val="bullet"/>
      <w:lvlText w:val=""/>
      <w:lvlJc w:val="left"/>
      <w:pPr>
        <w:ind w:left="5040" w:hanging="360"/>
      </w:pPr>
      <w:rPr>
        <w:rFonts w:ascii="Symbol" w:hAnsi="Symbol" w:hint="default"/>
      </w:rPr>
    </w:lvl>
    <w:lvl w:ilvl="7" w:tplc="4DFAEAF0" w:tentative="1">
      <w:start w:val="1"/>
      <w:numFmt w:val="bullet"/>
      <w:lvlText w:val="o"/>
      <w:lvlJc w:val="left"/>
      <w:pPr>
        <w:ind w:left="5760" w:hanging="360"/>
      </w:pPr>
      <w:rPr>
        <w:rFonts w:ascii="Courier New" w:hAnsi="Courier New" w:cs="Courier New" w:hint="default"/>
      </w:rPr>
    </w:lvl>
    <w:lvl w:ilvl="8" w:tplc="BE5671FC"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
  </w:num>
  <w:num w:numId="4">
    <w:abstractNumId w:val="12"/>
  </w:num>
  <w:num w:numId="5">
    <w:abstractNumId w:val="27"/>
  </w:num>
  <w:num w:numId="6">
    <w:abstractNumId w:val="24"/>
  </w:num>
  <w:num w:numId="7">
    <w:abstractNumId w:val="17"/>
  </w:num>
  <w:num w:numId="8">
    <w:abstractNumId w:val="25"/>
  </w:num>
  <w:num w:numId="9">
    <w:abstractNumId w:val="8"/>
  </w:num>
  <w:num w:numId="10">
    <w:abstractNumId w:val="16"/>
  </w:num>
  <w:num w:numId="11">
    <w:abstractNumId w:val="6"/>
  </w:num>
  <w:num w:numId="12">
    <w:abstractNumId w:val="15"/>
  </w:num>
  <w:num w:numId="13">
    <w:abstractNumId w:val="9"/>
  </w:num>
  <w:num w:numId="14">
    <w:abstractNumId w:val="7"/>
  </w:num>
  <w:num w:numId="15">
    <w:abstractNumId w:val="5"/>
  </w:num>
  <w:num w:numId="16">
    <w:abstractNumId w:val="14"/>
  </w:num>
  <w:num w:numId="17">
    <w:abstractNumId w:val="26"/>
  </w:num>
  <w:num w:numId="18">
    <w:abstractNumId w:val="10"/>
  </w:num>
  <w:num w:numId="19">
    <w:abstractNumId w:val="23"/>
  </w:num>
  <w:num w:numId="20">
    <w:abstractNumId w:val="11"/>
  </w:num>
  <w:num w:numId="21">
    <w:abstractNumId w:val="13"/>
  </w:num>
  <w:num w:numId="22">
    <w:abstractNumId w:val="4"/>
  </w:num>
  <w:num w:numId="23">
    <w:abstractNumId w:val="19"/>
  </w:num>
  <w:num w:numId="24">
    <w:abstractNumId w:val="4"/>
  </w:num>
  <w:num w:numId="25">
    <w:abstractNumId w:val="4"/>
  </w:num>
  <w:num w:numId="26">
    <w:abstractNumId w:val="22"/>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5">
    <w:abstractNumId w:val="4"/>
    <w:lvlOverride w:ilvl="0">
      <w:startOverride w:val="21"/>
    </w:lvlOverride>
  </w:num>
  <w:num w:numId="36">
    <w:abstractNumId w:val="2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E5"/>
    <w:rsid w:val="00013776"/>
    <w:rsid w:val="00017AC8"/>
    <w:rsid w:val="00020ED6"/>
    <w:rsid w:val="0002301A"/>
    <w:rsid w:val="00024098"/>
    <w:rsid w:val="0002535F"/>
    <w:rsid w:val="00033A42"/>
    <w:rsid w:val="000423D7"/>
    <w:rsid w:val="00044EA6"/>
    <w:rsid w:val="00072A57"/>
    <w:rsid w:val="0007590F"/>
    <w:rsid w:val="0008651C"/>
    <w:rsid w:val="000911AA"/>
    <w:rsid w:val="00091B2B"/>
    <w:rsid w:val="00093C5B"/>
    <w:rsid w:val="00096D47"/>
    <w:rsid w:val="00097241"/>
    <w:rsid w:val="000B539A"/>
    <w:rsid w:val="000C3A95"/>
    <w:rsid w:val="000E1A58"/>
    <w:rsid w:val="000F1E6B"/>
    <w:rsid w:val="00100B87"/>
    <w:rsid w:val="00103643"/>
    <w:rsid w:val="00105E09"/>
    <w:rsid w:val="00115DC2"/>
    <w:rsid w:val="0012230A"/>
    <w:rsid w:val="00154959"/>
    <w:rsid w:val="00154BAF"/>
    <w:rsid w:val="00170BFA"/>
    <w:rsid w:val="00176726"/>
    <w:rsid w:val="00181538"/>
    <w:rsid w:val="00186B41"/>
    <w:rsid w:val="00187181"/>
    <w:rsid w:val="001933F1"/>
    <w:rsid w:val="00194D6E"/>
    <w:rsid w:val="001A1F61"/>
    <w:rsid w:val="001A3992"/>
    <w:rsid w:val="001A415B"/>
    <w:rsid w:val="001A613B"/>
    <w:rsid w:val="001B41E7"/>
    <w:rsid w:val="001B74CC"/>
    <w:rsid w:val="001B7FFA"/>
    <w:rsid w:val="001D0A3F"/>
    <w:rsid w:val="001F4FC1"/>
    <w:rsid w:val="001F690A"/>
    <w:rsid w:val="002245D3"/>
    <w:rsid w:val="00232697"/>
    <w:rsid w:val="00235092"/>
    <w:rsid w:val="0024632F"/>
    <w:rsid w:val="00272680"/>
    <w:rsid w:val="00283412"/>
    <w:rsid w:val="00292D82"/>
    <w:rsid w:val="002C2425"/>
    <w:rsid w:val="002E277D"/>
    <w:rsid w:val="002E3BA0"/>
    <w:rsid w:val="00306069"/>
    <w:rsid w:val="00307108"/>
    <w:rsid w:val="00316054"/>
    <w:rsid w:val="00321411"/>
    <w:rsid w:val="00324A28"/>
    <w:rsid w:val="003301AF"/>
    <w:rsid w:val="0034249A"/>
    <w:rsid w:val="00347D8E"/>
    <w:rsid w:val="00354AA8"/>
    <w:rsid w:val="003553A6"/>
    <w:rsid w:val="00363FF8"/>
    <w:rsid w:val="003878F6"/>
    <w:rsid w:val="00396D0D"/>
    <w:rsid w:val="003B0D46"/>
    <w:rsid w:val="003C2E44"/>
    <w:rsid w:val="003C3FB2"/>
    <w:rsid w:val="003D27AC"/>
    <w:rsid w:val="003D3C43"/>
    <w:rsid w:val="003E1FDB"/>
    <w:rsid w:val="003E3F40"/>
    <w:rsid w:val="004032BD"/>
    <w:rsid w:val="00404FAC"/>
    <w:rsid w:val="0040691E"/>
    <w:rsid w:val="00407FF3"/>
    <w:rsid w:val="00425F6F"/>
    <w:rsid w:val="00427F15"/>
    <w:rsid w:val="00431ACD"/>
    <w:rsid w:val="00433552"/>
    <w:rsid w:val="00443C0C"/>
    <w:rsid w:val="00464E84"/>
    <w:rsid w:val="00465169"/>
    <w:rsid w:val="00466BF1"/>
    <w:rsid w:val="004769BF"/>
    <w:rsid w:val="00477BD3"/>
    <w:rsid w:val="00493223"/>
    <w:rsid w:val="004A05C7"/>
    <w:rsid w:val="004A2C70"/>
    <w:rsid w:val="004B59A8"/>
    <w:rsid w:val="004C556E"/>
    <w:rsid w:val="004C6BEB"/>
    <w:rsid w:val="004D0FD8"/>
    <w:rsid w:val="004D7ACF"/>
    <w:rsid w:val="004F0D65"/>
    <w:rsid w:val="004F0E4A"/>
    <w:rsid w:val="004F36CF"/>
    <w:rsid w:val="00512BA0"/>
    <w:rsid w:val="00514ED3"/>
    <w:rsid w:val="00521713"/>
    <w:rsid w:val="00532E12"/>
    <w:rsid w:val="005528DB"/>
    <w:rsid w:val="00555055"/>
    <w:rsid w:val="00560D82"/>
    <w:rsid w:val="00573F53"/>
    <w:rsid w:val="005A76FB"/>
    <w:rsid w:val="005B6EC2"/>
    <w:rsid w:val="005C550E"/>
    <w:rsid w:val="005C7C84"/>
    <w:rsid w:val="005E0562"/>
    <w:rsid w:val="005E066C"/>
    <w:rsid w:val="005E4FC5"/>
    <w:rsid w:val="005E5BDF"/>
    <w:rsid w:val="0062272E"/>
    <w:rsid w:val="0062537C"/>
    <w:rsid w:val="006300D9"/>
    <w:rsid w:val="006561F4"/>
    <w:rsid w:val="00656D1A"/>
    <w:rsid w:val="00664BD1"/>
    <w:rsid w:val="00664F98"/>
    <w:rsid w:val="00687172"/>
    <w:rsid w:val="006B335D"/>
    <w:rsid w:val="006B5C9E"/>
    <w:rsid w:val="006C6A4C"/>
    <w:rsid w:val="006E537F"/>
    <w:rsid w:val="006F203A"/>
    <w:rsid w:val="006F34DC"/>
    <w:rsid w:val="00703FA3"/>
    <w:rsid w:val="007046DF"/>
    <w:rsid w:val="00704C9A"/>
    <w:rsid w:val="00707AC3"/>
    <w:rsid w:val="00713F50"/>
    <w:rsid w:val="00717798"/>
    <w:rsid w:val="00717E34"/>
    <w:rsid w:val="00726374"/>
    <w:rsid w:val="00727F91"/>
    <w:rsid w:val="00731DF0"/>
    <w:rsid w:val="00734065"/>
    <w:rsid w:val="00744556"/>
    <w:rsid w:val="00752061"/>
    <w:rsid w:val="007531E8"/>
    <w:rsid w:val="0075783E"/>
    <w:rsid w:val="0077111F"/>
    <w:rsid w:val="00774990"/>
    <w:rsid w:val="00781A77"/>
    <w:rsid w:val="00782FB6"/>
    <w:rsid w:val="00795524"/>
    <w:rsid w:val="00797087"/>
    <w:rsid w:val="007C4C57"/>
    <w:rsid w:val="007D03C7"/>
    <w:rsid w:val="007D4518"/>
    <w:rsid w:val="007E2FA2"/>
    <w:rsid w:val="007E3EB3"/>
    <w:rsid w:val="007F1B67"/>
    <w:rsid w:val="007F5866"/>
    <w:rsid w:val="007F5A18"/>
    <w:rsid w:val="00802AE4"/>
    <w:rsid w:val="00806342"/>
    <w:rsid w:val="00810415"/>
    <w:rsid w:val="00815134"/>
    <w:rsid w:val="00835265"/>
    <w:rsid w:val="008467FB"/>
    <w:rsid w:val="00847D64"/>
    <w:rsid w:val="00851B8E"/>
    <w:rsid w:val="00882EEE"/>
    <w:rsid w:val="00884557"/>
    <w:rsid w:val="0088658C"/>
    <w:rsid w:val="008A12B0"/>
    <w:rsid w:val="008B06CA"/>
    <w:rsid w:val="008B21C4"/>
    <w:rsid w:val="008B44B4"/>
    <w:rsid w:val="008C3E47"/>
    <w:rsid w:val="008C485C"/>
    <w:rsid w:val="008C5F33"/>
    <w:rsid w:val="008E6050"/>
    <w:rsid w:val="009259AC"/>
    <w:rsid w:val="00932D74"/>
    <w:rsid w:val="009333B6"/>
    <w:rsid w:val="009466D4"/>
    <w:rsid w:val="00957DA3"/>
    <w:rsid w:val="00960CD5"/>
    <w:rsid w:val="00976A92"/>
    <w:rsid w:val="009B1F02"/>
    <w:rsid w:val="009C1711"/>
    <w:rsid w:val="009C7372"/>
    <w:rsid w:val="009D3E51"/>
    <w:rsid w:val="009D5D70"/>
    <w:rsid w:val="009E4A3A"/>
    <w:rsid w:val="00A23734"/>
    <w:rsid w:val="00A255F5"/>
    <w:rsid w:val="00A459B1"/>
    <w:rsid w:val="00A62F6D"/>
    <w:rsid w:val="00A87B7A"/>
    <w:rsid w:val="00A87BDA"/>
    <w:rsid w:val="00A93676"/>
    <w:rsid w:val="00A9455C"/>
    <w:rsid w:val="00A9749C"/>
    <w:rsid w:val="00AB184E"/>
    <w:rsid w:val="00AC05DF"/>
    <w:rsid w:val="00AE1717"/>
    <w:rsid w:val="00AE38FA"/>
    <w:rsid w:val="00AE5799"/>
    <w:rsid w:val="00B14C17"/>
    <w:rsid w:val="00B745E4"/>
    <w:rsid w:val="00B85D29"/>
    <w:rsid w:val="00B9459B"/>
    <w:rsid w:val="00BB2932"/>
    <w:rsid w:val="00BB452D"/>
    <w:rsid w:val="00BC364A"/>
    <w:rsid w:val="00BF29A6"/>
    <w:rsid w:val="00C03275"/>
    <w:rsid w:val="00C06693"/>
    <w:rsid w:val="00C1239F"/>
    <w:rsid w:val="00C237FF"/>
    <w:rsid w:val="00C256C3"/>
    <w:rsid w:val="00C26533"/>
    <w:rsid w:val="00C27A4D"/>
    <w:rsid w:val="00C301BA"/>
    <w:rsid w:val="00C34E3C"/>
    <w:rsid w:val="00C35735"/>
    <w:rsid w:val="00C37687"/>
    <w:rsid w:val="00C43229"/>
    <w:rsid w:val="00C6127B"/>
    <w:rsid w:val="00C61E82"/>
    <w:rsid w:val="00C85BBB"/>
    <w:rsid w:val="00C95448"/>
    <w:rsid w:val="00C971E9"/>
    <w:rsid w:val="00CA5C63"/>
    <w:rsid w:val="00CA6CCF"/>
    <w:rsid w:val="00CA73C2"/>
    <w:rsid w:val="00CA7E1A"/>
    <w:rsid w:val="00CB07AE"/>
    <w:rsid w:val="00CC1699"/>
    <w:rsid w:val="00CD52E2"/>
    <w:rsid w:val="00CE42C9"/>
    <w:rsid w:val="00CF5619"/>
    <w:rsid w:val="00CF7724"/>
    <w:rsid w:val="00D2768C"/>
    <w:rsid w:val="00D437B2"/>
    <w:rsid w:val="00D44BA0"/>
    <w:rsid w:val="00D51C2C"/>
    <w:rsid w:val="00D609EA"/>
    <w:rsid w:val="00D70EC1"/>
    <w:rsid w:val="00D72AE6"/>
    <w:rsid w:val="00D74F06"/>
    <w:rsid w:val="00D826E6"/>
    <w:rsid w:val="00D86276"/>
    <w:rsid w:val="00D93431"/>
    <w:rsid w:val="00DA3168"/>
    <w:rsid w:val="00DC5F22"/>
    <w:rsid w:val="00DC74F5"/>
    <w:rsid w:val="00DD1FB2"/>
    <w:rsid w:val="00DE18E0"/>
    <w:rsid w:val="00DE2723"/>
    <w:rsid w:val="00DF0F51"/>
    <w:rsid w:val="00DF3330"/>
    <w:rsid w:val="00DF5E99"/>
    <w:rsid w:val="00E25D6F"/>
    <w:rsid w:val="00E26AAA"/>
    <w:rsid w:val="00E3147D"/>
    <w:rsid w:val="00E47A88"/>
    <w:rsid w:val="00E50389"/>
    <w:rsid w:val="00E52ED7"/>
    <w:rsid w:val="00E53688"/>
    <w:rsid w:val="00E66E28"/>
    <w:rsid w:val="00E715EC"/>
    <w:rsid w:val="00E71F4B"/>
    <w:rsid w:val="00E74A56"/>
    <w:rsid w:val="00E96081"/>
    <w:rsid w:val="00EA3D29"/>
    <w:rsid w:val="00EB5811"/>
    <w:rsid w:val="00ED0937"/>
    <w:rsid w:val="00ED2051"/>
    <w:rsid w:val="00ED480E"/>
    <w:rsid w:val="00EE5924"/>
    <w:rsid w:val="00EF0DB4"/>
    <w:rsid w:val="00EF7CA2"/>
    <w:rsid w:val="00F0156F"/>
    <w:rsid w:val="00F01675"/>
    <w:rsid w:val="00F0300F"/>
    <w:rsid w:val="00F20040"/>
    <w:rsid w:val="00F23305"/>
    <w:rsid w:val="00F521D2"/>
    <w:rsid w:val="00F57C67"/>
    <w:rsid w:val="00F62D46"/>
    <w:rsid w:val="00F72729"/>
    <w:rsid w:val="00F74E06"/>
    <w:rsid w:val="00F77B7A"/>
    <w:rsid w:val="00F81681"/>
    <w:rsid w:val="00F92C5E"/>
    <w:rsid w:val="00FA1567"/>
    <w:rsid w:val="00FA440A"/>
    <w:rsid w:val="00FA5E03"/>
    <w:rsid w:val="00FA79CD"/>
    <w:rsid w:val="00FB23E5"/>
    <w:rsid w:val="00FC176E"/>
    <w:rsid w:val="00FD0C3B"/>
    <w:rsid w:val="00FD3E22"/>
    <w:rsid w:val="00FD4643"/>
    <w:rsid w:val="00FE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7724"/>
    <w:pPr>
      <w:spacing w:before="240"/>
    </w:pPr>
    <w:rPr>
      <w:rFonts w:ascii="Times New Roman" w:eastAsia="MS Mincho" w:hAnsi="Times New Roman"/>
      <w:color w:val="000000"/>
      <w:sz w:val="24"/>
      <w:szCs w:val="24"/>
      <w:lang w:val="en-US" w:eastAsia="en-US"/>
    </w:rPr>
  </w:style>
  <w:style w:type="paragraph" w:styleId="Heading1">
    <w:name w:val="heading 1"/>
    <w:next w:val="Normal"/>
    <w:link w:val="Heading1Char"/>
    <w:qFormat/>
    <w:rsid w:val="00EA3D29"/>
    <w:pPr>
      <w:keepNext/>
      <w:pageBreakBefore/>
      <w:numPr>
        <w:numId w:val="22"/>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link w:val="Heading2Char"/>
    <w:qFormat/>
    <w:rsid w:val="00EA3D29"/>
    <w:pPr>
      <w:pageBreakBefore w:val="0"/>
      <w:numPr>
        <w:ilvl w:val="1"/>
      </w:numPr>
      <w:outlineLvl w:val="1"/>
    </w:pPr>
    <w:rPr>
      <w:bCs w:val="0"/>
      <w:iCs/>
      <w:sz w:val="22"/>
      <w:szCs w:val="28"/>
    </w:rPr>
  </w:style>
  <w:style w:type="paragraph" w:styleId="Heading3">
    <w:name w:val="heading 3"/>
    <w:basedOn w:val="Heading1"/>
    <w:next w:val="Normal"/>
    <w:link w:val="Heading3Char"/>
    <w:qFormat/>
    <w:rsid w:val="00EA3D29"/>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EA3D29"/>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EA3D29"/>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EA3D29"/>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EA3D29"/>
    <w:pPr>
      <w:numPr>
        <w:ilvl w:val="6"/>
      </w:numPr>
      <w:outlineLvl w:val="6"/>
    </w:pPr>
  </w:style>
  <w:style w:type="paragraph" w:styleId="Heading8">
    <w:name w:val="heading 8"/>
    <w:basedOn w:val="Heading6"/>
    <w:next w:val="Normal"/>
    <w:link w:val="Heading8Char"/>
    <w:qFormat/>
    <w:rsid w:val="00EA3D29"/>
    <w:pPr>
      <w:numPr>
        <w:ilvl w:val="7"/>
      </w:numPr>
      <w:outlineLvl w:val="7"/>
    </w:pPr>
    <w:rPr>
      <w:iCs/>
    </w:rPr>
  </w:style>
  <w:style w:type="paragraph" w:styleId="Heading9">
    <w:name w:val="heading 9"/>
    <w:basedOn w:val="Heading6"/>
    <w:next w:val="Normal"/>
    <w:link w:val="Heading9Char"/>
    <w:qFormat/>
    <w:rsid w:val="00EA3D29"/>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3992"/>
    <w:rPr>
      <w:rFonts w:ascii="Arial" w:eastAsia="MS Gothic" w:hAnsi="Arial" w:cs="Arial"/>
      <w:b/>
      <w:bCs/>
      <w:caps/>
      <w:kern w:val="32"/>
      <w:sz w:val="28"/>
      <w:szCs w:val="32"/>
      <w:lang w:val="en-US" w:eastAsia="en-US"/>
    </w:rPr>
  </w:style>
  <w:style w:type="character" w:customStyle="1" w:styleId="Heading2Char">
    <w:name w:val="Heading 2 Char"/>
    <w:link w:val="Heading2"/>
    <w:rsid w:val="001A3992"/>
    <w:rPr>
      <w:rFonts w:ascii="Arial" w:eastAsia="MS Gothic" w:hAnsi="Arial" w:cs="Arial"/>
      <w:b/>
      <w:iCs/>
      <w:caps/>
      <w:kern w:val="32"/>
      <w:sz w:val="22"/>
      <w:szCs w:val="28"/>
      <w:lang w:val="en-US" w:eastAsia="en-US"/>
    </w:rPr>
  </w:style>
  <w:style w:type="character" w:customStyle="1" w:styleId="Heading3Char">
    <w:name w:val="Heading 3 Char"/>
    <w:link w:val="Heading3"/>
    <w:rsid w:val="001A3992"/>
    <w:rPr>
      <w:rFonts w:ascii="Arial" w:eastAsia="MS Gothic" w:hAnsi="Arial" w:cs="Arial"/>
      <w:b/>
      <w:kern w:val="32"/>
      <w:sz w:val="22"/>
      <w:szCs w:val="26"/>
      <w:lang w:val="en-US" w:eastAsia="en-US"/>
    </w:rPr>
  </w:style>
  <w:style w:type="character" w:customStyle="1" w:styleId="Heading4Char">
    <w:name w:val="Heading 4 Char"/>
    <w:link w:val="Heading4"/>
    <w:rsid w:val="001A3992"/>
    <w:rPr>
      <w:rFonts w:ascii="Arial" w:eastAsia="MS Gothic" w:hAnsi="Arial" w:cs="Arial"/>
      <w:b/>
      <w:i/>
      <w:kern w:val="32"/>
      <w:sz w:val="22"/>
      <w:szCs w:val="28"/>
      <w:lang w:val="en-US" w:eastAsia="en-US"/>
    </w:rPr>
  </w:style>
  <w:style w:type="character" w:customStyle="1" w:styleId="Heading5Char">
    <w:name w:val="Heading 5 Char"/>
    <w:link w:val="Heading5"/>
    <w:rsid w:val="001A3992"/>
    <w:rPr>
      <w:rFonts w:ascii="Arial" w:eastAsia="MS Gothic" w:hAnsi="Arial" w:cs="Arial"/>
      <w:i/>
      <w:iCs/>
      <w:kern w:val="32"/>
      <w:sz w:val="22"/>
      <w:szCs w:val="26"/>
      <w:lang w:val="en-US" w:eastAsia="en-US"/>
    </w:rPr>
  </w:style>
  <w:style w:type="character" w:customStyle="1" w:styleId="Heading6Char">
    <w:name w:val="Heading 6 Char"/>
    <w:link w:val="Heading6"/>
    <w:rsid w:val="001A3992"/>
    <w:rPr>
      <w:rFonts w:ascii="Arial" w:eastAsia="MS Gothic" w:hAnsi="Arial" w:cs="Arial"/>
      <w:kern w:val="32"/>
      <w:sz w:val="22"/>
      <w:szCs w:val="22"/>
      <w:lang w:val="en-US" w:eastAsia="en-US"/>
    </w:rPr>
  </w:style>
  <w:style w:type="character" w:customStyle="1" w:styleId="Heading7Char">
    <w:name w:val="Heading 7 Char"/>
    <w:link w:val="Heading7"/>
    <w:rsid w:val="001A3992"/>
    <w:rPr>
      <w:rFonts w:ascii="Arial" w:eastAsia="MS Gothic" w:hAnsi="Arial" w:cs="Arial"/>
      <w:kern w:val="32"/>
      <w:sz w:val="22"/>
      <w:szCs w:val="22"/>
      <w:lang w:val="en-US" w:eastAsia="en-US"/>
    </w:rPr>
  </w:style>
  <w:style w:type="character" w:customStyle="1" w:styleId="Heading8Char">
    <w:name w:val="Heading 8 Char"/>
    <w:link w:val="Heading8"/>
    <w:rsid w:val="001A3992"/>
    <w:rPr>
      <w:rFonts w:ascii="Arial" w:eastAsia="MS Gothic" w:hAnsi="Arial" w:cs="Arial"/>
      <w:iCs/>
      <w:kern w:val="32"/>
      <w:sz w:val="22"/>
      <w:szCs w:val="22"/>
      <w:lang w:val="en-US" w:eastAsia="en-US"/>
    </w:rPr>
  </w:style>
  <w:style w:type="character" w:customStyle="1" w:styleId="Heading9Char">
    <w:name w:val="Heading 9 Char"/>
    <w:link w:val="Heading9"/>
    <w:rsid w:val="001A3992"/>
    <w:rPr>
      <w:rFonts w:ascii="Arial" w:eastAsia="MS Gothic" w:hAnsi="Arial" w:cs="Arial"/>
      <w:kern w:val="32"/>
      <w:sz w:val="22"/>
      <w:szCs w:val="22"/>
      <w:lang w:val="en-US" w:eastAsia="en-US"/>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link w:val="CommentText"/>
    <w:uiPriority w:val="99"/>
    <w:rsid w:val="001A3992"/>
    <w:rPr>
      <w:rFonts w:ascii="Cambria" w:hAnsi="Cambria"/>
      <w:sz w:val="20"/>
      <w:szCs w:val="20"/>
    </w:rPr>
  </w:style>
  <w:style w:type="paragraph" w:styleId="FootnoteText">
    <w:name w:val="footnote text"/>
    <w:basedOn w:val="Normal"/>
    <w:link w:val="FootnoteTextChar"/>
    <w:rsid w:val="00CF7724"/>
    <w:pPr>
      <w:spacing w:before="20"/>
      <w:ind w:left="113" w:hanging="113"/>
    </w:pPr>
    <w:rPr>
      <w:sz w:val="22"/>
      <w:szCs w:val="20"/>
    </w:rPr>
  </w:style>
  <w:style w:type="character" w:customStyle="1" w:styleId="FootnoteTextChar">
    <w:name w:val="Footnote Text Char"/>
    <w:link w:val="FootnoteText"/>
    <w:rsid w:val="001A3992"/>
    <w:rPr>
      <w:rFonts w:ascii="Times New Roman" w:eastAsia="MS Mincho" w:hAnsi="Times New Roman"/>
      <w:color w:val="000000"/>
      <w:sz w:val="22"/>
      <w:lang w:val="en-US" w:eastAsia="en-US"/>
    </w:rPr>
  </w:style>
  <w:style w:type="character" w:styleId="FootnoteReference">
    <w:name w:val="footnote reference"/>
    <w:rsid w:val="00CF7724"/>
    <w:rPr>
      <w:rFonts w:ascii="Times New Roman" w:eastAsia="MS Mincho" w:hAnsi="Times New Roman"/>
      <w:color w:val="0000FF"/>
      <w:sz w:val="18"/>
      <w:vertAlign w:val="superscript"/>
    </w:rPr>
  </w:style>
  <w:style w:type="paragraph" w:styleId="ListBullet">
    <w:name w:val="List Bullet"/>
    <w:basedOn w:val="Normal"/>
    <w:rsid w:val="00CF7724"/>
    <w:pPr>
      <w:numPr>
        <w:numId w:val="6"/>
      </w:numPr>
    </w:pPr>
  </w:style>
  <w:style w:type="character" w:styleId="Hyperlink">
    <w:name w:val="Hyperlink"/>
    <w:uiPriority w:val="99"/>
    <w:rsid w:val="00CF7724"/>
    <w:rPr>
      <w:color w:val="0000FF"/>
      <w:u w:val="single"/>
    </w:rPr>
  </w:style>
  <w:style w:type="table" w:styleId="LightGrid">
    <w:name w:val="Light Grid"/>
    <w:basedOn w:val="TableNormal"/>
    <w:uiPriority w:val="62"/>
    <w:rsid w:val="001A39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Narrow" w:eastAsia="Arial Narrow"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Narrow" w:eastAsia="Arial Narrow"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Arial Narrow" w:hAnsi="Arial Narrow" w:cs="Times New Roman"/>
        <w:b/>
        <w:bCs/>
      </w:rPr>
    </w:tblStylePr>
    <w:tblStylePr w:type="lastCol">
      <w:rPr>
        <w:rFonts w:ascii="Arial Narrow" w:eastAsia="Arial Narrow"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er">
    <w:name w:val="footer"/>
    <w:link w:val="FooterChar"/>
    <w:rsid w:val="00CF7724"/>
    <w:pPr>
      <w:tabs>
        <w:tab w:val="right" w:pos="9469"/>
      </w:tabs>
    </w:pPr>
    <w:rPr>
      <w:rFonts w:ascii="Arial" w:eastAsia="MS Gothic" w:hAnsi="Arial"/>
      <w:sz w:val="18"/>
      <w:lang w:val="en-US" w:eastAsia="en-US"/>
    </w:rPr>
  </w:style>
  <w:style w:type="character" w:customStyle="1" w:styleId="FooterChar">
    <w:name w:val="Footer Char"/>
    <w:link w:val="Footer"/>
    <w:rsid w:val="001A3992"/>
    <w:rPr>
      <w:rFonts w:ascii="Arial" w:eastAsia="MS Gothic" w:hAnsi="Arial"/>
      <w:sz w:val="18"/>
      <w:lang w:val="en-US" w:eastAsia="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link w:val="BalloonText"/>
    <w:uiPriority w:val="99"/>
    <w:semiHidden/>
    <w:rsid w:val="001A3992"/>
    <w:rPr>
      <w:rFonts w:ascii="Tahoma" w:hAnsi="Tahoma" w:cs="Tahoma"/>
      <w:sz w:val="16"/>
      <w:szCs w:val="16"/>
    </w:rPr>
  </w:style>
  <w:style w:type="paragraph" w:styleId="Header">
    <w:name w:val="header"/>
    <w:link w:val="HeaderChar"/>
    <w:rsid w:val="00CF7724"/>
    <w:pPr>
      <w:tabs>
        <w:tab w:val="left" w:pos="4536"/>
        <w:tab w:val="right" w:pos="9480"/>
      </w:tabs>
    </w:pPr>
    <w:rPr>
      <w:rFonts w:ascii="Arial" w:eastAsia="MS Gothic" w:hAnsi="Arial"/>
      <w:sz w:val="18"/>
      <w:lang w:val="en-US" w:eastAsia="en-US"/>
    </w:rPr>
  </w:style>
  <w:style w:type="character" w:customStyle="1" w:styleId="HeaderChar">
    <w:name w:val="Header Char"/>
    <w:link w:val="Header"/>
    <w:rsid w:val="00CA6CCF"/>
    <w:rPr>
      <w:rFonts w:ascii="Arial" w:eastAsia="MS Gothic" w:hAnsi="Arial"/>
      <w:sz w:val="18"/>
      <w:lang w:val="en-US" w:eastAsia="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semiHidden/>
    <w:unhideWhenUsed/>
    <w:rsid w:val="000E1A58"/>
    <w:pPr>
      <w:spacing w:after="120"/>
    </w:pPr>
  </w:style>
  <w:style w:type="character" w:customStyle="1" w:styleId="BodyTextChar">
    <w:name w:val="Body Text Char"/>
    <w:basedOn w:val="DefaultParagraphFont"/>
    <w:link w:val="BodyText"/>
    <w:uiPriority w:val="99"/>
    <w:semiHidden/>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link w:val="BodyText3"/>
    <w:uiPriority w:val="99"/>
    <w:semiHidden/>
    <w:rsid w:val="00514ED3"/>
    <w:rPr>
      <w:sz w:val="16"/>
      <w:szCs w:val="16"/>
    </w:rPr>
  </w:style>
  <w:style w:type="paragraph" w:customStyle="1" w:styleId="Heading1NoTOC">
    <w:name w:val="Heading 1 NoTOC"/>
    <w:basedOn w:val="Heading1"/>
    <w:rsid w:val="00CF7724"/>
    <w:pPr>
      <w:numPr>
        <w:numId w:val="0"/>
      </w:numPr>
      <w:outlineLvl w:val="9"/>
    </w:pPr>
  </w:style>
  <w:style w:type="paragraph" w:styleId="Title">
    <w:name w:val="Title"/>
    <w:next w:val="Normal"/>
    <w:link w:val="TitleChar"/>
    <w:qFormat/>
    <w:rsid w:val="00CF7724"/>
    <w:pPr>
      <w:keepNext/>
      <w:spacing w:before="600" w:after="480"/>
      <w:jc w:val="center"/>
      <w:outlineLvl w:val="0"/>
    </w:pPr>
    <w:rPr>
      <w:rFonts w:ascii="Arial" w:eastAsia="MS Gothic" w:hAnsi="Arial" w:cs="Arial"/>
      <w:b/>
      <w:bCs/>
      <w:caps/>
      <w:sz w:val="22"/>
      <w:szCs w:val="32"/>
      <w:lang w:val="en-US" w:eastAsia="en-US"/>
    </w:rPr>
  </w:style>
  <w:style w:type="character" w:customStyle="1" w:styleId="TitleChar">
    <w:name w:val="Title Char"/>
    <w:link w:val="Title"/>
    <w:rsid w:val="00C971E9"/>
    <w:rPr>
      <w:rFonts w:ascii="Arial" w:eastAsia="MS Gothic" w:hAnsi="Arial" w:cs="Arial"/>
      <w:b/>
      <w:bCs/>
      <w:caps/>
      <w:sz w:val="22"/>
      <w:szCs w:val="32"/>
      <w:lang w:val="en-US" w:eastAsia="en-US"/>
    </w:rPr>
  </w:style>
  <w:style w:type="paragraph" w:customStyle="1" w:styleId="TitleNoToc">
    <w:name w:val="Title NoToc"/>
    <w:basedOn w:val="Title"/>
    <w:next w:val="Normal"/>
    <w:rsid w:val="00CF7724"/>
    <w:pPr>
      <w:outlineLvl w:val="9"/>
    </w:pPr>
  </w:style>
  <w:style w:type="character" w:customStyle="1" w:styleId="InstructionsTextChar">
    <w:name w:val="Instructions Text Char"/>
    <w:link w:val="InstructionsText"/>
    <w:rsid w:val="00CF7724"/>
    <w:rPr>
      <w:rFonts w:eastAsia="MS Mincho"/>
      <w:color w:val="000000"/>
      <w:sz w:val="24"/>
      <w:szCs w:val="24"/>
      <w:shd w:val="clear" w:color="auto" w:fill="FFCC66"/>
      <w:lang w:val="en-US" w:eastAsia="en-US"/>
    </w:rPr>
  </w:style>
  <w:style w:type="paragraph" w:customStyle="1" w:styleId="ListNumbered">
    <w:name w:val="List Numbered"/>
    <w:basedOn w:val="Normal"/>
    <w:rsid w:val="00CF7724"/>
    <w:pPr>
      <w:numPr>
        <w:numId w:val="4"/>
      </w:numPr>
      <w:spacing w:before="120"/>
    </w:pPr>
  </w:style>
  <w:style w:type="paragraph" w:customStyle="1" w:styleId="ListBulletLevel1">
    <w:name w:val="List Bullet Level 1"/>
    <w:basedOn w:val="Normal"/>
    <w:rsid w:val="00CF7724"/>
    <w:pPr>
      <w:numPr>
        <w:numId w:val="16"/>
      </w:numPr>
      <w:spacing w:before="120"/>
    </w:pPr>
  </w:style>
  <w:style w:type="paragraph" w:customStyle="1" w:styleId="ListAlphabeticalLevel1">
    <w:name w:val="List Alphabetical Level 1"/>
    <w:basedOn w:val="Normal"/>
    <w:rsid w:val="00CF7724"/>
    <w:pPr>
      <w:numPr>
        <w:numId w:val="3"/>
      </w:numPr>
      <w:spacing w:before="120"/>
    </w:pPr>
  </w:style>
  <w:style w:type="paragraph" w:styleId="Bibliography">
    <w:name w:val="Bibliography"/>
    <w:basedOn w:val="Normal"/>
    <w:next w:val="Normal"/>
    <w:rsid w:val="00CF7724"/>
    <w:pPr>
      <w:ind w:left="357" w:hanging="357"/>
    </w:pPr>
  </w:style>
  <w:style w:type="paragraph" w:customStyle="1" w:styleId="ListBulletLevel2">
    <w:name w:val="List Bullet Level 2"/>
    <w:basedOn w:val="Normal"/>
    <w:rsid w:val="00CF7724"/>
    <w:pPr>
      <w:numPr>
        <w:numId w:val="8"/>
      </w:numPr>
      <w:spacing w:before="120"/>
    </w:pPr>
    <w:rPr>
      <w:szCs w:val="20"/>
    </w:rPr>
  </w:style>
  <w:style w:type="paragraph" w:styleId="Caption">
    <w:name w:val="caption"/>
    <w:next w:val="Normal"/>
    <w:qFormat/>
    <w:rsid w:val="00CF7724"/>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rsid w:val="00CF7724"/>
    <w:pPr>
      <w:shd w:val="clear" w:color="auto" w:fill="FFCC66"/>
      <w:spacing w:before="40" w:after="40"/>
    </w:pPr>
    <w:rPr>
      <w:rFonts w:ascii="Calibri" w:hAnsi="Calibri"/>
    </w:rPr>
  </w:style>
  <w:style w:type="paragraph" w:customStyle="1" w:styleId="Heading1NoNumbering">
    <w:name w:val="Heading 1 NoNumbering"/>
    <w:basedOn w:val="Heading1"/>
    <w:next w:val="Normal"/>
    <w:rsid w:val="00CF7724"/>
    <w:pPr>
      <w:numPr>
        <w:numId w:val="14"/>
      </w:numPr>
    </w:pPr>
  </w:style>
  <w:style w:type="paragraph" w:customStyle="1" w:styleId="TblTextCenter">
    <w:name w:val="Tbl Text Center"/>
    <w:basedOn w:val="TblTextLeft"/>
    <w:link w:val="TblTextCenterChar"/>
    <w:rsid w:val="00CF7724"/>
    <w:pPr>
      <w:jc w:val="center"/>
    </w:pPr>
  </w:style>
  <w:style w:type="paragraph" w:customStyle="1" w:styleId="TblTextLeft">
    <w:name w:val="Tbl Text Left"/>
    <w:rsid w:val="00CF7724"/>
    <w:pPr>
      <w:spacing w:before="60" w:after="60"/>
    </w:pPr>
    <w:rPr>
      <w:rFonts w:ascii="Arial Narrow" w:eastAsia="MS Gothic" w:hAnsi="Arial Narrow"/>
      <w:lang w:val="en-US" w:eastAsia="en-US"/>
    </w:rPr>
  </w:style>
  <w:style w:type="paragraph" w:customStyle="1" w:styleId="TblHeadingLeft">
    <w:name w:val="Tbl Heading Left"/>
    <w:rsid w:val="00CF7724"/>
    <w:pPr>
      <w:spacing w:before="60" w:after="60"/>
    </w:pPr>
    <w:rPr>
      <w:rFonts w:ascii="Arial" w:eastAsia="MS Gothic" w:hAnsi="Arial" w:cs="Arial"/>
      <w:b/>
      <w:noProof/>
      <w:lang w:val="de-DE" w:eastAsia="en-US"/>
    </w:rPr>
  </w:style>
  <w:style w:type="paragraph" w:customStyle="1" w:styleId="TblFigFootnote">
    <w:name w:val="Tbl Fig Footnote"/>
    <w:link w:val="TblFigFootnoteChar1"/>
    <w:rsid w:val="00CF7724"/>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link w:val="TblHeadingCenterChar"/>
    <w:rsid w:val="00CF7724"/>
    <w:pPr>
      <w:jc w:val="center"/>
    </w:pPr>
  </w:style>
  <w:style w:type="paragraph" w:customStyle="1" w:styleId="HeaderLandscape">
    <w:name w:val="Header Landscape"/>
    <w:basedOn w:val="Header"/>
    <w:rsid w:val="00CF7724"/>
    <w:pPr>
      <w:tabs>
        <w:tab w:val="clear" w:pos="4536"/>
        <w:tab w:val="clear" w:pos="9480"/>
        <w:tab w:val="left" w:pos="6804"/>
        <w:tab w:val="right" w:pos="14118"/>
      </w:tabs>
    </w:pPr>
  </w:style>
  <w:style w:type="paragraph" w:customStyle="1" w:styleId="FooterLandscape">
    <w:name w:val="Footer Landscape"/>
    <w:basedOn w:val="Footer"/>
    <w:rsid w:val="00CF7724"/>
    <w:pPr>
      <w:tabs>
        <w:tab w:val="clear" w:pos="9469"/>
        <w:tab w:val="right" w:pos="14118"/>
      </w:tabs>
    </w:pPr>
  </w:style>
  <w:style w:type="character" w:customStyle="1" w:styleId="TblFigFootnoteReference">
    <w:name w:val="Tbl Fig Footnote Reference"/>
    <w:rsid w:val="00CF7724"/>
    <w:rPr>
      <w:rFonts w:ascii="Arial Narrow" w:eastAsia="MS Gothic" w:hAnsi="Arial Narrow"/>
      <w:i/>
      <w:dstrike w:val="0"/>
      <w:noProof w:val="0"/>
      <w:position w:val="6"/>
      <w:sz w:val="18"/>
      <w:vertAlign w:val="baseline"/>
      <w:lang w:val="en-US"/>
    </w:rPr>
  </w:style>
  <w:style w:type="paragraph" w:customStyle="1" w:styleId="xCover">
    <w:name w:val="xCover"/>
    <w:rsid w:val="00CF7724"/>
    <w:pPr>
      <w:spacing w:before="120"/>
    </w:pPr>
    <w:rPr>
      <w:rFonts w:ascii="Arial" w:eastAsia="MS Gothic" w:hAnsi="Arial"/>
      <w:lang w:val="en-US" w:eastAsia="en-US"/>
    </w:rPr>
  </w:style>
  <w:style w:type="paragraph" w:customStyle="1" w:styleId="xCoverAddress">
    <w:name w:val="xCoverAddress"/>
    <w:basedOn w:val="xCover"/>
    <w:rsid w:val="00CF7724"/>
    <w:pPr>
      <w:spacing w:before="0"/>
    </w:pPr>
  </w:style>
  <w:style w:type="paragraph" w:customStyle="1" w:styleId="xCoverDocType">
    <w:name w:val="xCoverDocType"/>
    <w:basedOn w:val="xCover"/>
    <w:rsid w:val="00CF7724"/>
    <w:pPr>
      <w:spacing w:before="360"/>
      <w:jc w:val="center"/>
    </w:pPr>
    <w:rPr>
      <w:b/>
      <w:caps/>
      <w:sz w:val="28"/>
    </w:rPr>
  </w:style>
  <w:style w:type="paragraph" w:customStyle="1" w:styleId="xCoverDocTitle">
    <w:name w:val="xCoverDocTitle"/>
    <w:basedOn w:val="xCover"/>
    <w:rsid w:val="00CF7724"/>
    <w:pPr>
      <w:spacing w:before="240"/>
      <w:jc w:val="center"/>
    </w:pPr>
    <w:rPr>
      <w:b/>
      <w:sz w:val="24"/>
    </w:rPr>
  </w:style>
  <w:style w:type="paragraph" w:styleId="EndnoteText">
    <w:name w:val="endnote text"/>
    <w:basedOn w:val="Normal"/>
    <w:link w:val="EndnoteTextChar"/>
    <w:semiHidden/>
    <w:rsid w:val="00CF7724"/>
    <w:rPr>
      <w:sz w:val="22"/>
      <w:szCs w:val="20"/>
    </w:rPr>
  </w:style>
  <w:style w:type="character" w:customStyle="1" w:styleId="EndnoteTextChar">
    <w:name w:val="Endnote Text Char"/>
    <w:link w:val="EndnoteText"/>
    <w:semiHidden/>
    <w:rsid w:val="00C971E9"/>
    <w:rPr>
      <w:rFonts w:ascii="Times New Roman" w:eastAsia="MS Mincho" w:hAnsi="Times New Roman"/>
      <w:color w:val="000000"/>
      <w:sz w:val="22"/>
      <w:lang w:val="en-US" w:eastAsia="en-US"/>
    </w:rPr>
  </w:style>
  <w:style w:type="character" w:styleId="EndnoteReference">
    <w:name w:val="endnote reference"/>
    <w:semiHidden/>
    <w:rsid w:val="00CF7724"/>
    <w:rPr>
      <w:vertAlign w:val="superscript"/>
    </w:rPr>
  </w:style>
  <w:style w:type="paragraph" w:styleId="MacroText">
    <w:name w:val="macro"/>
    <w:link w:val="MacroTextChar"/>
    <w:semiHidden/>
    <w:rsid w:val="00CF772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character" w:customStyle="1" w:styleId="MacroTextChar">
    <w:name w:val="Macro Text Char"/>
    <w:link w:val="MacroText"/>
    <w:semiHidden/>
    <w:rsid w:val="00C971E9"/>
    <w:rPr>
      <w:rFonts w:ascii="Courier New" w:eastAsia="Times New Roman" w:hAnsi="Courier New"/>
      <w:lang w:val="en-US" w:eastAsia="en-US"/>
    </w:rPr>
  </w:style>
  <w:style w:type="paragraph" w:styleId="TableofFigures">
    <w:name w:val="table of figures"/>
    <w:next w:val="Normal"/>
    <w:semiHidden/>
    <w:rsid w:val="00CF7724"/>
    <w:pPr>
      <w:tabs>
        <w:tab w:val="right" w:leader="dot" w:pos="9468"/>
      </w:tabs>
      <w:spacing w:before="120"/>
    </w:pPr>
    <w:rPr>
      <w:rFonts w:ascii="Arial" w:eastAsia="Times New Roman" w:hAnsi="Arial"/>
      <w:lang w:val="en-US" w:eastAsia="en-US"/>
    </w:rPr>
  </w:style>
  <w:style w:type="paragraph" w:styleId="TableofAuthorities">
    <w:name w:val="table of authorities"/>
    <w:basedOn w:val="Normal"/>
    <w:next w:val="Normal"/>
    <w:semiHidden/>
    <w:rsid w:val="00CF7724"/>
    <w:pPr>
      <w:ind w:left="240" w:hanging="240"/>
    </w:pPr>
  </w:style>
  <w:style w:type="character" w:customStyle="1" w:styleId="ReplaceText">
    <w:name w:val="Replace Text"/>
    <w:rsid w:val="00CF7724"/>
    <w:rPr>
      <w:color w:val="FF00FF"/>
    </w:rPr>
  </w:style>
  <w:style w:type="paragraph" w:styleId="TOC1">
    <w:name w:val="toc 1"/>
    <w:next w:val="Normal"/>
    <w:uiPriority w:val="39"/>
    <w:rsid w:val="00CF7724"/>
    <w:pPr>
      <w:tabs>
        <w:tab w:val="right" w:leader="dot" w:pos="9468"/>
      </w:tabs>
      <w:spacing w:before="240"/>
      <w:ind w:left="851" w:right="567" w:hanging="851"/>
    </w:pPr>
    <w:rPr>
      <w:rFonts w:ascii="Arial" w:eastAsia="Times New Roman" w:hAnsi="Arial"/>
      <w:b/>
      <w:caps/>
      <w:lang w:val="en-US" w:eastAsia="en-US"/>
    </w:rPr>
  </w:style>
  <w:style w:type="paragraph" w:customStyle="1" w:styleId="ListAlphabeticalLevel2">
    <w:name w:val="List Alphabetical Level 2"/>
    <w:basedOn w:val="ListNumbered"/>
    <w:rsid w:val="00CF7724"/>
    <w:pPr>
      <w:numPr>
        <w:numId w:val="5"/>
      </w:numPr>
    </w:pPr>
  </w:style>
  <w:style w:type="paragraph" w:styleId="Index1">
    <w:name w:val="index 1"/>
    <w:basedOn w:val="Normal"/>
    <w:next w:val="Normal"/>
    <w:semiHidden/>
    <w:rsid w:val="00CF7724"/>
    <w:pPr>
      <w:tabs>
        <w:tab w:val="left" w:pos="1701"/>
        <w:tab w:val="left" w:pos="3402"/>
        <w:tab w:val="left" w:pos="5103"/>
      </w:tabs>
      <w:spacing w:before="0"/>
      <w:ind w:left="1701" w:hanging="1701"/>
    </w:pPr>
  </w:style>
  <w:style w:type="paragraph" w:styleId="TOAHeading">
    <w:name w:val="toa heading"/>
    <w:basedOn w:val="Normal"/>
    <w:next w:val="Normal"/>
    <w:semiHidden/>
    <w:rsid w:val="00CF7724"/>
    <w:pPr>
      <w:spacing w:before="120"/>
    </w:pPr>
    <w:rPr>
      <w:rFonts w:ascii="Arial" w:hAnsi="Arial" w:cs="Arial"/>
      <w:b/>
      <w:bCs/>
    </w:rPr>
  </w:style>
  <w:style w:type="character" w:customStyle="1" w:styleId="Reference">
    <w:name w:val="Reference"/>
    <w:rsid w:val="00CF7724"/>
    <w:rPr>
      <w:color w:val="0000FF"/>
    </w:rPr>
  </w:style>
  <w:style w:type="paragraph" w:customStyle="1" w:styleId="TblTextbulletedlist">
    <w:name w:val="Tbl Text bulleted list"/>
    <w:basedOn w:val="TblTextLeft"/>
    <w:rsid w:val="00CF7724"/>
    <w:pPr>
      <w:numPr>
        <w:numId w:val="9"/>
      </w:numPr>
      <w:tabs>
        <w:tab w:val="left" w:pos="216"/>
      </w:tabs>
      <w:spacing w:before="0" w:after="0"/>
      <w:ind w:left="216" w:hanging="216"/>
    </w:pPr>
  </w:style>
  <w:style w:type="paragraph" w:styleId="TOC2">
    <w:name w:val="toc 2"/>
    <w:basedOn w:val="TOC1"/>
    <w:next w:val="Normal"/>
    <w:semiHidden/>
    <w:rsid w:val="00CF7724"/>
    <w:rPr>
      <w:b w:val="0"/>
    </w:rPr>
  </w:style>
  <w:style w:type="character" w:styleId="PageNumber">
    <w:name w:val="page number"/>
    <w:rsid w:val="00CF7724"/>
  </w:style>
  <w:style w:type="paragraph" w:styleId="TOC3">
    <w:name w:val="toc 3"/>
    <w:basedOn w:val="TOC1"/>
    <w:next w:val="Normal"/>
    <w:semiHidden/>
    <w:rsid w:val="00CF7724"/>
    <w:pPr>
      <w:spacing w:before="120"/>
    </w:pPr>
    <w:rPr>
      <w:b w:val="0"/>
      <w:caps w:val="0"/>
    </w:rPr>
  </w:style>
  <w:style w:type="paragraph" w:styleId="TOC4">
    <w:name w:val="toc 4"/>
    <w:basedOn w:val="TOC1"/>
    <w:next w:val="Normal"/>
    <w:semiHidden/>
    <w:rsid w:val="00CF7724"/>
    <w:pPr>
      <w:spacing w:before="40"/>
    </w:pPr>
    <w:rPr>
      <w:b w:val="0"/>
      <w:caps w:val="0"/>
      <w:szCs w:val="22"/>
    </w:rPr>
  </w:style>
  <w:style w:type="paragraph" w:styleId="TOC5">
    <w:name w:val="toc 5"/>
    <w:basedOn w:val="TOC1"/>
    <w:next w:val="Normal"/>
    <w:semiHidden/>
    <w:rsid w:val="00CF7724"/>
    <w:pPr>
      <w:spacing w:before="0"/>
    </w:pPr>
    <w:rPr>
      <w:b w:val="0"/>
      <w:caps w:val="0"/>
    </w:rPr>
  </w:style>
  <w:style w:type="paragraph" w:styleId="TOC6">
    <w:name w:val="toc 6"/>
    <w:basedOn w:val="TOC1"/>
    <w:next w:val="Normal"/>
    <w:semiHidden/>
    <w:rsid w:val="00CF7724"/>
    <w:pPr>
      <w:spacing w:before="0"/>
    </w:pPr>
    <w:rPr>
      <w:b w:val="0"/>
      <w:caps w:val="0"/>
    </w:rPr>
  </w:style>
  <w:style w:type="paragraph" w:styleId="TOC7">
    <w:name w:val="toc 7"/>
    <w:basedOn w:val="TOC6"/>
    <w:next w:val="Normal"/>
    <w:semiHidden/>
    <w:rsid w:val="00CF7724"/>
  </w:style>
  <w:style w:type="paragraph" w:styleId="TOC8">
    <w:name w:val="toc 8"/>
    <w:basedOn w:val="TOC6"/>
    <w:next w:val="Normal"/>
    <w:semiHidden/>
    <w:rsid w:val="00CF7724"/>
  </w:style>
  <w:style w:type="paragraph" w:styleId="TOC9">
    <w:name w:val="toc 9"/>
    <w:basedOn w:val="TOC6"/>
    <w:next w:val="Normal"/>
    <w:semiHidden/>
    <w:rsid w:val="00CF7724"/>
  </w:style>
  <w:style w:type="character" w:customStyle="1" w:styleId="TblFigFootnoteChar">
    <w:name w:val="Tbl Fig Footnote Char"/>
    <w:rsid w:val="00CF7724"/>
    <w:rPr>
      <w:rFonts w:ascii="Arial Narrow" w:eastAsia="MS Gothic" w:hAnsi="Arial Narrow"/>
      <w:sz w:val="18"/>
      <w:lang w:val="en-US" w:eastAsia="en-US" w:bidi="ar-SA"/>
    </w:rPr>
  </w:style>
  <w:style w:type="character" w:styleId="FollowedHyperlink">
    <w:name w:val="FollowedHyperlink"/>
    <w:rsid w:val="00CF7724"/>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character" w:customStyle="1" w:styleId="apple-converted-space">
    <w:name w:val="apple-converted-space"/>
    <w:basedOn w:val="DefaultParagraphFont"/>
    <w:rsid w:val="00CA73C2"/>
  </w:style>
  <w:style w:type="character" w:customStyle="1" w:styleId="TblTextCenterChar">
    <w:name w:val="Tbl Text Center Char"/>
    <w:link w:val="TblTextCenter"/>
    <w:locked/>
    <w:rsid w:val="00105E09"/>
    <w:rPr>
      <w:rFonts w:ascii="Arial Narrow" w:eastAsia="MS Gothic" w:hAnsi="Arial Narrow"/>
      <w:lang w:val="en-US" w:eastAsia="en-US"/>
    </w:rPr>
  </w:style>
  <w:style w:type="character" w:customStyle="1" w:styleId="TblFigFootnoteChar1">
    <w:name w:val="Tbl Fig Footnote Char1"/>
    <w:link w:val="TblFigFootnote"/>
    <w:locked/>
    <w:rsid w:val="00105E09"/>
    <w:rPr>
      <w:rFonts w:ascii="Arial Narrow" w:eastAsia="MS Gothic" w:hAnsi="Arial Narrow"/>
      <w:sz w:val="18"/>
      <w:lang w:val="en-US" w:eastAsia="en-US"/>
    </w:rPr>
  </w:style>
  <w:style w:type="character" w:customStyle="1" w:styleId="TblHeadingCenterChar">
    <w:name w:val="Tbl Heading Center Char"/>
    <w:link w:val="TblHeadingCenter"/>
    <w:rsid w:val="00105E09"/>
    <w:rPr>
      <w:rFonts w:ascii="Arial" w:eastAsia="MS Gothic" w:hAnsi="Arial" w:cs="Arial"/>
      <w:b/>
      <w:noProof/>
      <w:lang w:val="de-DE" w:eastAsia="en-US"/>
    </w:rPr>
  </w:style>
  <w:style w:type="paragraph" w:styleId="NoSpacing">
    <w:name w:val="No Spacing"/>
    <w:uiPriority w:val="1"/>
    <w:qFormat/>
    <w:rsid w:val="00E50389"/>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0F1E6B"/>
    <w:rPr>
      <w:rFonts w:ascii="Times New Roman" w:hAnsi="Times New Roman"/>
      <w:b/>
      <w:bCs/>
    </w:rPr>
  </w:style>
  <w:style w:type="character" w:customStyle="1" w:styleId="CommentSubjectChar">
    <w:name w:val="Comment Subject Char"/>
    <w:link w:val="CommentSubject"/>
    <w:uiPriority w:val="99"/>
    <w:semiHidden/>
    <w:rsid w:val="000F1E6B"/>
    <w:rPr>
      <w:rFonts w:ascii="Times New Roman" w:eastAsia="MS Mincho" w:hAnsi="Times New Roman"/>
      <w:b/>
      <w:bCs/>
      <w:color w:val="000000"/>
      <w:sz w:val="20"/>
      <w:szCs w:val="20"/>
      <w:lang w:val="en-US" w:eastAsia="en-US"/>
    </w:rPr>
  </w:style>
  <w:style w:type="table" w:styleId="TableGrid">
    <w:name w:val="Table Grid"/>
    <w:basedOn w:val="TableNormal"/>
    <w:uiPriority w:val="59"/>
    <w:rsid w:val="00F74E06"/>
    <w:rPr>
      <w:rFonts w:ascii="Times New Roman" w:eastAsia="Cambria" w:hAnsi="Times New Roman"/>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Default Paragraph Fo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F7724"/>
    <w:pPr>
      <w:spacing w:before="240"/>
    </w:pPr>
    <w:rPr>
      <w:rFonts w:ascii="Times New Roman" w:eastAsia="MS Mincho" w:hAnsi="Times New Roman"/>
      <w:color w:val="000000"/>
      <w:sz w:val="24"/>
      <w:szCs w:val="24"/>
      <w:lang w:val="en-US" w:eastAsia="en-US"/>
    </w:rPr>
  </w:style>
  <w:style w:type="paragraph" w:styleId="Heading1">
    <w:name w:val="heading 1"/>
    <w:next w:val="Normal"/>
    <w:link w:val="Heading1Char"/>
    <w:qFormat/>
    <w:rsid w:val="00EA3D29"/>
    <w:pPr>
      <w:keepNext/>
      <w:pageBreakBefore/>
      <w:numPr>
        <w:numId w:val="22"/>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link w:val="Heading2Char"/>
    <w:qFormat/>
    <w:rsid w:val="00EA3D29"/>
    <w:pPr>
      <w:pageBreakBefore w:val="0"/>
      <w:numPr>
        <w:ilvl w:val="1"/>
      </w:numPr>
      <w:outlineLvl w:val="1"/>
    </w:pPr>
    <w:rPr>
      <w:bCs w:val="0"/>
      <w:iCs/>
      <w:sz w:val="22"/>
      <w:szCs w:val="28"/>
    </w:rPr>
  </w:style>
  <w:style w:type="paragraph" w:styleId="Heading3">
    <w:name w:val="heading 3"/>
    <w:basedOn w:val="Heading1"/>
    <w:next w:val="Normal"/>
    <w:link w:val="Heading3Char"/>
    <w:qFormat/>
    <w:rsid w:val="00EA3D29"/>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EA3D29"/>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EA3D29"/>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EA3D29"/>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EA3D29"/>
    <w:pPr>
      <w:numPr>
        <w:ilvl w:val="6"/>
      </w:numPr>
      <w:outlineLvl w:val="6"/>
    </w:pPr>
  </w:style>
  <w:style w:type="paragraph" w:styleId="Heading8">
    <w:name w:val="heading 8"/>
    <w:basedOn w:val="Heading6"/>
    <w:next w:val="Normal"/>
    <w:link w:val="Heading8Char"/>
    <w:qFormat/>
    <w:rsid w:val="00EA3D29"/>
    <w:pPr>
      <w:numPr>
        <w:ilvl w:val="7"/>
      </w:numPr>
      <w:outlineLvl w:val="7"/>
    </w:pPr>
    <w:rPr>
      <w:iCs/>
    </w:rPr>
  </w:style>
  <w:style w:type="paragraph" w:styleId="Heading9">
    <w:name w:val="heading 9"/>
    <w:basedOn w:val="Heading6"/>
    <w:next w:val="Normal"/>
    <w:link w:val="Heading9Char"/>
    <w:qFormat/>
    <w:rsid w:val="00EA3D29"/>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3992"/>
    <w:rPr>
      <w:rFonts w:ascii="Arial" w:eastAsia="MS Gothic" w:hAnsi="Arial" w:cs="Arial"/>
      <w:b/>
      <w:bCs/>
      <w:caps/>
      <w:kern w:val="32"/>
      <w:sz w:val="28"/>
      <w:szCs w:val="32"/>
      <w:lang w:val="en-US" w:eastAsia="en-US"/>
    </w:rPr>
  </w:style>
  <w:style w:type="character" w:customStyle="1" w:styleId="Heading2Char">
    <w:name w:val="Heading 2 Char"/>
    <w:link w:val="Heading2"/>
    <w:rsid w:val="001A3992"/>
    <w:rPr>
      <w:rFonts w:ascii="Arial" w:eastAsia="MS Gothic" w:hAnsi="Arial" w:cs="Arial"/>
      <w:b/>
      <w:iCs/>
      <w:caps/>
      <w:kern w:val="32"/>
      <w:sz w:val="22"/>
      <w:szCs w:val="28"/>
      <w:lang w:val="en-US" w:eastAsia="en-US"/>
    </w:rPr>
  </w:style>
  <w:style w:type="character" w:customStyle="1" w:styleId="Heading3Char">
    <w:name w:val="Heading 3 Char"/>
    <w:link w:val="Heading3"/>
    <w:rsid w:val="001A3992"/>
    <w:rPr>
      <w:rFonts w:ascii="Arial" w:eastAsia="MS Gothic" w:hAnsi="Arial" w:cs="Arial"/>
      <w:b/>
      <w:kern w:val="32"/>
      <w:sz w:val="22"/>
      <w:szCs w:val="26"/>
      <w:lang w:val="en-US" w:eastAsia="en-US"/>
    </w:rPr>
  </w:style>
  <w:style w:type="character" w:customStyle="1" w:styleId="Heading4Char">
    <w:name w:val="Heading 4 Char"/>
    <w:link w:val="Heading4"/>
    <w:rsid w:val="001A3992"/>
    <w:rPr>
      <w:rFonts w:ascii="Arial" w:eastAsia="MS Gothic" w:hAnsi="Arial" w:cs="Arial"/>
      <w:b/>
      <w:i/>
      <w:kern w:val="32"/>
      <w:sz w:val="22"/>
      <w:szCs w:val="28"/>
      <w:lang w:val="en-US" w:eastAsia="en-US"/>
    </w:rPr>
  </w:style>
  <w:style w:type="character" w:customStyle="1" w:styleId="Heading5Char">
    <w:name w:val="Heading 5 Char"/>
    <w:link w:val="Heading5"/>
    <w:rsid w:val="001A3992"/>
    <w:rPr>
      <w:rFonts w:ascii="Arial" w:eastAsia="MS Gothic" w:hAnsi="Arial" w:cs="Arial"/>
      <w:i/>
      <w:iCs/>
      <w:kern w:val="32"/>
      <w:sz w:val="22"/>
      <w:szCs w:val="26"/>
      <w:lang w:val="en-US" w:eastAsia="en-US"/>
    </w:rPr>
  </w:style>
  <w:style w:type="character" w:customStyle="1" w:styleId="Heading6Char">
    <w:name w:val="Heading 6 Char"/>
    <w:link w:val="Heading6"/>
    <w:rsid w:val="001A3992"/>
    <w:rPr>
      <w:rFonts w:ascii="Arial" w:eastAsia="MS Gothic" w:hAnsi="Arial" w:cs="Arial"/>
      <w:kern w:val="32"/>
      <w:sz w:val="22"/>
      <w:szCs w:val="22"/>
      <w:lang w:val="en-US" w:eastAsia="en-US"/>
    </w:rPr>
  </w:style>
  <w:style w:type="character" w:customStyle="1" w:styleId="Heading7Char">
    <w:name w:val="Heading 7 Char"/>
    <w:link w:val="Heading7"/>
    <w:rsid w:val="001A3992"/>
    <w:rPr>
      <w:rFonts w:ascii="Arial" w:eastAsia="MS Gothic" w:hAnsi="Arial" w:cs="Arial"/>
      <w:kern w:val="32"/>
      <w:sz w:val="22"/>
      <w:szCs w:val="22"/>
      <w:lang w:val="en-US" w:eastAsia="en-US"/>
    </w:rPr>
  </w:style>
  <w:style w:type="character" w:customStyle="1" w:styleId="Heading8Char">
    <w:name w:val="Heading 8 Char"/>
    <w:link w:val="Heading8"/>
    <w:rsid w:val="001A3992"/>
    <w:rPr>
      <w:rFonts w:ascii="Arial" w:eastAsia="MS Gothic" w:hAnsi="Arial" w:cs="Arial"/>
      <w:iCs/>
      <w:kern w:val="32"/>
      <w:sz w:val="22"/>
      <w:szCs w:val="22"/>
      <w:lang w:val="en-US" w:eastAsia="en-US"/>
    </w:rPr>
  </w:style>
  <w:style w:type="character" w:customStyle="1" w:styleId="Heading9Char">
    <w:name w:val="Heading 9 Char"/>
    <w:link w:val="Heading9"/>
    <w:rsid w:val="001A3992"/>
    <w:rPr>
      <w:rFonts w:ascii="Arial" w:eastAsia="MS Gothic" w:hAnsi="Arial" w:cs="Arial"/>
      <w:kern w:val="32"/>
      <w:sz w:val="22"/>
      <w:szCs w:val="22"/>
      <w:lang w:val="en-US" w:eastAsia="en-US"/>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uiPriority w:val="99"/>
    <w:semiHidden/>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link w:val="CommentText"/>
    <w:uiPriority w:val="99"/>
    <w:rsid w:val="001A3992"/>
    <w:rPr>
      <w:rFonts w:ascii="Cambria" w:hAnsi="Cambria"/>
      <w:sz w:val="20"/>
      <w:szCs w:val="20"/>
    </w:rPr>
  </w:style>
  <w:style w:type="paragraph" w:styleId="FootnoteText">
    <w:name w:val="footnote text"/>
    <w:basedOn w:val="Normal"/>
    <w:link w:val="FootnoteTextChar"/>
    <w:rsid w:val="00CF7724"/>
    <w:pPr>
      <w:spacing w:before="20"/>
      <w:ind w:left="113" w:hanging="113"/>
    </w:pPr>
    <w:rPr>
      <w:sz w:val="22"/>
      <w:szCs w:val="20"/>
    </w:rPr>
  </w:style>
  <w:style w:type="character" w:customStyle="1" w:styleId="FootnoteTextChar">
    <w:name w:val="Footnote Text Char"/>
    <w:link w:val="FootnoteText"/>
    <w:rsid w:val="001A3992"/>
    <w:rPr>
      <w:rFonts w:ascii="Times New Roman" w:eastAsia="MS Mincho" w:hAnsi="Times New Roman"/>
      <w:color w:val="000000"/>
      <w:sz w:val="22"/>
      <w:lang w:val="en-US" w:eastAsia="en-US"/>
    </w:rPr>
  </w:style>
  <w:style w:type="character" w:styleId="FootnoteReference">
    <w:name w:val="footnote reference"/>
    <w:rsid w:val="00CF7724"/>
    <w:rPr>
      <w:rFonts w:ascii="Times New Roman" w:eastAsia="MS Mincho" w:hAnsi="Times New Roman"/>
      <w:color w:val="0000FF"/>
      <w:sz w:val="18"/>
      <w:vertAlign w:val="superscript"/>
    </w:rPr>
  </w:style>
  <w:style w:type="paragraph" w:styleId="ListBullet">
    <w:name w:val="List Bullet"/>
    <w:basedOn w:val="Normal"/>
    <w:rsid w:val="00CF7724"/>
    <w:pPr>
      <w:numPr>
        <w:numId w:val="6"/>
      </w:numPr>
    </w:pPr>
  </w:style>
  <w:style w:type="character" w:styleId="Hyperlink">
    <w:name w:val="Hyperlink"/>
    <w:uiPriority w:val="99"/>
    <w:rsid w:val="00CF7724"/>
    <w:rPr>
      <w:color w:val="0000FF"/>
      <w:u w:val="single"/>
    </w:rPr>
  </w:style>
  <w:style w:type="table" w:styleId="LightGrid">
    <w:name w:val="Light Grid"/>
    <w:basedOn w:val="TableNormal"/>
    <w:uiPriority w:val="62"/>
    <w:rsid w:val="001A399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Narrow" w:eastAsia="Arial Narrow" w:hAnsi="Arial Narrow"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Narrow" w:eastAsia="Arial Narrow" w:hAnsi="Arial Narrow"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Narrow" w:eastAsia="Arial Narrow" w:hAnsi="Arial Narrow" w:cs="Times New Roman"/>
        <w:b/>
        <w:bCs/>
      </w:rPr>
    </w:tblStylePr>
    <w:tblStylePr w:type="lastCol">
      <w:rPr>
        <w:rFonts w:ascii="Arial Narrow" w:eastAsia="Arial Narrow" w:hAnsi="Arial Narrow"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er">
    <w:name w:val="footer"/>
    <w:link w:val="FooterChar"/>
    <w:rsid w:val="00CF7724"/>
    <w:pPr>
      <w:tabs>
        <w:tab w:val="right" w:pos="9469"/>
      </w:tabs>
    </w:pPr>
    <w:rPr>
      <w:rFonts w:ascii="Arial" w:eastAsia="MS Gothic" w:hAnsi="Arial"/>
      <w:sz w:val="18"/>
      <w:lang w:val="en-US" w:eastAsia="en-US"/>
    </w:rPr>
  </w:style>
  <w:style w:type="character" w:customStyle="1" w:styleId="FooterChar">
    <w:name w:val="Footer Char"/>
    <w:link w:val="Footer"/>
    <w:rsid w:val="001A3992"/>
    <w:rPr>
      <w:rFonts w:ascii="Arial" w:eastAsia="MS Gothic" w:hAnsi="Arial"/>
      <w:sz w:val="18"/>
      <w:lang w:val="en-US" w:eastAsia="en-US"/>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link w:val="BalloonText"/>
    <w:uiPriority w:val="99"/>
    <w:semiHidden/>
    <w:rsid w:val="001A3992"/>
    <w:rPr>
      <w:rFonts w:ascii="Tahoma" w:hAnsi="Tahoma" w:cs="Tahoma"/>
      <w:sz w:val="16"/>
      <w:szCs w:val="16"/>
    </w:rPr>
  </w:style>
  <w:style w:type="paragraph" w:styleId="Header">
    <w:name w:val="header"/>
    <w:link w:val="HeaderChar"/>
    <w:rsid w:val="00CF7724"/>
    <w:pPr>
      <w:tabs>
        <w:tab w:val="left" w:pos="4536"/>
        <w:tab w:val="right" w:pos="9480"/>
      </w:tabs>
    </w:pPr>
    <w:rPr>
      <w:rFonts w:ascii="Arial" w:eastAsia="MS Gothic" w:hAnsi="Arial"/>
      <w:sz w:val="18"/>
      <w:lang w:val="en-US" w:eastAsia="en-US"/>
    </w:rPr>
  </w:style>
  <w:style w:type="character" w:customStyle="1" w:styleId="HeaderChar">
    <w:name w:val="Header Char"/>
    <w:link w:val="Header"/>
    <w:rsid w:val="00CA6CCF"/>
    <w:rPr>
      <w:rFonts w:ascii="Arial" w:eastAsia="MS Gothic" w:hAnsi="Arial"/>
      <w:sz w:val="18"/>
      <w:lang w:val="en-US" w:eastAsia="en-US"/>
    </w:rPr>
  </w:style>
  <w:style w:type="paragraph" w:customStyle="1" w:styleId="wcpTableContent">
    <w:name w:val="wcp_TableContent"/>
    <w:basedOn w:val="Normal"/>
    <w:rsid w:val="00C301BA"/>
    <w:pPr>
      <w:spacing w:before="40" w:after="40"/>
    </w:pPr>
    <w:rPr>
      <w:rFonts w:eastAsia="Times New Roman"/>
      <w:szCs w:val="20"/>
    </w:rPr>
  </w:style>
  <w:style w:type="paragraph" w:styleId="BodyTextIndent2">
    <w:name w:val="Body Text Indent 2"/>
    <w:basedOn w:val="Normal"/>
    <w:link w:val="BodyTextIndent2Char"/>
    <w:rsid w:val="000E1A58"/>
    <w:pPr>
      <w:ind w:left="567"/>
      <w:jc w:val="both"/>
    </w:pPr>
    <w:rPr>
      <w:rFonts w:ascii="Arial" w:eastAsia="Times New Roman" w:hAnsi="Arial"/>
      <w:szCs w:val="20"/>
      <w:lang w:val="en-GB"/>
    </w:rPr>
  </w:style>
  <w:style w:type="character" w:customStyle="1" w:styleId="BodyTextIndent2Char">
    <w:name w:val="Body Text Indent 2 Char"/>
    <w:link w:val="BodyTextIndent2"/>
    <w:rsid w:val="000E1A58"/>
    <w:rPr>
      <w:rFonts w:ascii="Arial" w:eastAsia="Times New Roman" w:hAnsi="Arial" w:cs="Times New Roman"/>
      <w:sz w:val="24"/>
      <w:szCs w:val="20"/>
      <w:lang w:val="en-GB"/>
    </w:rPr>
  </w:style>
  <w:style w:type="paragraph" w:styleId="BodyText">
    <w:name w:val="Body Text"/>
    <w:basedOn w:val="Normal"/>
    <w:link w:val="BodyTextChar"/>
    <w:uiPriority w:val="99"/>
    <w:semiHidden/>
    <w:unhideWhenUsed/>
    <w:rsid w:val="000E1A58"/>
    <w:pPr>
      <w:spacing w:after="120"/>
    </w:pPr>
  </w:style>
  <w:style w:type="character" w:customStyle="1" w:styleId="BodyTextChar">
    <w:name w:val="Body Text Char"/>
    <w:basedOn w:val="DefaultParagraphFont"/>
    <w:link w:val="BodyText"/>
    <w:uiPriority w:val="99"/>
    <w:semiHidden/>
    <w:rsid w:val="000E1A58"/>
  </w:style>
  <w:style w:type="paragraph" w:styleId="BodyText3">
    <w:name w:val="Body Text 3"/>
    <w:basedOn w:val="Normal"/>
    <w:link w:val="BodyText3Char"/>
    <w:uiPriority w:val="99"/>
    <w:semiHidden/>
    <w:unhideWhenUsed/>
    <w:rsid w:val="00514ED3"/>
    <w:pPr>
      <w:spacing w:after="120"/>
    </w:pPr>
    <w:rPr>
      <w:sz w:val="16"/>
      <w:szCs w:val="16"/>
    </w:rPr>
  </w:style>
  <w:style w:type="character" w:customStyle="1" w:styleId="BodyText3Char">
    <w:name w:val="Body Text 3 Char"/>
    <w:link w:val="BodyText3"/>
    <w:uiPriority w:val="99"/>
    <w:semiHidden/>
    <w:rsid w:val="00514ED3"/>
    <w:rPr>
      <w:sz w:val="16"/>
      <w:szCs w:val="16"/>
    </w:rPr>
  </w:style>
  <w:style w:type="paragraph" w:customStyle="1" w:styleId="Heading1NoTOC">
    <w:name w:val="Heading 1 NoTOC"/>
    <w:basedOn w:val="Heading1"/>
    <w:rsid w:val="00CF7724"/>
    <w:pPr>
      <w:numPr>
        <w:numId w:val="0"/>
      </w:numPr>
      <w:outlineLvl w:val="9"/>
    </w:pPr>
  </w:style>
  <w:style w:type="paragraph" w:styleId="Title">
    <w:name w:val="Title"/>
    <w:next w:val="Normal"/>
    <w:link w:val="TitleChar"/>
    <w:qFormat/>
    <w:rsid w:val="00CF7724"/>
    <w:pPr>
      <w:keepNext/>
      <w:spacing w:before="600" w:after="480"/>
      <w:jc w:val="center"/>
      <w:outlineLvl w:val="0"/>
    </w:pPr>
    <w:rPr>
      <w:rFonts w:ascii="Arial" w:eastAsia="MS Gothic" w:hAnsi="Arial" w:cs="Arial"/>
      <w:b/>
      <w:bCs/>
      <w:caps/>
      <w:sz w:val="22"/>
      <w:szCs w:val="32"/>
      <w:lang w:val="en-US" w:eastAsia="en-US"/>
    </w:rPr>
  </w:style>
  <w:style w:type="character" w:customStyle="1" w:styleId="TitleChar">
    <w:name w:val="Title Char"/>
    <w:link w:val="Title"/>
    <w:rsid w:val="00C971E9"/>
    <w:rPr>
      <w:rFonts w:ascii="Arial" w:eastAsia="MS Gothic" w:hAnsi="Arial" w:cs="Arial"/>
      <w:b/>
      <w:bCs/>
      <w:caps/>
      <w:sz w:val="22"/>
      <w:szCs w:val="32"/>
      <w:lang w:val="en-US" w:eastAsia="en-US"/>
    </w:rPr>
  </w:style>
  <w:style w:type="paragraph" w:customStyle="1" w:styleId="TitleNoToc">
    <w:name w:val="Title NoToc"/>
    <w:basedOn w:val="Title"/>
    <w:next w:val="Normal"/>
    <w:rsid w:val="00CF7724"/>
    <w:pPr>
      <w:outlineLvl w:val="9"/>
    </w:pPr>
  </w:style>
  <w:style w:type="character" w:customStyle="1" w:styleId="InstructionsTextChar">
    <w:name w:val="Instructions Text Char"/>
    <w:link w:val="InstructionsText"/>
    <w:rsid w:val="00CF7724"/>
    <w:rPr>
      <w:rFonts w:eastAsia="MS Mincho"/>
      <w:color w:val="000000"/>
      <w:sz w:val="24"/>
      <w:szCs w:val="24"/>
      <w:shd w:val="clear" w:color="auto" w:fill="FFCC66"/>
      <w:lang w:val="en-US" w:eastAsia="en-US"/>
    </w:rPr>
  </w:style>
  <w:style w:type="paragraph" w:customStyle="1" w:styleId="ListNumbered">
    <w:name w:val="List Numbered"/>
    <w:basedOn w:val="Normal"/>
    <w:rsid w:val="00CF7724"/>
    <w:pPr>
      <w:numPr>
        <w:numId w:val="4"/>
      </w:numPr>
      <w:spacing w:before="120"/>
    </w:pPr>
  </w:style>
  <w:style w:type="paragraph" w:customStyle="1" w:styleId="ListBulletLevel1">
    <w:name w:val="List Bullet Level 1"/>
    <w:basedOn w:val="Normal"/>
    <w:rsid w:val="00CF7724"/>
    <w:pPr>
      <w:numPr>
        <w:numId w:val="16"/>
      </w:numPr>
      <w:spacing w:before="120"/>
    </w:pPr>
  </w:style>
  <w:style w:type="paragraph" w:customStyle="1" w:styleId="ListAlphabeticalLevel1">
    <w:name w:val="List Alphabetical Level 1"/>
    <w:basedOn w:val="Normal"/>
    <w:rsid w:val="00CF7724"/>
    <w:pPr>
      <w:numPr>
        <w:numId w:val="3"/>
      </w:numPr>
      <w:spacing w:before="120"/>
    </w:pPr>
  </w:style>
  <w:style w:type="paragraph" w:styleId="Bibliography">
    <w:name w:val="Bibliography"/>
    <w:basedOn w:val="Normal"/>
    <w:next w:val="Normal"/>
    <w:rsid w:val="00CF7724"/>
    <w:pPr>
      <w:ind w:left="357" w:hanging="357"/>
    </w:pPr>
  </w:style>
  <w:style w:type="paragraph" w:customStyle="1" w:styleId="ListBulletLevel2">
    <w:name w:val="List Bullet Level 2"/>
    <w:basedOn w:val="Normal"/>
    <w:rsid w:val="00CF7724"/>
    <w:pPr>
      <w:numPr>
        <w:numId w:val="8"/>
      </w:numPr>
      <w:spacing w:before="120"/>
    </w:pPr>
    <w:rPr>
      <w:szCs w:val="20"/>
    </w:rPr>
  </w:style>
  <w:style w:type="paragraph" w:styleId="Caption">
    <w:name w:val="caption"/>
    <w:next w:val="Normal"/>
    <w:qFormat/>
    <w:rsid w:val="00CF7724"/>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rsid w:val="00CF7724"/>
    <w:pPr>
      <w:shd w:val="clear" w:color="auto" w:fill="FFCC66"/>
      <w:spacing w:before="40" w:after="40"/>
    </w:pPr>
    <w:rPr>
      <w:rFonts w:ascii="Calibri" w:hAnsi="Calibri"/>
    </w:rPr>
  </w:style>
  <w:style w:type="paragraph" w:customStyle="1" w:styleId="Heading1NoNumbering">
    <w:name w:val="Heading 1 NoNumbering"/>
    <w:basedOn w:val="Heading1"/>
    <w:next w:val="Normal"/>
    <w:rsid w:val="00CF7724"/>
    <w:pPr>
      <w:numPr>
        <w:numId w:val="14"/>
      </w:numPr>
    </w:pPr>
  </w:style>
  <w:style w:type="paragraph" w:customStyle="1" w:styleId="TblTextCenter">
    <w:name w:val="Tbl Text Center"/>
    <w:basedOn w:val="TblTextLeft"/>
    <w:link w:val="TblTextCenterChar"/>
    <w:rsid w:val="00CF7724"/>
    <w:pPr>
      <w:jc w:val="center"/>
    </w:pPr>
  </w:style>
  <w:style w:type="paragraph" w:customStyle="1" w:styleId="TblTextLeft">
    <w:name w:val="Tbl Text Left"/>
    <w:rsid w:val="00CF7724"/>
    <w:pPr>
      <w:spacing w:before="60" w:after="60"/>
    </w:pPr>
    <w:rPr>
      <w:rFonts w:ascii="Arial Narrow" w:eastAsia="MS Gothic" w:hAnsi="Arial Narrow"/>
      <w:lang w:val="en-US" w:eastAsia="en-US"/>
    </w:rPr>
  </w:style>
  <w:style w:type="paragraph" w:customStyle="1" w:styleId="TblHeadingLeft">
    <w:name w:val="Tbl Heading Left"/>
    <w:rsid w:val="00CF7724"/>
    <w:pPr>
      <w:spacing w:before="60" w:after="60"/>
    </w:pPr>
    <w:rPr>
      <w:rFonts w:ascii="Arial" w:eastAsia="MS Gothic" w:hAnsi="Arial" w:cs="Arial"/>
      <w:b/>
      <w:noProof/>
      <w:lang w:val="de-DE" w:eastAsia="en-US"/>
    </w:rPr>
  </w:style>
  <w:style w:type="paragraph" w:customStyle="1" w:styleId="TblFigFootnote">
    <w:name w:val="Tbl Fig Footnote"/>
    <w:link w:val="TblFigFootnoteChar1"/>
    <w:rsid w:val="00CF7724"/>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link w:val="TblHeadingCenterChar"/>
    <w:rsid w:val="00CF7724"/>
    <w:pPr>
      <w:jc w:val="center"/>
    </w:pPr>
  </w:style>
  <w:style w:type="paragraph" w:customStyle="1" w:styleId="HeaderLandscape">
    <w:name w:val="Header Landscape"/>
    <w:basedOn w:val="Header"/>
    <w:rsid w:val="00CF7724"/>
    <w:pPr>
      <w:tabs>
        <w:tab w:val="clear" w:pos="4536"/>
        <w:tab w:val="clear" w:pos="9480"/>
        <w:tab w:val="left" w:pos="6804"/>
        <w:tab w:val="right" w:pos="14118"/>
      </w:tabs>
    </w:pPr>
  </w:style>
  <w:style w:type="paragraph" w:customStyle="1" w:styleId="FooterLandscape">
    <w:name w:val="Footer Landscape"/>
    <w:basedOn w:val="Footer"/>
    <w:rsid w:val="00CF7724"/>
    <w:pPr>
      <w:tabs>
        <w:tab w:val="clear" w:pos="9469"/>
        <w:tab w:val="right" w:pos="14118"/>
      </w:tabs>
    </w:pPr>
  </w:style>
  <w:style w:type="character" w:customStyle="1" w:styleId="TblFigFootnoteReference">
    <w:name w:val="Tbl Fig Footnote Reference"/>
    <w:rsid w:val="00CF7724"/>
    <w:rPr>
      <w:rFonts w:ascii="Arial Narrow" w:eastAsia="MS Gothic" w:hAnsi="Arial Narrow"/>
      <w:i/>
      <w:dstrike w:val="0"/>
      <w:noProof w:val="0"/>
      <w:position w:val="6"/>
      <w:sz w:val="18"/>
      <w:vertAlign w:val="baseline"/>
      <w:lang w:val="en-US"/>
    </w:rPr>
  </w:style>
  <w:style w:type="paragraph" w:customStyle="1" w:styleId="xCover">
    <w:name w:val="xCover"/>
    <w:rsid w:val="00CF7724"/>
    <w:pPr>
      <w:spacing w:before="120"/>
    </w:pPr>
    <w:rPr>
      <w:rFonts w:ascii="Arial" w:eastAsia="MS Gothic" w:hAnsi="Arial"/>
      <w:lang w:val="en-US" w:eastAsia="en-US"/>
    </w:rPr>
  </w:style>
  <w:style w:type="paragraph" w:customStyle="1" w:styleId="xCoverAddress">
    <w:name w:val="xCoverAddress"/>
    <w:basedOn w:val="xCover"/>
    <w:rsid w:val="00CF7724"/>
    <w:pPr>
      <w:spacing w:before="0"/>
    </w:pPr>
  </w:style>
  <w:style w:type="paragraph" w:customStyle="1" w:styleId="xCoverDocType">
    <w:name w:val="xCoverDocType"/>
    <w:basedOn w:val="xCover"/>
    <w:rsid w:val="00CF7724"/>
    <w:pPr>
      <w:spacing w:before="360"/>
      <w:jc w:val="center"/>
    </w:pPr>
    <w:rPr>
      <w:b/>
      <w:caps/>
      <w:sz w:val="28"/>
    </w:rPr>
  </w:style>
  <w:style w:type="paragraph" w:customStyle="1" w:styleId="xCoverDocTitle">
    <w:name w:val="xCoverDocTitle"/>
    <w:basedOn w:val="xCover"/>
    <w:rsid w:val="00CF7724"/>
    <w:pPr>
      <w:spacing w:before="240"/>
      <w:jc w:val="center"/>
    </w:pPr>
    <w:rPr>
      <w:b/>
      <w:sz w:val="24"/>
    </w:rPr>
  </w:style>
  <w:style w:type="paragraph" w:styleId="EndnoteText">
    <w:name w:val="endnote text"/>
    <w:basedOn w:val="Normal"/>
    <w:link w:val="EndnoteTextChar"/>
    <w:semiHidden/>
    <w:rsid w:val="00CF7724"/>
    <w:rPr>
      <w:sz w:val="22"/>
      <w:szCs w:val="20"/>
    </w:rPr>
  </w:style>
  <w:style w:type="character" w:customStyle="1" w:styleId="EndnoteTextChar">
    <w:name w:val="Endnote Text Char"/>
    <w:link w:val="EndnoteText"/>
    <w:semiHidden/>
    <w:rsid w:val="00C971E9"/>
    <w:rPr>
      <w:rFonts w:ascii="Times New Roman" w:eastAsia="MS Mincho" w:hAnsi="Times New Roman"/>
      <w:color w:val="000000"/>
      <w:sz w:val="22"/>
      <w:lang w:val="en-US" w:eastAsia="en-US"/>
    </w:rPr>
  </w:style>
  <w:style w:type="character" w:styleId="EndnoteReference">
    <w:name w:val="endnote reference"/>
    <w:semiHidden/>
    <w:rsid w:val="00CF7724"/>
    <w:rPr>
      <w:vertAlign w:val="superscript"/>
    </w:rPr>
  </w:style>
  <w:style w:type="paragraph" w:styleId="MacroText">
    <w:name w:val="macro"/>
    <w:link w:val="MacroTextChar"/>
    <w:semiHidden/>
    <w:rsid w:val="00CF772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character" w:customStyle="1" w:styleId="MacroTextChar">
    <w:name w:val="Macro Text Char"/>
    <w:link w:val="MacroText"/>
    <w:semiHidden/>
    <w:rsid w:val="00C971E9"/>
    <w:rPr>
      <w:rFonts w:ascii="Courier New" w:eastAsia="Times New Roman" w:hAnsi="Courier New"/>
      <w:lang w:val="en-US" w:eastAsia="en-US"/>
    </w:rPr>
  </w:style>
  <w:style w:type="paragraph" w:styleId="TableofFigures">
    <w:name w:val="table of figures"/>
    <w:next w:val="Normal"/>
    <w:semiHidden/>
    <w:rsid w:val="00CF7724"/>
    <w:pPr>
      <w:tabs>
        <w:tab w:val="right" w:leader="dot" w:pos="9468"/>
      </w:tabs>
      <w:spacing w:before="120"/>
    </w:pPr>
    <w:rPr>
      <w:rFonts w:ascii="Arial" w:eastAsia="Times New Roman" w:hAnsi="Arial"/>
      <w:lang w:val="en-US" w:eastAsia="en-US"/>
    </w:rPr>
  </w:style>
  <w:style w:type="paragraph" w:styleId="TableofAuthorities">
    <w:name w:val="table of authorities"/>
    <w:basedOn w:val="Normal"/>
    <w:next w:val="Normal"/>
    <w:semiHidden/>
    <w:rsid w:val="00CF7724"/>
    <w:pPr>
      <w:ind w:left="240" w:hanging="240"/>
    </w:pPr>
  </w:style>
  <w:style w:type="character" w:customStyle="1" w:styleId="ReplaceText">
    <w:name w:val="Replace Text"/>
    <w:rsid w:val="00CF7724"/>
    <w:rPr>
      <w:color w:val="FF00FF"/>
    </w:rPr>
  </w:style>
  <w:style w:type="paragraph" w:styleId="TOC1">
    <w:name w:val="toc 1"/>
    <w:next w:val="Normal"/>
    <w:uiPriority w:val="39"/>
    <w:rsid w:val="00CF7724"/>
    <w:pPr>
      <w:tabs>
        <w:tab w:val="right" w:leader="dot" w:pos="9468"/>
      </w:tabs>
      <w:spacing w:before="240"/>
      <w:ind w:left="851" w:right="567" w:hanging="851"/>
    </w:pPr>
    <w:rPr>
      <w:rFonts w:ascii="Arial" w:eastAsia="Times New Roman" w:hAnsi="Arial"/>
      <w:b/>
      <w:caps/>
      <w:lang w:val="en-US" w:eastAsia="en-US"/>
    </w:rPr>
  </w:style>
  <w:style w:type="paragraph" w:customStyle="1" w:styleId="ListAlphabeticalLevel2">
    <w:name w:val="List Alphabetical Level 2"/>
    <w:basedOn w:val="ListNumbered"/>
    <w:rsid w:val="00CF7724"/>
    <w:pPr>
      <w:numPr>
        <w:numId w:val="5"/>
      </w:numPr>
    </w:pPr>
  </w:style>
  <w:style w:type="paragraph" w:styleId="Index1">
    <w:name w:val="index 1"/>
    <w:basedOn w:val="Normal"/>
    <w:next w:val="Normal"/>
    <w:semiHidden/>
    <w:rsid w:val="00CF7724"/>
    <w:pPr>
      <w:tabs>
        <w:tab w:val="left" w:pos="1701"/>
        <w:tab w:val="left" w:pos="3402"/>
        <w:tab w:val="left" w:pos="5103"/>
      </w:tabs>
      <w:spacing w:before="0"/>
      <w:ind w:left="1701" w:hanging="1701"/>
    </w:pPr>
  </w:style>
  <w:style w:type="paragraph" w:styleId="TOAHeading">
    <w:name w:val="toa heading"/>
    <w:basedOn w:val="Normal"/>
    <w:next w:val="Normal"/>
    <w:semiHidden/>
    <w:rsid w:val="00CF7724"/>
    <w:pPr>
      <w:spacing w:before="120"/>
    </w:pPr>
    <w:rPr>
      <w:rFonts w:ascii="Arial" w:hAnsi="Arial" w:cs="Arial"/>
      <w:b/>
      <w:bCs/>
    </w:rPr>
  </w:style>
  <w:style w:type="character" w:customStyle="1" w:styleId="Reference">
    <w:name w:val="Reference"/>
    <w:rsid w:val="00CF7724"/>
    <w:rPr>
      <w:color w:val="0000FF"/>
    </w:rPr>
  </w:style>
  <w:style w:type="paragraph" w:customStyle="1" w:styleId="TblTextbulletedlist">
    <w:name w:val="Tbl Text bulleted list"/>
    <w:basedOn w:val="TblTextLeft"/>
    <w:rsid w:val="00CF7724"/>
    <w:pPr>
      <w:numPr>
        <w:numId w:val="9"/>
      </w:numPr>
      <w:tabs>
        <w:tab w:val="left" w:pos="216"/>
      </w:tabs>
      <w:spacing w:before="0" w:after="0"/>
      <w:ind w:left="216" w:hanging="216"/>
    </w:pPr>
  </w:style>
  <w:style w:type="paragraph" w:styleId="TOC2">
    <w:name w:val="toc 2"/>
    <w:basedOn w:val="TOC1"/>
    <w:next w:val="Normal"/>
    <w:semiHidden/>
    <w:rsid w:val="00CF7724"/>
    <w:rPr>
      <w:b w:val="0"/>
    </w:rPr>
  </w:style>
  <w:style w:type="character" w:styleId="PageNumber">
    <w:name w:val="page number"/>
    <w:rsid w:val="00CF7724"/>
  </w:style>
  <w:style w:type="paragraph" w:styleId="TOC3">
    <w:name w:val="toc 3"/>
    <w:basedOn w:val="TOC1"/>
    <w:next w:val="Normal"/>
    <w:semiHidden/>
    <w:rsid w:val="00CF7724"/>
    <w:pPr>
      <w:spacing w:before="120"/>
    </w:pPr>
    <w:rPr>
      <w:b w:val="0"/>
      <w:caps w:val="0"/>
    </w:rPr>
  </w:style>
  <w:style w:type="paragraph" w:styleId="TOC4">
    <w:name w:val="toc 4"/>
    <w:basedOn w:val="TOC1"/>
    <w:next w:val="Normal"/>
    <w:semiHidden/>
    <w:rsid w:val="00CF7724"/>
    <w:pPr>
      <w:spacing w:before="40"/>
    </w:pPr>
    <w:rPr>
      <w:b w:val="0"/>
      <w:caps w:val="0"/>
      <w:szCs w:val="22"/>
    </w:rPr>
  </w:style>
  <w:style w:type="paragraph" w:styleId="TOC5">
    <w:name w:val="toc 5"/>
    <w:basedOn w:val="TOC1"/>
    <w:next w:val="Normal"/>
    <w:semiHidden/>
    <w:rsid w:val="00CF7724"/>
    <w:pPr>
      <w:spacing w:before="0"/>
    </w:pPr>
    <w:rPr>
      <w:b w:val="0"/>
      <w:caps w:val="0"/>
    </w:rPr>
  </w:style>
  <w:style w:type="paragraph" w:styleId="TOC6">
    <w:name w:val="toc 6"/>
    <w:basedOn w:val="TOC1"/>
    <w:next w:val="Normal"/>
    <w:semiHidden/>
    <w:rsid w:val="00CF7724"/>
    <w:pPr>
      <w:spacing w:before="0"/>
    </w:pPr>
    <w:rPr>
      <w:b w:val="0"/>
      <w:caps w:val="0"/>
    </w:rPr>
  </w:style>
  <w:style w:type="paragraph" w:styleId="TOC7">
    <w:name w:val="toc 7"/>
    <w:basedOn w:val="TOC6"/>
    <w:next w:val="Normal"/>
    <w:semiHidden/>
    <w:rsid w:val="00CF7724"/>
  </w:style>
  <w:style w:type="paragraph" w:styleId="TOC8">
    <w:name w:val="toc 8"/>
    <w:basedOn w:val="TOC6"/>
    <w:next w:val="Normal"/>
    <w:semiHidden/>
    <w:rsid w:val="00CF7724"/>
  </w:style>
  <w:style w:type="paragraph" w:styleId="TOC9">
    <w:name w:val="toc 9"/>
    <w:basedOn w:val="TOC6"/>
    <w:next w:val="Normal"/>
    <w:semiHidden/>
    <w:rsid w:val="00CF7724"/>
  </w:style>
  <w:style w:type="character" w:customStyle="1" w:styleId="TblFigFootnoteChar">
    <w:name w:val="Tbl Fig Footnote Char"/>
    <w:rsid w:val="00CF7724"/>
    <w:rPr>
      <w:rFonts w:ascii="Arial Narrow" w:eastAsia="MS Gothic" w:hAnsi="Arial Narrow"/>
      <w:sz w:val="18"/>
      <w:lang w:val="en-US" w:eastAsia="en-US" w:bidi="ar-SA"/>
    </w:rPr>
  </w:style>
  <w:style w:type="character" w:styleId="FollowedHyperlink">
    <w:name w:val="FollowedHyperlink"/>
    <w:rsid w:val="00CF7724"/>
    <w:rPr>
      <w:color w:val="800080"/>
      <w:u w:val="single"/>
    </w:rPr>
  </w:style>
  <w:style w:type="paragraph" w:styleId="BodyText2">
    <w:name w:val="Body Text 2"/>
    <w:basedOn w:val="Normal"/>
    <w:link w:val="BodyText2Char"/>
    <w:uiPriority w:val="99"/>
    <w:unhideWhenUsed/>
    <w:rsid w:val="00BC364A"/>
    <w:pPr>
      <w:spacing w:after="120" w:line="480" w:lineRule="auto"/>
    </w:pPr>
  </w:style>
  <w:style w:type="character" w:customStyle="1" w:styleId="BodyText2Char">
    <w:name w:val="Body Text 2 Char"/>
    <w:link w:val="BodyText2"/>
    <w:uiPriority w:val="99"/>
    <w:rsid w:val="00BC364A"/>
    <w:rPr>
      <w:rFonts w:ascii="Times New Roman" w:eastAsia="MS Mincho" w:hAnsi="Times New Roman" w:cs="Times New Roman"/>
      <w:color w:val="000000"/>
      <w:sz w:val="24"/>
      <w:szCs w:val="24"/>
      <w:lang w:val="en-US"/>
    </w:rPr>
  </w:style>
  <w:style w:type="paragraph" w:customStyle="1" w:styleId="wcpTableColHeader">
    <w:name w:val="wcp_TableColHeader"/>
    <w:basedOn w:val="Normal"/>
    <w:rsid w:val="000911AA"/>
    <w:pPr>
      <w:keepNext/>
      <w:spacing w:before="120" w:after="120"/>
      <w:jc w:val="center"/>
    </w:pPr>
    <w:rPr>
      <w:rFonts w:eastAsia="Times New Roman"/>
      <w:b/>
      <w:color w:val="auto"/>
      <w:sz w:val="22"/>
      <w:szCs w:val="20"/>
    </w:rPr>
  </w:style>
  <w:style w:type="character" w:customStyle="1" w:styleId="apple-converted-space">
    <w:name w:val="apple-converted-space"/>
    <w:basedOn w:val="DefaultParagraphFont"/>
    <w:rsid w:val="00CA73C2"/>
  </w:style>
  <w:style w:type="character" w:customStyle="1" w:styleId="TblTextCenterChar">
    <w:name w:val="Tbl Text Center Char"/>
    <w:link w:val="TblTextCenter"/>
    <w:locked/>
    <w:rsid w:val="00105E09"/>
    <w:rPr>
      <w:rFonts w:ascii="Arial Narrow" w:eastAsia="MS Gothic" w:hAnsi="Arial Narrow"/>
      <w:lang w:val="en-US" w:eastAsia="en-US"/>
    </w:rPr>
  </w:style>
  <w:style w:type="character" w:customStyle="1" w:styleId="TblFigFootnoteChar1">
    <w:name w:val="Tbl Fig Footnote Char1"/>
    <w:link w:val="TblFigFootnote"/>
    <w:locked/>
    <w:rsid w:val="00105E09"/>
    <w:rPr>
      <w:rFonts w:ascii="Arial Narrow" w:eastAsia="MS Gothic" w:hAnsi="Arial Narrow"/>
      <w:sz w:val="18"/>
      <w:lang w:val="en-US" w:eastAsia="en-US"/>
    </w:rPr>
  </w:style>
  <w:style w:type="character" w:customStyle="1" w:styleId="TblHeadingCenterChar">
    <w:name w:val="Tbl Heading Center Char"/>
    <w:link w:val="TblHeadingCenter"/>
    <w:rsid w:val="00105E09"/>
    <w:rPr>
      <w:rFonts w:ascii="Arial" w:eastAsia="MS Gothic" w:hAnsi="Arial" w:cs="Arial"/>
      <w:b/>
      <w:noProof/>
      <w:lang w:val="de-DE" w:eastAsia="en-US"/>
    </w:rPr>
  </w:style>
  <w:style w:type="paragraph" w:styleId="NoSpacing">
    <w:name w:val="No Spacing"/>
    <w:uiPriority w:val="1"/>
    <w:qFormat/>
    <w:rsid w:val="00E50389"/>
    <w:rPr>
      <w:sz w:val="22"/>
      <w:szCs w:val="22"/>
      <w:lang w:val="en-US" w:eastAsia="en-US"/>
    </w:rPr>
  </w:style>
  <w:style w:type="paragraph" w:styleId="CommentSubject">
    <w:name w:val="annotation subject"/>
    <w:basedOn w:val="CommentText"/>
    <w:next w:val="CommentText"/>
    <w:link w:val="CommentSubjectChar"/>
    <w:uiPriority w:val="99"/>
    <w:semiHidden/>
    <w:unhideWhenUsed/>
    <w:rsid w:val="000F1E6B"/>
    <w:rPr>
      <w:rFonts w:ascii="Times New Roman" w:hAnsi="Times New Roman"/>
      <w:b/>
      <w:bCs/>
    </w:rPr>
  </w:style>
  <w:style w:type="character" w:customStyle="1" w:styleId="CommentSubjectChar">
    <w:name w:val="Comment Subject Char"/>
    <w:link w:val="CommentSubject"/>
    <w:uiPriority w:val="99"/>
    <w:semiHidden/>
    <w:rsid w:val="000F1E6B"/>
    <w:rPr>
      <w:rFonts w:ascii="Times New Roman" w:eastAsia="MS Mincho" w:hAnsi="Times New Roman"/>
      <w:b/>
      <w:bCs/>
      <w:color w:val="000000"/>
      <w:sz w:val="20"/>
      <w:szCs w:val="20"/>
      <w:lang w:val="en-US" w:eastAsia="en-US"/>
    </w:rPr>
  </w:style>
  <w:style w:type="table" w:styleId="TableGrid">
    <w:name w:val="Table Grid"/>
    <w:basedOn w:val="TableNormal"/>
    <w:uiPriority w:val="59"/>
    <w:rsid w:val="00F74E06"/>
    <w:rPr>
      <w:rFonts w:ascii="Times New Roman" w:eastAsia="Cambria" w:hAnsi="Times New Roman"/>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1">
      <w:bodyDiv w:val="1"/>
      <w:marLeft w:val="0"/>
      <w:marRight w:val="0"/>
      <w:marTop w:val="0"/>
      <w:marBottom w:val="0"/>
      <w:divBdr>
        <w:top w:val="none" w:sz="0" w:space="0" w:color="auto"/>
        <w:left w:val="none" w:sz="0" w:space="0" w:color="auto"/>
        <w:bottom w:val="none" w:sz="0" w:space="0" w:color="auto"/>
        <w:right w:val="none" w:sz="0" w:space="0" w:color="auto"/>
      </w:divBdr>
    </w:div>
    <w:div w:id="23672858">
      <w:bodyDiv w:val="1"/>
      <w:marLeft w:val="0"/>
      <w:marRight w:val="0"/>
      <w:marTop w:val="0"/>
      <w:marBottom w:val="0"/>
      <w:divBdr>
        <w:top w:val="none" w:sz="0" w:space="0" w:color="auto"/>
        <w:left w:val="none" w:sz="0" w:space="0" w:color="auto"/>
        <w:bottom w:val="none" w:sz="0" w:space="0" w:color="auto"/>
        <w:right w:val="none" w:sz="0" w:space="0" w:color="auto"/>
      </w:divBdr>
    </w:div>
    <w:div w:id="25642540">
      <w:bodyDiv w:val="1"/>
      <w:marLeft w:val="0"/>
      <w:marRight w:val="0"/>
      <w:marTop w:val="0"/>
      <w:marBottom w:val="0"/>
      <w:divBdr>
        <w:top w:val="none" w:sz="0" w:space="0" w:color="auto"/>
        <w:left w:val="none" w:sz="0" w:space="0" w:color="auto"/>
        <w:bottom w:val="none" w:sz="0" w:space="0" w:color="auto"/>
        <w:right w:val="none" w:sz="0" w:space="0" w:color="auto"/>
      </w:divBdr>
    </w:div>
    <w:div w:id="289365527">
      <w:bodyDiv w:val="1"/>
      <w:marLeft w:val="0"/>
      <w:marRight w:val="0"/>
      <w:marTop w:val="0"/>
      <w:marBottom w:val="0"/>
      <w:divBdr>
        <w:top w:val="none" w:sz="0" w:space="0" w:color="auto"/>
        <w:left w:val="none" w:sz="0" w:space="0" w:color="auto"/>
        <w:bottom w:val="none" w:sz="0" w:space="0" w:color="auto"/>
        <w:right w:val="none" w:sz="0" w:space="0" w:color="auto"/>
      </w:divBdr>
    </w:div>
    <w:div w:id="318658512">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
    <w:div w:id="1029184497">
      <w:bodyDiv w:val="1"/>
      <w:marLeft w:val="0"/>
      <w:marRight w:val="0"/>
      <w:marTop w:val="0"/>
      <w:marBottom w:val="0"/>
      <w:divBdr>
        <w:top w:val="none" w:sz="0" w:space="0" w:color="auto"/>
        <w:left w:val="none" w:sz="0" w:space="0" w:color="auto"/>
        <w:bottom w:val="none" w:sz="0" w:space="0" w:color="auto"/>
        <w:right w:val="none" w:sz="0" w:space="0" w:color="auto"/>
      </w:divBdr>
    </w:div>
    <w:div w:id="1407998879">
      <w:bodyDiv w:val="1"/>
      <w:marLeft w:val="0"/>
      <w:marRight w:val="0"/>
      <w:marTop w:val="0"/>
      <w:marBottom w:val="0"/>
      <w:divBdr>
        <w:top w:val="none" w:sz="0" w:space="0" w:color="auto"/>
        <w:left w:val="none" w:sz="0" w:space="0" w:color="auto"/>
        <w:bottom w:val="none" w:sz="0" w:space="0" w:color="auto"/>
        <w:right w:val="none" w:sz="0" w:space="0" w:color="auto"/>
      </w:divBdr>
    </w:div>
    <w:div w:id="141663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ga.gov.au/reporting-problems" TargetMode="External"/><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E9EF-6C6C-44E6-94EA-5498C3EE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10149</Words>
  <Characters>57243</Characters>
  <Application>Microsoft Office Word</Application>
  <DocSecurity>0</DocSecurity>
  <Lines>2044</Lines>
  <Paragraphs>1295</Paragraphs>
  <ScaleCrop>false</ScaleCrop>
  <HeadingPairs>
    <vt:vector size="2" baseType="variant">
      <vt:variant>
        <vt:lpstr>Title</vt:lpstr>
      </vt:variant>
      <vt:variant>
        <vt:i4>1</vt:i4>
      </vt:variant>
    </vt:vector>
  </HeadingPairs>
  <TitlesOfParts>
    <vt:vector size="1" baseType="lpstr">
      <vt:lpstr>Attachment: Product Information: Sarilumab (rch)</vt:lpstr>
    </vt:vector>
  </TitlesOfParts>
  <Company>Therapeutic Goods Administration</Company>
  <LinksUpToDate>false</LinksUpToDate>
  <CharactersWithSpaces>66097</CharactersWithSpaces>
  <SharedDoc>false</SharedDoc>
  <HLinks>
    <vt:vector size="12" baseType="variant">
      <vt:variant>
        <vt:i4>5898317</vt:i4>
      </vt:variant>
      <vt:variant>
        <vt:i4>123</vt:i4>
      </vt:variant>
      <vt:variant>
        <vt:i4>0</vt:i4>
      </vt:variant>
      <vt:variant>
        <vt:i4>5</vt:i4>
      </vt:variant>
      <vt:variant>
        <vt:lpwstr>http://www.tga.gov.au/reporting-problems</vt:lpwstr>
      </vt:variant>
      <vt:variant>
        <vt:lpwstr/>
      </vt:variant>
      <vt:variant>
        <vt:i4>5898317</vt:i4>
      </vt:variant>
      <vt:variant>
        <vt:i4>0</vt:i4>
      </vt:variant>
      <vt:variant>
        <vt:i4>0</vt:i4>
      </vt:variant>
      <vt:variant>
        <vt:i4>5</vt:i4>
      </vt:variant>
      <vt:variant>
        <vt:lpwstr>http://www.tga.gov.au/reporting-problems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Sarilumab (rch)</dc:title>
  <dc:subject>prescription medicines</dc:subject>
  <cp:keywords>AusPARs</cp:keywords>
  <cp:lastPrinted>2017-09-05T04:25:00Z</cp:lastPrinted>
  <dcterms:created xsi:type="dcterms:W3CDTF">2019-06-24T03:29:00Z</dcterms:created>
  <dcterms:modified xsi:type="dcterms:W3CDTF">2019-06-24T03:29:00Z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y fmtid="{D5CDD505-2E9C-101B-9397-08002B2CF9AE}" pid="7" name="https">
    <vt:lpwstr>1</vt:lpwstr>
  </property>
  <property fmtid="{D5CDD505-2E9C-101B-9397-08002B2CF9AE}" pid="8" name="Custom1">
    <vt:lpwstr/>
  </property>
  <property fmtid="{D5CDD505-2E9C-101B-9397-08002B2CF9AE}" pid="9" name="Custom2">
    <vt:lpwstr/>
  </property>
  <property fmtid="{D5CDD505-2E9C-101B-9397-08002B2CF9AE}" pid="10" name="Custom3">
    <vt:lpwstr/>
  </property>
  <property fmtid="{D5CDD505-2E9C-101B-9397-08002B2CF9AE}" pid="11" name="Custom4">
    <vt:lpwstr/>
  </property>
</Properties>
</file>