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horzAnchor="margin" w:tblpY="9863"/>
        <w:tblOverlap w:val="never"/>
        <w:tblW w:w="36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52"/>
      </w:tblGrid>
      <w:tr w:rsidR="008E7846" w:rsidRPr="00487162" w:rsidTr="00BF1190">
        <w:trPr>
          <w:trHeight w:val="1863"/>
        </w:trPr>
        <w:tc>
          <w:tcPr>
            <w:tcW w:w="3652" w:type="dxa"/>
            <w:tcBorders>
              <w:top w:val="nil"/>
              <w:left w:val="nil"/>
              <w:bottom w:val="nil"/>
              <w:right w:val="nil"/>
            </w:tcBorders>
          </w:tcPr>
          <w:p w:rsidR="008E7846" w:rsidRPr="00096AA7" w:rsidRDefault="001D4F25" w:rsidP="00624646">
            <w:pPr>
              <w:rPr>
                <w:rFonts w:ascii="Arial" w:hAnsi="Arial" w:cs="Arial"/>
                <w:b/>
                <w:color w:val="002C47"/>
                <w:sz w:val="36"/>
                <w:szCs w:val="36"/>
              </w:rPr>
            </w:pPr>
            <w:r>
              <w:rPr>
                <w:rFonts w:ascii="Arial" w:hAnsi="Arial" w:cs="Arial"/>
                <w:b/>
                <w:color w:val="002C47"/>
                <w:sz w:val="36"/>
                <w:szCs w:val="36"/>
              </w:rPr>
              <w:t>April 2019</w:t>
            </w:r>
          </w:p>
        </w:tc>
      </w:tr>
    </w:tbl>
    <w:tbl>
      <w:tblPr>
        <w:tblpPr w:leftFromText="180" w:rightFromText="180" w:vertAnchor="page" w:tblpY="3316"/>
        <w:tblW w:w="9079" w:type="dxa"/>
        <w:tblLayout w:type="fixed"/>
        <w:tblLook w:val="04A0" w:firstRow="1" w:lastRow="0" w:firstColumn="1" w:lastColumn="0" w:noHBand="0" w:noVBand="1"/>
      </w:tblPr>
      <w:tblGrid>
        <w:gridCol w:w="9079"/>
      </w:tblGrid>
      <w:tr w:rsidR="0032583B" w:rsidRPr="00A964D1" w:rsidTr="0032583B">
        <w:trPr>
          <w:trHeight w:val="868"/>
        </w:trPr>
        <w:tc>
          <w:tcPr>
            <w:tcW w:w="9079" w:type="dxa"/>
          </w:tcPr>
          <w:p w:rsidR="0032583B" w:rsidRPr="00624646" w:rsidRDefault="0032583B" w:rsidP="00624646">
            <w:pPr>
              <w:pStyle w:val="Title"/>
              <w:rPr>
                <w:color w:val="FFFFFF" w:themeColor="background1"/>
              </w:rPr>
            </w:pPr>
            <w:r w:rsidRPr="00624646">
              <w:rPr>
                <w:color w:val="FFFFFF" w:themeColor="background1"/>
              </w:rPr>
              <w:t xml:space="preserve">Australian Public Assessment Report for </w:t>
            </w:r>
            <w:r w:rsidR="00624646" w:rsidRPr="00624646">
              <w:rPr>
                <w:color w:val="FFFFFF" w:themeColor="background1"/>
              </w:rPr>
              <w:t>Sarilumab (rch)</w:t>
            </w:r>
          </w:p>
        </w:tc>
      </w:tr>
      <w:tr w:rsidR="0032583B" w:rsidRPr="00B64760" w:rsidTr="0032583B">
        <w:tc>
          <w:tcPr>
            <w:tcW w:w="9079" w:type="dxa"/>
          </w:tcPr>
          <w:p w:rsidR="0032583B" w:rsidRPr="00624646" w:rsidRDefault="0032583B" w:rsidP="00624646">
            <w:pPr>
              <w:pStyle w:val="Subtitle"/>
              <w:rPr>
                <w:color w:val="FFFFFF" w:themeColor="background1"/>
              </w:rPr>
            </w:pPr>
            <w:r w:rsidRPr="00624646">
              <w:rPr>
                <w:color w:val="FFFFFF" w:themeColor="background1"/>
              </w:rPr>
              <w:t xml:space="preserve">Proprietary Product Name: </w:t>
            </w:r>
            <w:r w:rsidR="00624646" w:rsidRPr="00624646">
              <w:rPr>
                <w:color w:val="FFFFFF" w:themeColor="background1"/>
              </w:rPr>
              <w:t>Kevzara</w:t>
            </w:r>
          </w:p>
        </w:tc>
      </w:tr>
      <w:tr w:rsidR="0032583B" w:rsidRPr="00B64760" w:rsidTr="0032583B">
        <w:trPr>
          <w:trHeight w:val="486"/>
        </w:trPr>
        <w:tc>
          <w:tcPr>
            <w:tcW w:w="9079" w:type="dxa"/>
          </w:tcPr>
          <w:p w:rsidR="0032583B" w:rsidRPr="00624646" w:rsidRDefault="0032583B" w:rsidP="00624646">
            <w:pPr>
              <w:autoSpaceDE w:val="0"/>
              <w:autoSpaceDN w:val="0"/>
              <w:adjustRightInd w:val="0"/>
              <w:spacing w:before="0" w:after="0" w:line="240" w:lineRule="auto"/>
              <w:rPr>
                <w:rFonts w:ascii="Arial" w:hAnsi="Arial" w:cs="Arial"/>
                <w:color w:val="FFFFFF" w:themeColor="background1"/>
                <w:sz w:val="40"/>
                <w:szCs w:val="40"/>
              </w:rPr>
            </w:pPr>
            <w:r w:rsidRPr="00624646">
              <w:rPr>
                <w:rFonts w:ascii="Arial" w:hAnsi="Arial" w:cs="Arial"/>
                <w:color w:val="FFFFFF" w:themeColor="background1"/>
                <w:sz w:val="40"/>
                <w:szCs w:val="40"/>
              </w:rPr>
              <w:t xml:space="preserve">Sponsor: </w:t>
            </w:r>
            <w:r w:rsidR="00624646" w:rsidRPr="00624646">
              <w:rPr>
                <w:rFonts w:ascii="Arial" w:eastAsiaTheme="minorHAnsi" w:hAnsi="Arial" w:cs="Arial"/>
                <w:color w:val="FFFFFF" w:themeColor="background1"/>
                <w:sz w:val="40"/>
                <w:szCs w:val="40"/>
              </w:rPr>
              <w:t>Sanofi-Aventis Australia Pty Ltd</w:t>
            </w:r>
          </w:p>
        </w:tc>
      </w:tr>
    </w:tbl>
    <w:p w:rsidR="008E7846" w:rsidRPr="0085156D" w:rsidRDefault="008E7846" w:rsidP="0085156D">
      <w:r w:rsidRPr="0085156D">
        <w:br w:type="page"/>
      </w:r>
    </w:p>
    <w:p w:rsidR="008E7846" w:rsidRPr="001F6CBA" w:rsidRDefault="008E7846" w:rsidP="008E7846">
      <w:pPr>
        <w:pStyle w:val="NonTOCHeading2"/>
      </w:pPr>
      <w:r w:rsidRPr="001F6CBA">
        <w:lastRenderedPageBreak/>
        <w:t>About the Therapeutic Goods Administration (TGA)</w:t>
      </w:r>
    </w:p>
    <w:p w:rsidR="008E7846" w:rsidRDefault="008E7846" w:rsidP="00F2151A">
      <w:pPr>
        <w:pStyle w:val="ListBullet"/>
        <w:numPr>
          <w:ilvl w:val="0"/>
          <w:numId w:val="1"/>
        </w:numPr>
        <w:ind w:left="357" w:hanging="357"/>
      </w:pPr>
      <w:r>
        <w:t xml:space="preserve">The Therapeutic Goods Administration (TGA) is </w:t>
      </w:r>
      <w:r w:rsidR="00E624A5">
        <w:t xml:space="preserve">part </w:t>
      </w:r>
      <w:r>
        <w:t>of the Australian Government Department of Health and is responsible for regulating medicines and medical devices.</w:t>
      </w:r>
    </w:p>
    <w:p w:rsidR="008E7846" w:rsidRDefault="00C80137" w:rsidP="00F2151A">
      <w:pPr>
        <w:pStyle w:val="ListBullet"/>
        <w:numPr>
          <w:ilvl w:val="0"/>
          <w:numId w:val="1"/>
        </w:numPr>
        <w:ind w:left="357" w:hanging="357"/>
      </w:pPr>
      <w:r>
        <w:t xml:space="preserve">The </w:t>
      </w:r>
      <w:r w:rsidR="008E7846">
        <w:t xml:space="preserve">TGA administers the </w:t>
      </w:r>
      <w:r w:rsidR="008E7846" w:rsidRPr="00F640B6">
        <w:rPr>
          <w:i/>
        </w:rPr>
        <w:t>Therapeutic Goods Act 1989</w:t>
      </w:r>
      <w:r w:rsidR="00785717">
        <w:rPr>
          <w:i/>
        </w:rPr>
        <w:t xml:space="preserve"> </w:t>
      </w:r>
      <w:r w:rsidR="00785717" w:rsidRPr="00785717">
        <w:t>(the Act)</w:t>
      </w:r>
      <w:r w:rsidR="008E7846" w:rsidRPr="00785717">
        <w:t>,</w:t>
      </w:r>
      <w:r w:rsidR="008E7846">
        <w:t xml:space="preserve"> applying a risk management approach designed to ensure therapeutic goods supplied in Australia meet acceptable standards of quality, safety and efficacy (performance) when necessary.</w:t>
      </w:r>
    </w:p>
    <w:p w:rsidR="008E7846" w:rsidRDefault="008E7846" w:rsidP="00F2151A">
      <w:pPr>
        <w:pStyle w:val="ListBullet"/>
        <w:numPr>
          <w:ilvl w:val="0"/>
          <w:numId w:val="1"/>
        </w:numPr>
        <w:ind w:left="357" w:hanging="357"/>
      </w:pPr>
      <w:r>
        <w:t>The work of the TGA is based on applying scientific and clinical expertise to decision-making, to ensure that the benefits to consumers outweigh any risks associated with the use of medicines and medical devices.</w:t>
      </w:r>
    </w:p>
    <w:p w:rsidR="008E7846" w:rsidRDefault="008E7846" w:rsidP="00F2151A">
      <w:pPr>
        <w:pStyle w:val="ListBullet"/>
        <w:numPr>
          <w:ilvl w:val="0"/>
          <w:numId w:val="1"/>
        </w:numPr>
        <w:ind w:left="357" w:hanging="357"/>
      </w:pPr>
      <w:r>
        <w:t>The TGA relies on the public, healthcare professionals and industry to report problems with medicines or medical devices. TGA investigates reports received by it to determine any necessary regulatory action.</w:t>
      </w:r>
    </w:p>
    <w:p w:rsidR="00441C3F" w:rsidRDefault="008E7846" w:rsidP="00F2151A">
      <w:pPr>
        <w:pStyle w:val="ListBullet"/>
        <w:numPr>
          <w:ilvl w:val="0"/>
          <w:numId w:val="1"/>
        </w:numPr>
        <w:ind w:left="357" w:hanging="357"/>
      </w:pPr>
      <w:r>
        <w:t xml:space="preserve">To report a problem with a medicine or medical device, please see the information on </w:t>
      </w:r>
      <w:r w:rsidR="00441C3F">
        <w:t>the TGA website &lt;</w:t>
      </w:r>
      <w:hyperlink r:id="rId9" w:history="1">
        <w:r w:rsidR="00441C3F">
          <w:rPr>
            <w:rStyle w:val="Hyperlink"/>
          </w:rPr>
          <w:t>https://www.tga.gov.au</w:t>
        </w:r>
      </w:hyperlink>
      <w:proofErr w:type="gramStart"/>
      <w:r w:rsidR="00DD5BCE">
        <w:t xml:space="preserve">&gt; </w:t>
      </w:r>
      <w:r w:rsidR="00441C3F">
        <w:t>.</w:t>
      </w:r>
      <w:proofErr w:type="gramEnd"/>
    </w:p>
    <w:p w:rsidR="008E7846" w:rsidRDefault="008E7846" w:rsidP="00875A6B">
      <w:pPr>
        <w:pStyle w:val="NonTOCHeading2"/>
      </w:pPr>
      <w:r>
        <w:t xml:space="preserve">About </w:t>
      </w:r>
      <w:proofErr w:type="spellStart"/>
      <w:r>
        <w:t>AusPARs</w:t>
      </w:r>
      <w:proofErr w:type="spellEnd"/>
    </w:p>
    <w:p w:rsidR="008E7846" w:rsidRDefault="008E7846" w:rsidP="00F2151A">
      <w:pPr>
        <w:pStyle w:val="ListBullet"/>
        <w:numPr>
          <w:ilvl w:val="0"/>
          <w:numId w:val="1"/>
        </w:numPr>
        <w:ind w:left="357" w:hanging="357"/>
      </w:pPr>
      <w:r>
        <w:t>An Australian Public Assessment Re</w:t>
      </w:r>
      <w:r w:rsidR="00133A1B">
        <w:t>port</w:t>
      </w:r>
      <w:r>
        <w:t xml:space="preserve"> (AusPAR) provides information about the evaluation of a prescription medicine and the considerations that led the TGA to approve or not approve a pr</w:t>
      </w:r>
      <w:r w:rsidR="00441C3F">
        <w:t>escription medicine submission.</w:t>
      </w:r>
    </w:p>
    <w:p w:rsidR="008E7846" w:rsidRDefault="008E7846" w:rsidP="00F2151A">
      <w:pPr>
        <w:pStyle w:val="ListBullet"/>
        <w:numPr>
          <w:ilvl w:val="0"/>
          <w:numId w:val="1"/>
        </w:numPr>
        <w:ind w:left="357" w:hanging="357"/>
      </w:pPr>
      <w:proofErr w:type="spellStart"/>
      <w:r>
        <w:t>AusPARs</w:t>
      </w:r>
      <w:proofErr w:type="spellEnd"/>
      <w:r>
        <w:t xml:space="preserve"> are prepared and published by the TGA.</w:t>
      </w:r>
    </w:p>
    <w:p w:rsidR="008E7846" w:rsidRDefault="008E7846" w:rsidP="00F2151A">
      <w:pPr>
        <w:pStyle w:val="ListBullet"/>
        <w:numPr>
          <w:ilvl w:val="0"/>
          <w:numId w:val="1"/>
        </w:numPr>
        <w:ind w:left="357" w:hanging="357"/>
      </w:pPr>
      <w:r>
        <w:t>An AusPAR is prepared for submissions that relate to new chemical entities, generic medicines, major variations and extensions of indications.</w:t>
      </w:r>
    </w:p>
    <w:p w:rsidR="008E7846" w:rsidRDefault="008E7846" w:rsidP="00F2151A">
      <w:pPr>
        <w:pStyle w:val="ListBullet"/>
        <w:numPr>
          <w:ilvl w:val="0"/>
          <w:numId w:val="1"/>
        </w:numPr>
        <w:ind w:left="357" w:hanging="357"/>
      </w:pPr>
      <w:r>
        <w:t>An AusPAR is a static document</w:t>
      </w:r>
      <w:r w:rsidR="00133A1B">
        <w:t>;</w:t>
      </w:r>
      <w:r>
        <w:t xml:space="preserve"> it provide</w:t>
      </w:r>
      <w:r w:rsidR="00133A1B">
        <w:t>s</w:t>
      </w:r>
      <w:r>
        <w:t xml:space="preserve"> information that relates to a submission at a particular point in time.</w:t>
      </w:r>
    </w:p>
    <w:p w:rsidR="00B452CE" w:rsidRDefault="008E7846" w:rsidP="00F2151A">
      <w:pPr>
        <w:pStyle w:val="ListBullet"/>
        <w:numPr>
          <w:ilvl w:val="0"/>
          <w:numId w:val="1"/>
        </w:numPr>
        <w:ind w:left="357" w:hanging="357"/>
      </w:pPr>
      <w:r>
        <w:t>A new AusPAR will be developed to reflect changes to indications and/or major variations to a prescription medicine subject to evaluation by the TGA.</w:t>
      </w:r>
    </w:p>
    <w:p w:rsidR="00924482" w:rsidRPr="00DF1D7F" w:rsidRDefault="00924482" w:rsidP="00F54B65">
      <w:pPr>
        <w:pStyle w:val="LegalSubheading"/>
        <w:spacing w:before="3120"/>
      </w:pPr>
      <w:r w:rsidRPr="00DF1D7F">
        <w:t>Copyright</w:t>
      </w:r>
    </w:p>
    <w:p w:rsidR="00924482" w:rsidRDefault="00924482" w:rsidP="00924482">
      <w:pPr>
        <w:pStyle w:val="LegalCopy"/>
      </w:pPr>
      <w:r w:rsidRPr="00191B3B">
        <w:rPr>
          <w:rFonts w:cs="Arial"/>
          <w:lang w:val="en-GB"/>
        </w:rPr>
        <w:t>© Comm</w:t>
      </w:r>
      <w:r>
        <w:rPr>
          <w:rFonts w:cs="Arial"/>
          <w:lang w:val="en-GB"/>
        </w:rPr>
        <w:t>onwealth of Australia 201</w:t>
      </w:r>
      <w:r w:rsidR="001D4F25">
        <w:rPr>
          <w:rFonts w:cs="Arial"/>
          <w:lang w:val="en-GB"/>
        </w:rPr>
        <w:t>9</w:t>
      </w:r>
      <w:r w:rsidRPr="00191B3B">
        <w:rPr>
          <w:rFonts w:cs="Arial"/>
          <w:lang w:val="en-GB"/>
        </w:rPr>
        <w:br/>
      </w:r>
      <w:proofErr w:type="gramStart"/>
      <w:r w:rsidRPr="00191B3B">
        <w:rPr>
          <w:rFonts w:cs="Arial"/>
          <w:lang w:val="en-GB"/>
        </w:rPr>
        <w:t>This</w:t>
      </w:r>
      <w:proofErr w:type="gramEnd"/>
      <w:r w:rsidRPr="00191B3B">
        <w:rPr>
          <w:rFonts w:cs="Arial"/>
          <w:lang w:val="en-GB"/>
        </w:rPr>
        <w:t xml:space="preserve">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191B3B">
        <w:rPr>
          <w:rFonts w:cs="Arial"/>
          <w:i/>
          <w:lang w:val="en-GB"/>
        </w:rPr>
        <w:t>Copyright Act 1968</w:t>
      </w:r>
      <w:r w:rsidRPr="00191B3B">
        <w:rPr>
          <w:rFonts w:cs="Arial"/>
          <w:lang w:val="en-GB"/>
        </w:rPr>
        <w:t xml:space="preserve"> or allowed by this copyright notice, all other rights are reserved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t>
      </w:r>
      <w:proofErr w:type="spellStart"/>
      <w:r w:rsidRPr="00191B3B">
        <w:rPr>
          <w:rFonts w:cs="Arial"/>
          <w:lang w:val="en-GB"/>
        </w:rPr>
        <w:t>Woden</w:t>
      </w:r>
      <w:proofErr w:type="spellEnd"/>
      <w:r w:rsidRPr="00191B3B">
        <w:rPr>
          <w:rFonts w:cs="Arial"/>
          <w:lang w:val="en-GB"/>
        </w:rPr>
        <w:t xml:space="preserve"> ACT 2606 or emailed to &lt;</w:t>
      </w:r>
      <w:hyperlink r:id="rId10" w:history="1">
        <w:r w:rsidRPr="00191B3B">
          <w:rPr>
            <w:rStyle w:val="Hyperlink"/>
            <w:rFonts w:cs="Arial"/>
            <w:lang w:val="en-GB"/>
          </w:rPr>
          <w:t>tga.copyright@tga.gov.au</w:t>
        </w:r>
      </w:hyperlink>
      <w:proofErr w:type="gramStart"/>
      <w:r w:rsidR="00DD5BCE">
        <w:rPr>
          <w:rFonts w:cs="Arial"/>
        </w:rPr>
        <w:t xml:space="preserve">&gt; </w:t>
      </w:r>
      <w:r w:rsidRPr="00191B3B">
        <w:rPr>
          <w:rFonts w:cs="Arial"/>
        </w:rPr>
        <w:t>.</w:t>
      </w:r>
      <w:proofErr w:type="gramEnd"/>
    </w:p>
    <w:p w:rsidR="00924482" w:rsidRDefault="00924482" w:rsidP="00924482">
      <w:pPr>
        <w:pStyle w:val="LegalCopy"/>
        <w:sectPr w:rsidR="00924482" w:rsidSect="003D1E62">
          <w:headerReference w:type="default" r:id="rId11"/>
          <w:footerReference w:type="default" r:id="rId12"/>
          <w:headerReference w:type="first" r:id="rId13"/>
          <w:pgSz w:w="11906" w:h="16838" w:code="9"/>
          <w:pgMar w:top="426" w:right="1701" w:bottom="0" w:left="1701" w:header="907" w:footer="142" w:gutter="0"/>
          <w:pgNumType w:fmt="lowerRoman" w:start="1"/>
          <w:cols w:space="708"/>
          <w:titlePg/>
          <w:docGrid w:linePitch="360"/>
        </w:sectPr>
      </w:pPr>
    </w:p>
    <w:bookmarkStart w:id="0" w:name="_Toc247691501" w:displacedByCustomXml="next"/>
    <w:bookmarkStart w:id="1" w:name="_Toc196046425" w:displacedByCustomXml="next"/>
    <w:sdt>
      <w:sdtPr>
        <w:rPr>
          <w:rFonts w:ascii="Cambria" w:hAnsi="Cambria"/>
          <w:b w:val="0"/>
          <w:bCs/>
          <w:sz w:val="22"/>
        </w:rPr>
        <w:id w:val="5618007"/>
        <w:docPartObj>
          <w:docPartGallery w:val="Table of Contents"/>
          <w:docPartUnique/>
        </w:docPartObj>
      </w:sdtPr>
      <w:sdtEndPr>
        <w:rPr>
          <w:b/>
          <w:bCs w:val="0"/>
          <w:sz w:val="25"/>
        </w:rPr>
      </w:sdtEndPr>
      <w:sdtContent>
        <w:p w:rsidR="0089635C" w:rsidRPr="0089635C" w:rsidRDefault="0089635C" w:rsidP="0010788A">
          <w:pPr>
            <w:pStyle w:val="Contents"/>
          </w:pPr>
          <w:r w:rsidRPr="0010788A">
            <w:t>Co</w:t>
          </w:r>
          <w:bookmarkStart w:id="2" w:name="_GoBack"/>
          <w:bookmarkEnd w:id="2"/>
          <w:r w:rsidRPr="0010788A">
            <w:t>ntents</w:t>
          </w:r>
        </w:p>
        <w:p w:rsidR="00661497" w:rsidRDefault="00DB6124">
          <w:pPr>
            <w:pStyle w:val="TOC2"/>
            <w:rPr>
              <w:rFonts w:asciiTheme="minorHAnsi" w:eastAsiaTheme="minorEastAsia" w:hAnsiTheme="minorHAnsi" w:cstheme="minorBidi"/>
              <w:b w:val="0"/>
              <w:noProof/>
              <w:sz w:val="22"/>
              <w:lang w:eastAsia="en-AU"/>
            </w:rPr>
          </w:pPr>
          <w:r>
            <w:fldChar w:fldCharType="begin"/>
          </w:r>
          <w:r w:rsidR="0089635C">
            <w:instrText xml:space="preserve"> TOC \o "1-3" \h \z \u </w:instrText>
          </w:r>
          <w:r>
            <w:fldChar w:fldCharType="separate"/>
          </w:r>
          <w:hyperlink w:anchor="_Toc12272132" w:history="1">
            <w:r w:rsidR="00661497" w:rsidRPr="00EA2C7D">
              <w:rPr>
                <w:rStyle w:val="Hyperlink"/>
                <w:noProof/>
              </w:rPr>
              <w:t>Common abbreviations</w:t>
            </w:r>
            <w:r w:rsidR="00661497">
              <w:rPr>
                <w:noProof/>
                <w:webHidden/>
              </w:rPr>
              <w:tab/>
            </w:r>
            <w:r w:rsidR="00661497">
              <w:rPr>
                <w:noProof/>
                <w:webHidden/>
              </w:rPr>
              <w:fldChar w:fldCharType="begin"/>
            </w:r>
            <w:r w:rsidR="00661497">
              <w:rPr>
                <w:noProof/>
                <w:webHidden/>
              </w:rPr>
              <w:instrText xml:space="preserve"> PAGEREF _Toc12272132 \h </w:instrText>
            </w:r>
            <w:r w:rsidR="00661497">
              <w:rPr>
                <w:noProof/>
                <w:webHidden/>
              </w:rPr>
            </w:r>
            <w:r w:rsidR="00661497">
              <w:rPr>
                <w:noProof/>
                <w:webHidden/>
              </w:rPr>
              <w:fldChar w:fldCharType="separate"/>
            </w:r>
            <w:r w:rsidR="00661497">
              <w:rPr>
                <w:noProof/>
                <w:webHidden/>
              </w:rPr>
              <w:t>5</w:t>
            </w:r>
            <w:r w:rsidR="00661497">
              <w:rPr>
                <w:noProof/>
                <w:webHidden/>
              </w:rPr>
              <w:fldChar w:fldCharType="end"/>
            </w:r>
          </w:hyperlink>
        </w:p>
        <w:p w:rsidR="00661497" w:rsidRDefault="00661497">
          <w:pPr>
            <w:pStyle w:val="TOC2"/>
            <w:rPr>
              <w:rFonts w:asciiTheme="minorHAnsi" w:eastAsiaTheme="minorEastAsia" w:hAnsiTheme="minorHAnsi" w:cstheme="minorBidi"/>
              <w:b w:val="0"/>
              <w:noProof/>
              <w:sz w:val="22"/>
              <w:lang w:eastAsia="en-AU"/>
            </w:rPr>
          </w:pPr>
          <w:hyperlink w:anchor="_Toc12272133" w:history="1">
            <w:r w:rsidRPr="00EA2C7D">
              <w:rPr>
                <w:rStyle w:val="Hyperlink"/>
                <w:noProof/>
              </w:rPr>
              <w:t>I. Introduction to product submission</w:t>
            </w:r>
            <w:r>
              <w:rPr>
                <w:noProof/>
                <w:webHidden/>
              </w:rPr>
              <w:tab/>
            </w:r>
            <w:r>
              <w:rPr>
                <w:noProof/>
                <w:webHidden/>
              </w:rPr>
              <w:fldChar w:fldCharType="begin"/>
            </w:r>
            <w:r>
              <w:rPr>
                <w:noProof/>
                <w:webHidden/>
              </w:rPr>
              <w:instrText xml:space="preserve"> PAGEREF _Toc12272133 \h </w:instrText>
            </w:r>
            <w:r>
              <w:rPr>
                <w:noProof/>
                <w:webHidden/>
              </w:rPr>
            </w:r>
            <w:r>
              <w:rPr>
                <w:noProof/>
                <w:webHidden/>
              </w:rPr>
              <w:fldChar w:fldCharType="separate"/>
            </w:r>
            <w:r>
              <w:rPr>
                <w:noProof/>
                <w:webHidden/>
              </w:rPr>
              <w:t>9</w:t>
            </w:r>
            <w:r>
              <w:rPr>
                <w:noProof/>
                <w:webHidden/>
              </w:rPr>
              <w:fldChar w:fldCharType="end"/>
            </w:r>
          </w:hyperlink>
        </w:p>
        <w:p w:rsidR="00661497" w:rsidRDefault="00661497">
          <w:pPr>
            <w:pStyle w:val="TOC3"/>
            <w:rPr>
              <w:rFonts w:asciiTheme="minorHAnsi" w:eastAsiaTheme="minorEastAsia" w:hAnsiTheme="minorHAnsi" w:cstheme="minorBidi"/>
              <w:noProof/>
              <w:lang w:eastAsia="en-AU"/>
            </w:rPr>
          </w:pPr>
          <w:hyperlink w:anchor="_Toc12272134" w:history="1">
            <w:r w:rsidRPr="00EA2C7D">
              <w:rPr>
                <w:rStyle w:val="Hyperlink"/>
                <w:noProof/>
                <w:lang w:eastAsia="en-AU"/>
              </w:rPr>
              <w:t>Submission details</w:t>
            </w:r>
            <w:r>
              <w:rPr>
                <w:noProof/>
                <w:webHidden/>
              </w:rPr>
              <w:tab/>
            </w:r>
            <w:r>
              <w:rPr>
                <w:noProof/>
                <w:webHidden/>
              </w:rPr>
              <w:fldChar w:fldCharType="begin"/>
            </w:r>
            <w:r>
              <w:rPr>
                <w:noProof/>
                <w:webHidden/>
              </w:rPr>
              <w:instrText xml:space="preserve"> PAGEREF _Toc12272134 \h </w:instrText>
            </w:r>
            <w:r>
              <w:rPr>
                <w:noProof/>
                <w:webHidden/>
              </w:rPr>
            </w:r>
            <w:r>
              <w:rPr>
                <w:noProof/>
                <w:webHidden/>
              </w:rPr>
              <w:fldChar w:fldCharType="separate"/>
            </w:r>
            <w:r>
              <w:rPr>
                <w:noProof/>
                <w:webHidden/>
              </w:rPr>
              <w:t>9</w:t>
            </w:r>
            <w:r>
              <w:rPr>
                <w:noProof/>
                <w:webHidden/>
              </w:rPr>
              <w:fldChar w:fldCharType="end"/>
            </w:r>
          </w:hyperlink>
        </w:p>
        <w:p w:rsidR="00661497" w:rsidRDefault="00661497">
          <w:pPr>
            <w:pStyle w:val="TOC3"/>
            <w:rPr>
              <w:rFonts w:asciiTheme="minorHAnsi" w:eastAsiaTheme="minorEastAsia" w:hAnsiTheme="minorHAnsi" w:cstheme="minorBidi"/>
              <w:noProof/>
              <w:lang w:eastAsia="en-AU"/>
            </w:rPr>
          </w:pPr>
          <w:hyperlink w:anchor="_Toc12272135" w:history="1">
            <w:r w:rsidRPr="00EA2C7D">
              <w:rPr>
                <w:rStyle w:val="Hyperlink"/>
                <w:noProof/>
              </w:rPr>
              <w:t>Product background</w:t>
            </w:r>
            <w:r>
              <w:rPr>
                <w:noProof/>
                <w:webHidden/>
              </w:rPr>
              <w:tab/>
            </w:r>
            <w:r>
              <w:rPr>
                <w:noProof/>
                <w:webHidden/>
              </w:rPr>
              <w:fldChar w:fldCharType="begin"/>
            </w:r>
            <w:r>
              <w:rPr>
                <w:noProof/>
                <w:webHidden/>
              </w:rPr>
              <w:instrText xml:space="preserve"> PAGEREF _Toc12272135 \h </w:instrText>
            </w:r>
            <w:r>
              <w:rPr>
                <w:noProof/>
                <w:webHidden/>
              </w:rPr>
            </w:r>
            <w:r>
              <w:rPr>
                <w:noProof/>
                <w:webHidden/>
              </w:rPr>
              <w:fldChar w:fldCharType="separate"/>
            </w:r>
            <w:r>
              <w:rPr>
                <w:noProof/>
                <w:webHidden/>
              </w:rPr>
              <w:t>9</w:t>
            </w:r>
            <w:r>
              <w:rPr>
                <w:noProof/>
                <w:webHidden/>
              </w:rPr>
              <w:fldChar w:fldCharType="end"/>
            </w:r>
          </w:hyperlink>
        </w:p>
        <w:p w:rsidR="00661497" w:rsidRDefault="00661497">
          <w:pPr>
            <w:pStyle w:val="TOC3"/>
            <w:rPr>
              <w:rFonts w:asciiTheme="minorHAnsi" w:eastAsiaTheme="minorEastAsia" w:hAnsiTheme="minorHAnsi" w:cstheme="minorBidi"/>
              <w:noProof/>
              <w:lang w:eastAsia="en-AU"/>
            </w:rPr>
          </w:pPr>
          <w:hyperlink w:anchor="_Toc12272136" w:history="1">
            <w:r w:rsidRPr="00EA2C7D">
              <w:rPr>
                <w:rStyle w:val="Hyperlink"/>
                <w:noProof/>
              </w:rPr>
              <w:t>Product Information</w:t>
            </w:r>
            <w:r>
              <w:rPr>
                <w:noProof/>
                <w:webHidden/>
              </w:rPr>
              <w:tab/>
            </w:r>
            <w:r>
              <w:rPr>
                <w:noProof/>
                <w:webHidden/>
              </w:rPr>
              <w:fldChar w:fldCharType="begin"/>
            </w:r>
            <w:r>
              <w:rPr>
                <w:noProof/>
                <w:webHidden/>
              </w:rPr>
              <w:instrText xml:space="preserve"> PAGEREF _Toc12272136 \h </w:instrText>
            </w:r>
            <w:r>
              <w:rPr>
                <w:noProof/>
                <w:webHidden/>
              </w:rPr>
            </w:r>
            <w:r>
              <w:rPr>
                <w:noProof/>
                <w:webHidden/>
              </w:rPr>
              <w:fldChar w:fldCharType="separate"/>
            </w:r>
            <w:r>
              <w:rPr>
                <w:noProof/>
                <w:webHidden/>
              </w:rPr>
              <w:t>12</w:t>
            </w:r>
            <w:r>
              <w:rPr>
                <w:noProof/>
                <w:webHidden/>
              </w:rPr>
              <w:fldChar w:fldCharType="end"/>
            </w:r>
          </w:hyperlink>
        </w:p>
        <w:p w:rsidR="00661497" w:rsidRDefault="00661497">
          <w:pPr>
            <w:pStyle w:val="TOC2"/>
            <w:rPr>
              <w:rFonts w:asciiTheme="minorHAnsi" w:eastAsiaTheme="minorEastAsia" w:hAnsiTheme="minorHAnsi" w:cstheme="minorBidi"/>
              <w:b w:val="0"/>
              <w:noProof/>
              <w:sz w:val="22"/>
              <w:lang w:eastAsia="en-AU"/>
            </w:rPr>
          </w:pPr>
          <w:hyperlink w:anchor="_Toc12272137" w:history="1">
            <w:r w:rsidRPr="00EA2C7D">
              <w:rPr>
                <w:rStyle w:val="Hyperlink"/>
                <w:noProof/>
              </w:rPr>
              <w:t>II. Registration time line</w:t>
            </w:r>
            <w:r>
              <w:rPr>
                <w:noProof/>
                <w:webHidden/>
              </w:rPr>
              <w:tab/>
            </w:r>
            <w:r>
              <w:rPr>
                <w:noProof/>
                <w:webHidden/>
              </w:rPr>
              <w:fldChar w:fldCharType="begin"/>
            </w:r>
            <w:r>
              <w:rPr>
                <w:noProof/>
                <w:webHidden/>
              </w:rPr>
              <w:instrText xml:space="preserve"> PAGEREF _Toc12272137 \h </w:instrText>
            </w:r>
            <w:r>
              <w:rPr>
                <w:noProof/>
                <w:webHidden/>
              </w:rPr>
            </w:r>
            <w:r>
              <w:rPr>
                <w:noProof/>
                <w:webHidden/>
              </w:rPr>
              <w:fldChar w:fldCharType="separate"/>
            </w:r>
            <w:r>
              <w:rPr>
                <w:noProof/>
                <w:webHidden/>
              </w:rPr>
              <w:t>12</w:t>
            </w:r>
            <w:r>
              <w:rPr>
                <w:noProof/>
                <w:webHidden/>
              </w:rPr>
              <w:fldChar w:fldCharType="end"/>
            </w:r>
          </w:hyperlink>
        </w:p>
        <w:p w:rsidR="00661497" w:rsidRDefault="00661497">
          <w:pPr>
            <w:pStyle w:val="TOC2"/>
            <w:rPr>
              <w:rFonts w:asciiTheme="minorHAnsi" w:eastAsiaTheme="minorEastAsia" w:hAnsiTheme="minorHAnsi" w:cstheme="minorBidi"/>
              <w:b w:val="0"/>
              <w:noProof/>
              <w:sz w:val="22"/>
              <w:lang w:eastAsia="en-AU"/>
            </w:rPr>
          </w:pPr>
          <w:hyperlink w:anchor="_Toc12272138" w:history="1">
            <w:r w:rsidRPr="00EA2C7D">
              <w:rPr>
                <w:rStyle w:val="Hyperlink"/>
                <w:noProof/>
              </w:rPr>
              <w:t>III. Quality findings</w:t>
            </w:r>
            <w:r>
              <w:rPr>
                <w:noProof/>
                <w:webHidden/>
              </w:rPr>
              <w:tab/>
            </w:r>
            <w:r>
              <w:rPr>
                <w:noProof/>
                <w:webHidden/>
              </w:rPr>
              <w:fldChar w:fldCharType="begin"/>
            </w:r>
            <w:r>
              <w:rPr>
                <w:noProof/>
                <w:webHidden/>
              </w:rPr>
              <w:instrText xml:space="preserve"> PAGEREF _Toc12272138 \h </w:instrText>
            </w:r>
            <w:r>
              <w:rPr>
                <w:noProof/>
                <w:webHidden/>
              </w:rPr>
            </w:r>
            <w:r>
              <w:rPr>
                <w:noProof/>
                <w:webHidden/>
              </w:rPr>
              <w:fldChar w:fldCharType="separate"/>
            </w:r>
            <w:r>
              <w:rPr>
                <w:noProof/>
                <w:webHidden/>
              </w:rPr>
              <w:t>13</w:t>
            </w:r>
            <w:r>
              <w:rPr>
                <w:noProof/>
                <w:webHidden/>
              </w:rPr>
              <w:fldChar w:fldCharType="end"/>
            </w:r>
          </w:hyperlink>
        </w:p>
        <w:p w:rsidR="00661497" w:rsidRDefault="00661497">
          <w:pPr>
            <w:pStyle w:val="TOC3"/>
            <w:rPr>
              <w:rFonts w:asciiTheme="minorHAnsi" w:eastAsiaTheme="minorEastAsia" w:hAnsiTheme="minorHAnsi" w:cstheme="minorBidi"/>
              <w:noProof/>
              <w:lang w:eastAsia="en-AU"/>
            </w:rPr>
          </w:pPr>
          <w:hyperlink w:anchor="_Toc12272139" w:history="1">
            <w:r w:rsidRPr="00EA2C7D">
              <w:rPr>
                <w:rStyle w:val="Hyperlink"/>
                <w:noProof/>
              </w:rPr>
              <w:t>Drug substance (active ingredient)</w:t>
            </w:r>
            <w:r>
              <w:rPr>
                <w:noProof/>
                <w:webHidden/>
              </w:rPr>
              <w:tab/>
            </w:r>
            <w:r>
              <w:rPr>
                <w:noProof/>
                <w:webHidden/>
              </w:rPr>
              <w:fldChar w:fldCharType="begin"/>
            </w:r>
            <w:r>
              <w:rPr>
                <w:noProof/>
                <w:webHidden/>
              </w:rPr>
              <w:instrText xml:space="preserve"> PAGEREF _Toc12272139 \h </w:instrText>
            </w:r>
            <w:r>
              <w:rPr>
                <w:noProof/>
                <w:webHidden/>
              </w:rPr>
            </w:r>
            <w:r>
              <w:rPr>
                <w:noProof/>
                <w:webHidden/>
              </w:rPr>
              <w:fldChar w:fldCharType="separate"/>
            </w:r>
            <w:r>
              <w:rPr>
                <w:noProof/>
                <w:webHidden/>
              </w:rPr>
              <w:t>13</w:t>
            </w:r>
            <w:r>
              <w:rPr>
                <w:noProof/>
                <w:webHidden/>
              </w:rPr>
              <w:fldChar w:fldCharType="end"/>
            </w:r>
          </w:hyperlink>
        </w:p>
        <w:p w:rsidR="00661497" w:rsidRDefault="00661497">
          <w:pPr>
            <w:pStyle w:val="TOC3"/>
            <w:rPr>
              <w:rFonts w:asciiTheme="minorHAnsi" w:eastAsiaTheme="minorEastAsia" w:hAnsiTheme="minorHAnsi" w:cstheme="minorBidi"/>
              <w:noProof/>
              <w:lang w:eastAsia="en-AU"/>
            </w:rPr>
          </w:pPr>
          <w:hyperlink w:anchor="_Toc12272140" w:history="1">
            <w:r w:rsidRPr="00EA2C7D">
              <w:rPr>
                <w:rStyle w:val="Hyperlink"/>
                <w:noProof/>
              </w:rPr>
              <w:t>Drug product</w:t>
            </w:r>
            <w:r>
              <w:rPr>
                <w:noProof/>
                <w:webHidden/>
              </w:rPr>
              <w:tab/>
            </w:r>
            <w:r>
              <w:rPr>
                <w:noProof/>
                <w:webHidden/>
              </w:rPr>
              <w:fldChar w:fldCharType="begin"/>
            </w:r>
            <w:r>
              <w:rPr>
                <w:noProof/>
                <w:webHidden/>
              </w:rPr>
              <w:instrText xml:space="preserve"> PAGEREF _Toc12272140 \h </w:instrText>
            </w:r>
            <w:r>
              <w:rPr>
                <w:noProof/>
                <w:webHidden/>
              </w:rPr>
            </w:r>
            <w:r>
              <w:rPr>
                <w:noProof/>
                <w:webHidden/>
              </w:rPr>
              <w:fldChar w:fldCharType="separate"/>
            </w:r>
            <w:r>
              <w:rPr>
                <w:noProof/>
                <w:webHidden/>
              </w:rPr>
              <w:t>14</w:t>
            </w:r>
            <w:r>
              <w:rPr>
                <w:noProof/>
                <w:webHidden/>
              </w:rPr>
              <w:fldChar w:fldCharType="end"/>
            </w:r>
          </w:hyperlink>
        </w:p>
        <w:p w:rsidR="00661497" w:rsidRDefault="00661497">
          <w:pPr>
            <w:pStyle w:val="TOC3"/>
            <w:rPr>
              <w:rFonts w:asciiTheme="minorHAnsi" w:eastAsiaTheme="minorEastAsia" w:hAnsiTheme="minorHAnsi" w:cstheme="minorBidi"/>
              <w:noProof/>
              <w:lang w:eastAsia="en-AU"/>
            </w:rPr>
          </w:pPr>
          <w:hyperlink w:anchor="_Toc12272141" w:history="1">
            <w:r w:rsidRPr="00EA2C7D">
              <w:rPr>
                <w:rStyle w:val="Hyperlink"/>
                <w:noProof/>
              </w:rPr>
              <w:t>Quality summary and conclusions</w:t>
            </w:r>
            <w:r>
              <w:rPr>
                <w:noProof/>
                <w:webHidden/>
              </w:rPr>
              <w:tab/>
            </w:r>
            <w:r>
              <w:rPr>
                <w:noProof/>
                <w:webHidden/>
              </w:rPr>
              <w:fldChar w:fldCharType="begin"/>
            </w:r>
            <w:r>
              <w:rPr>
                <w:noProof/>
                <w:webHidden/>
              </w:rPr>
              <w:instrText xml:space="preserve"> PAGEREF _Toc12272141 \h </w:instrText>
            </w:r>
            <w:r>
              <w:rPr>
                <w:noProof/>
                <w:webHidden/>
              </w:rPr>
            </w:r>
            <w:r>
              <w:rPr>
                <w:noProof/>
                <w:webHidden/>
              </w:rPr>
              <w:fldChar w:fldCharType="separate"/>
            </w:r>
            <w:r>
              <w:rPr>
                <w:noProof/>
                <w:webHidden/>
              </w:rPr>
              <w:t>15</w:t>
            </w:r>
            <w:r>
              <w:rPr>
                <w:noProof/>
                <w:webHidden/>
              </w:rPr>
              <w:fldChar w:fldCharType="end"/>
            </w:r>
          </w:hyperlink>
        </w:p>
        <w:p w:rsidR="00661497" w:rsidRDefault="00661497">
          <w:pPr>
            <w:pStyle w:val="TOC2"/>
            <w:rPr>
              <w:rFonts w:asciiTheme="minorHAnsi" w:eastAsiaTheme="minorEastAsia" w:hAnsiTheme="minorHAnsi" w:cstheme="minorBidi"/>
              <w:b w:val="0"/>
              <w:noProof/>
              <w:sz w:val="22"/>
              <w:lang w:eastAsia="en-AU"/>
            </w:rPr>
          </w:pPr>
          <w:hyperlink w:anchor="_Toc12272142" w:history="1">
            <w:r w:rsidRPr="00EA2C7D">
              <w:rPr>
                <w:rStyle w:val="Hyperlink"/>
                <w:noProof/>
              </w:rPr>
              <w:t>IV. Nonclinical findings</w:t>
            </w:r>
            <w:r>
              <w:rPr>
                <w:noProof/>
                <w:webHidden/>
              </w:rPr>
              <w:tab/>
            </w:r>
            <w:r>
              <w:rPr>
                <w:noProof/>
                <w:webHidden/>
              </w:rPr>
              <w:fldChar w:fldCharType="begin"/>
            </w:r>
            <w:r>
              <w:rPr>
                <w:noProof/>
                <w:webHidden/>
              </w:rPr>
              <w:instrText xml:space="preserve"> PAGEREF _Toc12272142 \h </w:instrText>
            </w:r>
            <w:r>
              <w:rPr>
                <w:noProof/>
                <w:webHidden/>
              </w:rPr>
            </w:r>
            <w:r>
              <w:rPr>
                <w:noProof/>
                <w:webHidden/>
              </w:rPr>
              <w:fldChar w:fldCharType="separate"/>
            </w:r>
            <w:r>
              <w:rPr>
                <w:noProof/>
                <w:webHidden/>
              </w:rPr>
              <w:t>16</w:t>
            </w:r>
            <w:r>
              <w:rPr>
                <w:noProof/>
                <w:webHidden/>
              </w:rPr>
              <w:fldChar w:fldCharType="end"/>
            </w:r>
          </w:hyperlink>
        </w:p>
        <w:p w:rsidR="00661497" w:rsidRDefault="00661497">
          <w:pPr>
            <w:pStyle w:val="TOC3"/>
            <w:rPr>
              <w:rFonts w:asciiTheme="minorHAnsi" w:eastAsiaTheme="minorEastAsia" w:hAnsiTheme="minorHAnsi" w:cstheme="minorBidi"/>
              <w:noProof/>
              <w:lang w:eastAsia="en-AU"/>
            </w:rPr>
          </w:pPr>
          <w:hyperlink w:anchor="_Toc12272143" w:history="1">
            <w:r w:rsidRPr="00EA2C7D">
              <w:rPr>
                <w:rStyle w:val="Hyperlink"/>
                <w:noProof/>
              </w:rPr>
              <w:t>Introduction</w:t>
            </w:r>
            <w:r>
              <w:rPr>
                <w:noProof/>
                <w:webHidden/>
              </w:rPr>
              <w:tab/>
            </w:r>
            <w:r>
              <w:rPr>
                <w:noProof/>
                <w:webHidden/>
              </w:rPr>
              <w:fldChar w:fldCharType="begin"/>
            </w:r>
            <w:r>
              <w:rPr>
                <w:noProof/>
                <w:webHidden/>
              </w:rPr>
              <w:instrText xml:space="preserve"> PAGEREF _Toc12272143 \h </w:instrText>
            </w:r>
            <w:r>
              <w:rPr>
                <w:noProof/>
                <w:webHidden/>
              </w:rPr>
            </w:r>
            <w:r>
              <w:rPr>
                <w:noProof/>
                <w:webHidden/>
              </w:rPr>
              <w:fldChar w:fldCharType="separate"/>
            </w:r>
            <w:r>
              <w:rPr>
                <w:noProof/>
                <w:webHidden/>
              </w:rPr>
              <w:t>16</w:t>
            </w:r>
            <w:r>
              <w:rPr>
                <w:noProof/>
                <w:webHidden/>
              </w:rPr>
              <w:fldChar w:fldCharType="end"/>
            </w:r>
          </w:hyperlink>
        </w:p>
        <w:p w:rsidR="00661497" w:rsidRDefault="00661497">
          <w:pPr>
            <w:pStyle w:val="TOC3"/>
            <w:rPr>
              <w:rFonts w:asciiTheme="minorHAnsi" w:eastAsiaTheme="minorEastAsia" w:hAnsiTheme="minorHAnsi" w:cstheme="minorBidi"/>
              <w:noProof/>
              <w:lang w:eastAsia="en-AU"/>
            </w:rPr>
          </w:pPr>
          <w:hyperlink w:anchor="_Toc12272144" w:history="1">
            <w:r w:rsidRPr="00EA2C7D">
              <w:rPr>
                <w:rStyle w:val="Hyperlink"/>
                <w:noProof/>
              </w:rPr>
              <w:t>Pharmacology</w:t>
            </w:r>
            <w:r>
              <w:rPr>
                <w:noProof/>
                <w:webHidden/>
              </w:rPr>
              <w:tab/>
            </w:r>
            <w:r>
              <w:rPr>
                <w:noProof/>
                <w:webHidden/>
              </w:rPr>
              <w:fldChar w:fldCharType="begin"/>
            </w:r>
            <w:r>
              <w:rPr>
                <w:noProof/>
                <w:webHidden/>
              </w:rPr>
              <w:instrText xml:space="preserve"> PAGEREF _Toc12272144 \h </w:instrText>
            </w:r>
            <w:r>
              <w:rPr>
                <w:noProof/>
                <w:webHidden/>
              </w:rPr>
            </w:r>
            <w:r>
              <w:rPr>
                <w:noProof/>
                <w:webHidden/>
              </w:rPr>
              <w:fldChar w:fldCharType="separate"/>
            </w:r>
            <w:r>
              <w:rPr>
                <w:noProof/>
                <w:webHidden/>
              </w:rPr>
              <w:t>16</w:t>
            </w:r>
            <w:r>
              <w:rPr>
                <w:noProof/>
                <w:webHidden/>
              </w:rPr>
              <w:fldChar w:fldCharType="end"/>
            </w:r>
          </w:hyperlink>
        </w:p>
        <w:p w:rsidR="00661497" w:rsidRDefault="00661497">
          <w:pPr>
            <w:pStyle w:val="TOC3"/>
            <w:rPr>
              <w:rFonts w:asciiTheme="minorHAnsi" w:eastAsiaTheme="minorEastAsia" w:hAnsiTheme="minorHAnsi" w:cstheme="minorBidi"/>
              <w:noProof/>
              <w:lang w:eastAsia="en-AU"/>
            </w:rPr>
          </w:pPr>
          <w:hyperlink w:anchor="_Toc12272145" w:history="1">
            <w:r w:rsidRPr="00EA2C7D">
              <w:rPr>
                <w:rStyle w:val="Hyperlink"/>
                <w:noProof/>
              </w:rPr>
              <w:t>Pharmacokinetics</w:t>
            </w:r>
            <w:r>
              <w:rPr>
                <w:noProof/>
                <w:webHidden/>
              </w:rPr>
              <w:tab/>
            </w:r>
            <w:r>
              <w:rPr>
                <w:noProof/>
                <w:webHidden/>
              </w:rPr>
              <w:fldChar w:fldCharType="begin"/>
            </w:r>
            <w:r>
              <w:rPr>
                <w:noProof/>
                <w:webHidden/>
              </w:rPr>
              <w:instrText xml:space="preserve"> PAGEREF _Toc12272145 \h </w:instrText>
            </w:r>
            <w:r>
              <w:rPr>
                <w:noProof/>
                <w:webHidden/>
              </w:rPr>
            </w:r>
            <w:r>
              <w:rPr>
                <w:noProof/>
                <w:webHidden/>
              </w:rPr>
              <w:fldChar w:fldCharType="separate"/>
            </w:r>
            <w:r>
              <w:rPr>
                <w:noProof/>
                <w:webHidden/>
              </w:rPr>
              <w:t>19</w:t>
            </w:r>
            <w:r>
              <w:rPr>
                <w:noProof/>
                <w:webHidden/>
              </w:rPr>
              <w:fldChar w:fldCharType="end"/>
            </w:r>
          </w:hyperlink>
        </w:p>
        <w:p w:rsidR="00661497" w:rsidRDefault="00661497">
          <w:pPr>
            <w:pStyle w:val="TOC3"/>
            <w:rPr>
              <w:rFonts w:asciiTheme="minorHAnsi" w:eastAsiaTheme="minorEastAsia" w:hAnsiTheme="minorHAnsi" w:cstheme="minorBidi"/>
              <w:noProof/>
              <w:lang w:eastAsia="en-AU"/>
            </w:rPr>
          </w:pPr>
          <w:hyperlink w:anchor="_Toc12272146" w:history="1">
            <w:r w:rsidRPr="00EA2C7D">
              <w:rPr>
                <w:rStyle w:val="Hyperlink"/>
                <w:noProof/>
              </w:rPr>
              <w:t>Toxicology</w:t>
            </w:r>
            <w:r>
              <w:rPr>
                <w:noProof/>
                <w:webHidden/>
              </w:rPr>
              <w:tab/>
            </w:r>
            <w:r>
              <w:rPr>
                <w:noProof/>
                <w:webHidden/>
              </w:rPr>
              <w:fldChar w:fldCharType="begin"/>
            </w:r>
            <w:r>
              <w:rPr>
                <w:noProof/>
                <w:webHidden/>
              </w:rPr>
              <w:instrText xml:space="preserve"> PAGEREF _Toc12272146 \h </w:instrText>
            </w:r>
            <w:r>
              <w:rPr>
                <w:noProof/>
                <w:webHidden/>
              </w:rPr>
            </w:r>
            <w:r>
              <w:rPr>
                <w:noProof/>
                <w:webHidden/>
              </w:rPr>
              <w:fldChar w:fldCharType="separate"/>
            </w:r>
            <w:r>
              <w:rPr>
                <w:noProof/>
                <w:webHidden/>
              </w:rPr>
              <w:t>20</w:t>
            </w:r>
            <w:r>
              <w:rPr>
                <w:noProof/>
                <w:webHidden/>
              </w:rPr>
              <w:fldChar w:fldCharType="end"/>
            </w:r>
          </w:hyperlink>
        </w:p>
        <w:p w:rsidR="00661497" w:rsidRDefault="00661497">
          <w:pPr>
            <w:pStyle w:val="TOC3"/>
            <w:rPr>
              <w:rFonts w:asciiTheme="minorHAnsi" w:eastAsiaTheme="minorEastAsia" w:hAnsiTheme="minorHAnsi" w:cstheme="minorBidi"/>
              <w:noProof/>
              <w:lang w:eastAsia="en-AU"/>
            </w:rPr>
          </w:pPr>
          <w:hyperlink w:anchor="_Toc12272147" w:history="1">
            <w:r w:rsidRPr="00EA2C7D">
              <w:rPr>
                <w:rStyle w:val="Hyperlink"/>
                <w:noProof/>
              </w:rPr>
              <w:t>Nonclinical summary</w:t>
            </w:r>
            <w:r>
              <w:rPr>
                <w:noProof/>
                <w:webHidden/>
              </w:rPr>
              <w:tab/>
            </w:r>
            <w:r>
              <w:rPr>
                <w:noProof/>
                <w:webHidden/>
              </w:rPr>
              <w:fldChar w:fldCharType="begin"/>
            </w:r>
            <w:r>
              <w:rPr>
                <w:noProof/>
                <w:webHidden/>
              </w:rPr>
              <w:instrText xml:space="preserve"> PAGEREF _Toc12272147 \h </w:instrText>
            </w:r>
            <w:r>
              <w:rPr>
                <w:noProof/>
                <w:webHidden/>
              </w:rPr>
            </w:r>
            <w:r>
              <w:rPr>
                <w:noProof/>
                <w:webHidden/>
              </w:rPr>
              <w:fldChar w:fldCharType="separate"/>
            </w:r>
            <w:r>
              <w:rPr>
                <w:noProof/>
                <w:webHidden/>
              </w:rPr>
              <w:t>28</w:t>
            </w:r>
            <w:r>
              <w:rPr>
                <w:noProof/>
                <w:webHidden/>
              </w:rPr>
              <w:fldChar w:fldCharType="end"/>
            </w:r>
          </w:hyperlink>
        </w:p>
        <w:p w:rsidR="00661497" w:rsidRDefault="00661497">
          <w:pPr>
            <w:pStyle w:val="TOC3"/>
            <w:rPr>
              <w:rFonts w:asciiTheme="minorHAnsi" w:eastAsiaTheme="minorEastAsia" w:hAnsiTheme="minorHAnsi" w:cstheme="minorBidi"/>
              <w:noProof/>
              <w:lang w:eastAsia="en-AU"/>
            </w:rPr>
          </w:pPr>
          <w:hyperlink w:anchor="_Toc12272148" w:history="1">
            <w:r w:rsidRPr="00EA2C7D">
              <w:rPr>
                <w:rStyle w:val="Hyperlink"/>
                <w:noProof/>
              </w:rPr>
              <w:t>Nonclinical conclusions and recommendation</w:t>
            </w:r>
            <w:r>
              <w:rPr>
                <w:noProof/>
                <w:webHidden/>
              </w:rPr>
              <w:tab/>
            </w:r>
            <w:r>
              <w:rPr>
                <w:noProof/>
                <w:webHidden/>
              </w:rPr>
              <w:fldChar w:fldCharType="begin"/>
            </w:r>
            <w:r>
              <w:rPr>
                <w:noProof/>
                <w:webHidden/>
              </w:rPr>
              <w:instrText xml:space="preserve"> PAGEREF _Toc12272148 \h </w:instrText>
            </w:r>
            <w:r>
              <w:rPr>
                <w:noProof/>
                <w:webHidden/>
              </w:rPr>
            </w:r>
            <w:r>
              <w:rPr>
                <w:noProof/>
                <w:webHidden/>
              </w:rPr>
              <w:fldChar w:fldCharType="separate"/>
            </w:r>
            <w:r>
              <w:rPr>
                <w:noProof/>
                <w:webHidden/>
              </w:rPr>
              <w:t>30</w:t>
            </w:r>
            <w:r>
              <w:rPr>
                <w:noProof/>
                <w:webHidden/>
              </w:rPr>
              <w:fldChar w:fldCharType="end"/>
            </w:r>
          </w:hyperlink>
        </w:p>
        <w:p w:rsidR="00661497" w:rsidRDefault="00661497">
          <w:pPr>
            <w:pStyle w:val="TOC2"/>
            <w:rPr>
              <w:rFonts w:asciiTheme="minorHAnsi" w:eastAsiaTheme="minorEastAsia" w:hAnsiTheme="minorHAnsi" w:cstheme="minorBidi"/>
              <w:b w:val="0"/>
              <w:noProof/>
              <w:sz w:val="22"/>
              <w:lang w:eastAsia="en-AU"/>
            </w:rPr>
          </w:pPr>
          <w:hyperlink w:anchor="_Toc12272149" w:history="1">
            <w:r w:rsidRPr="00EA2C7D">
              <w:rPr>
                <w:rStyle w:val="Hyperlink"/>
                <w:noProof/>
              </w:rPr>
              <w:t>V. Clinical findings</w:t>
            </w:r>
            <w:r>
              <w:rPr>
                <w:noProof/>
                <w:webHidden/>
              </w:rPr>
              <w:tab/>
            </w:r>
            <w:r>
              <w:rPr>
                <w:noProof/>
                <w:webHidden/>
              </w:rPr>
              <w:fldChar w:fldCharType="begin"/>
            </w:r>
            <w:r>
              <w:rPr>
                <w:noProof/>
                <w:webHidden/>
              </w:rPr>
              <w:instrText xml:space="preserve"> PAGEREF _Toc12272149 \h </w:instrText>
            </w:r>
            <w:r>
              <w:rPr>
                <w:noProof/>
                <w:webHidden/>
              </w:rPr>
            </w:r>
            <w:r>
              <w:rPr>
                <w:noProof/>
                <w:webHidden/>
              </w:rPr>
              <w:fldChar w:fldCharType="separate"/>
            </w:r>
            <w:r>
              <w:rPr>
                <w:noProof/>
                <w:webHidden/>
              </w:rPr>
              <w:t>31</w:t>
            </w:r>
            <w:r>
              <w:rPr>
                <w:noProof/>
                <w:webHidden/>
              </w:rPr>
              <w:fldChar w:fldCharType="end"/>
            </w:r>
          </w:hyperlink>
        </w:p>
        <w:p w:rsidR="00661497" w:rsidRDefault="00661497">
          <w:pPr>
            <w:pStyle w:val="TOC3"/>
            <w:rPr>
              <w:rFonts w:asciiTheme="minorHAnsi" w:eastAsiaTheme="minorEastAsia" w:hAnsiTheme="minorHAnsi" w:cstheme="minorBidi"/>
              <w:noProof/>
              <w:lang w:eastAsia="en-AU"/>
            </w:rPr>
          </w:pPr>
          <w:hyperlink w:anchor="_Toc12272150" w:history="1">
            <w:r w:rsidRPr="00EA2C7D">
              <w:rPr>
                <w:rStyle w:val="Hyperlink"/>
                <w:noProof/>
              </w:rPr>
              <w:t>Introduction</w:t>
            </w:r>
            <w:r>
              <w:rPr>
                <w:noProof/>
                <w:webHidden/>
              </w:rPr>
              <w:tab/>
            </w:r>
            <w:r>
              <w:rPr>
                <w:noProof/>
                <w:webHidden/>
              </w:rPr>
              <w:fldChar w:fldCharType="begin"/>
            </w:r>
            <w:r>
              <w:rPr>
                <w:noProof/>
                <w:webHidden/>
              </w:rPr>
              <w:instrText xml:space="preserve"> PAGEREF _Toc12272150 \h </w:instrText>
            </w:r>
            <w:r>
              <w:rPr>
                <w:noProof/>
                <w:webHidden/>
              </w:rPr>
            </w:r>
            <w:r>
              <w:rPr>
                <w:noProof/>
                <w:webHidden/>
              </w:rPr>
              <w:fldChar w:fldCharType="separate"/>
            </w:r>
            <w:r>
              <w:rPr>
                <w:noProof/>
                <w:webHidden/>
              </w:rPr>
              <w:t>31</w:t>
            </w:r>
            <w:r>
              <w:rPr>
                <w:noProof/>
                <w:webHidden/>
              </w:rPr>
              <w:fldChar w:fldCharType="end"/>
            </w:r>
          </w:hyperlink>
        </w:p>
        <w:p w:rsidR="00661497" w:rsidRDefault="00661497">
          <w:pPr>
            <w:pStyle w:val="TOC3"/>
            <w:rPr>
              <w:rFonts w:asciiTheme="minorHAnsi" w:eastAsiaTheme="minorEastAsia" w:hAnsiTheme="minorHAnsi" w:cstheme="minorBidi"/>
              <w:noProof/>
              <w:lang w:eastAsia="en-AU"/>
            </w:rPr>
          </w:pPr>
          <w:hyperlink w:anchor="_Toc12272151" w:history="1">
            <w:r w:rsidRPr="00EA2C7D">
              <w:rPr>
                <w:rStyle w:val="Hyperlink"/>
                <w:noProof/>
              </w:rPr>
              <w:t>Pharmacokinetics</w:t>
            </w:r>
            <w:r>
              <w:rPr>
                <w:noProof/>
                <w:webHidden/>
              </w:rPr>
              <w:tab/>
            </w:r>
            <w:r>
              <w:rPr>
                <w:noProof/>
                <w:webHidden/>
              </w:rPr>
              <w:fldChar w:fldCharType="begin"/>
            </w:r>
            <w:r>
              <w:rPr>
                <w:noProof/>
                <w:webHidden/>
              </w:rPr>
              <w:instrText xml:space="preserve"> PAGEREF _Toc12272151 \h </w:instrText>
            </w:r>
            <w:r>
              <w:rPr>
                <w:noProof/>
                <w:webHidden/>
              </w:rPr>
            </w:r>
            <w:r>
              <w:rPr>
                <w:noProof/>
                <w:webHidden/>
              </w:rPr>
              <w:fldChar w:fldCharType="separate"/>
            </w:r>
            <w:r>
              <w:rPr>
                <w:noProof/>
                <w:webHidden/>
              </w:rPr>
              <w:t>33</w:t>
            </w:r>
            <w:r>
              <w:rPr>
                <w:noProof/>
                <w:webHidden/>
              </w:rPr>
              <w:fldChar w:fldCharType="end"/>
            </w:r>
          </w:hyperlink>
        </w:p>
        <w:p w:rsidR="00661497" w:rsidRDefault="00661497">
          <w:pPr>
            <w:pStyle w:val="TOC3"/>
            <w:rPr>
              <w:rFonts w:asciiTheme="minorHAnsi" w:eastAsiaTheme="minorEastAsia" w:hAnsiTheme="minorHAnsi" w:cstheme="minorBidi"/>
              <w:noProof/>
              <w:lang w:eastAsia="en-AU"/>
            </w:rPr>
          </w:pPr>
          <w:hyperlink w:anchor="_Toc12272152" w:history="1">
            <w:r w:rsidRPr="00EA2C7D">
              <w:rPr>
                <w:rStyle w:val="Hyperlink"/>
                <w:noProof/>
              </w:rPr>
              <w:t>Pharmacodynamics</w:t>
            </w:r>
            <w:r>
              <w:rPr>
                <w:noProof/>
                <w:webHidden/>
              </w:rPr>
              <w:tab/>
            </w:r>
            <w:r>
              <w:rPr>
                <w:noProof/>
                <w:webHidden/>
              </w:rPr>
              <w:fldChar w:fldCharType="begin"/>
            </w:r>
            <w:r>
              <w:rPr>
                <w:noProof/>
                <w:webHidden/>
              </w:rPr>
              <w:instrText xml:space="preserve"> PAGEREF _Toc12272152 \h </w:instrText>
            </w:r>
            <w:r>
              <w:rPr>
                <w:noProof/>
                <w:webHidden/>
              </w:rPr>
            </w:r>
            <w:r>
              <w:rPr>
                <w:noProof/>
                <w:webHidden/>
              </w:rPr>
              <w:fldChar w:fldCharType="separate"/>
            </w:r>
            <w:r>
              <w:rPr>
                <w:noProof/>
                <w:webHidden/>
              </w:rPr>
              <w:t>42</w:t>
            </w:r>
            <w:r>
              <w:rPr>
                <w:noProof/>
                <w:webHidden/>
              </w:rPr>
              <w:fldChar w:fldCharType="end"/>
            </w:r>
          </w:hyperlink>
        </w:p>
        <w:p w:rsidR="00661497" w:rsidRDefault="00661497">
          <w:pPr>
            <w:pStyle w:val="TOC3"/>
            <w:rPr>
              <w:rFonts w:asciiTheme="minorHAnsi" w:eastAsiaTheme="minorEastAsia" w:hAnsiTheme="minorHAnsi" w:cstheme="minorBidi"/>
              <w:noProof/>
              <w:lang w:eastAsia="en-AU"/>
            </w:rPr>
          </w:pPr>
          <w:hyperlink w:anchor="_Toc12272153" w:history="1">
            <w:r w:rsidRPr="00EA2C7D">
              <w:rPr>
                <w:rStyle w:val="Hyperlink"/>
                <w:noProof/>
              </w:rPr>
              <w:t>Dosage selection for the pivotal studies</w:t>
            </w:r>
            <w:r>
              <w:rPr>
                <w:noProof/>
                <w:webHidden/>
              </w:rPr>
              <w:tab/>
            </w:r>
            <w:r>
              <w:rPr>
                <w:noProof/>
                <w:webHidden/>
              </w:rPr>
              <w:fldChar w:fldCharType="begin"/>
            </w:r>
            <w:r>
              <w:rPr>
                <w:noProof/>
                <w:webHidden/>
              </w:rPr>
              <w:instrText xml:space="preserve"> PAGEREF _Toc12272153 \h </w:instrText>
            </w:r>
            <w:r>
              <w:rPr>
                <w:noProof/>
                <w:webHidden/>
              </w:rPr>
            </w:r>
            <w:r>
              <w:rPr>
                <w:noProof/>
                <w:webHidden/>
              </w:rPr>
              <w:fldChar w:fldCharType="separate"/>
            </w:r>
            <w:r>
              <w:rPr>
                <w:noProof/>
                <w:webHidden/>
              </w:rPr>
              <w:t>44</w:t>
            </w:r>
            <w:r>
              <w:rPr>
                <w:noProof/>
                <w:webHidden/>
              </w:rPr>
              <w:fldChar w:fldCharType="end"/>
            </w:r>
          </w:hyperlink>
        </w:p>
        <w:p w:rsidR="00661497" w:rsidRDefault="00661497">
          <w:pPr>
            <w:pStyle w:val="TOC3"/>
            <w:rPr>
              <w:rFonts w:asciiTheme="minorHAnsi" w:eastAsiaTheme="minorEastAsia" w:hAnsiTheme="minorHAnsi" w:cstheme="minorBidi"/>
              <w:noProof/>
              <w:lang w:eastAsia="en-AU"/>
            </w:rPr>
          </w:pPr>
          <w:hyperlink w:anchor="_Toc12272154" w:history="1">
            <w:r w:rsidRPr="00EA2C7D">
              <w:rPr>
                <w:rStyle w:val="Hyperlink"/>
                <w:noProof/>
              </w:rPr>
              <w:t>Efficacy</w:t>
            </w:r>
            <w:r>
              <w:rPr>
                <w:noProof/>
                <w:webHidden/>
              </w:rPr>
              <w:tab/>
            </w:r>
            <w:r>
              <w:rPr>
                <w:noProof/>
                <w:webHidden/>
              </w:rPr>
              <w:fldChar w:fldCharType="begin"/>
            </w:r>
            <w:r>
              <w:rPr>
                <w:noProof/>
                <w:webHidden/>
              </w:rPr>
              <w:instrText xml:space="preserve"> PAGEREF _Toc12272154 \h </w:instrText>
            </w:r>
            <w:r>
              <w:rPr>
                <w:noProof/>
                <w:webHidden/>
              </w:rPr>
            </w:r>
            <w:r>
              <w:rPr>
                <w:noProof/>
                <w:webHidden/>
              </w:rPr>
              <w:fldChar w:fldCharType="separate"/>
            </w:r>
            <w:r>
              <w:rPr>
                <w:noProof/>
                <w:webHidden/>
              </w:rPr>
              <w:t>45</w:t>
            </w:r>
            <w:r>
              <w:rPr>
                <w:noProof/>
                <w:webHidden/>
              </w:rPr>
              <w:fldChar w:fldCharType="end"/>
            </w:r>
          </w:hyperlink>
        </w:p>
        <w:p w:rsidR="00661497" w:rsidRDefault="00661497">
          <w:pPr>
            <w:pStyle w:val="TOC3"/>
            <w:rPr>
              <w:rFonts w:asciiTheme="minorHAnsi" w:eastAsiaTheme="minorEastAsia" w:hAnsiTheme="minorHAnsi" w:cstheme="minorBidi"/>
              <w:noProof/>
              <w:lang w:eastAsia="en-AU"/>
            </w:rPr>
          </w:pPr>
          <w:hyperlink w:anchor="_Toc12272155" w:history="1">
            <w:r w:rsidRPr="00EA2C7D">
              <w:rPr>
                <w:rStyle w:val="Hyperlink"/>
                <w:noProof/>
              </w:rPr>
              <w:t>Safety</w:t>
            </w:r>
            <w:r>
              <w:rPr>
                <w:noProof/>
                <w:webHidden/>
              </w:rPr>
              <w:tab/>
            </w:r>
            <w:r>
              <w:rPr>
                <w:noProof/>
                <w:webHidden/>
              </w:rPr>
              <w:fldChar w:fldCharType="begin"/>
            </w:r>
            <w:r>
              <w:rPr>
                <w:noProof/>
                <w:webHidden/>
              </w:rPr>
              <w:instrText xml:space="preserve"> PAGEREF _Toc12272155 \h </w:instrText>
            </w:r>
            <w:r>
              <w:rPr>
                <w:noProof/>
                <w:webHidden/>
              </w:rPr>
            </w:r>
            <w:r>
              <w:rPr>
                <w:noProof/>
                <w:webHidden/>
              </w:rPr>
              <w:fldChar w:fldCharType="separate"/>
            </w:r>
            <w:r>
              <w:rPr>
                <w:noProof/>
                <w:webHidden/>
              </w:rPr>
              <w:t>47</w:t>
            </w:r>
            <w:r>
              <w:rPr>
                <w:noProof/>
                <w:webHidden/>
              </w:rPr>
              <w:fldChar w:fldCharType="end"/>
            </w:r>
          </w:hyperlink>
        </w:p>
        <w:p w:rsidR="00661497" w:rsidRDefault="00661497">
          <w:pPr>
            <w:pStyle w:val="TOC3"/>
            <w:rPr>
              <w:rFonts w:asciiTheme="minorHAnsi" w:eastAsiaTheme="minorEastAsia" w:hAnsiTheme="minorHAnsi" w:cstheme="minorBidi"/>
              <w:noProof/>
              <w:lang w:eastAsia="en-AU"/>
            </w:rPr>
          </w:pPr>
          <w:hyperlink w:anchor="_Toc12272156" w:history="1">
            <w:r w:rsidRPr="00EA2C7D">
              <w:rPr>
                <w:rStyle w:val="Hyperlink"/>
                <w:noProof/>
              </w:rPr>
              <w:t>First round benefit-risk assessment</w:t>
            </w:r>
            <w:r>
              <w:rPr>
                <w:noProof/>
                <w:webHidden/>
              </w:rPr>
              <w:tab/>
            </w:r>
            <w:r>
              <w:rPr>
                <w:noProof/>
                <w:webHidden/>
              </w:rPr>
              <w:fldChar w:fldCharType="begin"/>
            </w:r>
            <w:r>
              <w:rPr>
                <w:noProof/>
                <w:webHidden/>
              </w:rPr>
              <w:instrText xml:space="preserve"> PAGEREF _Toc12272156 \h </w:instrText>
            </w:r>
            <w:r>
              <w:rPr>
                <w:noProof/>
                <w:webHidden/>
              </w:rPr>
            </w:r>
            <w:r>
              <w:rPr>
                <w:noProof/>
                <w:webHidden/>
              </w:rPr>
              <w:fldChar w:fldCharType="separate"/>
            </w:r>
            <w:r>
              <w:rPr>
                <w:noProof/>
                <w:webHidden/>
              </w:rPr>
              <w:t>54</w:t>
            </w:r>
            <w:r>
              <w:rPr>
                <w:noProof/>
                <w:webHidden/>
              </w:rPr>
              <w:fldChar w:fldCharType="end"/>
            </w:r>
          </w:hyperlink>
        </w:p>
        <w:p w:rsidR="00661497" w:rsidRDefault="00661497">
          <w:pPr>
            <w:pStyle w:val="TOC3"/>
            <w:rPr>
              <w:rFonts w:asciiTheme="minorHAnsi" w:eastAsiaTheme="minorEastAsia" w:hAnsiTheme="minorHAnsi" w:cstheme="minorBidi"/>
              <w:noProof/>
              <w:lang w:eastAsia="en-AU"/>
            </w:rPr>
          </w:pPr>
          <w:hyperlink w:anchor="_Toc12272157" w:history="1">
            <w:r w:rsidRPr="00EA2C7D">
              <w:rPr>
                <w:rStyle w:val="Hyperlink"/>
                <w:noProof/>
              </w:rPr>
              <w:t>First round recommendation regarding authorisation</w:t>
            </w:r>
            <w:r>
              <w:rPr>
                <w:noProof/>
                <w:webHidden/>
              </w:rPr>
              <w:tab/>
            </w:r>
            <w:r>
              <w:rPr>
                <w:noProof/>
                <w:webHidden/>
              </w:rPr>
              <w:fldChar w:fldCharType="begin"/>
            </w:r>
            <w:r>
              <w:rPr>
                <w:noProof/>
                <w:webHidden/>
              </w:rPr>
              <w:instrText xml:space="preserve"> PAGEREF _Toc12272157 \h </w:instrText>
            </w:r>
            <w:r>
              <w:rPr>
                <w:noProof/>
                <w:webHidden/>
              </w:rPr>
            </w:r>
            <w:r>
              <w:rPr>
                <w:noProof/>
                <w:webHidden/>
              </w:rPr>
              <w:fldChar w:fldCharType="separate"/>
            </w:r>
            <w:r>
              <w:rPr>
                <w:noProof/>
                <w:webHidden/>
              </w:rPr>
              <w:t>106</w:t>
            </w:r>
            <w:r>
              <w:rPr>
                <w:noProof/>
                <w:webHidden/>
              </w:rPr>
              <w:fldChar w:fldCharType="end"/>
            </w:r>
          </w:hyperlink>
        </w:p>
        <w:p w:rsidR="00661497" w:rsidRDefault="00661497">
          <w:pPr>
            <w:pStyle w:val="TOC3"/>
            <w:rPr>
              <w:rFonts w:asciiTheme="minorHAnsi" w:eastAsiaTheme="minorEastAsia" w:hAnsiTheme="minorHAnsi" w:cstheme="minorBidi"/>
              <w:noProof/>
              <w:lang w:eastAsia="en-AU"/>
            </w:rPr>
          </w:pPr>
          <w:hyperlink w:anchor="_Toc12272158" w:history="1">
            <w:r w:rsidRPr="00EA2C7D">
              <w:rPr>
                <w:rStyle w:val="Hyperlink"/>
                <w:noProof/>
              </w:rPr>
              <w:t>Clinical questions</w:t>
            </w:r>
            <w:r>
              <w:rPr>
                <w:noProof/>
                <w:webHidden/>
              </w:rPr>
              <w:tab/>
            </w:r>
            <w:r>
              <w:rPr>
                <w:noProof/>
                <w:webHidden/>
              </w:rPr>
              <w:fldChar w:fldCharType="begin"/>
            </w:r>
            <w:r>
              <w:rPr>
                <w:noProof/>
                <w:webHidden/>
              </w:rPr>
              <w:instrText xml:space="preserve"> PAGEREF _Toc12272158 \h </w:instrText>
            </w:r>
            <w:r>
              <w:rPr>
                <w:noProof/>
                <w:webHidden/>
              </w:rPr>
            </w:r>
            <w:r>
              <w:rPr>
                <w:noProof/>
                <w:webHidden/>
              </w:rPr>
              <w:fldChar w:fldCharType="separate"/>
            </w:r>
            <w:r>
              <w:rPr>
                <w:noProof/>
                <w:webHidden/>
              </w:rPr>
              <w:t>106</w:t>
            </w:r>
            <w:r>
              <w:rPr>
                <w:noProof/>
                <w:webHidden/>
              </w:rPr>
              <w:fldChar w:fldCharType="end"/>
            </w:r>
          </w:hyperlink>
        </w:p>
        <w:p w:rsidR="00661497" w:rsidRDefault="00661497">
          <w:pPr>
            <w:pStyle w:val="TOC3"/>
            <w:rPr>
              <w:rFonts w:asciiTheme="minorHAnsi" w:eastAsiaTheme="minorEastAsia" w:hAnsiTheme="minorHAnsi" w:cstheme="minorBidi"/>
              <w:noProof/>
              <w:lang w:eastAsia="en-AU"/>
            </w:rPr>
          </w:pPr>
          <w:hyperlink w:anchor="_Toc12272159" w:history="1">
            <w:r w:rsidRPr="00EA2C7D">
              <w:rPr>
                <w:rStyle w:val="Hyperlink"/>
                <w:noProof/>
              </w:rPr>
              <w:t>Second round evaluation</w:t>
            </w:r>
            <w:r>
              <w:rPr>
                <w:noProof/>
                <w:webHidden/>
              </w:rPr>
              <w:tab/>
            </w:r>
            <w:r>
              <w:rPr>
                <w:noProof/>
                <w:webHidden/>
              </w:rPr>
              <w:fldChar w:fldCharType="begin"/>
            </w:r>
            <w:r>
              <w:rPr>
                <w:noProof/>
                <w:webHidden/>
              </w:rPr>
              <w:instrText xml:space="preserve"> PAGEREF _Toc12272159 \h </w:instrText>
            </w:r>
            <w:r>
              <w:rPr>
                <w:noProof/>
                <w:webHidden/>
              </w:rPr>
            </w:r>
            <w:r>
              <w:rPr>
                <w:noProof/>
                <w:webHidden/>
              </w:rPr>
              <w:fldChar w:fldCharType="separate"/>
            </w:r>
            <w:r>
              <w:rPr>
                <w:noProof/>
                <w:webHidden/>
              </w:rPr>
              <w:t>107</w:t>
            </w:r>
            <w:r>
              <w:rPr>
                <w:noProof/>
                <w:webHidden/>
              </w:rPr>
              <w:fldChar w:fldCharType="end"/>
            </w:r>
          </w:hyperlink>
        </w:p>
        <w:p w:rsidR="00661497" w:rsidRDefault="00661497">
          <w:pPr>
            <w:pStyle w:val="TOC3"/>
            <w:rPr>
              <w:rFonts w:asciiTheme="minorHAnsi" w:eastAsiaTheme="minorEastAsia" w:hAnsiTheme="minorHAnsi" w:cstheme="minorBidi"/>
              <w:noProof/>
              <w:lang w:eastAsia="en-AU"/>
            </w:rPr>
          </w:pPr>
          <w:hyperlink w:anchor="_Toc12272160" w:history="1">
            <w:r w:rsidRPr="00EA2C7D">
              <w:rPr>
                <w:rStyle w:val="Hyperlink"/>
                <w:noProof/>
              </w:rPr>
              <w:t>Second round benefit-risk assessment</w:t>
            </w:r>
            <w:r>
              <w:rPr>
                <w:noProof/>
                <w:webHidden/>
              </w:rPr>
              <w:tab/>
            </w:r>
            <w:r>
              <w:rPr>
                <w:noProof/>
                <w:webHidden/>
              </w:rPr>
              <w:fldChar w:fldCharType="begin"/>
            </w:r>
            <w:r>
              <w:rPr>
                <w:noProof/>
                <w:webHidden/>
              </w:rPr>
              <w:instrText xml:space="preserve"> PAGEREF _Toc12272160 \h </w:instrText>
            </w:r>
            <w:r>
              <w:rPr>
                <w:noProof/>
                <w:webHidden/>
              </w:rPr>
            </w:r>
            <w:r>
              <w:rPr>
                <w:noProof/>
                <w:webHidden/>
              </w:rPr>
              <w:fldChar w:fldCharType="separate"/>
            </w:r>
            <w:r>
              <w:rPr>
                <w:noProof/>
                <w:webHidden/>
              </w:rPr>
              <w:t>113</w:t>
            </w:r>
            <w:r>
              <w:rPr>
                <w:noProof/>
                <w:webHidden/>
              </w:rPr>
              <w:fldChar w:fldCharType="end"/>
            </w:r>
          </w:hyperlink>
        </w:p>
        <w:p w:rsidR="00661497" w:rsidRDefault="00661497">
          <w:pPr>
            <w:pStyle w:val="TOC3"/>
            <w:rPr>
              <w:rFonts w:asciiTheme="minorHAnsi" w:eastAsiaTheme="minorEastAsia" w:hAnsiTheme="minorHAnsi" w:cstheme="minorBidi"/>
              <w:noProof/>
              <w:lang w:eastAsia="en-AU"/>
            </w:rPr>
          </w:pPr>
          <w:hyperlink w:anchor="_Toc12272161" w:history="1">
            <w:r w:rsidRPr="00EA2C7D">
              <w:rPr>
                <w:rStyle w:val="Hyperlink"/>
                <w:noProof/>
              </w:rPr>
              <w:t>Second round recommendation regarding authorisation</w:t>
            </w:r>
            <w:r>
              <w:rPr>
                <w:noProof/>
                <w:webHidden/>
              </w:rPr>
              <w:tab/>
            </w:r>
            <w:r>
              <w:rPr>
                <w:noProof/>
                <w:webHidden/>
              </w:rPr>
              <w:fldChar w:fldCharType="begin"/>
            </w:r>
            <w:r>
              <w:rPr>
                <w:noProof/>
                <w:webHidden/>
              </w:rPr>
              <w:instrText xml:space="preserve"> PAGEREF _Toc12272161 \h </w:instrText>
            </w:r>
            <w:r>
              <w:rPr>
                <w:noProof/>
                <w:webHidden/>
              </w:rPr>
            </w:r>
            <w:r>
              <w:rPr>
                <w:noProof/>
                <w:webHidden/>
              </w:rPr>
              <w:fldChar w:fldCharType="separate"/>
            </w:r>
            <w:r>
              <w:rPr>
                <w:noProof/>
                <w:webHidden/>
              </w:rPr>
              <w:t>113</w:t>
            </w:r>
            <w:r>
              <w:rPr>
                <w:noProof/>
                <w:webHidden/>
              </w:rPr>
              <w:fldChar w:fldCharType="end"/>
            </w:r>
          </w:hyperlink>
        </w:p>
        <w:p w:rsidR="00661497" w:rsidRDefault="00661497">
          <w:pPr>
            <w:pStyle w:val="TOC2"/>
            <w:rPr>
              <w:rFonts w:asciiTheme="minorHAnsi" w:eastAsiaTheme="minorEastAsia" w:hAnsiTheme="minorHAnsi" w:cstheme="minorBidi"/>
              <w:b w:val="0"/>
              <w:noProof/>
              <w:sz w:val="22"/>
              <w:lang w:eastAsia="en-AU"/>
            </w:rPr>
          </w:pPr>
          <w:hyperlink w:anchor="_Toc12272162" w:history="1">
            <w:r w:rsidRPr="00EA2C7D">
              <w:rPr>
                <w:rStyle w:val="Hyperlink"/>
                <w:noProof/>
              </w:rPr>
              <w:t>VI. Pharmacovigilance findings</w:t>
            </w:r>
            <w:r>
              <w:rPr>
                <w:noProof/>
                <w:webHidden/>
              </w:rPr>
              <w:tab/>
            </w:r>
            <w:r>
              <w:rPr>
                <w:noProof/>
                <w:webHidden/>
              </w:rPr>
              <w:fldChar w:fldCharType="begin"/>
            </w:r>
            <w:r>
              <w:rPr>
                <w:noProof/>
                <w:webHidden/>
              </w:rPr>
              <w:instrText xml:space="preserve"> PAGEREF _Toc12272162 \h </w:instrText>
            </w:r>
            <w:r>
              <w:rPr>
                <w:noProof/>
                <w:webHidden/>
              </w:rPr>
            </w:r>
            <w:r>
              <w:rPr>
                <w:noProof/>
                <w:webHidden/>
              </w:rPr>
              <w:fldChar w:fldCharType="separate"/>
            </w:r>
            <w:r>
              <w:rPr>
                <w:noProof/>
                <w:webHidden/>
              </w:rPr>
              <w:t>114</w:t>
            </w:r>
            <w:r>
              <w:rPr>
                <w:noProof/>
                <w:webHidden/>
              </w:rPr>
              <w:fldChar w:fldCharType="end"/>
            </w:r>
          </w:hyperlink>
        </w:p>
        <w:p w:rsidR="00661497" w:rsidRDefault="00661497">
          <w:pPr>
            <w:pStyle w:val="TOC3"/>
            <w:rPr>
              <w:rFonts w:asciiTheme="minorHAnsi" w:eastAsiaTheme="minorEastAsia" w:hAnsiTheme="minorHAnsi" w:cstheme="minorBidi"/>
              <w:noProof/>
              <w:lang w:eastAsia="en-AU"/>
            </w:rPr>
          </w:pPr>
          <w:hyperlink w:anchor="_Toc12272163" w:history="1">
            <w:r w:rsidRPr="00EA2C7D">
              <w:rPr>
                <w:rStyle w:val="Hyperlink"/>
                <w:noProof/>
                <w:lang w:eastAsia="en-AU"/>
              </w:rPr>
              <w:t>Risk management plan</w:t>
            </w:r>
            <w:r>
              <w:rPr>
                <w:noProof/>
                <w:webHidden/>
              </w:rPr>
              <w:tab/>
            </w:r>
            <w:r>
              <w:rPr>
                <w:noProof/>
                <w:webHidden/>
              </w:rPr>
              <w:fldChar w:fldCharType="begin"/>
            </w:r>
            <w:r>
              <w:rPr>
                <w:noProof/>
                <w:webHidden/>
              </w:rPr>
              <w:instrText xml:space="preserve"> PAGEREF _Toc12272163 \h </w:instrText>
            </w:r>
            <w:r>
              <w:rPr>
                <w:noProof/>
                <w:webHidden/>
              </w:rPr>
            </w:r>
            <w:r>
              <w:rPr>
                <w:noProof/>
                <w:webHidden/>
              </w:rPr>
              <w:fldChar w:fldCharType="separate"/>
            </w:r>
            <w:r>
              <w:rPr>
                <w:noProof/>
                <w:webHidden/>
              </w:rPr>
              <w:t>114</w:t>
            </w:r>
            <w:r>
              <w:rPr>
                <w:noProof/>
                <w:webHidden/>
              </w:rPr>
              <w:fldChar w:fldCharType="end"/>
            </w:r>
          </w:hyperlink>
        </w:p>
        <w:p w:rsidR="00661497" w:rsidRDefault="00661497">
          <w:pPr>
            <w:pStyle w:val="TOC2"/>
            <w:rPr>
              <w:rFonts w:asciiTheme="minorHAnsi" w:eastAsiaTheme="minorEastAsia" w:hAnsiTheme="minorHAnsi" w:cstheme="minorBidi"/>
              <w:b w:val="0"/>
              <w:noProof/>
              <w:sz w:val="22"/>
              <w:lang w:eastAsia="en-AU"/>
            </w:rPr>
          </w:pPr>
          <w:hyperlink w:anchor="_Toc12272164" w:history="1">
            <w:r w:rsidRPr="00EA2C7D">
              <w:rPr>
                <w:rStyle w:val="Hyperlink"/>
                <w:noProof/>
              </w:rPr>
              <w:t>VII. Overall conclusion and risk/benefit assessment</w:t>
            </w:r>
            <w:r>
              <w:rPr>
                <w:noProof/>
                <w:webHidden/>
              </w:rPr>
              <w:tab/>
            </w:r>
            <w:r>
              <w:rPr>
                <w:noProof/>
                <w:webHidden/>
              </w:rPr>
              <w:fldChar w:fldCharType="begin"/>
            </w:r>
            <w:r>
              <w:rPr>
                <w:noProof/>
                <w:webHidden/>
              </w:rPr>
              <w:instrText xml:space="preserve"> PAGEREF _Toc12272164 \h </w:instrText>
            </w:r>
            <w:r>
              <w:rPr>
                <w:noProof/>
                <w:webHidden/>
              </w:rPr>
            </w:r>
            <w:r>
              <w:rPr>
                <w:noProof/>
                <w:webHidden/>
              </w:rPr>
              <w:fldChar w:fldCharType="separate"/>
            </w:r>
            <w:r>
              <w:rPr>
                <w:noProof/>
                <w:webHidden/>
              </w:rPr>
              <w:t>116</w:t>
            </w:r>
            <w:r>
              <w:rPr>
                <w:noProof/>
                <w:webHidden/>
              </w:rPr>
              <w:fldChar w:fldCharType="end"/>
            </w:r>
          </w:hyperlink>
        </w:p>
        <w:p w:rsidR="00661497" w:rsidRDefault="00661497">
          <w:pPr>
            <w:pStyle w:val="TOC3"/>
            <w:rPr>
              <w:rFonts w:asciiTheme="minorHAnsi" w:eastAsiaTheme="minorEastAsia" w:hAnsiTheme="minorHAnsi" w:cstheme="minorBidi"/>
              <w:noProof/>
              <w:lang w:eastAsia="en-AU"/>
            </w:rPr>
          </w:pPr>
          <w:hyperlink w:anchor="_Toc12272165" w:history="1">
            <w:r w:rsidRPr="00EA2C7D">
              <w:rPr>
                <w:rStyle w:val="Hyperlink"/>
                <w:noProof/>
              </w:rPr>
              <w:t>Introduction</w:t>
            </w:r>
            <w:r>
              <w:rPr>
                <w:noProof/>
                <w:webHidden/>
              </w:rPr>
              <w:tab/>
            </w:r>
            <w:r>
              <w:rPr>
                <w:noProof/>
                <w:webHidden/>
              </w:rPr>
              <w:fldChar w:fldCharType="begin"/>
            </w:r>
            <w:r>
              <w:rPr>
                <w:noProof/>
                <w:webHidden/>
              </w:rPr>
              <w:instrText xml:space="preserve"> PAGEREF _Toc12272165 \h </w:instrText>
            </w:r>
            <w:r>
              <w:rPr>
                <w:noProof/>
                <w:webHidden/>
              </w:rPr>
            </w:r>
            <w:r>
              <w:rPr>
                <w:noProof/>
                <w:webHidden/>
              </w:rPr>
              <w:fldChar w:fldCharType="separate"/>
            </w:r>
            <w:r>
              <w:rPr>
                <w:noProof/>
                <w:webHidden/>
              </w:rPr>
              <w:t>116</w:t>
            </w:r>
            <w:r>
              <w:rPr>
                <w:noProof/>
                <w:webHidden/>
              </w:rPr>
              <w:fldChar w:fldCharType="end"/>
            </w:r>
          </w:hyperlink>
        </w:p>
        <w:p w:rsidR="00661497" w:rsidRDefault="00661497">
          <w:pPr>
            <w:pStyle w:val="TOC3"/>
            <w:rPr>
              <w:rFonts w:asciiTheme="minorHAnsi" w:eastAsiaTheme="minorEastAsia" w:hAnsiTheme="minorHAnsi" w:cstheme="minorBidi"/>
              <w:noProof/>
              <w:lang w:eastAsia="en-AU"/>
            </w:rPr>
          </w:pPr>
          <w:hyperlink w:anchor="_Toc12272166" w:history="1">
            <w:r w:rsidRPr="00EA2C7D">
              <w:rPr>
                <w:rStyle w:val="Hyperlink"/>
                <w:noProof/>
              </w:rPr>
              <w:t>Quality</w:t>
            </w:r>
            <w:r>
              <w:rPr>
                <w:noProof/>
                <w:webHidden/>
              </w:rPr>
              <w:tab/>
            </w:r>
            <w:r>
              <w:rPr>
                <w:noProof/>
                <w:webHidden/>
              </w:rPr>
              <w:fldChar w:fldCharType="begin"/>
            </w:r>
            <w:r>
              <w:rPr>
                <w:noProof/>
                <w:webHidden/>
              </w:rPr>
              <w:instrText xml:space="preserve"> PAGEREF _Toc12272166 \h </w:instrText>
            </w:r>
            <w:r>
              <w:rPr>
                <w:noProof/>
                <w:webHidden/>
              </w:rPr>
            </w:r>
            <w:r>
              <w:rPr>
                <w:noProof/>
                <w:webHidden/>
              </w:rPr>
              <w:fldChar w:fldCharType="separate"/>
            </w:r>
            <w:r>
              <w:rPr>
                <w:noProof/>
                <w:webHidden/>
              </w:rPr>
              <w:t>117</w:t>
            </w:r>
            <w:r>
              <w:rPr>
                <w:noProof/>
                <w:webHidden/>
              </w:rPr>
              <w:fldChar w:fldCharType="end"/>
            </w:r>
          </w:hyperlink>
        </w:p>
        <w:p w:rsidR="00661497" w:rsidRDefault="00661497">
          <w:pPr>
            <w:pStyle w:val="TOC3"/>
            <w:rPr>
              <w:rFonts w:asciiTheme="minorHAnsi" w:eastAsiaTheme="minorEastAsia" w:hAnsiTheme="minorHAnsi" w:cstheme="minorBidi"/>
              <w:noProof/>
              <w:lang w:eastAsia="en-AU"/>
            </w:rPr>
          </w:pPr>
          <w:hyperlink w:anchor="_Toc12272167" w:history="1">
            <w:r w:rsidRPr="00EA2C7D">
              <w:rPr>
                <w:rStyle w:val="Hyperlink"/>
                <w:noProof/>
              </w:rPr>
              <w:t>Nonclinical</w:t>
            </w:r>
            <w:r>
              <w:rPr>
                <w:noProof/>
                <w:webHidden/>
              </w:rPr>
              <w:tab/>
            </w:r>
            <w:r>
              <w:rPr>
                <w:noProof/>
                <w:webHidden/>
              </w:rPr>
              <w:fldChar w:fldCharType="begin"/>
            </w:r>
            <w:r>
              <w:rPr>
                <w:noProof/>
                <w:webHidden/>
              </w:rPr>
              <w:instrText xml:space="preserve"> PAGEREF _Toc12272167 \h </w:instrText>
            </w:r>
            <w:r>
              <w:rPr>
                <w:noProof/>
                <w:webHidden/>
              </w:rPr>
            </w:r>
            <w:r>
              <w:rPr>
                <w:noProof/>
                <w:webHidden/>
              </w:rPr>
              <w:fldChar w:fldCharType="separate"/>
            </w:r>
            <w:r>
              <w:rPr>
                <w:noProof/>
                <w:webHidden/>
              </w:rPr>
              <w:t>117</w:t>
            </w:r>
            <w:r>
              <w:rPr>
                <w:noProof/>
                <w:webHidden/>
              </w:rPr>
              <w:fldChar w:fldCharType="end"/>
            </w:r>
          </w:hyperlink>
        </w:p>
        <w:p w:rsidR="00661497" w:rsidRDefault="00661497">
          <w:pPr>
            <w:pStyle w:val="TOC3"/>
            <w:rPr>
              <w:rFonts w:asciiTheme="minorHAnsi" w:eastAsiaTheme="minorEastAsia" w:hAnsiTheme="minorHAnsi" w:cstheme="minorBidi"/>
              <w:noProof/>
              <w:lang w:eastAsia="en-AU"/>
            </w:rPr>
          </w:pPr>
          <w:hyperlink w:anchor="_Toc12272168" w:history="1">
            <w:r w:rsidRPr="00EA2C7D">
              <w:rPr>
                <w:rStyle w:val="Hyperlink"/>
                <w:noProof/>
              </w:rPr>
              <w:t>Clinical</w:t>
            </w:r>
            <w:r>
              <w:rPr>
                <w:noProof/>
                <w:webHidden/>
              </w:rPr>
              <w:tab/>
            </w:r>
            <w:r>
              <w:rPr>
                <w:noProof/>
                <w:webHidden/>
              </w:rPr>
              <w:fldChar w:fldCharType="begin"/>
            </w:r>
            <w:r>
              <w:rPr>
                <w:noProof/>
                <w:webHidden/>
              </w:rPr>
              <w:instrText xml:space="preserve"> PAGEREF _Toc12272168 \h </w:instrText>
            </w:r>
            <w:r>
              <w:rPr>
                <w:noProof/>
                <w:webHidden/>
              </w:rPr>
            </w:r>
            <w:r>
              <w:rPr>
                <w:noProof/>
                <w:webHidden/>
              </w:rPr>
              <w:fldChar w:fldCharType="separate"/>
            </w:r>
            <w:r>
              <w:rPr>
                <w:noProof/>
                <w:webHidden/>
              </w:rPr>
              <w:t>117</w:t>
            </w:r>
            <w:r>
              <w:rPr>
                <w:noProof/>
                <w:webHidden/>
              </w:rPr>
              <w:fldChar w:fldCharType="end"/>
            </w:r>
          </w:hyperlink>
        </w:p>
        <w:p w:rsidR="00661497" w:rsidRDefault="00661497">
          <w:pPr>
            <w:pStyle w:val="TOC3"/>
            <w:rPr>
              <w:rFonts w:asciiTheme="minorHAnsi" w:eastAsiaTheme="minorEastAsia" w:hAnsiTheme="minorHAnsi" w:cstheme="minorBidi"/>
              <w:noProof/>
              <w:lang w:eastAsia="en-AU"/>
            </w:rPr>
          </w:pPr>
          <w:hyperlink w:anchor="_Toc12272169" w:history="1">
            <w:r w:rsidRPr="00EA2C7D">
              <w:rPr>
                <w:rStyle w:val="Hyperlink"/>
                <w:noProof/>
                <w:lang w:eastAsia="en-AU"/>
              </w:rPr>
              <w:t>Risk management plan</w:t>
            </w:r>
            <w:r>
              <w:rPr>
                <w:noProof/>
                <w:webHidden/>
              </w:rPr>
              <w:tab/>
            </w:r>
            <w:r>
              <w:rPr>
                <w:noProof/>
                <w:webHidden/>
              </w:rPr>
              <w:fldChar w:fldCharType="begin"/>
            </w:r>
            <w:r>
              <w:rPr>
                <w:noProof/>
                <w:webHidden/>
              </w:rPr>
              <w:instrText xml:space="preserve"> PAGEREF _Toc12272169 \h </w:instrText>
            </w:r>
            <w:r>
              <w:rPr>
                <w:noProof/>
                <w:webHidden/>
              </w:rPr>
            </w:r>
            <w:r>
              <w:rPr>
                <w:noProof/>
                <w:webHidden/>
              </w:rPr>
              <w:fldChar w:fldCharType="separate"/>
            </w:r>
            <w:r>
              <w:rPr>
                <w:noProof/>
                <w:webHidden/>
              </w:rPr>
              <w:t>122</w:t>
            </w:r>
            <w:r>
              <w:rPr>
                <w:noProof/>
                <w:webHidden/>
              </w:rPr>
              <w:fldChar w:fldCharType="end"/>
            </w:r>
          </w:hyperlink>
        </w:p>
        <w:p w:rsidR="00661497" w:rsidRDefault="00661497">
          <w:pPr>
            <w:pStyle w:val="TOC3"/>
            <w:rPr>
              <w:rFonts w:asciiTheme="minorHAnsi" w:eastAsiaTheme="minorEastAsia" w:hAnsiTheme="minorHAnsi" w:cstheme="minorBidi"/>
              <w:noProof/>
              <w:lang w:eastAsia="en-AU"/>
            </w:rPr>
          </w:pPr>
          <w:hyperlink w:anchor="_Toc12272170" w:history="1">
            <w:r w:rsidRPr="00EA2C7D">
              <w:rPr>
                <w:rStyle w:val="Hyperlink"/>
                <w:noProof/>
              </w:rPr>
              <w:t>Risk-benefit analysis</w:t>
            </w:r>
            <w:r>
              <w:rPr>
                <w:noProof/>
                <w:webHidden/>
              </w:rPr>
              <w:tab/>
            </w:r>
            <w:r>
              <w:rPr>
                <w:noProof/>
                <w:webHidden/>
              </w:rPr>
              <w:fldChar w:fldCharType="begin"/>
            </w:r>
            <w:r>
              <w:rPr>
                <w:noProof/>
                <w:webHidden/>
              </w:rPr>
              <w:instrText xml:space="preserve"> PAGEREF _Toc12272170 \h </w:instrText>
            </w:r>
            <w:r>
              <w:rPr>
                <w:noProof/>
                <w:webHidden/>
              </w:rPr>
            </w:r>
            <w:r>
              <w:rPr>
                <w:noProof/>
                <w:webHidden/>
              </w:rPr>
              <w:fldChar w:fldCharType="separate"/>
            </w:r>
            <w:r>
              <w:rPr>
                <w:noProof/>
                <w:webHidden/>
              </w:rPr>
              <w:t>123</w:t>
            </w:r>
            <w:r>
              <w:rPr>
                <w:noProof/>
                <w:webHidden/>
              </w:rPr>
              <w:fldChar w:fldCharType="end"/>
            </w:r>
          </w:hyperlink>
        </w:p>
        <w:p w:rsidR="00661497" w:rsidRDefault="00661497">
          <w:pPr>
            <w:pStyle w:val="TOC3"/>
            <w:rPr>
              <w:rFonts w:asciiTheme="minorHAnsi" w:eastAsiaTheme="minorEastAsia" w:hAnsiTheme="minorHAnsi" w:cstheme="minorBidi"/>
              <w:noProof/>
              <w:lang w:eastAsia="en-AU"/>
            </w:rPr>
          </w:pPr>
          <w:hyperlink w:anchor="_Toc12272171" w:history="1">
            <w:r w:rsidRPr="00EA2C7D">
              <w:rPr>
                <w:rStyle w:val="Hyperlink"/>
                <w:noProof/>
              </w:rPr>
              <w:t>Outcome</w:t>
            </w:r>
            <w:r>
              <w:rPr>
                <w:noProof/>
                <w:webHidden/>
              </w:rPr>
              <w:tab/>
            </w:r>
            <w:r>
              <w:rPr>
                <w:noProof/>
                <w:webHidden/>
              </w:rPr>
              <w:fldChar w:fldCharType="begin"/>
            </w:r>
            <w:r>
              <w:rPr>
                <w:noProof/>
                <w:webHidden/>
              </w:rPr>
              <w:instrText xml:space="preserve"> PAGEREF _Toc12272171 \h </w:instrText>
            </w:r>
            <w:r>
              <w:rPr>
                <w:noProof/>
                <w:webHidden/>
              </w:rPr>
            </w:r>
            <w:r>
              <w:rPr>
                <w:noProof/>
                <w:webHidden/>
              </w:rPr>
              <w:fldChar w:fldCharType="separate"/>
            </w:r>
            <w:r>
              <w:rPr>
                <w:noProof/>
                <w:webHidden/>
              </w:rPr>
              <w:t>140</w:t>
            </w:r>
            <w:r>
              <w:rPr>
                <w:noProof/>
                <w:webHidden/>
              </w:rPr>
              <w:fldChar w:fldCharType="end"/>
            </w:r>
          </w:hyperlink>
        </w:p>
        <w:p w:rsidR="00661497" w:rsidRDefault="00661497">
          <w:pPr>
            <w:pStyle w:val="TOC2"/>
            <w:rPr>
              <w:rFonts w:asciiTheme="minorHAnsi" w:eastAsiaTheme="minorEastAsia" w:hAnsiTheme="minorHAnsi" w:cstheme="minorBidi"/>
              <w:b w:val="0"/>
              <w:noProof/>
              <w:sz w:val="22"/>
              <w:lang w:eastAsia="en-AU"/>
            </w:rPr>
          </w:pPr>
          <w:hyperlink w:anchor="_Toc12272172" w:history="1">
            <w:r w:rsidRPr="00EA2C7D">
              <w:rPr>
                <w:rStyle w:val="Hyperlink"/>
                <w:noProof/>
              </w:rPr>
              <w:t>Attachment 1. Product Information</w:t>
            </w:r>
            <w:r>
              <w:rPr>
                <w:noProof/>
                <w:webHidden/>
              </w:rPr>
              <w:tab/>
            </w:r>
            <w:r>
              <w:rPr>
                <w:noProof/>
                <w:webHidden/>
              </w:rPr>
              <w:fldChar w:fldCharType="begin"/>
            </w:r>
            <w:r>
              <w:rPr>
                <w:noProof/>
                <w:webHidden/>
              </w:rPr>
              <w:instrText xml:space="preserve"> PAGEREF _Toc12272172 \h </w:instrText>
            </w:r>
            <w:r>
              <w:rPr>
                <w:noProof/>
                <w:webHidden/>
              </w:rPr>
            </w:r>
            <w:r>
              <w:rPr>
                <w:noProof/>
                <w:webHidden/>
              </w:rPr>
              <w:fldChar w:fldCharType="separate"/>
            </w:r>
            <w:r>
              <w:rPr>
                <w:noProof/>
                <w:webHidden/>
              </w:rPr>
              <w:t>141</w:t>
            </w:r>
            <w:r>
              <w:rPr>
                <w:noProof/>
                <w:webHidden/>
              </w:rPr>
              <w:fldChar w:fldCharType="end"/>
            </w:r>
          </w:hyperlink>
        </w:p>
        <w:p w:rsidR="003A7F6C" w:rsidRPr="00B811C6" w:rsidRDefault="00DB6124" w:rsidP="00B811C6">
          <w:pPr>
            <w:pStyle w:val="TOC2"/>
          </w:pPr>
          <w:r>
            <w:fldChar w:fldCharType="end"/>
          </w:r>
        </w:p>
      </w:sdtContent>
    </w:sdt>
    <w:bookmarkStart w:id="3" w:name="_Toc314842482" w:displacedByCustomXml="prev"/>
    <w:p w:rsidR="00FD119B" w:rsidRDefault="00FD119B">
      <w:pPr>
        <w:spacing w:before="0" w:after="200" w:line="0" w:lineRule="auto"/>
      </w:pPr>
      <w:r>
        <w:br w:type="page"/>
      </w:r>
    </w:p>
    <w:p w:rsidR="00FD119B" w:rsidRDefault="00441C3F" w:rsidP="004F0C4A">
      <w:pPr>
        <w:pStyle w:val="Heading2"/>
      </w:pPr>
      <w:bookmarkStart w:id="4" w:name="_Toc351716269"/>
      <w:bookmarkStart w:id="5" w:name="_Toc351718881"/>
      <w:bookmarkStart w:id="6" w:name="_Toc355338616"/>
      <w:bookmarkStart w:id="7" w:name="_Toc356306144"/>
      <w:bookmarkStart w:id="8" w:name="_Toc12272132"/>
      <w:r>
        <w:lastRenderedPageBreak/>
        <w:t>Common</w:t>
      </w:r>
      <w:r w:rsidR="00FD119B" w:rsidRPr="00FD119B">
        <w:t xml:space="preserve"> abbreviations</w:t>
      </w:r>
      <w:bookmarkEnd w:id="4"/>
      <w:bookmarkEnd w:id="5"/>
      <w:bookmarkEnd w:id="6"/>
      <w:bookmarkEnd w:id="7"/>
      <w:bookmarkEnd w:id="8"/>
    </w:p>
    <w:tbl>
      <w:tblPr>
        <w:tblStyle w:val="TableTGAblue"/>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6485"/>
      </w:tblGrid>
      <w:tr w:rsidR="0059662C" w:rsidRPr="001569B7" w:rsidTr="00A55048">
        <w:trPr>
          <w:cnfStyle w:val="100000000000" w:firstRow="1" w:lastRow="0" w:firstColumn="0" w:lastColumn="0" w:oddVBand="0" w:evenVBand="0" w:oddHBand="0" w:evenHBand="0" w:firstRowFirstColumn="0" w:firstRowLastColumn="0" w:lastRowFirstColumn="0" w:lastRowLastColumn="0"/>
        </w:trPr>
        <w:tc>
          <w:tcPr>
            <w:tcW w:w="2235" w:type="dxa"/>
          </w:tcPr>
          <w:p w:rsidR="0059662C" w:rsidRPr="001569B7" w:rsidRDefault="0059662C" w:rsidP="001569B7">
            <w:r w:rsidRPr="001569B7">
              <w:t>Abbreviation</w:t>
            </w:r>
          </w:p>
        </w:tc>
        <w:tc>
          <w:tcPr>
            <w:tcW w:w="6485" w:type="dxa"/>
          </w:tcPr>
          <w:p w:rsidR="0059662C" w:rsidRPr="001569B7" w:rsidRDefault="0059662C" w:rsidP="001569B7">
            <w:r w:rsidRPr="001569B7">
              <w:t xml:space="preserve">Meaning </w:t>
            </w:r>
          </w:p>
        </w:tc>
      </w:tr>
      <w:tr w:rsidR="0059662C" w:rsidRPr="001569B7" w:rsidTr="00A55048">
        <w:tc>
          <w:tcPr>
            <w:tcW w:w="2235" w:type="dxa"/>
          </w:tcPr>
          <w:p w:rsidR="0059662C" w:rsidRPr="001569B7" w:rsidRDefault="001569B7" w:rsidP="001569B7">
            <w:pPr>
              <w:rPr>
                <w:rFonts w:asciiTheme="minorHAnsi" w:hAnsiTheme="minorHAnsi"/>
              </w:rPr>
            </w:pPr>
            <w:r>
              <w:rPr>
                <w:rFonts w:asciiTheme="minorHAnsi" w:hAnsiTheme="minorHAnsi"/>
              </w:rPr>
              <w:t>ACR</w:t>
            </w:r>
          </w:p>
        </w:tc>
        <w:tc>
          <w:tcPr>
            <w:tcW w:w="6485" w:type="dxa"/>
          </w:tcPr>
          <w:p w:rsidR="0059662C" w:rsidRPr="001569B7" w:rsidRDefault="0059662C" w:rsidP="001569B7">
            <w:pPr>
              <w:rPr>
                <w:rFonts w:asciiTheme="minorHAnsi" w:hAnsiTheme="minorHAnsi"/>
              </w:rPr>
            </w:pPr>
            <w:r w:rsidRPr="001569B7">
              <w:rPr>
                <w:rFonts w:asciiTheme="minorHAnsi" w:hAnsiTheme="minorHAnsi"/>
              </w:rPr>
              <w:t>American College of Rheumatology</w:t>
            </w:r>
          </w:p>
        </w:tc>
      </w:tr>
      <w:tr w:rsidR="0059662C" w:rsidRPr="001569B7" w:rsidTr="00A55048">
        <w:tc>
          <w:tcPr>
            <w:tcW w:w="2235" w:type="dxa"/>
          </w:tcPr>
          <w:p w:rsidR="0059662C" w:rsidRPr="001569B7" w:rsidRDefault="0059662C" w:rsidP="001569B7">
            <w:pPr>
              <w:rPr>
                <w:rFonts w:asciiTheme="minorHAnsi" w:hAnsiTheme="minorHAnsi"/>
              </w:rPr>
            </w:pPr>
            <w:r w:rsidRPr="001569B7">
              <w:rPr>
                <w:rFonts w:asciiTheme="minorHAnsi" w:hAnsiTheme="minorHAnsi"/>
              </w:rPr>
              <w:t xml:space="preserve">ACR Core Set </w:t>
            </w:r>
          </w:p>
        </w:tc>
        <w:tc>
          <w:tcPr>
            <w:tcW w:w="6485" w:type="dxa"/>
          </w:tcPr>
          <w:p w:rsidR="0059662C" w:rsidRPr="001569B7" w:rsidRDefault="0059662C" w:rsidP="001569B7">
            <w:pPr>
              <w:rPr>
                <w:rFonts w:asciiTheme="minorHAnsi" w:hAnsiTheme="minorHAnsi"/>
              </w:rPr>
            </w:pPr>
            <w:r w:rsidRPr="001569B7">
              <w:rPr>
                <w:rFonts w:asciiTheme="minorHAnsi" w:hAnsiTheme="minorHAnsi"/>
              </w:rPr>
              <w:t>Consists of 7</w:t>
            </w:r>
            <w:r w:rsidR="001569B7">
              <w:rPr>
                <w:rFonts w:asciiTheme="minorHAnsi" w:hAnsiTheme="minorHAnsi"/>
              </w:rPr>
              <w:t xml:space="preserve"> disease activity measurements</w:t>
            </w:r>
          </w:p>
        </w:tc>
      </w:tr>
      <w:tr w:rsidR="0059662C" w:rsidRPr="001569B7" w:rsidTr="00A55048">
        <w:tc>
          <w:tcPr>
            <w:tcW w:w="2235" w:type="dxa"/>
          </w:tcPr>
          <w:p w:rsidR="0059662C" w:rsidRPr="001569B7" w:rsidRDefault="00637490" w:rsidP="001569B7">
            <w:pPr>
              <w:rPr>
                <w:rFonts w:asciiTheme="minorHAnsi" w:hAnsiTheme="minorHAnsi"/>
              </w:rPr>
            </w:pPr>
            <w:r w:rsidRPr="001569B7">
              <w:rPr>
                <w:rFonts w:asciiTheme="minorHAnsi" w:hAnsiTheme="minorHAnsi"/>
              </w:rPr>
              <w:t>ACR 20/50/70 Responder</w:t>
            </w:r>
          </w:p>
        </w:tc>
        <w:tc>
          <w:tcPr>
            <w:tcW w:w="6485" w:type="dxa"/>
          </w:tcPr>
          <w:p w:rsidR="0059662C" w:rsidRPr="001569B7" w:rsidRDefault="0059662C" w:rsidP="001569B7">
            <w:pPr>
              <w:rPr>
                <w:rFonts w:asciiTheme="minorHAnsi" w:hAnsiTheme="minorHAnsi"/>
              </w:rPr>
            </w:pPr>
            <w:r w:rsidRPr="001569B7">
              <w:rPr>
                <w:rFonts w:asciiTheme="minorHAnsi" w:hAnsiTheme="minorHAnsi"/>
              </w:rPr>
              <w:t>A patient who had at least 20%/50%/70% improvement in both tender and swollen joint counts and at least 20%/50%/70% improvement in a minimum of 3 of the 5 specified criteria</w:t>
            </w:r>
          </w:p>
        </w:tc>
      </w:tr>
      <w:tr w:rsidR="0059662C" w:rsidRPr="001569B7" w:rsidTr="00A55048">
        <w:tc>
          <w:tcPr>
            <w:tcW w:w="2235" w:type="dxa"/>
          </w:tcPr>
          <w:p w:rsidR="0059662C" w:rsidRPr="001569B7" w:rsidRDefault="001569B7" w:rsidP="001569B7">
            <w:pPr>
              <w:rPr>
                <w:rFonts w:asciiTheme="minorHAnsi" w:hAnsiTheme="minorHAnsi"/>
              </w:rPr>
            </w:pPr>
            <w:r>
              <w:rPr>
                <w:rFonts w:asciiTheme="minorHAnsi" w:hAnsiTheme="minorHAnsi"/>
              </w:rPr>
              <w:t>ADAs</w:t>
            </w:r>
          </w:p>
        </w:tc>
        <w:tc>
          <w:tcPr>
            <w:tcW w:w="6485" w:type="dxa"/>
          </w:tcPr>
          <w:p w:rsidR="0059662C" w:rsidRPr="001569B7" w:rsidRDefault="0059662C" w:rsidP="001569B7">
            <w:pPr>
              <w:rPr>
                <w:rFonts w:asciiTheme="minorHAnsi" w:hAnsiTheme="minorHAnsi"/>
              </w:rPr>
            </w:pPr>
            <w:r w:rsidRPr="001569B7">
              <w:rPr>
                <w:rFonts w:asciiTheme="minorHAnsi" w:hAnsiTheme="minorHAnsi"/>
              </w:rPr>
              <w:t>Anti-drug antibodies</w:t>
            </w:r>
          </w:p>
        </w:tc>
      </w:tr>
      <w:tr w:rsidR="00BA7426" w:rsidRPr="001569B7" w:rsidTr="00A55048">
        <w:tc>
          <w:tcPr>
            <w:tcW w:w="2235" w:type="dxa"/>
          </w:tcPr>
          <w:p w:rsidR="00BA7426" w:rsidRPr="001569B7" w:rsidRDefault="00BA7426" w:rsidP="001569B7">
            <w:pPr>
              <w:rPr>
                <w:rFonts w:asciiTheme="minorHAnsi" w:hAnsiTheme="minorHAnsi"/>
              </w:rPr>
            </w:pPr>
            <w:r w:rsidRPr="001569B7">
              <w:rPr>
                <w:rFonts w:asciiTheme="minorHAnsi" w:hAnsiTheme="minorHAnsi"/>
              </w:rPr>
              <w:t>ADCC</w:t>
            </w:r>
          </w:p>
        </w:tc>
        <w:tc>
          <w:tcPr>
            <w:tcW w:w="6485" w:type="dxa"/>
          </w:tcPr>
          <w:p w:rsidR="00BA7426" w:rsidRPr="001569B7" w:rsidRDefault="00BA7426" w:rsidP="001569B7">
            <w:pPr>
              <w:rPr>
                <w:rFonts w:asciiTheme="minorHAnsi" w:hAnsiTheme="minorHAnsi"/>
              </w:rPr>
            </w:pPr>
            <w:r w:rsidRPr="001569B7">
              <w:rPr>
                <w:rFonts w:asciiTheme="minorHAnsi" w:hAnsiTheme="minorHAnsi"/>
              </w:rPr>
              <w:t>Antibody-dependent cell-mediated cytotoxicity</w:t>
            </w:r>
          </w:p>
        </w:tc>
      </w:tr>
      <w:tr w:rsidR="0059662C" w:rsidRPr="001569B7" w:rsidTr="00A55048">
        <w:tc>
          <w:tcPr>
            <w:tcW w:w="2235" w:type="dxa"/>
          </w:tcPr>
          <w:p w:rsidR="0059662C" w:rsidRPr="001569B7" w:rsidRDefault="0059662C" w:rsidP="001569B7">
            <w:pPr>
              <w:rPr>
                <w:rFonts w:asciiTheme="minorHAnsi" w:hAnsiTheme="minorHAnsi"/>
              </w:rPr>
            </w:pPr>
            <w:r w:rsidRPr="001569B7">
              <w:rPr>
                <w:rFonts w:asciiTheme="minorHAnsi" w:hAnsiTheme="minorHAnsi"/>
              </w:rPr>
              <w:t>AE</w:t>
            </w:r>
          </w:p>
        </w:tc>
        <w:tc>
          <w:tcPr>
            <w:tcW w:w="6485" w:type="dxa"/>
          </w:tcPr>
          <w:p w:rsidR="0059662C" w:rsidRPr="001569B7" w:rsidRDefault="0059662C" w:rsidP="001569B7">
            <w:pPr>
              <w:rPr>
                <w:rFonts w:asciiTheme="minorHAnsi" w:hAnsiTheme="minorHAnsi"/>
              </w:rPr>
            </w:pPr>
            <w:r w:rsidRPr="001569B7">
              <w:rPr>
                <w:rFonts w:asciiTheme="minorHAnsi" w:hAnsiTheme="minorHAnsi"/>
              </w:rPr>
              <w:t>Adverse event</w:t>
            </w:r>
          </w:p>
        </w:tc>
      </w:tr>
      <w:tr w:rsidR="0059662C" w:rsidRPr="001569B7" w:rsidTr="00A55048">
        <w:tc>
          <w:tcPr>
            <w:tcW w:w="2235" w:type="dxa"/>
          </w:tcPr>
          <w:p w:rsidR="0059662C" w:rsidRPr="001569B7" w:rsidRDefault="0059662C" w:rsidP="001569B7">
            <w:pPr>
              <w:rPr>
                <w:rFonts w:asciiTheme="minorHAnsi" w:hAnsiTheme="minorHAnsi"/>
              </w:rPr>
            </w:pPr>
            <w:r w:rsidRPr="001569B7">
              <w:rPr>
                <w:rFonts w:asciiTheme="minorHAnsi" w:hAnsiTheme="minorHAnsi"/>
              </w:rPr>
              <w:t>AESI</w:t>
            </w:r>
          </w:p>
        </w:tc>
        <w:tc>
          <w:tcPr>
            <w:tcW w:w="6485" w:type="dxa"/>
          </w:tcPr>
          <w:p w:rsidR="0059662C" w:rsidRPr="001569B7" w:rsidRDefault="0059662C" w:rsidP="001569B7">
            <w:pPr>
              <w:rPr>
                <w:rFonts w:asciiTheme="minorHAnsi" w:hAnsiTheme="minorHAnsi"/>
              </w:rPr>
            </w:pPr>
            <w:r w:rsidRPr="001569B7">
              <w:rPr>
                <w:rFonts w:asciiTheme="minorHAnsi" w:hAnsiTheme="minorHAnsi"/>
              </w:rPr>
              <w:t>Ad</w:t>
            </w:r>
            <w:r w:rsidR="001569B7">
              <w:rPr>
                <w:rFonts w:asciiTheme="minorHAnsi" w:hAnsiTheme="minorHAnsi"/>
              </w:rPr>
              <w:t>verse event of special interest</w:t>
            </w:r>
          </w:p>
        </w:tc>
      </w:tr>
      <w:tr w:rsidR="0059662C" w:rsidRPr="001569B7" w:rsidTr="00A55048">
        <w:tc>
          <w:tcPr>
            <w:tcW w:w="2235" w:type="dxa"/>
          </w:tcPr>
          <w:p w:rsidR="0059662C" w:rsidRPr="001569B7" w:rsidRDefault="0059662C" w:rsidP="001569B7">
            <w:pPr>
              <w:rPr>
                <w:rFonts w:asciiTheme="minorHAnsi" w:hAnsiTheme="minorHAnsi"/>
              </w:rPr>
            </w:pPr>
            <w:r w:rsidRPr="001569B7">
              <w:rPr>
                <w:rFonts w:asciiTheme="minorHAnsi" w:hAnsiTheme="minorHAnsi"/>
              </w:rPr>
              <w:t>AI</w:t>
            </w:r>
          </w:p>
        </w:tc>
        <w:tc>
          <w:tcPr>
            <w:tcW w:w="6485" w:type="dxa"/>
          </w:tcPr>
          <w:p w:rsidR="0059662C" w:rsidRPr="001569B7" w:rsidRDefault="0059662C" w:rsidP="001569B7">
            <w:pPr>
              <w:rPr>
                <w:rFonts w:asciiTheme="minorHAnsi" w:hAnsiTheme="minorHAnsi"/>
              </w:rPr>
            </w:pPr>
            <w:proofErr w:type="spellStart"/>
            <w:r w:rsidRPr="001569B7">
              <w:rPr>
                <w:rFonts w:asciiTheme="minorHAnsi" w:hAnsiTheme="minorHAnsi"/>
              </w:rPr>
              <w:t>Autoinjector</w:t>
            </w:r>
            <w:proofErr w:type="spellEnd"/>
          </w:p>
        </w:tc>
      </w:tr>
      <w:tr w:rsidR="0059662C" w:rsidRPr="001569B7" w:rsidTr="00A55048">
        <w:tc>
          <w:tcPr>
            <w:tcW w:w="2235" w:type="dxa"/>
          </w:tcPr>
          <w:p w:rsidR="0059662C" w:rsidRPr="001569B7" w:rsidRDefault="0059662C" w:rsidP="001569B7">
            <w:pPr>
              <w:rPr>
                <w:rFonts w:asciiTheme="minorHAnsi" w:hAnsiTheme="minorHAnsi"/>
              </w:rPr>
            </w:pPr>
            <w:r w:rsidRPr="001569B7">
              <w:rPr>
                <w:rFonts w:asciiTheme="minorHAnsi" w:hAnsiTheme="minorHAnsi"/>
              </w:rPr>
              <w:t>ALP</w:t>
            </w:r>
          </w:p>
        </w:tc>
        <w:tc>
          <w:tcPr>
            <w:tcW w:w="6485" w:type="dxa"/>
          </w:tcPr>
          <w:p w:rsidR="0059662C" w:rsidRPr="001569B7" w:rsidRDefault="0059662C" w:rsidP="001569B7">
            <w:pPr>
              <w:rPr>
                <w:rFonts w:asciiTheme="minorHAnsi" w:hAnsiTheme="minorHAnsi"/>
              </w:rPr>
            </w:pPr>
            <w:r w:rsidRPr="001569B7">
              <w:rPr>
                <w:rFonts w:asciiTheme="minorHAnsi" w:hAnsiTheme="minorHAnsi"/>
              </w:rPr>
              <w:t>Alkaline phosphatase</w:t>
            </w:r>
          </w:p>
        </w:tc>
      </w:tr>
      <w:tr w:rsidR="0059662C" w:rsidRPr="001569B7" w:rsidTr="00A55048">
        <w:tc>
          <w:tcPr>
            <w:tcW w:w="2235" w:type="dxa"/>
          </w:tcPr>
          <w:p w:rsidR="0059662C" w:rsidRPr="001569B7" w:rsidRDefault="0059662C" w:rsidP="001569B7">
            <w:pPr>
              <w:rPr>
                <w:rFonts w:asciiTheme="minorHAnsi" w:hAnsiTheme="minorHAnsi"/>
              </w:rPr>
            </w:pPr>
            <w:r w:rsidRPr="001569B7">
              <w:rPr>
                <w:rFonts w:asciiTheme="minorHAnsi" w:hAnsiTheme="minorHAnsi"/>
              </w:rPr>
              <w:t>ALT</w:t>
            </w:r>
          </w:p>
        </w:tc>
        <w:tc>
          <w:tcPr>
            <w:tcW w:w="6485" w:type="dxa"/>
          </w:tcPr>
          <w:p w:rsidR="0059662C" w:rsidRPr="001569B7" w:rsidRDefault="001569B7" w:rsidP="001569B7">
            <w:pPr>
              <w:rPr>
                <w:rFonts w:asciiTheme="minorHAnsi" w:hAnsiTheme="minorHAnsi"/>
              </w:rPr>
            </w:pPr>
            <w:r>
              <w:rPr>
                <w:rFonts w:asciiTheme="minorHAnsi" w:hAnsiTheme="minorHAnsi"/>
              </w:rPr>
              <w:t>Alanine aminotransferase</w:t>
            </w:r>
          </w:p>
        </w:tc>
      </w:tr>
      <w:tr w:rsidR="0059662C" w:rsidRPr="001569B7" w:rsidTr="00A55048">
        <w:tc>
          <w:tcPr>
            <w:tcW w:w="2235" w:type="dxa"/>
          </w:tcPr>
          <w:p w:rsidR="0059662C" w:rsidRPr="001569B7" w:rsidRDefault="0059662C" w:rsidP="001569B7">
            <w:pPr>
              <w:rPr>
                <w:rFonts w:asciiTheme="minorHAnsi" w:hAnsiTheme="minorHAnsi"/>
              </w:rPr>
            </w:pPr>
            <w:r w:rsidRPr="001569B7">
              <w:rPr>
                <w:rFonts w:asciiTheme="minorHAnsi" w:hAnsiTheme="minorHAnsi"/>
              </w:rPr>
              <w:t>ANC</w:t>
            </w:r>
          </w:p>
        </w:tc>
        <w:tc>
          <w:tcPr>
            <w:tcW w:w="6485" w:type="dxa"/>
          </w:tcPr>
          <w:p w:rsidR="0059662C" w:rsidRPr="001569B7" w:rsidRDefault="001569B7" w:rsidP="001569B7">
            <w:pPr>
              <w:rPr>
                <w:rFonts w:asciiTheme="minorHAnsi" w:hAnsiTheme="minorHAnsi"/>
              </w:rPr>
            </w:pPr>
            <w:r>
              <w:rPr>
                <w:rFonts w:asciiTheme="minorHAnsi" w:hAnsiTheme="minorHAnsi"/>
              </w:rPr>
              <w:t>Absolute neutrophil count</w:t>
            </w:r>
          </w:p>
        </w:tc>
      </w:tr>
      <w:tr w:rsidR="0059662C" w:rsidRPr="001569B7" w:rsidTr="00A55048">
        <w:tc>
          <w:tcPr>
            <w:tcW w:w="2235" w:type="dxa"/>
          </w:tcPr>
          <w:p w:rsidR="0059662C" w:rsidRPr="001569B7" w:rsidRDefault="0059662C" w:rsidP="001569B7">
            <w:pPr>
              <w:rPr>
                <w:rFonts w:asciiTheme="minorHAnsi" w:hAnsiTheme="minorHAnsi"/>
              </w:rPr>
            </w:pPr>
            <w:r w:rsidRPr="001569B7">
              <w:rPr>
                <w:rFonts w:asciiTheme="minorHAnsi" w:hAnsiTheme="minorHAnsi"/>
              </w:rPr>
              <w:t>ANCOVA</w:t>
            </w:r>
          </w:p>
        </w:tc>
        <w:tc>
          <w:tcPr>
            <w:tcW w:w="6485" w:type="dxa"/>
          </w:tcPr>
          <w:p w:rsidR="0059662C" w:rsidRPr="001569B7" w:rsidRDefault="0059662C" w:rsidP="001569B7">
            <w:pPr>
              <w:rPr>
                <w:rFonts w:asciiTheme="minorHAnsi" w:hAnsiTheme="minorHAnsi"/>
              </w:rPr>
            </w:pPr>
            <w:r w:rsidRPr="001569B7">
              <w:rPr>
                <w:rFonts w:asciiTheme="minorHAnsi" w:hAnsiTheme="minorHAnsi"/>
              </w:rPr>
              <w:t>Analysis of covariance</w:t>
            </w:r>
          </w:p>
        </w:tc>
      </w:tr>
      <w:tr w:rsidR="0059662C" w:rsidRPr="001569B7" w:rsidTr="00A55048">
        <w:tc>
          <w:tcPr>
            <w:tcW w:w="2235" w:type="dxa"/>
          </w:tcPr>
          <w:p w:rsidR="0059662C" w:rsidRPr="001569B7" w:rsidRDefault="0059662C" w:rsidP="001569B7">
            <w:pPr>
              <w:rPr>
                <w:rFonts w:asciiTheme="minorHAnsi" w:hAnsiTheme="minorHAnsi"/>
              </w:rPr>
            </w:pPr>
            <w:r w:rsidRPr="001569B7">
              <w:rPr>
                <w:rFonts w:asciiTheme="minorHAnsi" w:hAnsiTheme="minorHAnsi"/>
              </w:rPr>
              <w:t>AST</w:t>
            </w:r>
          </w:p>
        </w:tc>
        <w:tc>
          <w:tcPr>
            <w:tcW w:w="6485" w:type="dxa"/>
          </w:tcPr>
          <w:p w:rsidR="0059662C" w:rsidRPr="001569B7" w:rsidRDefault="001569B7" w:rsidP="001569B7">
            <w:pPr>
              <w:rPr>
                <w:rFonts w:asciiTheme="minorHAnsi" w:hAnsiTheme="minorHAnsi"/>
              </w:rPr>
            </w:pPr>
            <w:r>
              <w:rPr>
                <w:rFonts w:asciiTheme="minorHAnsi" w:hAnsiTheme="minorHAnsi"/>
              </w:rPr>
              <w:t>Aspartate aminotransferase</w:t>
            </w:r>
          </w:p>
        </w:tc>
      </w:tr>
      <w:tr w:rsidR="0059662C" w:rsidRPr="001569B7" w:rsidTr="00A55048">
        <w:tc>
          <w:tcPr>
            <w:tcW w:w="2235" w:type="dxa"/>
          </w:tcPr>
          <w:p w:rsidR="0059662C" w:rsidRPr="001569B7" w:rsidRDefault="0059662C" w:rsidP="001569B7">
            <w:pPr>
              <w:rPr>
                <w:rFonts w:asciiTheme="minorHAnsi" w:hAnsiTheme="minorHAnsi"/>
              </w:rPr>
            </w:pPr>
            <w:r w:rsidRPr="001569B7">
              <w:rPr>
                <w:rFonts w:asciiTheme="minorHAnsi" w:hAnsiTheme="minorHAnsi"/>
              </w:rPr>
              <w:t>AUC</w:t>
            </w:r>
          </w:p>
        </w:tc>
        <w:tc>
          <w:tcPr>
            <w:tcW w:w="6485" w:type="dxa"/>
          </w:tcPr>
          <w:p w:rsidR="0059662C" w:rsidRPr="001569B7" w:rsidRDefault="0059662C" w:rsidP="001569B7">
            <w:pPr>
              <w:rPr>
                <w:rFonts w:asciiTheme="minorHAnsi" w:hAnsiTheme="minorHAnsi"/>
              </w:rPr>
            </w:pPr>
            <w:r w:rsidRPr="001569B7">
              <w:rPr>
                <w:rFonts w:asciiTheme="minorHAnsi" w:hAnsiTheme="minorHAnsi"/>
              </w:rPr>
              <w:t>Area under the concentration versus time curve extrapolated to infinity</w:t>
            </w:r>
          </w:p>
        </w:tc>
      </w:tr>
      <w:tr w:rsidR="0059662C" w:rsidRPr="001569B7" w:rsidTr="00A55048">
        <w:tc>
          <w:tcPr>
            <w:tcW w:w="2235" w:type="dxa"/>
          </w:tcPr>
          <w:p w:rsidR="0059662C" w:rsidRPr="001569B7" w:rsidRDefault="0059662C" w:rsidP="001569B7">
            <w:pPr>
              <w:rPr>
                <w:rFonts w:asciiTheme="minorHAnsi" w:hAnsiTheme="minorHAnsi"/>
              </w:rPr>
            </w:pPr>
            <w:proofErr w:type="spellStart"/>
            <w:r w:rsidRPr="001569B7">
              <w:rPr>
                <w:rFonts w:asciiTheme="minorHAnsi" w:hAnsiTheme="minorHAnsi"/>
              </w:rPr>
              <w:t>bDMARD</w:t>
            </w:r>
            <w:proofErr w:type="spellEnd"/>
          </w:p>
        </w:tc>
        <w:tc>
          <w:tcPr>
            <w:tcW w:w="6485" w:type="dxa"/>
          </w:tcPr>
          <w:p w:rsidR="0059662C" w:rsidRPr="001569B7" w:rsidRDefault="0059662C" w:rsidP="001569B7">
            <w:pPr>
              <w:rPr>
                <w:rFonts w:asciiTheme="minorHAnsi" w:hAnsiTheme="minorHAnsi"/>
              </w:rPr>
            </w:pPr>
            <w:r w:rsidRPr="001569B7">
              <w:rPr>
                <w:rFonts w:asciiTheme="minorHAnsi" w:hAnsiTheme="minorHAnsi"/>
              </w:rPr>
              <w:t>Biologic disease-modifying anti</w:t>
            </w:r>
            <w:r w:rsidR="00637490" w:rsidRPr="001569B7">
              <w:rPr>
                <w:rFonts w:asciiTheme="minorHAnsi" w:hAnsiTheme="minorHAnsi"/>
              </w:rPr>
              <w:t>-</w:t>
            </w:r>
            <w:r w:rsidRPr="001569B7">
              <w:rPr>
                <w:rFonts w:asciiTheme="minorHAnsi" w:hAnsiTheme="minorHAnsi"/>
              </w:rPr>
              <w:t>rheumatic drug</w:t>
            </w:r>
            <w:r w:rsidR="008F5FCD" w:rsidRPr="001569B7">
              <w:rPr>
                <w:rFonts w:asciiTheme="minorHAnsi" w:hAnsiTheme="minorHAnsi"/>
              </w:rPr>
              <w:t>(</w:t>
            </w:r>
            <w:r w:rsidRPr="001569B7">
              <w:rPr>
                <w:rFonts w:asciiTheme="minorHAnsi" w:hAnsiTheme="minorHAnsi"/>
              </w:rPr>
              <w:t>s</w:t>
            </w:r>
            <w:r w:rsidR="008F5FCD" w:rsidRPr="001569B7">
              <w:rPr>
                <w:rFonts w:asciiTheme="minorHAnsi" w:hAnsiTheme="minorHAnsi"/>
              </w:rPr>
              <w:t>)</w:t>
            </w:r>
          </w:p>
        </w:tc>
      </w:tr>
      <w:tr w:rsidR="0059662C" w:rsidRPr="001569B7" w:rsidTr="00A55048">
        <w:tc>
          <w:tcPr>
            <w:tcW w:w="2235" w:type="dxa"/>
          </w:tcPr>
          <w:p w:rsidR="0059662C" w:rsidRPr="001569B7" w:rsidRDefault="001569B7" w:rsidP="001569B7">
            <w:pPr>
              <w:rPr>
                <w:rFonts w:asciiTheme="minorHAnsi" w:hAnsiTheme="minorHAnsi"/>
              </w:rPr>
            </w:pPr>
            <w:r>
              <w:rPr>
                <w:rFonts w:asciiTheme="minorHAnsi" w:hAnsiTheme="minorHAnsi"/>
              </w:rPr>
              <w:t>BSA</w:t>
            </w:r>
          </w:p>
        </w:tc>
        <w:tc>
          <w:tcPr>
            <w:tcW w:w="6485" w:type="dxa"/>
          </w:tcPr>
          <w:p w:rsidR="0059662C" w:rsidRPr="001569B7" w:rsidRDefault="0059662C" w:rsidP="001569B7">
            <w:pPr>
              <w:rPr>
                <w:rFonts w:asciiTheme="minorHAnsi" w:hAnsiTheme="minorHAnsi"/>
              </w:rPr>
            </w:pPr>
            <w:r w:rsidRPr="001569B7">
              <w:rPr>
                <w:rFonts w:asciiTheme="minorHAnsi" w:hAnsiTheme="minorHAnsi"/>
              </w:rPr>
              <w:t>Body surface area</w:t>
            </w:r>
          </w:p>
        </w:tc>
      </w:tr>
      <w:tr w:rsidR="0059662C" w:rsidRPr="001569B7" w:rsidTr="00A55048">
        <w:tc>
          <w:tcPr>
            <w:tcW w:w="2235" w:type="dxa"/>
          </w:tcPr>
          <w:p w:rsidR="0059662C" w:rsidRPr="001569B7" w:rsidRDefault="001569B7" w:rsidP="001569B7">
            <w:pPr>
              <w:rPr>
                <w:rFonts w:asciiTheme="minorHAnsi" w:hAnsiTheme="minorHAnsi"/>
              </w:rPr>
            </w:pPr>
            <w:proofErr w:type="spellStart"/>
            <w:r>
              <w:rPr>
                <w:rFonts w:asciiTheme="minorHAnsi" w:hAnsiTheme="minorHAnsi"/>
              </w:rPr>
              <w:t>cDMARD</w:t>
            </w:r>
            <w:proofErr w:type="spellEnd"/>
          </w:p>
        </w:tc>
        <w:tc>
          <w:tcPr>
            <w:tcW w:w="6485" w:type="dxa"/>
          </w:tcPr>
          <w:p w:rsidR="0059662C" w:rsidRPr="001569B7" w:rsidRDefault="0059662C" w:rsidP="001569B7">
            <w:pPr>
              <w:rPr>
                <w:rFonts w:asciiTheme="minorHAnsi" w:hAnsiTheme="minorHAnsi"/>
              </w:rPr>
            </w:pPr>
            <w:r w:rsidRPr="001569B7">
              <w:rPr>
                <w:rFonts w:asciiTheme="minorHAnsi" w:hAnsiTheme="minorHAnsi"/>
              </w:rPr>
              <w:t>Conventional disease-modifying anti</w:t>
            </w:r>
            <w:r w:rsidR="00637490" w:rsidRPr="001569B7">
              <w:rPr>
                <w:rFonts w:asciiTheme="minorHAnsi" w:hAnsiTheme="minorHAnsi"/>
              </w:rPr>
              <w:t>-</w:t>
            </w:r>
            <w:r w:rsidRPr="001569B7">
              <w:rPr>
                <w:rFonts w:asciiTheme="minorHAnsi" w:hAnsiTheme="minorHAnsi"/>
              </w:rPr>
              <w:t>rheumatic drug</w:t>
            </w:r>
            <w:r w:rsidR="008F5FCD" w:rsidRPr="001569B7">
              <w:rPr>
                <w:rFonts w:asciiTheme="minorHAnsi" w:hAnsiTheme="minorHAnsi"/>
              </w:rPr>
              <w:t>(</w:t>
            </w:r>
            <w:r w:rsidRPr="001569B7">
              <w:rPr>
                <w:rFonts w:asciiTheme="minorHAnsi" w:hAnsiTheme="minorHAnsi"/>
              </w:rPr>
              <w:t>s</w:t>
            </w:r>
            <w:r w:rsidR="008F5FCD" w:rsidRPr="001569B7">
              <w:rPr>
                <w:rFonts w:asciiTheme="minorHAnsi" w:hAnsiTheme="minorHAnsi"/>
              </w:rPr>
              <w:t>)</w:t>
            </w:r>
          </w:p>
        </w:tc>
      </w:tr>
      <w:tr w:rsidR="0059662C" w:rsidRPr="001569B7" w:rsidTr="00A55048">
        <w:tc>
          <w:tcPr>
            <w:tcW w:w="2235" w:type="dxa"/>
          </w:tcPr>
          <w:p w:rsidR="0059662C" w:rsidRPr="001569B7" w:rsidRDefault="0059662C" w:rsidP="001569B7">
            <w:pPr>
              <w:rPr>
                <w:rFonts w:asciiTheme="minorHAnsi" w:hAnsiTheme="minorHAnsi"/>
              </w:rPr>
            </w:pPr>
            <w:r w:rsidRPr="001569B7">
              <w:rPr>
                <w:rFonts w:asciiTheme="minorHAnsi" w:hAnsiTheme="minorHAnsi"/>
              </w:rPr>
              <w:t>CAC</w:t>
            </w:r>
          </w:p>
        </w:tc>
        <w:tc>
          <w:tcPr>
            <w:tcW w:w="6485" w:type="dxa"/>
          </w:tcPr>
          <w:p w:rsidR="0059662C" w:rsidRPr="001569B7" w:rsidRDefault="0059662C" w:rsidP="001569B7">
            <w:pPr>
              <w:rPr>
                <w:rFonts w:asciiTheme="minorHAnsi" w:hAnsiTheme="minorHAnsi"/>
              </w:rPr>
            </w:pPr>
            <w:r w:rsidRPr="001569B7">
              <w:rPr>
                <w:rFonts w:asciiTheme="minorHAnsi" w:hAnsiTheme="minorHAnsi"/>
              </w:rPr>
              <w:t>Cardiovascular Adjudication Committee</w:t>
            </w:r>
          </w:p>
        </w:tc>
      </w:tr>
      <w:tr w:rsidR="00BA7426" w:rsidRPr="001569B7" w:rsidTr="00A55048">
        <w:tc>
          <w:tcPr>
            <w:tcW w:w="2235" w:type="dxa"/>
          </w:tcPr>
          <w:p w:rsidR="00BA7426" w:rsidRPr="001569B7" w:rsidRDefault="00BA7426" w:rsidP="001569B7">
            <w:pPr>
              <w:rPr>
                <w:rFonts w:asciiTheme="minorHAnsi" w:hAnsiTheme="minorHAnsi"/>
              </w:rPr>
            </w:pPr>
            <w:r w:rsidRPr="001569B7">
              <w:rPr>
                <w:rFonts w:asciiTheme="minorHAnsi" w:hAnsiTheme="minorHAnsi"/>
              </w:rPr>
              <w:t>CDC</w:t>
            </w:r>
          </w:p>
        </w:tc>
        <w:tc>
          <w:tcPr>
            <w:tcW w:w="6485" w:type="dxa"/>
          </w:tcPr>
          <w:p w:rsidR="00BA7426" w:rsidRPr="001569B7" w:rsidRDefault="00BA7426" w:rsidP="001569B7">
            <w:pPr>
              <w:rPr>
                <w:rFonts w:asciiTheme="minorHAnsi" w:hAnsiTheme="minorHAnsi"/>
              </w:rPr>
            </w:pPr>
            <w:r w:rsidRPr="001569B7">
              <w:rPr>
                <w:rFonts w:asciiTheme="minorHAnsi" w:hAnsiTheme="minorHAnsi"/>
              </w:rPr>
              <w:t>Complement-dependent cytotoxicity</w:t>
            </w:r>
          </w:p>
        </w:tc>
      </w:tr>
      <w:tr w:rsidR="0059662C" w:rsidRPr="001569B7" w:rsidTr="00A55048">
        <w:tc>
          <w:tcPr>
            <w:tcW w:w="2235" w:type="dxa"/>
          </w:tcPr>
          <w:p w:rsidR="0059662C" w:rsidRPr="001569B7" w:rsidRDefault="001569B7" w:rsidP="001569B7">
            <w:pPr>
              <w:rPr>
                <w:rFonts w:asciiTheme="minorHAnsi" w:hAnsiTheme="minorHAnsi"/>
              </w:rPr>
            </w:pPr>
            <w:r>
              <w:rPr>
                <w:rFonts w:asciiTheme="minorHAnsi" w:hAnsiTheme="minorHAnsi"/>
              </w:rPr>
              <w:t>CEC</w:t>
            </w:r>
          </w:p>
        </w:tc>
        <w:tc>
          <w:tcPr>
            <w:tcW w:w="6485" w:type="dxa"/>
          </w:tcPr>
          <w:p w:rsidR="0059662C" w:rsidRPr="001569B7" w:rsidRDefault="0059662C" w:rsidP="001569B7">
            <w:pPr>
              <w:rPr>
                <w:rFonts w:asciiTheme="minorHAnsi" w:hAnsiTheme="minorHAnsi"/>
              </w:rPr>
            </w:pPr>
            <w:r w:rsidRPr="001569B7">
              <w:rPr>
                <w:rFonts w:asciiTheme="minorHAnsi" w:hAnsiTheme="minorHAnsi"/>
              </w:rPr>
              <w:t>Clinical Events Committee</w:t>
            </w:r>
          </w:p>
        </w:tc>
      </w:tr>
      <w:tr w:rsidR="0059662C" w:rsidRPr="001569B7" w:rsidTr="00A55048">
        <w:tc>
          <w:tcPr>
            <w:tcW w:w="2235" w:type="dxa"/>
          </w:tcPr>
          <w:p w:rsidR="0059662C" w:rsidRPr="001569B7" w:rsidRDefault="0059662C" w:rsidP="001569B7">
            <w:pPr>
              <w:rPr>
                <w:rFonts w:asciiTheme="minorHAnsi" w:hAnsiTheme="minorHAnsi"/>
              </w:rPr>
            </w:pPr>
            <w:r w:rsidRPr="001569B7">
              <w:rPr>
                <w:rFonts w:asciiTheme="minorHAnsi" w:hAnsiTheme="minorHAnsi"/>
              </w:rPr>
              <w:t>CER</w:t>
            </w:r>
          </w:p>
        </w:tc>
        <w:tc>
          <w:tcPr>
            <w:tcW w:w="6485" w:type="dxa"/>
          </w:tcPr>
          <w:p w:rsidR="0059662C" w:rsidRPr="001569B7" w:rsidRDefault="001569B7" w:rsidP="001569B7">
            <w:pPr>
              <w:rPr>
                <w:rFonts w:asciiTheme="minorHAnsi" w:hAnsiTheme="minorHAnsi"/>
              </w:rPr>
            </w:pPr>
            <w:r>
              <w:rPr>
                <w:rFonts w:asciiTheme="minorHAnsi" w:hAnsiTheme="minorHAnsi"/>
              </w:rPr>
              <w:t>Clinical evaluation report</w:t>
            </w:r>
          </w:p>
        </w:tc>
      </w:tr>
      <w:tr w:rsidR="0059662C" w:rsidRPr="001569B7" w:rsidTr="00A55048">
        <w:tc>
          <w:tcPr>
            <w:tcW w:w="2235" w:type="dxa"/>
          </w:tcPr>
          <w:p w:rsidR="0059662C" w:rsidRPr="001569B7" w:rsidRDefault="0059662C" w:rsidP="001569B7">
            <w:pPr>
              <w:rPr>
                <w:rFonts w:asciiTheme="minorHAnsi" w:hAnsiTheme="minorHAnsi"/>
              </w:rPr>
            </w:pPr>
            <w:r w:rsidRPr="001569B7">
              <w:rPr>
                <w:rFonts w:asciiTheme="minorHAnsi" w:hAnsiTheme="minorHAnsi"/>
              </w:rPr>
              <w:t>CI</w:t>
            </w:r>
          </w:p>
        </w:tc>
        <w:tc>
          <w:tcPr>
            <w:tcW w:w="6485" w:type="dxa"/>
          </w:tcPr>
          <w:p w:rsidR="0059662C" w:rsidRPr="001569B7" w:rsidRDefault="0059662C" w:rsidP="001569B7">
            <w:pPr>
              <w:rPr>
                <w:rFonts w:asciiTheme="minorHAnsi" w:hAnsiTheme="minorHAnsi"/>
              </w:rPr>
            </w:pPr>
            <w:r w:rsidRPr="001569B7">
              <w:rPr>
                <w:rFonts w:asciiTheme="minorHAnsi" w:hAnsiTheme="minorHAnsi"/>
              </w:rPr>
              <w:t>Confidence interval</w:t>
            </w:r>
          </w:p>
        </w:tc>
      </w:tr>
      <w:tr w:rsidR="0059662C" w:rsidRPr="001569B7" w:rsidTr="00A55048">
        <w:tc>
          <w:tcPr>
            <w:tcW w:w="2235" w:type="dxa"/>
          </w:tcPr>
          <w:p w:rsidR="0059662C" w:rsidRPr="001569B7" w:rsidRDefault="00027A8C" w:rsidP="001569B7">
            <w:pPr>
              <w:rPr>
                <w:rFonts w:asciiTheme="minorHAnsi" w:hAnsiTheme="minorHAnsi"/>
              </w:rPr>
            </w:pPr>
            <w:proofErr w:type="spellStart"/>
            <w:r w:rsidRPr="001569B7">
              <w:rPr>
                <w:rFonts w:asciiTheme="minorHAnsi" w:hAnsiTheme="minorHAnsi"/>
              </w:rPr>
              <w:t>C</w:t>
            </w:r>
            <w:r w:rsidRPr="001569B7">
              <w:rPr>
                <w:rFonts w:asciiTheme="minorHAnsi" w:hAnsiTheme="minorHAnsi"/>
                <w:vertAlign w:val="subscript"/>
              </w:rPr>
              <w:t>max</w:t>
            </w:r>
            <w:proofErr w:type="spellEnd"/>
          </w:p>
        </w:tc>
        <w:tc>
          <w:tcPr>
            <w:tcW w:w="6485" w:type="dxa"/>
          </w:tcPr>
          <w:p w:rsidR="0059662C" w:rsidRPr="001569B7" w:rsidRDefault="0059662C" w:rsidP="001569B7">
            <w:pPr>
              <w:rPr>
                <w:rFonts w:asciiTheme="minorHAnsi" w:hAnsiTheme="minorHAnsi"/>
              </w:rPr>
            </w:pPr>
            <w:r w:rsidRPr="001569B7">
              <w:rPr>
                <w:rFonts w:asciiTheme="minorHAnsi" w:hAnsiTheme="minorHAnsi"/>
              </w:rPr>
              <w:t>Maximum serum concentration</w:t>
            </w:r>
          </w:p>
        </w:tc>
      </w:tr>
      <w:tr w:rsidR="0059662C" w:rsidRPr="001569B7" w:rsidTr="00A55048">
        <w:tc>
          <w:tcPr>
            <w:tcW w:w="2235" w:type="dxa"/>
          </w:tcPr>
          <w:p w:rsidR="0059662C" w:rsidRPr="001569B7" w:rsidRDefault="0059662C" w:rsidP="001569B7">
            <w:pPr>
              <w:rPr>
                <w:rFonts w:asciiTheme="minorHAnsi" w:hAnsiTheme="minorHAnsi"/>
              </w:rPr>
            </w:pPr>
            <w:r w:rsidRPr="001569B7">
              <w:rPr>
                <w:rFonts w:asciiTheme="minorHAnsi" w:hAnsiTheme="minorHAnsi"/>
              </w:rPr>
              <w:lastRenderedPageBreak/>
              <w:t>CMH</w:t>
            </w:r>
          </w:p>
        </w:tc>
        <w:tc>
          <w:tcPr>
            <w:tcW w:w="6485" w:type="dxa"/>
          </w:tcPr>
          <w:p w:rsidR="0059662C" w:rsidRPr="001569B7" w:rsidRDefault="0059662C" w:rsidP="001569B7">
            <w:pPr>
              <w:rPr>
                <w:rFonts w:asciiTheme="minorHAnsi" w:hAnsiTheme="minorHAnsi"/>
              </w:rPr>
            </w:pPr>
            <w:r w:rsidRPr="001569B7">
              <w:rPr>
                <w:rFonts w:asciiTheme="minorHAnsi" w:hAnsiTheme="minorHAnsi"/>
              </w:rPr>
              <w:t>Cochran-Mantel-</w:t>
            </w:r>
            <w:proofErr w:type="spellStart"/>
            <w:r w:rsidRPr="001569B7">
              <w:rPr>
                <w:rFonts w:asciiTheme="minorHAnsi" w:hAnsiTheme="minorHAnsi"/>
              </w:rPr>
              <w:t>Haenszel</w:t>
            </w:r>
            <w:proofErr w:type="spellEnd"/>
          </w:p>
        </w:tc>
      </w:tr>
      <w:tr w:rsidR="0059662C" w:rsidRPr="001569B7" w:rsidTr="00A55048">
        <w:tc>
          <w:tcPr>
            <w:tcW w:w="2235" w:type="dxa"/>
          </w:tcPr>
          <w:p w:rsidR="0059662C" w:rsidRPr="001569B7" w:rsidRDefault="0059662C" w:rsidP="001569B7">
            <w:pPr>
              <w:rPr>
                <w:rFonts w:asciiTheme="minorHAnsi" w:hAnsiTheme="minorHAnsi"/>
              </w:rPr>
            </w:pPr>
            <w:r w:rsidRPr="001569B7">
              <w:rPr>
                <w:rFonts w:asciiTheme="minorHAnsi" w:hAnsiTheme="minorHAnsi"/>
              </w:rPr>
              <w:t>CRP</w:t>
            </w:r>
          </w:p>
        </w:tc>
        <w:tc>
          <w:tcPr>
            <w:tcW w:w="6485" w:type="dxa"/>
          </w:tcPr>
          <w:p w:rsidR="0059662C" w:rsidRPr="001569B7" w:rsidRDefault="0059662C" w:rsidP="001569B7">
            <w:pPr>
              <w:rPr>
                <w:rFonts w:asciiTheme="minorHAnsi" w:hAnsiTheme="minorHAnsi"/>
              </w:rPr>
            </w:pPr>
            <w:r w:rsidRPr="001569B7">
              <w:rPr>
                <w:rFonts w:asciiTheme="minorHAnsi" w:hAnsiTheme="minorHAnsi"/>
              </w:rPr>
              <w:t>C-reactive protein</w:t>
            </w:r>
          </w:p>
        </w:tc>
      </w:tr>
      <w:tr w:rsidR="0059662C" w:rsidRPr="001569B7" w:rsidTr="00A55048">
        <w:tc>
          <w:tcPr>
            <w:tcW w:w="2235" w:type="dxa"/>
          </w:tcPr>
          <w:p w:rsidR="0059662C" w:rsidRPr="001569B7" w:rsidRDefault="0059662C" w:rsidP="001569B7">
            <w:pPr>
              <w:rPr>
                <w:rFonts w:asciiTheme="minorHAnsi" w:hAnsiTheme="minorHAnsi"/>
              </w:rPr>
            </w:pPr>
            <w:r w:rsidRPr="001569B7">
              <w:rPr>
                <w:rFonts w:asciiTheme="minorHAnsi" w:hAnsiTheme="minorHAnsi"/>
              </w:rPr>
              <w:t>CSR</w:t>
            </w:r>
          </w:p>
        </w:tc>
        <w:tc>
          <w:tcPr>
            <w:tcW w:w="6485" w:type="dxa"/>
          </w:tcPr>
          <w:p w:rsidR="0059662C" w:rsidRPr="001569B7" w:rsidRDefault="0059662C" w:rsidP="001569B7">
            <w:pPr>
              <w:rPr>
                <w:rFonts w:asciiTheme="minorHAnsi" w:hAnsiTheme="minorHAnsi"/>
              </w:rPr>
            </w:pPr>
            <w:r w:rsidRPr="001569B7">
              <w:rPr>
                <w:rFonts w:asciiTheme="minorHAnsi" w:hAnsiTheme="minorHAnsi"/>
              </w:rPr>
              <w:t>Clinical study report</w:t>
            </w:r>
          </w:p>
        </w:tc>
      </w:tr>
      <w:tr w:rsidR="0059662C" w:rsidRPr="001569B7" w:rsidTr="00A55048">
        <w:tc>
          <w:tcPr>
            <w:tcW w:w="2235" w:type="dxa"/>
          </w:tcPr>
          <w:p w:rsidR="0059662C" w:rsidRPr="001569B7" w:rsidRDefault="001569B7" w:rsidP="001569B7">
            <w:pPr>
              <w:rPr>
                <w:rFonts w:asciiTheme="minorHAnsi" w:hAnsiTheme="minorHAnsi"/>
              </w:rPr>
            </w:pPr>
            <w:r>
              <w:rPr>
                <w:rFonts w:asciiTheme="minorHAnsi" w:hAnsiTheme="minorHAnsi"/>
              </w:rPr>
              <w:t>CTCAE</w:t>
            </w:r>
          </w:p>
        </w:tc>
        <w:tc>
          <w:tcPr>
            <w:tcW w:w="6485" w:type="dxa"/>
          </w:tcPr>
          <w:p w:rsidR="0059662C" w:rsidRPr="001569B7" w:rsidRDefault="0059662C" w:rsidP="001569B7">
            <w:pPr>
              <w:rPr>
                <w:rFonts w:asciiTheme="minorHAnsi" w:hAnsiTheme="minorHAnsi"/>
              </w:rPr>
            </w:pPr>
            <w:r w:rsidRPr="001569B7">
              <w:rPr>
                <w:rFonts w:asciiTheme="minorHAnsi" w:hAnsiTheme="minorHAnsi"/>
              </w:rPr>
              <w:t>Common Terminology Criteria for Adverse Events</w:t>
            </w:r>
          </w:p>
        </w:tc>
      </w:tr>
      <w:tr w:rsidR="0059662C" w:rsidRPr="001569B7" w:rsidTr="00A55048">
        <w:tc>
          <w:tcPr>
            <w:tcW w:w="2235" w:type="dxa"/>
          </w:tcPr>
          <w:p w:rsidR="0059662C" w:rsidRPr="001569B7" w:rsidRDefault="001569B7" w:rsidP="001569B7">
            <w:pPr>
              <w:rPr>
                <w:rFonts w:asciiTheme="minorHAnsi" w:hAnsiTheme="minorHAnsi"/>
              </w:rPr>
            </w:pPr>
            <w:r>
              <w:rPr>
                <w:rFonts w:asciiTheme="minorHAnsi" w:hAnsiTheme="minorHAnsi"/>
              </w:rPr>
              <w:t>DAS28-CRP</w:t>
            </w:r>
          </w:p>
        </w:tc>
        <w:tc>
          <w:tcPr>
            <w:tcW w:w="6485" w:type="dxa"/>
          </w:tcPr>
          <w:p w:rsidR="0059662C" w:rsidRPr="001569B7" w:rsidRDefault="0059662C" w:rsidP="001569B7">
            <w:pPr>
              <w:rPr>
                <w:rFonts w:asciiTheme="minorHAnsi" w:hAnsiTheme="minorHAnsi"/>
              </w:rPr>
            </w:pPr>
            <w:r w:rsidRPr="001569B7">
              <w:rPr>
                <w:rFonts w:asciiTheme="minorHAnsi" w:hAnsiTheme="minorHAnsi"/>
              </w:rPr>
              <w:t>Disease Activity Score 28</w:t>
            </w:r>
            <w:r w:rsidR="008F5FCD" w:rsidRPr="001569B7">
              <w:rPr>
                <w:rFonts w:asciiTheme="minorHAnsi" w:hAnsiTheme="minorHAnsi"/>
              </w:rPr>
              <w:t xml:space="preserve"> based on</w:t>
            </w:r>
            <w:r w:rsidRPr="001569B7">
              <w:rPr>
                <w:rFonts w:asciiTheme="minorHAnsi" w:hAnsiTheme="minorHAnsi"/>
              </w:rPr>
              <w:t xml:space="preserve"> </w:t>
            </w:r>
            <w:proofErr w:type="spellStart"/>
            <w:r w:rsidRPr="001569B7">
              <w:rPr>
                <w:rFonts w:asciiTheme="minorHAnsi" w:hAnsiTheme="minorHAnsi"/>
              </w:rPr>
              <w:t>diarthrodial</w:t>
            </w:r>
            <w:proofErr w:type="spellEnd"/>
            <w:r w:rsidRPr="001569B7">
              <w:rPr>
                <w:rFonts w:asciiTheme="minorHAnsi" w:hAnsiTheme="minorHAnsi"/>
              </w:rPr>
              <w:t xml:space="preserve"> joint count </w:t>
            </w:r>
            <w:r w:rsidR="008F5FCD" w:rsidRPr="001569B7">
              <w:rPr>
                <w:rFonts w:asciiTheme="minorHAnsi" w:hAnsiTheme="minorHAnsi"/>
              </w:rPr>
              <w:t>and</w:t>
            </w:r>
            <w:r w:rsidRPr="001569B7">
              <w:rPr>
                <w:rFonts w:asciiTheme="minorHAnsi" w:hAnsiTheme="minorHAnsi"/>
              </w:rPr>
              <w:t xml:space="preserve"> C-reactive protein</w:t>
            </w:r>
          </w:p>
        </w:tc>
      </w:tr>
      <w:tr w:rsidR="0059662C" w:rsidRPr="001569B7" w:rsidTr="00A55048">
        <w:tc>
          <w:tcPr>
            <w:tcW w:w="2235" w:type="dxa"/>
          </w:tcPr>
          <w:p w:rsidR="0059662C" w:rsidRPr="001569B7" w:rsidRDefault="001569B7" w:rsidP="001569B7">
            <w:pPr>
              <w:rPr>
                <w:rFonts w:asciiTheme="minorHAnsi" w:hAnsiTheme="minorHAnsi"/>
              </w:rPr>
            </w:pPr>
            <w:r>
              <w:rPr>
                <w:rFonts w:asciiTheme="minorHAnsi" w:hAnsiTheme="minorHAnsi"/>
              </w:rPr>
              <w:t>DMARDs</w:t>
            </w:r>
          </w:p>
        </w:tc>
        <w:tc>
          <w:tcPr>
            <w:tcW w:w="6485" w:type="dxa"/>
          </w:tcPr>
          <w:p w:rsidR="0059662C" w:rsidRPr="001569B7" w:rsidRDefault="0059662C" w:rsidP="001569B7">
            <w:pPr>
              <w:rPr>
                <w:rFonts w:asciiTheme="minorHAnsi" w:hAnsiTheme="minorHAnsi"/>
              </w:rPr>
            </w:pPr>
            <w:r w:rsidRPr="001569B7">
              <w:rPr>
                <w:rFonts w:asciiTheme="minorHAnsi" w:hAnsiTheme="minorHAnsi"/>
              </w:rPr>
              <w:t>Disease-modifying anti</w:t>
            </w:r>
            <w:r w:rsidR="00637490" w:rsidRPr="001569B7">
              <w:rPr>
                <w:rFonts w:asciiTheme="minorHAnsi" w:hAnsiTheme="minorHAnsi"/>
              </w:rPr>
              <w:t>-</w:t>
            </w:r>
            <w:r w:rsidRPr="001569B7">
              <w:rPr>
                <w:rFonts w:asciiTheme="minorHAnsi" w:hAnsiTheme="minorHAnsi"/>
              </w:rPr>
              <w:t>rheumatic drugs</w:t>
            </w:r>
          </w:p>
        </w:tc>
      </w:tr>
      <w:tr w:rsidR="0059662C" w:rsidRPr="001569B7" w:rsidTr="00A55048">
        <w:tc>
          <w:tcPr>
            <w:tcW w:w="2235" w:type="dxa"/>
          </w:tcPr>
          <w:p w:rsidR="0059662C" w:rsidRPr="001569B7" w:rsidRDefault="001569B7" w:rsidP="001569B7">
            <w:pPr>
              <w:rPr>
                <w:rFonts w:asciiTheme="minorHAnsi" w:hAnsiTheme="minorHAnsi"/>
              </w:rPr>
            </w:pPr>
            <w:r>
              <w:rPr>
                <w:rFonts w:asciiTheme="minorHAnsi" w:hAnsiTheme="minorHAnsi"/>
              </w:rPr>
              <w:t>DMC</w:t>
            </w:r>
          </w:p>
        </w:tc>
        <w:tc>
          <w:tcPr>
            <w:tcW w:w="6485" w:type="dxa"/>
          </w:tcPr>
          <w:p w:rsidR="0059662C" w:rsidRPr="001569B7" w:rsidRDefault="0059662C" w:rsidP="001569B7">
            <w:pPr>
              <w:rPr>
                <w:rFonts w:asciiTheme="minorHAnsi" w:hAnsiTheme="minorHAnsi"/>
              </w:rPr>
            </w:pPr>
            <w:r w:rsidRPr="001569B7">
              <w:rPr>
                <w:rFonts w:asciiTheme="minorHAnsi" w:hAnsiTheme="minorHAnsi"/>
              </w:rPr>
              <w:t>Data Monitoring Committee, a group specifically established for interim safety monitoring</w:t>
            </w:r>
          </w:p>
        </w:tc>
      </w:tr>
      <w:tr w:rsidR="0059662C" w:rsidRPr="001569B7" w:rsidTr="00A55048">
        <w:tc>
          <w:tcPr>
            <w:tcW w:w="2235" w:type="dxa"/>
          </w:tcPr>
          <w:p w:rsidR="0059662C" w:rsidRPr="001569B7" w:rsidRDefault="001569B7" w:rsidP="001569B7">
            <w:pPr>
              <w:rPr>
                <w:rFonts w:asciiTheme="minorHAnsi" w:hAnsiTheme="minorHAnsi"/>
              </w:rPr>
            </w:pPr>
            <w:r>
              <w:rPr>
                <w:rFonts w:asciiTheme="minorHAnsi" w:hAnsiTheme="minorHAnsi"/>
              </w:rPr>
              <w:t>ECG</w:t>
            </w:r>
          </w:p>
        </w:tc>
        <w:tc>
          <w:tcPr>
            <w:tcW w:w="6485" w:type="dxa"/>
          </w:tcPr>
          <w:p w:rsidR="0059662C" w:rsidRPr="001569B7" w:rsidRDefault="0059662C" w:rsidP="001569B7">
            <w:pPr>
              <w:rPr>
                <w:rFonts w:asciiTheme="minorHAnsi" w:hAnsiTheme="minorHAnsi"/>
              </w:rPr>
            </w:pPr>
            <w:r w:rsidRPr="001569B7">
              <w:rPr>
                <w:rFonts w:asciiTheme="minorHAnsi" w:hAnsiTheme="minorHAnsi"/>
              </w:rPr>
              <w:t>Electrocardiogram</w:t>
            </w:r>
          </w:p>
        </w:tc>
      </w:tr>
      <w:tr w:rsidR="0059662C" w:rsidRPr="001569B7" w:rsidTr="00A55048">
        <w:tc>
          <w:tcPr>
            <w:tcW w:w="2235" w:type="dxa"/>
          </w:tcPr>
          <w:p w:rsidR="0059662C" w:rsidRPr="001569B7" w:rsidRDefault="0059662C" w:rsidP="001569B7">
            <w:pPr>
              <w:rPr>
                <w:rFonts w:asciiTheme="minorHAnsi" w:hAnsiTheme="minorHAnsi"/>
              </w:rPr>
            </w:pPr>
            <w:proofErr w:type="spellStart"/>
            <w:r w:rsidRPr="001569B7">
              <w:rPr>
                <w:rFonts w:asciiTheme="minorHAnsi" w:hAnsiTheme="minorHAnsi"/>
              </w:rPr>
              <w:t>eCRF</w:t>
            </w:r>
            <w:proofErr w:type="spellEnd"/>
          </w:p>
        </w:tc>
        <w:tc>
          <w:tcPr>
            <w:tcW w:w="6485" w:type="dxa"/>
          </w:tcPr>
          <w:p w:rsidR="0059662C" w:rsidRPr="001569B7" w:rsidRDefault="001569B7" w:rsidP="001569B7">
            <w:pPr>
              <w:rPr>
                <w:rFonts w:asciiTheme="minorHAnsi" w:hAnsiTheme="minorHAnsi"/>
              </w:rPr>
            </w:pPr>
            <w:r>
              <w:rPr>
                <w:rFonts w:asciiTheme="minorHAnsi" w:hAnsiTheme="minorHAnsi"/>
              </w:rPr>
              <w:t>Electronic case report form</w:t>
            </w:r>
          </w:p>
        </w:tc>
      </w:tr>
      <w:tr w:rsidR="0059662C" w:rsidRPr="001569B7" w:rsidTr="00A55048">
        <w:tc>
          <w:tcPr>
            <w:tcW w:w="2235" w:type="dxa"/>
          </w:tcPr>
          <w:p w:rsidR="0059662C" w:rsidRPr="001569B7" w:rsidRDefault="0059662C" w:rsidP="001569B7">
            <w:pPr>
              <w:rPr>
                <w:rFonts w:asciiTheme="minorHAnsi" w:hAnsiTheme="minorHAnsi"/>
              </w:rPr>
            </w:pPr>
            <w:r w:rsidRPr="001569B7">
              <w:rPr>
                <w:rFonts w:asciiTheme="minorHAnsi" w:hAnsiTheme="minorHAnsi"/>
              </w:rPr>
              <w:t>ELISA</w:t>
            </w:r>
          </w:p>
        </w:tc>
        <w:tc>
          <w:tcPr>
            <w:tcW w:w="6485" w:type="dxa"/>
          </w:tcPr>
          <w:p w:rsidR="0059662C" w:rsidRPr="001569B7" w:rsidRDefault="0059662C" w:rsidP="001569B7">
            <w:pPr>
              <w:rPr>
                <w:rFonts w:asciiTheme="minorHAnsi" w:hAnsiTheme="minorHAnsi"/>
              </w:rPr>
            </w:pPr>
            <w:r w:rsidRPr="001569B7">
              <w:rPr>
                <w:rFonts w:asciiTheme="minorHAnsi" w:hAnsiTheme="minorHAnsi"/>
              </w:rPr>
              <w:t>Enzyme linked immunosorbent assay</w:t>
            </w:r>
          </w:p>
        </w:tc>
      </w:tr>
      <w:tr w:rsidR="0059662C" w:rsidRPr="001569B7" w:rsidTr="00A55048">
        <w:tc>
          <w:tcPr>
            <w:tcW w:w="2235" w:type="dxa"/>
          </w:tcPr>
          <w:p w:rsidR="0059662C" w:rsidRPr="001569B7" w:rsidRDefault="001569B7" w:rsidP="001569B7">
            <w:pPr>
              <w:rPr>
                <w:rFonts w:asciiTheme="minorHAnsi" w:hAnsiTheme="minorHAnsi"/>
              </w:rPr>
            </w:pPr>
            <w:r>
              <w:rPr>
                <w:rFonts w:asciiTheme="minorHAnsi" w:hAnsiTheme="minorHAnsi"/>
              </w:rPr>
              <w:t>EQ-5D 5L</w:t>
            </w:r>
          </w:p>
        </w:tc>
        <w:tc>
          <w:tcPr>
            <w:tcW w:w="6485" w:type="dxa"/>
          </w:tcPr>
          <w:p w:rsidR="0059662C" w:rsidRPr="001569B7" w:rsidRDefault="0059662C" w:rsidP="001569B7">
            <w:pPr>
              <w:rPr>
                <w:rFonts w:asciiTheme="minorHAnsi" w:hAnsiTheme="minorHAnsi"/>
              </w:rPr>
            </w:pPr>
            <w:r w:rsidRPr="001569B7">
              <w:rPr>
                <w:rFonts w:asciiTheme="minorHAnsi" w:hAnsiTheme="minorHAnsi"/>
              </w:rPr>
              <w:t>European Quality of Life-5 Dimensions 5 Level</w:t>
            </w:r>
          </w:p>
        </w:tc>
      </w:tr>
      <w:tr w:rsidR="0059662C" w:rsidRPr="001569B7" w:rsidTr="00A55048">
        <w:tc>
          <w:tcPr>
            <w:tcW w:w="2235" w:type="dxa"/>
          </w:tcPr>
          <w:p w:rsidR="0059662C" w:rsidRPr="001569B7" w:rsidRDefault="0059662C" w:rsidP="001569B7">
            <w:pPr>
              <w:rPr>
                <w:rFonts w:asciiTheme="minorHAnsi" w:hAnsiTheme="minorHAnsi"/>
              </w:rPr>
            </w:pPr>
            <w:r w:rsidRPr="001569B7">
              <w:rPr>
                <w:rFonts w:asciiTheme="minorHAnsi" w:hAnsiTheme="minorHAnsi"/>
              </w:rPr>
              <w:t>EULAR</w:t>
            </w:r>
          </w:p>
        </w:tc>
        <w:tc>
          <w:tcPr>
            <w:tcW w:w="6485" w:type="dxa"/>
          </w:tcPr>
          <w:p w:rsidR="0059662C" w:rsidRPr="001569B7" w:rsidRDefault="0059662C" w:rsidP="001569B7">
            <w:pPr>
              <w:rPr>
                <w:rFonts w:asciiTheme="minorHAnsi" w:hAnsiTheme="minorHAnsi"/>
              </w:rPr>
            </w:pPr>
            <w:r w:rsidRPr="001569B7">
              <w:rPr>
                <w:rFonts w:asciiTheme="minorHAnsi" w:hAnsiTheme="minorHAnsi"/>
              </w:rPr>
              <w:t>European League Against Rheumatism</w:t>
            </w:r>
          </w:p>
        </w:tc>
      </w:tr>
      <w:tr w:rsidR="0059662C" w:rsidRPr="001569B7" w:rsidTr="00A55048">
        <w:tc>
          <w:tcPr>
            <w:tcW w:w="2235" w:type="dxa"/>
          </w:tcPr>
          <w:p w:rsidR="0059662C" w:rsidRPr="001569B7" w:rsidRDefault="0059662C" w:rsidP="001569B7">
            <w:pPr>
              <w:rPr>
                <w:rFonts w:asciiTheme="minorHAnsi" w:hAnsiTheme="minorHAnsi"/>
              </w:rPr>
            </w:pPr>
            <w:r w:rsidRPr="001569B7">
              <w:rPr>
                <w:rFonts w:asciiTheme="minorHAnsi" w:hAnsiTheme="minorHAnsi"/>
              </w:rPr>
              <w:t>FACIT</w:t>
            </w:r>
          </w:p>
        </w:tc>
        <w:tc>
          <w:tcPr>
            <w:tcW w:w="6485" w:type="dxa"/>
          </w:tcPr>
          <w:p w:rsidR="0059662C" w:rsidRPr="001569B7" w:rsidRDefault="0059662C" w:rsidP="001569B7">
            <w:pPr>
              <w:rPr>
                <w:rFonts w:asciiTheme="minorHAnsi" w:hAnsiTheme="minorHAnsi"/>
              </w:rPr>
            </w:pPr>
            <w:r w:rsidRPr="001569B7">
              <w:rPr>
                <w:rFonts w:asciiTheme="minorHAnsi" w:hAnsiTheme="minorHAnsi"/>
              </w:rPr>
              <w:t>Functional Assessment of Chronic Ill Health</w:t>
            </w:r>
          </w:p>
        </w:tc>
      </w:tr>
      <w:tr w:rsidR="0059662C" w:rsidRPr="001569B7" w:rsidTr="00A55048">
        <w:tc>
          <w:tcPr>
            <w:tcW w:w="2235" w:type="dxa"/>
          </w:tcPr>
          <w:p w:rsidR="0059662C" w:rsidRPr="001569B7" w:rsidRDefault="0059662C" w:rsidP="001569B7">
            <w:pPr>
              <w:rPr>
                <w:rFonts w:asciiTheme="minorHAnsi" w:hAnsiTheme="minorHAnsi"/>
              </w:rPr>
            </w:pPr>
            <w:r w:rsidRPr="001569B7">
              <w:rPr>
                <w:rFonts w:asciiTheme="minorHAnsi" w:hAnsiTheme="minorHAnsi"/>
              </w:rPr>
              <w:t>GCP</w:t>
            </w:r>
          </w:p>
        </w:tc>
        <w:tc>
          <w:tcPr>
            <w:tcW w:w="6485" w:type="dxa"/>
          </w:tcPr>
          <w:p w:rsidR="0059662C" w:rsidRPr="001569B7" w:rsidRDefault="0059662C" w:rsidP="001569B7">
            <w:pPr>
              <w:rPr>
                <w:rFonts w:asciiTheme="minorHAnsi" w:hAnsiTheme="minorHAnsi"/>
              </w:rPr>
            </w:pPr>
            <w:r w:rsidRPr="001569B7">
              <w:rPr>
                <w:rFonts w:asciiTheme="minorHAnsi" w:hAnsiTheme="minorHAnsi"/>
              </w:rPr>
              <w:t>Good Clinical Practice</w:t>
            </w:r>
          </w:p>
        </w:tc>
      </w:tr>
      <w:tr w:rsidR="0059662C" w:rsidRPr="001569B7" w:rsidTr="00A55048">
        <w:tc>
          <w:tcPr>
            <w:tcW w:w="2235" w:type="dxa"/>
          </w:tcPr>
          <w:p w:rsidR="0059662C" w:rsidRPr="001569B7" w:rsidRDefault="0059662C" w:rsidP="001569B7">
            <w:pPr>
              <w:rPr>
                <w:rFonts w:asciiTheme="minorHAnsi" w:hAnsiTheme="minorHAnsi"/>
              </w:rPr>
            </w:pPr>
            <w:r w:rsidRPr="001569B7">
              <w:rPr>
                <w:rFonts w:asciiTheme="minorHAnsi" w:hAnsiTheme="minorHAnsi"/>
              </w:rPr>
              <w:t>GGT</w:t>
            </w:r>
          </w:p>
        </w:tc>
        <w:tc>
          <w:tcPr>
            <w:tcW w:w="6485" w:type="dxa"/>
          </w:tcPr>
          <w:p w:rsidR="0059662C" w:rsidRPr="001569B7" w:rsidRDefault="0059662C" w:rsidP="001569B7">
            <w:pPr>
              <w:rPr>
                <w:rFonts w:asciiTheme="minorHAnsi" w:hAnsiTheme="minorHAnsi"/>
              </w:rPr>
            </w:pPr>
            <w:r w:rsidRPr="001569B7">
              <w:rPr>
                <w:rFonts w:asciiTheme="minorHAnsi" w:hAnsiTheme="minorHAnsi"/>
              </w:rPr>
              <w:t>Gamma glutamyl transferase</w:t>
            </w:r>
          </w:p>
        </w:tc>
      </w:tr>
      <w:tr w:rsidR="0059662C" w:rsidRPr="001569B7" w:rsidTr="00A55048">
        <w:tc>
          <w:tcPr>
            <w:tcW w:w="2235" w:type="dxa"/>
          </w:tcPr>
          <w:p w:rsidR="0059662C" w:rsidRPr="001569B7" w:rsidRDefault="0059662C" w:rsidP="001569B7">
            <w:pPr>
              <w:rPr>
                <w:rFonts w:asciiTheme="minorHAnsi" w:hAnsiTheme="minorHAnsi"/>
              </w:rPr>
            </w:pPr>
            <w:r w:rsidRPr="001569B7">
              <w:rPr>
                <w:rFonts w:asciiTheme="minorHAnsi" w:hAnsiTheme="minorHAnsi"/>
              </w:rPr>
              <w:t>HAQ</w:t>
            </w:r>
          </w:p>
        </w:tc>
        <w:tc>
          <w:tcPr>
            <w:tcW w:w="6485" w:type="dxa"/>
          </w:tcPr>
          <w:p w:rsidR="0059662C" w:rsidRPr="001569B7" w:rsidRDefault="0059662C" w:rsidP="001569B7">
            <w:pPr>
              <w:rPr>
                <w:rFonts w:asciiTheme="minorHAnsi" w:hAnsiTheme="minorHAnsi"/>
              </w:rPr>
            </w:pPr>
            <w:r w:rsidRPr="001569B7">
              <w:rPr>
                <w:rFonts w:asciiTheme="minorHAnsi" w:hAnsiTheme="minorHAnsi"/>
              </w:rPr>
              <w:t>Health Assessment Questionnaire</w:t>
            </w:r>
          </w:p>
        </w:tc>
      </w:tr>
      <w:tr w:rsidR="0059662C" w:rsidRPr="001569B7" w:rsidTr="00A55048">
        <w:tc>
          <w:tcPr>
            <w:tcW w:w="2235" w:type="dxa"/>
          </w:tcPr>
          <w:p w:rsidR="0059662C" w:rsidRPr="001569B7" w:rsidRDefault="001569B7" w:rsidP="001569B7">
            <w:pPr>
              <w:rPr>
                <w:rFonts w:asciiTheme="minorHAnsi" w:hAnsiTheme="minorHAnsi"/>
              </w:rPr>
            </w:pPr>
            <w:r>
              <w:rPr>
                <w:rFonts w:asciiTheme="minorHAnsi" w:hAnsiTheme="minorHAnsi"/>
              </w:rPr>
              <w:t>HAQ-DI</w:t>
            </w:r>
          </w:p>
        </w:tc>
        <w:tc>
          <w:tcPr>
            <w:tcW w:w="6485" w:type="dxa"/>
          </w:tcPr>
          <w:p w:rsidR="0059662C" w:rsidRPr="001569B7" w:rsidRDefault="0059662C" w:rsidP="001569B7">
            <w:pPr>
              <w:rPr>
                <w:rFonts w:asciiTheme="minorHAnsi" w:hAnsiTheme="minorHAnsi"/>
              </w:rPr>
            </w:pPr>
            <w:r w:rsidRPr="001569B7">
              <w:rPr>
                <w:rFonts w:asciiTheme="minorHAnsi" w:hAnsiTheme="minorHAnsi"/>
              </w:rPr>
              <w:t>Health Assessment Questionnaire-Disability Index</w:t>
            </w:r>
          </w:p>
        </w:tc>
      </w:tr>
      <w:tr w:rsidR="0059662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Pr>
          <w:p w:rsidR="0059662C" w:rsidRPr="001569B7" w:rsidRDefault="0059662C" w:rsidP="001569B7">
            <w:pPr>
              <w:rPr>
                <w:rFonts w:asciiTheme="minorHAnsi" w:hAnsiTheme="minorHAnsi"/>
              </w:rPr>
            </w:pPr>
            <w:r w:rsidRPr="001569B7">
              <w:rPr>
                <w:rFonts w:asciiTheme="minorHAnsi" w:hAnsiTheme="minorHAnsi"/>
              </w:rPr>
              <w:t>HR-QOL</w:t>
            </w:r>
          </w:p>
        </w:tc>
        <w:tc>
          <w:tcPr>
            <w:tcW w:w="6485" w:type="dxa"/>
          </w:tcPr>
          <w:p w:rsidR="0059662C" w:rsidRPr="001569B7" w:rsidRDefault="0059662C" w:rsidP="001569B7">
            <w:pPr>
              <w:rPr>
                <w:rFonts w:asciiTheme="minorHAnsi" w:hAnsiTheme="minorHAnsi"/>
              </w:rPr>
            </w:pPr>
            <w:r w:rsidRPr="001569B7">
              <w:rPr>
                <w:rFonts w:asciiTheme="minorHAnsi" w:hAnsiTheme="minorHAnsi"/>
              </w:rPr>
              <w:t>Health Related Quality of Life</w:t>
            </w:r>
          </w:p>
        </w:tc>
      </w:tr>
      <w:tr w:rsidR="0059662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Pr>
          <w:p w:rsidR="0059662C" w:rsidRPr="001569B7" w:rsidRDefault="001569B7" w:rsidP="001569B7">
            <w:pPr>
              <w:rPr>
                <w:rFonts w:asciiTheme="minorHAnsi" w:hAnsiTheme="minorHAnsi"/>
              </w:rPr>
            </w:pPr>
            <w:r>
              <w:rPr>
                <w:rFonts w:asciiTheme="minorHAnsi" w:hAnsiTheme="minorHAnsi"/>
              </w:rPr>
              <w:t>HBV</w:t>
            </w:r>
          </w:p>
        </w:tc>
        <w:tc>
          <w:tcPr>
            <w:tcW w:w="6485" w:type="dxa"/>
          </w:tcPr>
          <w:p w:rsidR="0059662C" w:rsidRPr="001569B7" w:rsidRDefault="0059662C" w:rsidP="001569B7">
            <w:pPr>
              <w:rPr>
                <w:rFonts w:asciiTheme="minorHAnsi" w:hAnsiTheme="minorHAnsi"/>
              </w:rPr>
            </w:pPr>
            <w:r w:rsidRPr="001569B7">
              <w:rPr>
                <w:rFonts w:asciiTheme="minorHAnsi" w:hAnsiTheme="minorHAnsi"/>
              </w:rPr>
              <w:t>Hepatitis B virus</w:t>
            </w:r>
          </w:p>
        </w:tc>
      </w:tr>
      <w:tr w:rsidR="0059662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Pr>
          <w:p w:rsidR="0059662C" w:rsidRPr="001569B7" w:rsidRDefault="001569B7" w:rsidP="001569B7">
            <w:pPr>
              <w:rPr>
                <w:rFonts w:asciiTheme="minorHAnsi" w:hAnsiTheme="minorHAnsi"/>
              </w:rPr>
            </w:pPr>
            <w:proofErr w:type="spellStart"/>
            <w:r>
              <w:rPr>
                <w:rFonts w:asciiTheme="minorHAnsi" w:hAnsiTheme="minorHAnsi"/>
              </w:rPr>
              <w:t>hs</w:t>
            </w:r>
            <w:proofErr w:type="spellEnd"/>
            <w:r>
              <w:rPr>
                <w:rFonts w:asciiTheme="minorHAnsi" w:hAnsiTheme="minorHAnsi"/>
              </w:rPr>
              <w:t>-CRP</w:t>
            </w:r>
          </w:p>
        </w:tc>
        <w:tc>
          <w:tcPr>
            <w:tcW w:w="6485" w:type="dxa"/>
          </w:tcPr>
          <w:p w:rsidR="0059662C" w:rsidRPr="001569B7" w:rsidRDefault="0059662C" w:rsidP="001569B7">
            <w:pPr>
              <w:rPr>
                <w:rFonts w:asciiTheme="minorHAnsi" w:hAnsiTheme="minorHAnsi"/>
              </w:rPr>
            </w:pPr>
            <w:r w:rsidRPr="001569B7">
              <w:rPr>
                <w:rFonts w:asciiTheme="minorHAnsi" w:hAnsiTheme="minorHAnsi"/>
              </w:rPr>
              <w:t>High sensitivity (assay) C-reactive protein</w:t>
            </w:r>
          </w:p>
        </w:tc>
      </w:tr>
      <w:tr w:rsidR="0059662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Pr>
          <w:p w:rsidR="0059662C" w:rsidRPr="001569B7" w:rsidRDefault="001569B7" w:rsidP="001569B7">
            <w:pPr>
              <w:rPr>
                <w:rFonts w:asciiTheme="minorHAnsi" w:hAnsiTheme="minorHAnsi"/>
              </w:rPr>
            </w:pPr>
            <w:r>
              <w:rPr>
                <w:rFonts w:asciiTheme="minorHAnsi" w:hAnsiTheme="minorHAnsi"/>
              </w:rPr>
              <w:t>ICH</w:t>
            </w:r>
          </w:p>
        </w:tc>
        <w:tc>
          <w:tcPr>
            <w:tcW w:w="6485" w:type="dxa"/>
          </w:tcPr>
          <w:p w:rsidR="0059662C" w:rsidRPr="001569B7" w:rsidRDefault="0059662C" w:rsidP="001569B7">
            <w:pPr>
              <w:rPr>
                <w:rFonts w:asciiTheme="minorHAnsi" w:hAnsiTheme="minorHAnsi"/>
              </w:rPr>
            </w:pPr>
            <w:r w:rsidRPr="001569B7">
              <w:rPr>
                <w:rFonts w:asciiTheme="minorHAnsi" w:hAnsiTheme="minorHAnsi"/>
              </w:rPr>
              <w:t>International Council for Harmonisation</w:t>
            </w:r>
          </w:p>
        </w:tc>
      </w:tr>
      <w:tr w:rsidR="0059662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Pr>
          <w:p w:rsidR="0059662C" w:rsidRPr="001569B7" w:rsidRDefault="001569B7" w:rsidP="001569B7">
            <w:pPr>
              <w:rPr>
                <w:rFonts w:asciiTheme="minorHAnsi" w:hAnsiTheme="minorHAnsi"/>
              </w:rPr>
            </w:pPr>
            <w:r>
              <w:rPr>
                <w:rFonts w:asciiTheme="minorHAnsi" w:hAnsiTheme="minorHAnsi"/>
              </w:rPr>
              <w:t>Ig</w:t>
            </w:r>
          </w:p>
        </w:tc>
        <w:tc>
          <w:tcPr>
            <w:tcW w:w="6485" w:type="dxa"/>
          </w:tcPr>
          <w:p w:rsidR="0059662C" w:rsidRPr="001569B7" w:rsidRDefault="0059662C" w:rsidP="001569B7">
            <w:pPr>
              <w:rPr>
                <w:rFonts w:asciiTheme="minorHAnsi" w:hAnsiTheme="minorHAnsi"/>
              </w:rPr>
            </w:pPr>
            <w:r w:rsidRPr="001569B7">
              <w:rPr>
                <w:rFonts w:asciiTheme="minorHAnsi" w:hAnsiTheme="minorHAnsi"/>
              </w:rPr>
              <w:t>Immunoglobulin</w:t>
            </w:r>
          </w:p>
        </w:tc>
      </w:tr>
      <w:tr w:rsidR="0059662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Pr>
          <w:p w:rsidR="0059662C" w:rsidRPr="001569B7" w:rsidRDefault="001569B7" w:rsidP="001569B7">
            <w:pPr>
              <w:rPr>
                <w:rFonts w:asciiTheme="minorHAnsi" w:hAnsiTheme="minorHAnsi"/>
              </w:rPr>
            </w:pPr>
            <w:r>
              <w:rPr>
                <w:rFonts w:asciiTheme="minorHAnsi" w:hAnsiTheme="minorHAnsi"/>
              </w:rPr>
              <w:t>IL</w:t>
            </w:r>
          </w:p>
        </w:tc>
        <w:tc>
          <w:tcPr>
            <w:tcW w:w="6485" w:type="dxa"/>
          </w:tcPr>
          <w:p w:rsidR="0059662C" w:rsidRPr="001569B7" w:rsidRDefault="0059662C" w:rsidP="001569B7">
            <w:pPr>
              <w:rPr>
                <w:rFonts w:asciiTheme="minorHAnsi" w:hAnsiTheme="minorHAnsi"/>
              </w:rPr>
            </w:pPr>
            <w:r w:rsidRPr="001569B7">
              <w:rPr>
                <w:rFonts w:asciiTheme="minorHAnsi" w:hAnsiTheme="minorHAnsi"/>
              </w:rPr>
              <w:t>Interleukin (for example, IL-17; a pro-inflammatory cytokine produced by Th17 cells)</w:t>
            </w:r>
          </w:p>
        </w:tc>
      </w:tr>
      <w:tr w:rsidR="0059662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Pr>
          <w:p w:rsidR="0059662C" w:rsidRPr="001569B7" w:rsidRDefault="0059662C" w:rsidP="001569B7">
            <w:pPr>
              <w:rPr>
                <w:rFonts w:asciiTheme="minorHAnsi" w:hAnsiTheme="minorHAnsi"/>
              </w:rPr>
            </w:pPr>
            <w:r w:rsidRPr="001569B7">
              <w:rPr>
                <w:rFonts w:asciiTheme="minorHAnsi" w:hAnsiTheme="minorHAnsi"/>
              </w:rPr>
              <w:t>LLN</w:t>
            </w:r>
          </w:p>
        </w:tc>
        <w:tc>
          <w:tcPr>
            <w:tcW w:w="6485" w:type="dxa"/>
          </w:tcPr>
          <w:p w:rsidR="0059662C" w:rsidRPr="001569B7" w:rsidRDefault="0059662C" w:rsidP="001569B7">
            <w:pPr>
              <w:rPr>
                <w:rFonts w:asciiTheme="minorHAnsi" w:hAnsiTheme="minorHAnsi"/>
              </w:rPr>
            </w:pPr>
            <w:r w:rsidRPr="001569B7">
              <w:rPr>
                <w:rFonts w:asciiTheme="minorHAnsi" w:hAnsiTheme="minorHAnsi"/>
              </w:rPr>
              <w:t>Lower limit of normal</w:t>
            </w:r>
          </w:p>
        </w:tc>
      </w:tr>
      <w:tr w:rsidR="0059662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Pr>
          <w:p w:rsidR="0059662C" w:rsidRPr="001569B7" w:rsidRDefault="0059662C" w:rsidP="001569B7">
            <w:pPr>
              <w:rPr>
                <w:rFonts w:asciiTheme="minorHAnsi" w:hAnsiTheme="minorHAnsi"/>
              </w:rPr>
            </w:pPr>
            <w:r w:rsidRPr="001569B7">
              <w:rPr>
                <w:rFonts w:asciiTheme="minorHAnsi" w:hAnsiTheme="minorHAnsi"/>
              </w:rPr>
              <w:t>LOCF</w:t>
            </w:r>
          </w:p>
        </w:tc>
        <w:tc>
          <w:tcPr>
            <w:tcW w:w="6485" w:type="dxa"/>
          </w:tcPr>
          <w:p w:rsidR="0059662C" w:rsidRPr="001569B7" w:rsidRDefault="0059662C" w:rsidP="001569B7">
            <w:pPr>
              <w:rPr>
                <w:rFonts w:asciiTheme="minorHAnsi" w:hAnsiTheme="minorHAnsi"/>
              </w:rPr>
            </w:pPr>
            <w:r w:rsidRPr="001569B7">
              <w:rPr>
                <w:rFonts w:asciiTheme="minorHAnsi" w:hAnsiTheme="minorHAnsi"/>
              </w:rPr>
              <w:t>Last observation carried forward</w:t>
            </w:r>
          </w:p>
        </w:tc>
      </w:tr>
      <w:tr w:rsidR="0059662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Pr>
          <w:p w:rsidR="0059662C" w:rsidRPr="001569B7" w:rsidRDefault="0059662C" w:rsidP="001569B7">
            <w:pPr>
              <w:rPr>
                <w:rFonts w:asciiTheme="minorHAnsi" w:hAnsiTheme="minorHAnsi"/>
              </w:rPr>
            </w:pPr>
            <w:r w:rsidRPr="001569B7">
              <w:rPr>
                <w:rFonts w:asciiTheme="minorHAnsi" w:hAnsiTheme="minorHAnsi"/>
              </w:rPr>
              <w:lastRenderedPageBreak/>
              <w:t>LLOQ</w:t>
            </w:r>
          </w:p>
        </w:tc>
        <w:tc>
          <w:tcPr>
            <w:tcW w:w="6485" w:type="dxa"/>
          </w:tcPr>
          <w:p w:rsidR="0059662C" w:rsidRPr="001569B7" w:rsidRDefault="0059662C" w:rsidP="001569B7">
            <w:pPr>
              <w:rPr>
                <w:rFonts w:asciiTheme="minorHAnsi" w:hAnsiTheme="minorHAnsi"/>
              </w:rPr>
            </w:pPr>
            <w:r w:rsidRPr="001569B7">
              <w:rPr>
                <w:rFonts w:asciiTheme="minorHAnsi" w:hAnsiTheme="minorHAnsi"/>
              </w:rPr>
              <w:t>Lower limit of quantification</w:t>
            </w:r>
          </w:p>
        </w:tc>
      </w:tr>
      <w:tr w:rsidR="0059662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Pr>
          <w:p w:rsidR="0059662C" w:rsidRPr="001569B7" w:rsidRDefault="0059662C" w:rsidP="001569B7">
            <w:pPr>
              <w:rPr>
                <w:rFonts w:asciiTheme="minorHAnsi" w:hAnsiTheme="minorHAnsi"/>
              </w:rPr>
            </w:pPr>
            <w:r w:rsidRPr="001569B7">
              <w:rPr>
                <w:rFonts w:asciiTheme="minorHAnsi" w:hAnsiTheme="minorHAnsi"/>
              </w:rPr>
              <w:t>LSM</w:t>
            </w:r>
          </w:p>
        </w:tc>
        <w:tc>
          <w:tcPr>
            <w:tcW w:w="6485" w:type="dxa"/>
          </w:tcPr>
          <w:p w:rsidR="0059662C" w:rsidRPr="001569B7" w:rsidRDefault="001569B7" w:rsidP="001569B7">
            <w:pPr>
              <w:rPr>
                <w:rFonts w:asciiTheme="minorHAnsi" w:hAnsiTheme="minorHAnsi"/>
              </w:rPr>
            </w:pPr>
            <w:r>
              <w:rPr>
                <w:rFonts w:asciiTheme="minorHAnsi" w:hAnsiTheme="minorHAnsi"/>
              </w:rPr>
              <w:t>Least square mean</w:t>
            </w:r>
          </w:p>
        </w:tc>
      </w:tr>
      <w:tr w:rsidR="0059662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Pr>
          <w:p w:rsidR="0059662C" w:rsidRPr="001569B7" w:rsidRDefault="0059662C" w:rsidP="001569B7">
            <w:pPr>
              <w:rPr>
                <w:rFonts w:asciiTheme="minorHAnsi" w:hAnsiTheme="minorHAnsi"/>
              </w:rPr>
            </w:pPr>
            <w:r w:rsidRPr="001569B7">
              <w:rPr>
                <w:rFonts w:asciiTheme="minorHAnsi" w:hAnsiTheme="minorHAnsi"/>
              </w:rPr>
              <w:t>MCS</w:t>
            </w:r>
          </w:p>
        </w:tc>
        <w:tc>
          <w:tcPr>
            <w:tcW w:w="6485" w:type="dxa"/>
          </w:tcPr>
          <w:p w:rsidR="0059662C" w:rsidRPr="001569B7" w:rsidRDefault="001569B7" w:rsidP="001569B7">
            <w:pPr>
              <w:rPr>
                <w:rFonts w:asciiTheme="minorHAnsi" w:hAnsiTheme="minorHAnsi"/>
              </w:rPr>
            </w:pPr>
            <w:r>
              <w:rPr>
                <w:rFonts w:asciiTheme="minorHAnsi" w:hAnsiTheme="minorHAnsi"/>
              </w:rPr>
              <w:t>Mental Component Summary</w:t>
            </w:r>
          </w:p>
        </w:tc>
      </w:tr>
      <w:tr w:rsidR="0059662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Pr>
          <w:p w:rsidR="0059662C" w:rsidRPr="001569B7" w:rsidRDefault="0059662C" w:rsidP="001569B7">
            <w:pPr>
              <w:rPr>
                <w:rFonts w:asciiTheme="minorHAnsi" w:hAnsiTheme="minorHAnsi"/>
              </w:rPr>
            </w:pPr>
            <w:proofErr w:type="spellStart"/>
            <w:r w:rsidRPr="001569B7">
              <w:rPr>
                <w:rFonts w:asciiTheme="minorHAnsi" w:hAnsiTheme="minorHAnsi"/>
              </w:rPr>
              <w:t>MedDRA</w:t>
            </w:r>
            <w:proofErr w:type="spellEnd"/>
          </w:p>
        </w:tc>
        <w:tc>
          <w:tcPr>
            <w:tcW w:w="6485" w:type="dxa"/>
          </w:tcPr>
          <w:p w:rsidR="0059662C" w:rsidRPr="001569B7" w:rsidRDefault="0059662C" w:rsidP="001569B7">
            <w:pPr>
              <w:rPr>
                <w:rFonts w:asciiTheme="minorHAnsi" w:hAnsiTheme="minorHAnsi"/>
              </w:rPr>
            </w:pPr>
            <w:r w:rsidRPr="001569B7">
              <w:rPr>
                <w:rFonts w:asciiTheme="minorHAnsi" w:hAnsiTheme="minorHAnsi"/>
              </w:rPr>
              <w:t>Medical Dicti</w:t>
            </w:r>
            <w:r w:rsidR="001569B7">
              <w:rPr>
                <w:rFonts w:asciiTheme="minorHAnsi" w:hAnsiTheme="minorHAnsi"/>
              </w:rPr>
              <w:t>onary for Regulatory Activities</w:t>
            </w:r>
          </w:p>
        </w:tc>
      </w:tr>
      <w:tr w:rsidR="0059662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Pr>
          <w:p w:rsidR="0059662C" w:rsidRPr="001569B7" w:rsidRDefault="0059662C" w:rsidP="001569B7">
            <w:pPr>
              <w:rPr>
                <w:rFonts w:asciiTheme="minorHAnsi" w:hAnsiTheme="minorHAnsi"/>
              </w:rPr>
            </w:pPr>
            <w:r w:rsidRPr="001569B7">
              <w:rPr>
                <w:rFonts w:asciiTheme="minorHAnsi" w:hAnsiTheme="minorHAnsi"/>
              </w:rPr>
              <w:t>MMRM</w:t>
            </w:r>
          </w:p>
        </w:tc>
        <w:tc>
          <w:tcPr>
            <w:tcW w:w="6485" w:type="dxa"/>
          </w:tcPr>
          <w:p w:rsidR="0059662C" w:rsidRPr="001569B7" w:rsidRDefault="0059662C" w:rsidP="001569B7">
            <w:pPr>
              <w:rPr>
                <w:rFonts w:asciiTheme="minorHAnsi" w:hAnsiTheme="minorHAnsi"/>
              </w:rPr>
            </w:pPr>
            <w:r w:rsidRPr="001569B7">
              <w:rPr>
                <w:rFonts w:asciiTheme="minorHAnsi" w:hAnsiTheme="minorHAnsi"/>
              </w:rPr>
              <w:t>Mixed-effects model of repeated measures</w:t>
            </w:r>
          </w:p>
        </w:tc>
      </w:tr>
      <w:tr w:rsidR="0059662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Pr>
          <w:p w:rsidR="0059662C" w:rsidRPr="001569B7" w:rsidRDefault="0059662C" w:rsidP="001569B7">
            <w:pPr>
              <w:rPr>
                <w:rFonts w:asciiTheme="minorHAnsi" w:hAnsiTheme="minorHAnsi"/>
              </w:rPr>
            </w:pPr>
            <w:proofErr w:type="spellStart"/>
            <w:r w:rsidRPr="001569B7">
              <w:rPr>
                <w:rFonts w:asciiTheme="minorHAnsi" w:hAnsiTheme="minorHAnsi"/>
              </w:rPr>
              <w:t>mTSS</w:t>
            </w:r>
            <w:proofErr w:type="spellEnd"/>
          </w:p>
        </w:tc>
        <w:tc>
          <w:tcPr>
            <w:tcW w:w="6485" w:type="dxa"/>
          </w:tcPr>
          <w:p w:rsidR="0059662C" w:rsidRPr="001569B7" w:rsidRDefault="0059662C" w:rsidP="001569B7">
            <w:pPr>
              <w:rPr>
                <w:rFonts w:asciiTheme="minorHAnsi" w:hAnsiTheme="minorHAnsi"/>
              </w:rPr>
            </w:pPr>
            <w:r w:rsidRPr="001569B7">
              <w:rPr>
                <w:rFonts w:asciiTheme="minorHAnsi" w:hAnsiTheme="minorHAnsi"/>
              </w:rPr>
              <w:t>Modified Total Sharp Score</w:t>
            </w:r>
          </w:p>
        </w:tc>
      </w:tr>
      <w:tr w:rsidR="0059662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Pr>
          <w:p w:rsidR="0059662C" w:rsidRPr="001569B7" w:rsidRDefault="001569B7" w:rsidP="001569B7">
            <w:pPr>
              <w:rPr>
                <w:rFonts w:asciiTheme="minorHAnsi" w:hAnsiTheme="minorHAnsi"/>
              </w:rPr>
            </w:pPr>
            <w:r>
              <w:rPr>
                <w:rFonts w:asciiTheme="minorHAnsi" w:hAnsiTheme="minorHAnsi"/>
              </w:rPr>
              <w:t>MTX</w:t>
            </w:r>
          </w:p>
        </w:tc>
        <w:tc>
          <w:tcPr>
            <w:tcW w:w="6485" w:type="dxa"/>
          </w:tcPr>
          <w:p w:rsidR="0059662C" w:rsidRPr="001569B7" w:rsidRDefault="00DD2390" w:rsidP="001569B7">
            <w:pPr>
              <w:rPr>
                <w:rFonts w:asciiTheme="minorHAnsi" w:hAnsiTheme="minorHAnsi"/>
              </w:rPr>
            </w:pPr>
            <w:r w:rsidRPr="001569B7">
              <w:rPr>
                <w:rFonts w:asciiTheme="minorHAnsi" w:hAnsiTheme="minorHAnsi"/>
              </w:rPr>
              <w:t>MTX</w:t>
            </w:r>
          </w:p>
        </w:tc>
      </w:tr>
      <w:tr w:rsidR="0059662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Pr>
          <w:p w:rsidR="0059662C" w:rsidRPr="001569B7" w:rsidRDefault="001569B7" w:rsidP="001569B7">
            <w:pPr>
              <w:rPr>
                <w:rFonts w:asciiTheme="minorHAnsi" w:hAnsiTheme="minorHAnsi"/>
              </w:rPr>
            </w:pPr>
            <w:proofErr w:type="spellStart"/>
            <w:r>
              <w:rPr>
                <w:rFonts w:asciiTheme="minorHAnsi" w:hAnsiTheme="minorHAnsi"/>
              </w:rPr>
              <w:t>NAb</w:t>
            </w:r>
            <w:proofErr w:type="spellEnd"/>
          </w:p>
        </w:tc>
        <w:tc>
          <w:tcPr>
            <w:tcW w:w="6485" w:type="dxa"/>
          </w:tcPr>
          <w:p w:rsidR="0059662C" w:rsidRPr="001569B7" w:rsidRDefault="0059662C" w:rsidP="001569B7">
            <w:pPr>
              <w:rPr>
                <w:rFonts w:asciiTheme="minorHAnsi" w:hAnsiTheme="minorHAnsi"/>
              </w:rPr>
            </w:pPr>
            <w:r w:rsidRPr="001569B7">
              <w:rPr>
                <w:rFonts w:asciiTheme="minorHAnsi" w:hAnsiTheme="minorHAnsi"/>
              </w:rPr>
              <w:t>Neutralising antibody</w:t>
            </w:r>
          </w:p>
        </w:tc>
      </w:tr>
      <w:tr w:rsidR="0059662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Pr>
          <w:p w:rsidR="0059662C" w:rsidRPr="001569B7" w:rsidRDefault="001569B7" w:rsidP="001569B7">
            <w:pPr>
              <w:rPr>
                <w:rFonts w:asciiTheme="minorHAnsi" w:hAnsiTheme="minorHAnsi"/>
              </w:rPr>
            </w:pPr>
            <w:r>
              <w:rPr>
                <w:rFonts w:asciiTheme="minorHAnsi" w:hAnsiTheme="minorHAnsi"/>
              </w:rPr>
              <w:t>NRI</w:t>
            </w:r>
          </w:p>
        </w:tc>
        <w:tc>
          <w:tcPr>
            <w:tcW w:w="6485" w:type="dxa"/>
          </w:tcPr>
          <w:p w:rsidR="0059662C" w:rsidRPr="001569B7" w:rsidRDefault="0059662C" w:rsidP="001569B7">
            <w:pPr>
              <w:rPr>
                <w:rFonts w:asciiTheme="minorHAnsi" w:hAnsiTheme="minorHAnsi"/>
              </w:rPr>
            </w:pPr>
            <w:r w:rsidRPr="001569B7">
              <w:rPr>
                <w:rFonts w:asciiTheme="minorHAnsi" w:hAnsiTheme="minorHAnsi"/>
              </w:rPr>
              <w:t>Non-responder imputation</w:t>
            </w:r>
          </w:p>
        </w:tc>
      </w:tr>
      <w:tr w:rsidR="0059662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Pr>
          <w:p w:rsidR="0059662C" w:rsidRPr="001569B7" w:rsidRDefault="001569B7" w:rsidP="001569B7">
            <w:pPr>
              <w:rPr>
                <w:rFonts w:asciiTheme="minorHAnsi" w:hAnsiTheme="minorHAnsi"/>
              </w:rPr>
            </w:pPr>
            <w:r>
              <w:rPr>
                <w:rFonts w:asciiTheme="minorHAnsi" w:hAnsiTheme="minorHAnsi"/>
              </w:rPr>
              <w:t>NRS</w:t>
            </w:r>
          </w:p>
        </w:tc>
        <w:tc>
          <w:tcPr>
            <w:tcW w:w="6485" w:type="dxa"/>
          </w:tcPr>
          <w:p w:rsidR="0059662C" w:rsidRPr="001569B7" w:rsidRDefault="0059662C" w:rsidP="001569B7">
            <w:pPr>
              <w:rPr>
                <w:rFonts w:asciiTheme="minorHAnsi" w:hAnsiTheme="minorHAnsi"/>
              </w:rPr>
            </w:pPr>
            <w:r w:rsidRPr="001569B7">
              <w:rPr>
                <w:rFonts w:asciiTheme="minorHAnsi" w:hAnsiTheme="minorHAnsi"/>
              </w:rPr>
              <w:t>Numeric Rating Scale</w:t>
            </w:r>
          </w:p>
        </w:tc>
      </w:tr>
      <w:tr w:rsidR="0059662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Pr>
          <w:p w:rsidR="0059662C" w:rsidRPr="001569B7" w:rsidRDefault="001569B7" w:rsidP="001569B7">
            <w:pPr>
              <w:rPr>
                <w:rFonts w:asciiTheme="minorHAnsi" w:hAnsiTheme="minorHAnsi"/>
              </w:rPr>
            </w:pPr>
            <w:r>
              <w:rPr>
                <w:rFonts w:asciiTheme="minorHAnsi" w:hAnsiTheme="minorHAnsi"/>
              </w:rPr>
              <w:t>NSAID</w:t>
            </w:r>
          </w:p>
        </w:tc>
        <w:tc>
          <w:tcPr>
            <w:tcW w:w="6485" w:type="dxa"/>
          </w:tcPr>
          <w:p w:rsidR="0059662C" w:rsidRPr="001569B7" w:rsidRDefault="0059662C" w:rsidP="001569B7">
            <w:pPr>
              <w:rPr>
                <w:rFonts w:asciiTheme="minorHAnsi" w:hAnsiTheme="minorHAnsi"/>
              </w:rPr>
            </w:pPr>
            <w:r w:rsidRPr="001569B7">
              <w:rPr>
                <w:rFonts w:asciiTheme="minorHAnsi" w:hAnsiTheme="minorHAnsi"/>
              </w:rPr>
              <w:t>Non-steroidal anti-inflammatory drug</w:t>
            </w:r>
          </w:p>
        </w:tc>
      </w:tr>
      <w:tr w:rsidR="0059662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Pr>
          <w:p w:rsidR="0059662C" w:rsidRPr="001569B7" w:rsidRDefault="0059662C" w:rsidP="001569B7">
            <w:pPr>
              <w:rPr>
                <w:rFonts w:asciiTheme="minorHAnsi" w:hAnsiTheme="minorHAnsi"/>
              </w:rPr>
            </w:pPr>
            <w:r w:rsidRPr="001569B7">
              <w:rPr>
                <w:rFonts w:asciiTheme="minorHAnsi" w:hAnsiTheme="minorHAnsi"/>
              </w:rPr>
              <w:t xml:space="preserve">PCS </w:t>
            </w:r>
          </w:p>
        </w:tc>
        <w:tc>
          <w:tcPr>
            <w:tcW w:w="6485" w:type="dxa"/>
          </w:tcPr>
          <w:p w:rsidR="0059662C" w:rsidRPr="001569B7" w:rsidRDefault="0059662C" w:rsidP="001569B7">
            <w:pPr>
              <w:rPr>
                <w:rFonts w:asciiTheme="minorHAnsi" w:hAnsiTheme="minorHAnsi"/>
              </w:rPr>
            </w:pPr>
            <w:r w:rsidRPr="001569B7">
              <w:rPr>
                <w:rFonts w:asciiTheme="minorHAnsi" w:hAnsiTheme="minorHAnsi"/>
              </w:rPr>
              <w:t>Physical Component Summary</w:t>
            </w:r>
          </w:p>
        </w:tc>
      </w:tr>
      <w:tr w:rsidR="0059662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Pr>
          <w:p w:rsidR="0059662C" w:rsidRPr="001569B7" w:rsidRDefault="0059662C" w:rsidP="001569B7">
            <w:pPr>
              <w:rPr>
                <w:rFonts w:asciiTheme="minorHAnsi" w:hAnsiTheme="minorHAnsi"/>
              </w:rPr>
            </w:pPr>
            <w:r w:rsidRPr="001569B7">
              <w:rPr>
                <w:rFonts w:asciiTheme="minorHAnsi" w:hAnsiTheme="minorHAnsi"/>
              </w:rPr>
              <w:t>PFS</w:t>
            </w:r>
          </w:p>
        </w:tc>
        <w:tc>
          <w:tcPr>
            <w:tcW w:w="6485" w:type="dxa"/>
          </w:tcPr>
          <w:p w:rsidR="0059662C" w:rsidRPr="001569B7" w:rsidRDefault="0059662C" w:rsidP="001569B7">
            <w:pPr>
              <w:rPr>
                <w:rFonts w:asciiTheme="minorHAnsi" w:hAnsiTheme="minorHAnsi"/>
              </w:rPr>
            </w:pPr>
            <w:r w:rsidRPr="001569B7">
              <w:rPr>
                <w:rFonts w:asciiTheme="minorHAnsi" w:hAnsiTheme="minorHAnsi"/>
              </w:rPr>
              <w:t>Prefilled syringe</w:t>
            </w:r>
          </w:p>
        </w:tc>
      </w:tr>
      <w:tr w:rsidR="0059662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Pr>
          <w:p w:rsidR="0059662C" w:rsidRPr="001569B7" w:rsidRDefault="001569B7" w:rsidP="001569B7">
            <w:pPr>
              <w:rPr>
                <w:rFonts w:asciiTheme="minorHAnsi" w:hAnsiTheme="minorHAnsi"/>
              </w:rPr>
            </w:pPr>
            <w:r>
              <w:rPr>
                <w:rFonts w:asciiTheme="minorHAnsi" w:hAnsiTheme="minorHAnsi"/>
              </w:rPr>
              <w:t>PGA</w:t>
            </w:r>
          </w:p>
        </w:tc>
        <w:tc>
          <w:tcPr>
            <w:tcW w:w="6485" w:type="dxa"/>
          </w:tcPr>
          <w:p w:rsidR="0059662C" w:rsidRPr="001569B7" w:rsidRDefault="0059662C" w:rsidP="001569B7">
            <w:pPr>
              <w:rPr>
                <w:rFonts w:asciiTheme="minorHAnsi" w:hAnsiTheme="minorHAnsi"/>
              </w:rPr>
            </w:pPr>
            <w:r w:rsidRPr="001569B7">
              <w:rPr>
                <w:rFonts w:asciiTheme="minorHAnsi" w:hAnsiTheme="minorHAnsi"/>
              </w:rPr>
              <w:t>Physician’s Global Assessment of Disease Activity</w:t>
            </w:r>
          </w:p>
        </w:tc>
      </w:tr>
      <w:tr w:rsidR="0059662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Pr>
          <w:p w:rsidR="0059662C" w:rsidRPr="001569B7" w:rsidRDefault="0059662C" w:rsidP="001569B7">
            <w:pPr>
              <w:rPr>
                <w:rFonts w:asciiTheme="minorHAnsi" w:hAnsiTheme="minorHAnsi"/>
              </w:rPr>
            </w:pPr>
            <w:r w:rsidRPr="001569B7">
              <w:rPr>
                <w:rFonts w:asciiTheme="minorHAnsi" w:hAnsiTheme="minorHAnsi"/>
              </w:rPr>
              <w:t>PI</w:t>
            </w:r>
          </w:p>
        </w:tc>
        <w:tc>
          <w:tcPr>
            <w:tcW w:w="6485" w:type="dxa"/>
          </w:tcPr>
          <w:p w:rsidR="0059662C" w:rsidRPr="001569B7" w:rsidRDefault="0059662C" w:rsidP="001569B7">
            <w:pPr>
              <w:rPr>
                <w:rFonts w:asciiTheme="minorHAnsi" w:hAnsiTheme="minorHAnsi"/>
              </w:rPr>
            </w:pPr>
            <w:r w:rsidRPr="001569B7">
              <w:rPr>
                <w:rFonts w:asciiTheme="minorHAnsi" w:hAnsiTheme="minorHAnsi"/>
              </w:rPr>
              <w:t>Product information</w:t>
            </w:r>
          </w:p>
        </w:tc>
      </w:tr>
      <w:tr w:rsidR="0059662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Pr>
          <w:p w:rsidR="0059662C" w:rsidRPr="001569B7" w:rsidRDefault="0059662C" w:rsidP="001569B7">
            <w:pPr>
              <w:rPr>
                <w:rFonts w:asciiTheme="minorHAnsi" w:hAnsiTheme="minorHAnsi"/>
              </w:rPr>
            </w:pPr>
            <w:r w:rsidRPr="001569B7">
              <w:rPr>
                <w:rFonts w:asciiTheme="minorHAnsi" w:hAnsiTheme="minorHAnsi"/>
              </w:rPr>
              <w:t>PK/PD</w:t>
            </w:r>
          </w:p>
        </w:tc>
        <w:tc>
          <w:tcPr>
            <w:tcW w:w="6485" w:type="dxa"/>
          </w:tcPr>
          <w:p w:rsidR="0059662C" w:rsidRPr="001569B7" w:rsidRDefault="0059662C" w:rsidP="001569B7">
            <w:pPr>
              <w:rPr>
                <w:rFonts w:asciiTheme="minorHAnsi" w:hAnsiTheme="minorHAnsi"/>
              </w:rPr>
            </w:pPr>
            <w:r w:rsidRPr="001569B7">
              <w:rPr>
                <w:rFonts w:asciiTheme="minorHAnsi" w:hAnsiTheme="minorHAnsi"/>
              </w:rPr>
              <w:t>Pharmacokinetics/Pharmacodynamics</w:t>
            </w:r>
          </w:p>
        </w:tc>
      </w:tr>
      <w:tr w:rsidR="0059662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Pr>
          <w:p w:rsidR="0059662C" w:rsidRPr="001569B7" w:rsidRDefault="0059662C" w:rsidP="001569B7">
            <w:pPr>
              <w:rPr>
                <w:rFonts w:asciiTheme="minorHAnsi" w:hAnsiTheme="minorHAnsi"/>
              </w:rPr>
            </w:pPr>
            <w:r w:rsidRPr="001569B7">
              <w:rPr>
                <w:rFonts w:asciiTheme="minorHAnsi" w:hAnsiTheme="minorHAnsi"/>
              </w:rPr>
              <w:t>PRO</w:t>
            </w:r>
          </w:p>
        </w:tc>
        <w:tc>
          <w:tcPr>
            <w:tcW w:w="6485" w:type="dxa"/>
          </w:tcPr>
          <w:p w:rsidR="0059662C" w:rsidRPr="001569B7" w:rsidRDefault="0059662C" w:rsidP="001569B7">
            <w:pPr>
              <w:rPr>
                <w:rFonts w:asciiTheme="minorHAnsi" w:hAnsiTheme="minorHAnsi"/>
              </w:rPr>
            </w:pPr>
            <w:r w:rsidRPr="001569B7">
              <w:rPr>
                <w:rFonts w:asciiTheme="minorHAnsi" w:hAnsiTheme="minorHAnsi"/>
              </w:rPr>
              <w:t>Patient Reported Outcome</w:t>
            </w:r>
          </w:p>
        </w:tc>
      </w:tr>
      <w:tr w:rsidR="0059662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Pr>
          <w:p w:rsidR="0059662C" w:rsidRPr="001569B7" w:rsidRDefault="0059662C" w:rsidP="001569B7">
            <w:pPr>
              <w:rPr>
                <w:rFonts w:asciiTheme="minorHAnsi" w:hAnsiTheme="minorHAnsi"/>
              </w:rPr>
            </w:pPr>
            <w:r w:rsidRPr="001569B7">
              <w:rPr>
                <w:rFonts w:asciiTheme="minorHAnsi" w:hAnsiTheme="minorHAnsi"/>
              </w:rPr>
              <w:t>PY</w:t>
            </w:r>
          </w:p>
        </w:tc>
        <w:tc>
          <w:tcPr>
            <w:tcW w:w="6485" w:type="dxa"/>
          </w:tcPr>
          <w:p w:rsidR="0059662C" w:rsidRPr="001569B7" w:rsidRDefault="0059662C" w:rsidP="001569B7">
            <w:pPr>
              <w:rPr>
                <w:rFonts w:asciiTheme="minorHAnsi" w:hAnsiTheme="minorHAnsi"/>
              </w:rPr>
            </w:pPr>
            <w:r w:rsidRPr="001569B7">
              <w:rPr>
                <w:rFonts w:asciiTheme="minorHAnsi" w:hAnsiTheme="minorHAnsi"/>
              </w:rPr>
              <w:t>Patient-year</w:t>
            </w:r>
            <w:r w:rsidR="00A6301B" w:rsidRPr="001569B7">
              <w:rPr>
                <w:rFonts w:asciiTheme="minorHAnsi" w:hAnsiTheme="minorHAnsi"/>
              </w:rPr>
              <w:t>(s)</w:t>
            </w:r>
          </w:p>
        </w:tc>
      </w:tr>
      <w:tr w:rsidR="0059662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Pr>
          <w:p w:rsidR="0059662C" w:rsidRPr="001569B7" w:rsidRDefault="0059662C" w:rsidP="001569B7">
            <w:pPr>
              <w:rPr>
                <w:rFonts w:asciiTheme="minorHAnsi" w:hAnsiTheme="minorHAnsi"/>
              </w:rPr>
            </w:pPr>
            <w:r w:rsidRPr="001569B7">
              <w:rPr>
                <w:rFonts w:asciiTheme="minorHAnsi" w:hAnsiTheme="minorHAnsi"/>
              </w:rPr>
              <w:t>q2w</w:t>
            </w:r>
          </w:p>
        </w:tc>
        <w:tc>
          <w:tcPr>
            <w:tcW w:w="6485" w:type="dxa"/>
          </w:tcPr>
          <w:p w:rsidR="0059662C" w:rsidRPr="001569B7" w:rsidRDefault="0059662C" w:rsidP="001569B7">
            <w:pPr>
              <w:rPr>
                <w:rFonts w:asciiTheme="minorHAnsi" w:hAnsiTheme="minorHAnsi"/>
              </w:rPr>
            </w:pPr>
            <w:r w:rsidRPr="001569B7">
              <w:rPr>
                <w:rFonts w:asciiTheme="minorHAnsi" w:hAnsiTheme="minorHAnsi"/>
              </w:rPr>
              <w:t>Every 2 weeks</w:t>
            </w:r>
          </w:p>
        </w:tc>
      </w:tr>
      <w:tr w:rsidR="0059662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Pr>
          <w:p w:rsidR="0059662C" w:rsidRPr="001569B7" w:rsidRDefault="0059662C" w:rsidP="001569B7">
            <w:pPr>
              <w:rPr>
                <w:rFonts w:asciiTheme="minorHAnsi" w:hAnsiTheme="minorHAnsi"/>
              </w:rPr>
            </w:pPr>
            <w:r w:rsidRPr="001569B7">
              <w:rPr>
                <w:rFonts w:asciiTheme="minorHAnsi" w:hAnsiTheme="minorHAnsi"/>
              </w:rPr>
              <w:t>q4w</w:t>
            </w:r>
          </w:p>
        </w:tc>
        <w:tc>
          <w:tcPr>
            <w:tcW w:w="6485" w:type="dxa"/>
          </w:tcPr>
          <w:p w:rsidR="0059662C" w:rsidRPr="001569B7" w:rsidRDefault="0059662C" w:rsidP="001569B7">
            <w:pPr>
              <w:rPr>
                <w:rFonts w:asciiTheme="minorHAnsi" w:hAnsiTheme="minorHAnsi"/>
              </w:rPr>
            </w:pPr>
            <w:r w:rsidRPr="001569B7">
              <w:rPr>
                <w:rFonts w:asciiTheme="minorHAnsi" w:hAnsiTheme="minorHAnsi"/>
              </w:rPr>
              <w:t>Every 4 weeks</w:t>
            </w:r>
          </w:p>
        </w:tc>
      </w:tr>
      <w:tr w:rsidR="0059662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Pr>
          <w:p w:rsidR="0059662C" w:rsidRPr="001569B7" w:rsidRDefault="0059662C" w:rsidP="001569B7">
            <w:pPr>
              <w:rPr>
                <w:rFonts w:asciiTheme="minorHAnsi" w:hAnsiTheme="minorHAnsi"/>
              </w:rPr>
            </w:pPr>
            <w:proofErr w:type="spellStart"/>
            <w:r w:rsidRPr="001569B7">
              <w:rPr>
                <w:rFonts w:asciiTheme="minorHAnsi" w:hAnsiTheme="minorHAnsi"/>
              </w:rPr>
              <w:t>qw</w:t>
            </w:r>
            <w:proofErr w:type="spellEnd"/>
          </w:p>
        </w:tc>
        <w:tc>
          <w:tcPr>
            <w:tcW w:w="6485" w:type="dxa"/>
          </w:tcPr>
          <w:p w:rsidR="0059662C" w:rsidRPr="001569B7" w:rsidRDefault="001569B7" w:rsidP="001569B7">
            <w:pPr>
              <w:rPr>
                <w:rFonts w:asciiTheme="minorHAnsi" w:hAnsiTheme="minorHAnsi"/>
              </w:rPr>
            </w:pPr>
            <w:r>
              <w:rPr>
                <w:rFonts w:asciiTheme="minorHAnsi" w:hAnsiTheme="minorHAnsi"/>
              </w:rPr>
              <w:t>Once every week</w:t>
            </w:r>
          </w:p>
        </w:tc>
      </w:tr>
      <w:tr w:rsidR="0059662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Pr>
          <w:p w:rsidR="0059662C" w:rsidRPr="001569B7" w:rsidRDefault="0059662C" w:rsidP="001569B7">
            <w:pPr>
              <w:rPr>
                <w:rFonts w:asciiTheme="minorHAnsi" w:hAnsiTheme="minorHAnsi"/>
              </w:rPr>
            </w:pPr>
            <w:proofErr w:type="spellStart"/>
            <w:r w:rsidRPr="001569B7">
              <w:rPr>
                <w:rFonts w:asciiTheme="minorHAnsi" w:hAnsiTheme="minorHAnsi"/>
              </w:rPr>
              <w:t>QTc</w:t>
            </w:r>
            <w:proofErr w:type="spellEnd"/>
          </w:p>
        </w:tc>
        <w:tc>
          <w:tcPr>
            <w:tcW w:w="6485" w:type="dxa"/>
          </w:tcPr>
          <w:p w:rsidR="0059662C" w:rsidRPr="001569B7" w:rsidRDefault="0059662C" w:rsidP="001569B7">
            <w:pPr>
              <w:rPr>
                <w:rFonts w:asciiTheme="minorHAnsi" w:hAnsiTheme="minorHAnsi"/>
              </w:rPr>
            </w:pPr>
            <w:r w:rsidRPr="001569B7">
              <w:rPr>
                <w:rFonts w:asciiTheme="minorHAnsi" w:hAnsiTheme="minorHAnsi"/>
              </w:rPr>
              <w:t xml:space="preserve">Corrected QT; </w:t>
            </w:r>
            <w:proofErr w:type="spellStart"/>
            <w:r w:rsidRPr="001569B7">
              <w:rPr>
                <w:rFonts w:asciiTheme="minorHAnsi" w:hAnsiTheme="minorHAnsi"/>
              </w:rPr>
              <w:t>QTcF</w:t>
            </w:r>
            <w:proofErr w:type="spellEnd"/>
            <w:r w:rsidRPr="001569B7">
              <w:rPr>
                <w:rFonts w:asciiTheme="minorHAnsi" w:hAnsiTheme="minorHAnsi"/>
              </w:rPr>
              <w:t xml:space="preserve"> corrected QT using </w:t>
            </w:r>
            <w:proofErr w:type="spellStart"/>
            <w:r w:rsidRPr="001569B7">
              <w:rPr>
                <w:rFonts w:asciiTheme="minorHAnsi" w:hAnsiTheme="minorHAnsi"/>
              </w:rPr>
              <w:t>Fridericia’s</w:t>
            </w:r>
            <w:proofErr w:type="spellEnd"/>
            <w:r w:rsidRPr="001569B7">
              <w:rPr>
                <w:rFonts w:asciiTheme="minorHAnsi" w:hAnsiTheme="minorHAnsi"/>
              </w:rPr>
              <w:t xml:space="preserve"> correction factor; </w:t>
            </w:r>
            <w:proofErr w:type="spellStart"/>
            <w:r w:rsidRPr="001569B7">
              <w:rPr>
                <w:rFonts w:asciiTheme="minorHAnsi" w:hAnsiTheme="minorHAnsi"/>
              </w:rPr>
              <w:t>QTcLCTPB</w:t>
            </w:r>
            <w:proofErr w:type="spellEnd"/>
            <w:r w:rsidRPr="001569B7">
              <w:rPr>
                <w:rFonts w:asciiTheme="minorHAnsi" w:hAnsiTheme="minorHAnsi"/>
              </w:rPr>
              <w:t xml:space="preserve"> corrected QT using a large clinical study population based correction factor</w:t>
            </w:r>
          </w:p>
        </w:tc>
      </w:tr>
      <w:tr w:rsidR="0059662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Pr>
          <w:p w:rsidR="0059662C" w:rsidRPr="001569B7" w:rsidRDefault="0059662C" w:rsidP="001569B7">
            <w:pPr>
              <w:rPr>
                <w:rFonts w:asciiTheme="minorHAnsi" w:hAnsiTheme="minorHAnsi"/>
              </w:rPr>
            </w:pPr>
            <w:r w:rsidRPr="001569B7">
              <w:rPr>
                <w:rFonts w:asciiTheme="minorHAnsi" w:hAnsiTheme="minorHAnsi"/>
              </w:rPr>
              <w:t>RA</w:t>
            </w:r>
          </w:p>
        </w:tc>
        <w:tc>
          <w:tcPr>
            <w:tcW w:w="6485" w:type="dxa"/>
          </w:tcPr>
          <w:p w:rsidR="0059662C" w:rsidRPr="001569B7" w:rsidRDefault="0059662C" w:rsidP="001569B7">
            <w:pPr>
              <w:rPr>
                <w:rFonts w:asciiTheme="minorHAnsi" w:hAnsiTheme="minorHAnsi"/>
              </w:rPr>
            </w:pPr>
            <w:r w:rsidRPr="001569B7">
              <w:rPr>
                <w:rFonts w:asciiTheme="minorHAnsi" w:hAnsiTheme="minorHAnsi"/>
              </w:rPr>
              <w:t>Rheumatoid arthritis</w:t>
            </w:r>
          </w:p>
        </w:tc>
      </w:tr>
      <w:tr w:rsidR="00E761B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Pr>
          <w:p w:rsidR="00E761BC" w:rsidRPr="001569B7" w:rsidRDefault="00E761BC" w:rsidP="001569B7">
            <w:pPr>
              <w:rPr>
                <w:rFonts w:asciiTheme="minorHAnsi" w:hAnsiTheme="minorHAnsi"/>
              </w:rPr>
            </w:pPr>
            <w:r w:rsidRPr="001569B7">
              <w:rPr>
                <w:rFonts w:asciiTheme="minorHAnsi" w:hAnsiTheme="minorHAnsi"/>
              </w:rPr>
              <w:t>REGN844</w:t>
            </w:r>
          </w:p>
        </w:tc>
        <w:tc>
          <w:tcPr>
            <w:tcW w:w="6485" w:type="dxa"/>
          </w:tcPr>
          <w:p w:rsidR="00E761BC" w:rsidRPr="001569B7" w:rsidRDefault="00E761BC" w:rsidP="001569B7">
            <w:pPr>
              <w:rPr>
                <w:rFonts w:asciiTheme="minorHAnsi" w:hAnsiTheme="minorHAnsi"/>
              </w:rPr>
            </w:pPr>
            <w:r w:rsidRPr="001569B7">
              <w:rPr>
                <w:rFonts w:asciiTheme="minorHAnsi" w:hAnsiTheme="minorHAnsi"/>
              </w:rPr>
              <w:t>Surrogate murine monoclonal antibody against mouse IL-6Rα</w:t>
            </w:r>
          </w:p>
        </w:tc>
      </w:tr>
      <w:tr w:rsidR="0059662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Pr>
          <w:p w:rsidR="0059662C" w:rsidRPr="001569B7" w:rsidRDefault="0059662C" w:rsidP="001569B7">
            <w:pPr>
              <w:rPr>
                <w:rFonts w:asciiTheme="minorHAnsi" w:hAnsiTheme="minorHAnsi"/>
              </w:rPr>
            </w:pPr>
            <w:r w:rsidRPr="001569B7">
              <w:rPr>
                <w:rFonts w:asciiTheme="minorHAnsi" w:hAnsiTheme="minorHAnsi"/>
              </w:rPr>
              <w:t>RF</w:t>
            </w:r>
          </w:p>
        </w:tc>
        <w:tc>
          <w:tcPr>
            <w:tcW w:w="6485" w:type="dxa"/>
          </w:tcPr>
          <w:p w:rsidR="0059662C" w:rsidRPr="001569B7" w:rsidRDefault="0059662C" w:rsidP="001569B7">
            <w:pPr>
              <w:rPr>
                <w:rFonts w:asciiTheme="minorHAnsi" w:hAnsiTheme="minorHAnsi"/>
              </w:rPr>
            </w:pPr>
            <w:r w:rsidRPr="001569B7">
              <w:rPr>
                <w:rFonts w:asciiTheme="minorHAnsi" w:hAnsiTheme="minorHAnsi"/>
              </w:rPr>
              <w:t>Rheumatoid Factor</w:t>
            </w:r>
          </w:p>
        </w:tc>
      </w:tr>
      <w:tr w:rsidR="0059662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Pr>
          <w:p w:rsidR="0059662C" w:rsidRPr="001569B7" w:rsidRDefault="0059662C" w:rsidP="001569B7">
            <w:pPr>
              <w:rPr>
                <w:rFonts w:asciiTheme="minorHAnsi" w:hAnsiTheme="minorHAnsi"/>
              </w:rPr>
            </w:pPr>
            <w:r w:rsidRPr="001569B7">
              <w:rPr>
                <w:rFonts w:asciiTheme="minorHAnsi" w:hAnsiTheme="minorHAnsi"/>
              </w:rPr>
              <w:lastRenderedPageBreak/>
              <w:t>SAE</w:t>
            </w:r>
          </w:p>
        </w:tc>
        <w:tc>
          <w:tcPr>
            <w:tcW w:w="6485" w:type="dxa"/>
          </w:tcPr>
          <w:p w:rsidR="0059662C" w:rsidRPr="001569B7" w:rsidRDefault="0059662C" w:rsidP="001569B7">
            <w:pPr>
              <w:rPr>
                <w:rFonts w:asciiTheme="minorHAnsi" w:hAnsiTheme="minorHAnsi"/>
              </w:rPr>
            </w:pPr>
            <w:r w:rsidRPr="001569B7">
              <w:rPr>
                <w:rFonts w:asciiTheme="minorHAnsi" w:hAnsiTheme="minorHAnsi"/>
              </w:rPr>
              <w:t>Serious adverse event</w:t>
            </w:r>
          </w:p>
        </w:tc>
      </w:tr>
      <w:tr w:rsidR="0059662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Pr>
          <w:p w:rsidR="0059662C" w:rsidRPr="001569B7" w:rsidRDefault="0059662C" w:rsidP="001569B7">
            <w:pPr>
              <w:rPr>
                <w:rFonts w:asciiTheme="minorHAnsi" w:hAnsiTheme="minorHAnsi"/>
              </w:rPr>
            </w:pPr>
            <w:r w:rsidRPr="001569B7">
              <w:rPr>
                <w:rFonts w:asciiTheme="minorHAnsi" w:hAnsiTheme="minorHAnsi"/>
              </w:rPr>
              <w:t>SAP</w:t>
            </w:r>
          </w:p>
        </w:tc>
        <w:tc>
          <w:tcPr>
            <w:tcW w:w="6485" w:type="dxa"/>
          </w:tcPr>
          <w:p w:rsidR="0059662C" w:rsidRPr="001569B7" w:rsidRDefault="0059662C" w:rsidP="001569B7">
            <w:pPr>
              <w:rPr>
                <w:rFonts w:asciiTheme="minorHAnsi" w:hAnsiTheme="minorHAnsi"/>
              </w:rPr>
            </w:pPr>
            <w:r w:rsidRPr="001569B7">
              <w:rPr>
                <w:rFonts w:asciiTheme="minorHAnsi" w:hAnsiTheme="minorHAnsi"/>
              </w:rPr>
              <w:t>Statistical Analysis Plan</w:t>
            </w:r>
          </w:p>
        </w:tc>
      </w:tr>
      <w:tr w:rsidR="0059662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Pr>
          <w:p w:rsidR="0059662C" w:rsidRPr="001569B7" w:rsidRDefault="0059662C" w:rsidP="001569B7">
            <w:pPr>
              <w:rPr>
                <w:rFonts w:asciiTheme="minorHAnsi" w:hAnsiTheme="minorHAnsi"/>
              </w:rPr>
            </w:pPr>
            <w:r w:rsidRPr="001569B7">
              <w:rPr>
                <w:rFonts w:asciiTheme="minorHAnsi" w:hAnsiTheme="minorHAnsi"/>
              </w:rPr>
              <w:t>SC</w:t>
            </w:r>
          </w:p>
        </w:tc>
        <w:tc>
          <w:tcPr>
            <w:tcW w:w="6485" w:type="dxa"/>
          </w:tcPr>
          <w:p w:rsidR="0059662C" w:rsidRPr="001569B7" w:rsidRDefault="0059662C" w:rsidP="001569B7">
            <w:pPr>
              <w:rPr>
                <w:rFonts w:asciiTheme="minorHAnsi" w:hAnsiTheme="minorHAnsi"/>
              </w:rPr>
            </w:pPr>
            <w:r w:rsidRPr="001569B7">
              <w:rPr>
                <w:rFonts w:asciiTheme="minorHAnsi" w:hAnsiTheme="minorHAnsi"/>
              </w:rPr>
              <w:t>Subcutaneous</w:t>
            </w:r>
          </w:p>
        </w:tc>
      </w:tr>
      <w:tr w:rsidR="0059662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Pr>
          <w:p w:rsidR="0059662C" w:rsidRPr="001569B7" w:rsidRDefault="0059662C" w:rsidP="001569B7">
            <w:pPr>
              <w:rPr>
                <w:rFonts w:asciiTheme="minorHAnsi" w:hAnsiTheme="minorHAnsi"/>
              </w:rPr>
            </w:pPr>
            <w:r w:rsidRPr="001569B7">
              <w:rPr>
                <w:rFonts w:asciiTheme="minorHAnsi" w:hAnsiTheme="minorHAnsi"/>
              </w:rPr>
              <w:t>SCS</w:t>
            </w:r>
          </w:p>
        </w:tc>
        <w:tc>
          <w:tcPr>
            <w:tcW w:w="6485" w:type="dxa"/>
          </w:tcPr>
          <w:p w:rsidR="0059662C" w:rsidRPr="001569B7" w:rsidRDefault="001569B7" w:rsidP="001569B7">
            <w:pPr>
              <w:rPr>
                <w:rFonts w:asciiTheme="minorHAnsi" w:hAnsiTheme="minorHAnsi"/>
              </w:rPr>
            </w:pPr>
            <w:r>
              <w:rPr>
                <w:rFonts w:asciiTheme="minorHAnsi" w:hAnsiTheme="minorHAnsi"/>
              </w:rPr>
              <w:t>Summary of Clinical Safety</w:t>
            </w:r>
          </w:p>
        </w:tc>
      </w:tr>
      <w:tr w:rsidR="0059662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Pr>
          <w:p w:rsidR="0059662C" w:rsidRPr="001569B7" w:rsidRDefault="0059662C" w:rsidP="001569B7">
            <w:pPr>
              <w:rPr>
                <w:rFonts w:asciiTheme="minorHAnsi" w:hAnsiTheme="minorHAnsi"/>
              </w:rPr>
            </w:pPr>
            <w:r w:rsidRPr="001569B7">
              <w:rPr>
                <w:rFonts w:asciiTheme="minorHAnsi" w:hAnsiTheme="minorHAnsi"/>
              </w:rPr>
              <w:t>SCE</w:t>
            </w:r>
          </w:p>
        </w:tc>
        <w:tc>
          <w:tcPr>
            <w:tcW w:w="6485" w:type="dxa"/>
          </w:tcPr>
          <w:p w:rsidR="0059662C" w:rsidRPr="001569B7" w:rsidRDefault="0059662C" w:rsidP="001569B7">
            <w:pPr>
              <w:rPr>
                <w:rFonts w:asciiTheme="minorHAnsi" w:hAnsiTheme="minorHAnsi"/>
              </w:rPr>
            </w:pPr>
            <w:r w:rsidRPr="001569B7">
              <w:rPr>
                <w:rFonts w:asciiTheme="minorHAnsi" w:hAnsiTheme="minorHAnsi"/>
              </w:rPr>
              <w:t>Summary of Clinical Efficacy</w:t>
            </w:r>
          </w:p>
        </w:tc>
      </w:tr>
      <w:tr w:rsidR="0059662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Pr>
          <w:p w:rsidR="0059662C" w:rsidRPr="001569B7" w:rsidRDefault="0059662C" w:rsidP="001569B7">
            <w:pPr>
              <w:rPr>
                <w:rFonts w:asciiTheme="minorHAnsi" w:hAnsiTheme="minorHAnsi"/>
              </w:rPr>
            </w:pPr>
            <w:r w:rsidRPr="001569B7">
              <w:rPr>
                <w:rFonts w:asciiTheme="minorHAnsi" w:hAnsiTheme="minorHAnsi"/>
              </w:rPr>
              <w:t>SD</w:t>
            </w:r>
          </w:p>
        </w:tc>
        <w:tc>
          <w:tcPr>
            <w:tcW w:w="6485" w:type="dxa"/>
          </w:tcPr>
          <w:p w:rsidR="0059662C" w:rsidRPr="001569B7" w:rsidRDefault="0059662C" w:rsidP="001569B7">
            <w:pPr>
              <w:rPr>
                <w:rFonts w:asciiTheme="minorHAnsi" w:hAnsiTheme="minorHAnsi"/>
              </w:rPr>
            </w:pPr>
            <w:r w:rsidRPr="001569B7">
              <w:rPr>
                <w:rFonts w:asciiTheme="minorHAnsi" w:hAnsiTheme="minorHAnsi"/>
              </w:rPr>
              <w:t>Standard deviation</w:t>
            </w:r>
          </w:p>
        </w:tc>
      </w:tr>
      <w:tr w:rsidR="0059662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Pr>
          <w:p w:rsidR="0059662C" w:rsidRPr="001569B7" w:rsidRDefault="0059662C" w:rsidP="001569B7">
            <w:pPr>
              <w:rPr>
                <w:rFonts w:asciiTheme="minorHAnsi" w:hAnsiTheme="minorHAnsi"/>
              </w:rPr>
            </w:pPr>
            <w:r w:rsidRPr="001569B7">
              <w:rPr>
                <w:rFonts w:asciiTheme="minorHAnsi" w:hAnsiTheme="minorHAnsi"/>
              </w:rPr>
              <w:t>SEM</w:t>
            </w:r>
          </w:p>
        </w:tc>
        <w:tc>
          <w:tcPr>
            <w:tcW w:w="6485" w:type="dxa"/>
          </w:tcPr>
          <w:p w:rsidR="0059662C" w:rsidRPr="001569B7" w:rsidRDefault="0059662C" w:rsidP="001569B7">
            <w:pPr>
              <w:rPr>
                <w:rFonts w:asciiTheme="minorHAnsi" w:hAnsiTheme="minorHAnsi"/>
              </w:rPr>
            </w:pPr>
            <w:r w:rsidRPr="001569B7">
              <w:rPr>
                <w:rFonts w:asciiTheme="minorHAnsi" w:hAnsiTheme="minorHAnsi"/>
              </w:rPr>
              <w:t>Standard error of the mean</w:t>
            </w:r>
          </w:p>
        </w:tc>
      </w:tr>
      <w:tr w:rsidR="0059662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Pr>
          <w:p w:rsidR="0059662C" w:rsidRPr="001569B7" w:rsidRDefault="001569B7" w:rsidP="001569B7">
            <w:pPr>
              <w:rPr>
                <w:rFonts w:asciiTheme="minorHAnsi" w:hAnsiTheme="minorHAnsi"/>
              </w:rPr>
            </w:pPr>
            <w:r>
              <w:rPr>
                <w:rFonts w:asciiTheme="minorHAnsi" w:hAnsiTheme="minorHAnsi"/>
              </w:rPr>
              <w:t>SF-36</w:t>
            </w:r>
          </w:p>
        </w:tc>
        <w:tc>
          <w:tcPr>
            <w:tcW w:w="6485" w:type="dxa"/>
          </w:tcPr>
          <w:p w:rsidR="0059662C" w:rsidRPr="001569B7" w:rsidRDefault="0059662C" w:rsidP="001569B7">
            <w:pPr>
              <w:rPr>
                <w:rFonts w:asciiTheme="minorHAnsi" w:hAnsiTheme="minorHAnsi"/>
              </w:rPr>
            </w:pPr>
            <w:r w:rsidRPr="001569B7">
              <w:rPr>
                <w:rFonts w:asciiTheme="minorHAnsi" w:hAnsiTheme="minorHAnsi"/>
              </w:rPr>
              <w:t>Medical Outcomes Study 36-Item Short Form Health Survey</w:t>
            </w:r>
          </w:p>
        </w:tc>
      </w:tr>
      <w:tr w:rsidR="0059662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Pr>
          <w:p w:rsidR="0059662C" w:rsidRPr="001569B7" w:rsidRDefault="001569B7" w:rsidP="001569B7">
            <w:pPr>
              <w:rPr>
                <w:rFonts w:asciiTheme="minorHAnsi" w:hAnsiTheme="minorHAnsi"/>
              </w:rPr>
            </w:pPr>
            <w:r>
              <w:rPr>
                <w:rFonts w:asciiTheme="minorHAnsi" w:hAnsiTheme="minorHAnsi"/>
              </w:rPr>
              <w:t>SJC</w:t>
            </w:r>
          </w:p>
        </w:tc>
        <w:tc>
          <w:tcPr>
            <w:tcW w:w="6485" w:type="dxa"/>
          </w:tcPr>
          <w:p w:rsidR="0059662C" w:rsidRPr="001569B7" w:rsidRDefault="0059662C" w:rsidP="001569B7">
            <w:pPr>
              <w:rPr>
                <w:rFonts w:asciiTheme="minorHAnsi" w:hAnsiTheme="minorHAnsi"/>
              </w:rPr>
            </w:pPr>
            <w:r w:rsidRPr="001569B7">
              <w:rPr>
                <w:rFonts w:asciiTheme="minorHAnsi" w:hAnsiTheme="minorHAnsi"/>
              </w:rPr>
              <w:t>Swollen joint count</w:t>
            </w:r>
          </w:p>
        </w:tc>
      </w:tr>
      <w:tr w:rsidR="0059662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Borders>
              <w:bottom w:val="single" w:sz="4" w:space="0" w:color="auto"/>
            </w:tcBorders>
          </w:tcPr>
          <w:p w:rsidR="0059662C" w:rsidRPr="001569B7" w:rsidRDefault="001569B7" w:rsidP="001569B7">
            <w:pPr>
              <w:rPr>
                <w:rFonts w:asciiTheme="minorHAnsi" w:hAnsiTheme="minorHAnsi"/>
              </w:rPr>
            </w:pPr>
            <w:r>
              <w:rPr>
                <w:rFonts w:asciiTheme="minorHAnsi" w:hAnsiTheme="minorHAnsi"/>
              </w:rPr>
              <w:t>SMQ</w:t>
            </w:r>
          </w:p>
        </w:tc>
        <w:tc>
          <w:tcPr>
            <w:tcW w:w="6485" w:type="dxa"/>
            <w:tcBorders>
              <w:bottom w:val="single" w:sz="4" w:space="0" w:color="auto"/>
            </w:tcBorders>
          </w:tcPr>
          <w:p w:rsidR="0059662C" w:rsidRPr="001569B7" w:rsidRDefault="0059662C" w:rsidP="001569B7">
            <w:pPr>
              <w:rPr>
                <w:rFonts w:asciiTheme="minorHAnsi" w:hAnsiTheme="minorHAnsi"/>
              </w:rPr>
            </w:pPr>
            <w:r w:rsidRPr="001569B7">
              <w:rPr>
                <w:rFonts w:asciiTheme="minorHAnsi" w:hAnsiTheme="minorHAnsi"/>
              </w:rPr>
              <w:t>Standardised Medical Dictionary for Regulatory Activities Query</w:t>
            </w:r>
          </w:p>
        </w:tc>
      </w:tr>
      <w:tr w:rsidR="0059662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Borders>
              <w:top w:val="single" w:sz="4" w:space="0" w:color="auto"/>
            </w:tcBorders>
          </w:tcPr>
          <w:p w:rsidR="0059662C" w:rsidRPr="001569B7" w:rsidRDefault="0059662C" w:rsidP="001569B7">
            <w:pPr>
              <w:rPr>
                <w:rFonts w:asciiTheme="minorHAnsi" w:hAnsiTheme="minorHAnsi"/>
              </w:rPr>
            </w:pPr>
            <w:r w:rsidRPr="001569B7">
              <w:rPr>
                <w:rFonts w:asciiTheme="minorHAnsi" w:hAnsiTheme="minorHAnsi"/>
              </w:rPr>
              <w:t>SOC</w:t>
            </w:r>
          </w:p>
        </w:tc>
        <w:tc>
          <w:tcPr>
            <w:tcW w:w="6485" w:type="dxa"/>
            <w:tcBorders>
              <w:top w:val="single" w:sz="4" w:space="0" w:color="auto"/>
            </w:tcBorders>
          </w:tcPr>
          <w:p w:rsidR="0059662C" w:rsidRPr="001569B7" w:rsidRDefault="0059662C" w:rsidP="001569B7">
            <w:pPr>
              <w:rPr>
                <w:rFonts w:asciiTheme="minorHAnsi" w:hAnsiTheme="minorHAnsi"/>
              </w:rPr>
            </w:pPr>
            <w:r w:rsidRPr="001569B7">
              <w:rPr>
                <w:rFonts w:asciiTheme="minorHAnsi" w:hAnsiTheme="minorHAnsi"/>
              </w:rPr>
              <w:t>System Organ Class</w:t>
            </w:r>
          </w:p>
        </w:tc>
      </w:tr>
      <w:tr w:rsidR="0059662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Pr>
          <w:p w:rsidR="0059662C" w:rsidRPr="001569B7" w:rsidRDefault="001569B7" w:rsidP="001569B7">
            <w:pPr>
              <w:rPr>
                <w:rFonts w:asciiTheme="minorHAnsi" w:hAnsiTheme="minorHAnsi"/>
              </w:rPr>
            </w:pPr>
            <w:r>
              <w:rPr>
                <w:rFonts w:asciiTheme="minorHAnsi" w:hAnsiTheme="minorHAnsi"/>
              </w:rPr>
              <w:t>TB</w:t>
            </w:r>
          </w:p>
        </w:tc>
        <w:tc>
          <w:tcPr>
            <w:tcW w:w="6485" w:type="dxa"/>
          </w:tcPr>
          <w:p w:rsidR="0059662C" w:rsidRPr="001569B7" w:rsidRDefault="0059662C" w:rsidP="001569B7">
            <w:pPr>
              <w:rPr>
                <w:rFonts w:asciiTheme="minorHAnsi" w:hAnsiTheme="minorHAnsi"/>
              </w:rPr>
            </w:pPr>
            <w:r w:rsidRPr="001569B7">
              <w:rPr>
                <w:rFonts w:asciiTheme="minorHAnsi" w:hAnsiTheme="minorHAnsi"/>
              </w:rPr>
              <w:t>Tuberculosis</w:t>
            </w:r>
          </w:p>
        </w:tc>
      </w:tr>
      <w:tr w:rsidR="0059662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Pr>
          <w:p w:rsidR="0059662C" w:rsidRPr="001569B7" w:rsidRDefault="001569B7" w:rsidP="001569B7">
            <w:pPr>
              <w:rPr>
                <w:rFonts w:asciiTheme="minorHAnsi" w:hAnsiTheme="minorHAnsi"/>
              </w:rPr>
            </w:pPr>
            <w:r>
              <w:rPr>
                <w:rFonts w:asciiTheme="minorHAnsi" w:hAnsiTheme="minorHAnsi"/>
              </w:rPr>
              <w:t>TE-ADA</w:t>
            </w:r>
          </w:p>
        </w:tc>
        <w:tc>
          <w:tcPr>
            <w:tcW w:w="6485" w:type="dxa"/>
          </w:tcPr>
          <w:p w:rsidR="0059662C" w:rsidRPr="001569B7" w:rsidRDefault="0059662C" w:rsidP="001569B7">
            <w:pPr>
              <w:rPr>
                <w:rFonts w:asciiTheme="minorHAnsi" w:hAnsiTheme="minorHAnsi"/>
              </w:rPr>
            </w:pPr>
            <w:r w:rsidRPr="001569B7">
              <w:rPr>
                <w:rFonts w:asciiTheme="minorHAnsi" w:hAnsiTheme="minorHAnsi"/>
              </w:rPr>
              <w:t>Treatment-emergent anti-drug antibody</w:t>
            </w:r>
          </w:p>
        </w:tc>
      </w:tr>
      <w:tr w:rsidR="0059662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Pr>
          <w:p w:rsidR="0059662C" w:rsidRPr="001569B7" w:rsidRDefault="001569B7" w:rsidP="001569B7">
            <w:pPr>
              <w:rPr>
                <w:rFonts w:asciiTheme="minorHAnsi" w:hAnsiTheme="minorHAnsi"/>
              </w:rPr>
            </w:pPr>
            <w:r>
              <w:rPr>
                <w:rFonts w:asciiTheme="minorHAnsi" w:hAnsiTheme="minorHAnsi"/>
              </w:rPr>
              <w:t>TEAE</w:t>
            </w:r>
          </w:p>
        </w:tc>
        <w:tc>
          <w:tcPr>
            <w:tcW w:w="6485" w:type="dxa"/>
          </w:tcPr>
          <w:p w:rsidR="0059662C" w:rsidRPr="001569B7" w:rsidRDefault="0059662C" w:rsidP="001569B7">
            <w:pPr>
              <w:rPr>
                <w:rFonts w:asciiTheme="minorHAnsi" w:hAnsiTheme="minorHAnsi"/>
              </w:rPr>
            </w:pPr>
            <w:r w:rsidRPr="001569B7">
              <w:rPr>
                <w:rFonts w:asciiTheme="minorHAnsi" w:hAnsiTheme="minorHAnsi"/>
              </w:rPr>
              <w:t>Treatment-emergent adverse event</w:t>
            </w:r>
          </w:p>
        </w:tc>
      </w:tr>
      <w:tr w:rsidR="0059662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Pr>
          <w:p w:rsidR="0059662C" w:rsidRPr="001569B7" w:rsidRDefault="0059662C" w:rsidP="001569B7">
            <w:pPr>
              <w:rPr>
                <w:rFonts w:asciiTheme="minorHAnsi" w:hAnsiTheme="minorHAnsi"/>
                <w:vertAlign w:val="subscript"/>
              </w:rPr>
            </w:pPr>
            <w:r w:rsidRPr="001569B7">
              <w:rPr>
                <w:rFonts w:asciiTheme="minorHAnsi" w:hAnsiTheme="minorHAnsi"/>
              </w:rPr>
              <w:t>t</w:t>
            </w:r>
            <w:r w:rsidRPr="001569B7">
              <w:rPr>
                <w:rFonts w:asciiTheme="minorHAnsi" w:hAnsiTheme="minorHAnsi"/>
                <w:vertAlign w:val="subscript"/>
              </w:rPr>
              <w:t>1/2</w:t>
            </w:r>
          </w:p>
        </w:tc>
        <w:tc>
          <w:tcPr>
            <w:tcW w:w="6485" w:type="dxa"/>
          </w:tcPr>
          <w:p w:rsidR="0059662C" w:rsidRPr="001569B7" w:rsidRDefault="0059662C" w:rsidP="001569B7">
            <w:pPr>
              <w:rPr>
                <w:rFonts w:asciiTheme="minorHAnsi" w:hAnsiTheme="minorHAnsi"/>
              </w:rPr>
            </w:pPr>
            <w:r w:rsidRPr="001569B7">
              <w:rPr>
                <w:rFonts w:asciiTheme="minorHAnsi" w:hAnsiTheme="minorHAnsi"/>
              </w:rPr>
              <w:t>Terminal half-life</w:t>
            </w:r>
          </w:p>
        </w:tc>
      </w:tr>
      <w:tr w:rsidR="0059662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Pr>
          <w:p w:rsidR="0059662C" w:rsidRPr="001569B7" w:rsidRDefault="0059662C" w:rsidP="001569B7">
            <w:pPr>
              <w:rPr>
                <w:rFonts w:asciiTheme="minorHAnsi" w:hAnsiTheme="minorHAnsi"/>
              </w:rPr>
            </w:pPr>
            <w:proofErr w:type="spellStart"/>
            <w:r w:rsidRPr="001569B7">
              <w:rPr>
                <w:rFonts w:asciiTheme="minorHAnsi" w:hAnsiTheme="minorHAnsi"/>
              </w:rPr>
              <w:t>T</w:t>
            </w:r>
            <w:r w:rsidRPr="001569B7">
              <w:rPr>
                <w:rFonts w:asciiTheme="minorHAnsi" w:hAnsiTheme="minorHAnsi"/>
                <w:vertAlign w:val="subscript"/>
              </w:rPr>
              <w:t>max</w:t>
            </w:r>
            <w:proofErr w:type="spellEnd"/>
          </w:p>
        </w:tc>
        <w:tc>
          <w:tcPr>
            <w:tcW w:w="6485" w:type="dxa"/>
          </w:tcPr>
          <w:p w:rsidR="0059662C" w:rsidRPr="001569B7" w:rsidRDefault="0059662C" w:rsidP="001569B7">
            <w:pPr>
              <w:rPr>
                <w:rFonts w:asciiTheme="minorHAnsi" w:hAnsiTheme="minorHAnsi"/>
              </w:rPr>
            </w:pPr>
            <w:r w:rsidRPr="001569B7">
              <w:rPr>
                <w:rFonts w:asciiTheme="minorHAnsi" w:hAnsiTheme="minorHAnsi"/>
              </w:rPr>
              <w:t>Time required to reach maximum serum concentration</w:t>
            </w:r>
          </w:p>
        </w:tc>
      </w:tr>
      <w:tr w:rsidR="0059662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Pr>
          <w:p w:rsidR="0059662C" w:rsidRPr="001569B7" w:rsidRDefault="0059662C" w:rsidP="001569B7">
            <w:pPr>
              <w:rPr>
                <w:rFonts w:asciiTheme="minorHAnsi" w:hAnsiTheme="minorHAnsi"/>
              </w:rPr>
            </w:pPr>
            <w:r w:rsidRPr="001569B7">
              <w:rPr>
                <w:rFonts w:asciiTheme="minorHAnsi" w:hAnsiTheme="minorHAnsi"/>
              </w:rPr>
              <w:t>TNF</w:t>
            </w:r>
          </w:p>
        </w:tc>
        <w:tc>
          <w:tcPr>
            <w:tcW w:w="6485" w:type="dxa"/>
          </w:tcPr>
          <w:p w:rsidR="0059662C" w:rsidRPr="001569B7" w:rsidRDefault="001569B7" w:rsidP="001569B7">
            <w:pPr>
              <w:rPr>
                <w:rFonts w:asciiTheme="minorHAnsi" w:hAnsiTheme="minorHAnsi"/>
              </w:rPr>
            </w:pPr>
            <w:r>
              <w:rPr>
                <w:rFonts w:asciiTheme="minorHAnsi" w:hAnsiTheme="minorHAnsi"/>
              </w:rPr>
              <w:t>Tumour necrosis factor</w:t>
            </w:r>
          </w:p>
        </w:tc>
      </w:tr>
      <w:tr w:rsidR="0059662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Pr>
          <w:p w:rsidR="0059662C" w:rsidRPr="001569B7" w:rsidRDefault="0059662C" w:rsidP="001569B7">
            <w:pPr>
              <w:rPr>
                <w:rFonts w:asciiTheme="minorHAnsi" w:hAnsiTheme="minorHAnsi"/>
              </w:rPr>
            </w:pPr>
            <w:r w:rsidRPr="001569B7">
              <w:rPr>
                <w:rFonts w:asciiTheme="minorHAnsi" w:hAnsiTheme="minorHAnsi"/>
              </w:rPr>
              <w:t>SD</w:t>
            </w:r>
          </w:p>
        </w:tc>
        <w:tc>
          <w:tcPr>
            <w:tcW w:w="6485" w:type="dxa"/>
          </w:tcPr>
          <w:p w:rsidR="0059662C" w:rsidRPr="001569B7" w:rsidRDefault="0059662C" w:rsidP="001569B7">
            <w:pPr>
              <w:rPr>
                <w:rFonts w:asciiTheme="minorHAnsi" w:hAnsiTheme="minorHAnsi"/>
              </w:rPr>
            </w:pPr>
            <w:r w:rsidRPr="001569B7">
              <w:rPr>
                <w:rFonts w:asciiTheme="minorHAnsi" w:hAnsiTheme="minorHAnsi"/>
              </w:rPr>
              <w:t>Standard deviation</w:t>
            </w:r>
          </w:p>
        </w:tc>
      </w:tr>
      <w:tr w:rsidR="0059662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Pr>
          <w:p w:rsidR="0059662C" w:rsidRPr="001569B7" w:rsidRDefault="0059662C" w:rsidP="001569B7">
            <w:pPr>
              <w:rPr>
                <w:rFonts w:asciiTheme="minorHAnsi" w:hAnsiTheme="minorHAnsi"/>
              </w:rPr>
            </w:pPr>
            <w:r w:rsidRPr="001569B7">
              <w:rPr>
                <w:rFonts w:asciiTheme="minorHAnsi" w:hAnsiTheme="minorHAnsi"/>
              </w:rPr>
              <w:t>SE</w:t>
            </w:r>
          </w:p>
        </w:tc>
        <w:tc>
          <w:tcPr>
            <w:tcW w:w="6485" w:type="dxa"/>
          </w:tcPr>
          <w:p w:rsidR="0059662C" w:rsidRPr="001569B7" w:rsidRDefault="001569B7" w:rsidP="001569B7">
            <w:pPr>
              <w:rPr>
                <w:rFonts w:asciiTheme="minorHAnsi" w:hAnsiTheme="minorHAnsi"/>
              </w:rPr>
            </w:pPr>
            <w:r>
              <w:rPr>
                <w:rFonts w:asciiTheme="minorHAnsi" w:hAnsiTheme="minorHAnsi"/>
              </w:rPr>
              <w:t>Standard error</w:t>
            </w:r>
          </w:p>
        </w:tc>
      </w:tr>
      <w:tr w:rsidR="0059662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Pr>
          <w:p w:rsidR="0059662C" w:rsidRPr="001569B7" w:rsidRDefault="0059662C" w:rsidP="001569B7">
            <w:pPr>
              <w:rPr>
                <w:rFonts w:asciiTheme="minorHAnsi" w:hAnsiTheme="minorHAnsi"/>
              </w:rPr>
            </w:pPr>
            <w:r w:rsidRPr="001569B7">
              <w:rPr>
                <w:rFonts w:asciiTheme="minorHAnsi" w:hAnsiTheme="minorHAnsi"/>
              </w:rPr>
              <w:t>ULOQ</w:t>
            </w:r>
          </w:p>
        </w:tc>
        <w:tc>
          <w:tcPr>
            <w:tcW w:w="6485" w:type="dxa"/>
          </w:tcPr>
          <w:p w:rsidR="0059662C" w:rsidRPr="001569B7" w:rsidRDefault="0059662C" w:rsidP="001569B7">
            <w:pPr>
              <w:rPr>
                <w:rFonts w:asciiTheme="minorHAnsi" w:hAnsiTheme="minorHAnsi"/>
              </w:rPr>
            </w:pPr>
            <w:r w:rsidRPr="001569B7">
              <w:rPr>
                <w:rFonts w:asciiTheme="minorHAnsi" w:hAnsiTheme="minorHAnsi"/>
              </w:rPr>
              <w:t>Upper limit of quantification</w:t>
            </w:r>
          </w:p>
        </w:tc>
      </w:tr>
      <w:tr w:rsidR="0059662C" w:rsidRPr="001569B7" w:rsidTr="00A55048">
        <w:tblPrEx>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Ex>
        <w:tc>
          <w:tcPr>
            <w:tcW w:w="2235" w:type="dxa"/>
          </w:tcPr>
          <w:p w:rsidR="0059662C" w:rsidRPr="001569B7" w:rsidRDefault="0059662C" w:rsidP="001569B7">
            <w:pPr>
              <w:rPr>
                <w:rFonts w:asciiTheme="minorHAnsi" w:hAnsiTheme="minorHAnsi"/>
              </w:rPr>
            </w:pPr>
            <w:proofErr w:type="spellStart"/>
            <w:r w:rsidRPr="001569B7">
              <w:rPr>
                <w:rFonts w:asciiTheme="minorHAnsi" w:hAnsiTheme="minorHAnsi"/>
              </w:rPr>
              <w:t>Vss</w:t>
            </w:r>
            <w:proofErr w:type="spellEnd"/>
          </w:p>
        </w:tc>
        <w:tc>
          <w:tcPr>
            <w:tcW w:w="6485" w:type="dxa"/>
          </w:tcPr>
          <w:p w:rsidR="0059662C" w:rsidRPr="001569B7" w:rsidRDefault="0059662C" w:rsidP="001569B7">
            <w:pPr>
              <w:rPr>
                <w:rFonts w:asciiTheme="minorHAnsi" w:hAnsiTheme="minorHAnsi"/>
              </w:rPr>
            </w:pPr>
            <w:r w:rsidRPr="001569B7">
              <w:rPr>
                <w:rFonts w:asciiTheme="minorHAnsi" w:hAnsiTheme="minorHAnsi"/>
              </w:rPr>
              <w:t>Volume of distribution at steady state</w:t>
            </w:r>
          </w:p>
        </w:tc>
      </w:tr>
    </w:tbl>
    <w:p w:rsidR="00FD119B" w:rsidRPr="00FD119B" w:rsidRDefault="00FD119B" w:rsidP="00FD119B">
      <w:pPr>
        <w:spacing w:before="0" w:after="200" w:line="0" w:lineRule="auto"/>
        <w:rPr>
          <w:b/>
          <w:i/>
          <w:sz w:val="24"/>
          <w:szCs w:val="24"/>
        </w:rPr>
      </w:pPr>
      <w:r w:rsidRPr="00FD119B">
        <w:rPr>
          <w:b/>
          <w:i/>
          <w:sz w:val="24"/>
          <w:szCs w:val="24"/>
        </w:rPr>
        <w:br w:type="page"/>
      </w:r>
    </w:p>
    <w:p w:rsidR="008E7846" w:rsidRDefault="00F53C07" w:rsidP="008E7846">
      <w:pPr>
        <w:pStyle w:val="Heading2"/>
      </w:pPr>
      <w:bookmarkStart w:id="9" w:name="_Toc12272133"/>
      <w:r>
        <w:lastRenderedPageBreak/>
        <w:t>I.</w:t>
      </w:r>
      <w:r w:rsidR="008E7846">
        <w:t xml:space="preserve"> Introduction to product submission</w:t>
      </w:r>
      <w:bookmarkEnd w:id="0"/>
      <w:bookmarkEnd w:id="3"/>
      <w:bookmarkEnd w:id="9"/>
    </w:p>
    <w:p w:rsidR="008E7846" w:rsidRDefault="008E7846" w:rsidP="008E7846">
      <w:pPr>
        <w:pStyle w:val="Heading3"/>
        <w:rPr>
          <w:lang w:eastAsia="en-AU"/>
        </w:rPr>
      </w:pPr>
      <w:bookmarkStart w:id="10" w:name="_Toc247691502"/>
      <w:bookmarkStart w:id="11" w:name="_Toc314842483"/>
      <w:bookmarkStart w:id="12" w:name="_Toc12272134"/>
      <w:r>
        <w:rPr>
          <w:lang w:eastAsia="en-AU"/>
        </w:rPr>
        <w:t>Submission details</w:t>
      </w:r>
      <w:bookmarkEnd w:id="10"/>
      <w:bookmarkEnd w:id="11"/>
      <w:bookmarkEnd w:id="12"/>
    </w:p>
    <w:tbl>
      <w:tblPr>
        <w:tblW w:w="9214" w:type="dxa"/>
        <w:tblInd w:w="108" w:type="dxa"/>
        <w:tblLook w:val="01E0" w:firstRow="1" w:lastRow="1" w:firstColumn="1" w:lastColumn="1" w:noHBand="0" w:noVBand="0"/>
      </w:tblPr>
      <w:tblGrid>
        <w:gridCol w:w="2907"/>
        <w:gridCol w:w="6307"/>
      </w:tblGrid>
      <w:tr w:rsidR="008E7846" w:rsidRPr="003D1E62" w:rsidTr="003735BC">
        <w:tc>
          <w:tcPr>
            <w:tcW w:w="2907" w:type="dxa"/>
          </w:tcPr>
          <w:p w:rsidR="008E7846" w:rsidRPr="003D1E62" w:rsidRDefault="001B5C90" w:rsidP="001B5C90">
            <w:pPr>
              <w:rPr>
                <w:i/>
              </w:rPr>
            </w:pPr>
            <w:r>
              <w:rPr>
                <w:i/>
              </w:rPr>
              <w:t>Type of s</w:t>
            </w:r>
            <w:r w:rsidR="008E7846" w:rsidRPr="003D1E62">
              <w:rPr>
                <w:i/>
              </w:rPr>
              <w:t>ubmission</w:t>
            </w:r>
            <w:r>
              <w:rPr>
                <w:i/>
              </w:rPr>
              <w:t>:</w:t>
            </w:r>
          </w:p>
        </w:tc>
        <w:tc>
          <w:tcPr>
            <w:tcW w:w="6307" w:type="dxa"/>
          </w:tcPr>
          <w:p w:rsidR="008E7846" w:rsidRPr="003D1E62" w:rsidRDefault="008E7846" w:rsidP="00101060">
            <w:r w:rsidRPr="003D1E62">
              <w:t xml:space="preserve">New </w:t>
            </w:r>
            <w:r w:rsidR="00101060">
              <w:t>biological</w:t>
            </w:r>
            <w:r w:rsidRPr="003D1E62">
              <w:t xml:space="preserve"> </w:t>
            </w:r>
            <w:r w:rsidR="001B5C90">
              <w:t>e</w:t>
            </w:r>
            <w:r w:rsidR="00617643">
              <w:t>ntity</w:t>
            </w:r>
          </w:p>
        </w:tc>
      </w:tr>
      <w:tr w:rsidR="008E7846" w:rsidRPr="003D1E62" w:rsidTr="003735BC">
        <w:tc>
          <w:tcPr>
            <w:tcW w:w="2907" w:type="dxa"/>
          </w:tcPr>
          <w:p w:rsidR="008E7846" w:rsidRPr="003D1E62" w:rsidRDefault="008E7846" w:rsidP="003D1E62">
            <w:r w:rsidRPr="003D1E62">
              <w:rPr>
                <w:i/>
              </w:rPr>
              <w:t>Decision</w:t>
            </w:r>
            <w:r w:rsidRPr="003D1E62">
              <w:t>:</w:t>
            </w:r>
          </w:p>
        </w:tc>
        <w:tc>
          <w:tcPr>
            <w:tcW w:w="6307" w:type="dxa"/>
          </w:tcPr>
          <w:p w:rsidR="008E7846" w:rsidRPr="003D1E62" w:rsidRDefault="008E7846" w:rsidP="00617643">
            <w:r w:rsidRPr="003D1E62">
              <w:t xml:space="preserve">Approved </w:t>
            </w:r>
          </w:p>
        </w:tc>
      </w:tr>
      <w:tr w:rsidR="008E7846" w:rsidRPr="003D1E62" w:rsidTr="003735BC">
        <w:tc>
          <w:tcPr>
            <w:tcW w:w="2907" w:type="dxa"/>
          </w:tcPr>
          <w:p w:rsidR="008E7846" w:rsidRPr="003D1E62" w:rsidRDefault="008E7846" w:rsidP="001B5C90">
            <w:pPr>
              <w:rPr>
                <w:i/>
              </w:rPr>
            </w:pPr>
            <w:r w:rsidRPr="003D1E62">
              <w:rPr>
                <w:i/>
              </w:rPr>
              <w:t xml:space="preserve">Date of </w:t>
            </w:r>
            <w:r w:rsidR="001B5C90">
              <w:rPr>
                <w:i/>
              </w:rPr>
              <w:t>d</w:t>
            </w:r>
            <w:r w:rsidRPr="003D1E62">
              <w:rPr>
                <w:i/>
              </w:rPr>
              <w:t>ecision:</w:t>
            </w:r>
          </w:p>
        </w:tc>
        <w:tc>
          <w:tcPr>
            <w:tcW w:w="6307" w:type="dxa"/>
          </w:tcPr>
          <w:p w:rsidR="008E7846" w:rsidRPr="003D1E62" w:rsidRDefault="00617643" w:rsidP="001B5C90">
            <w:r>
              <w:t>12 September 2018</w:t>
            </w:r>
          </w:p>
        </w:tc>
      </w:tr>
      <w:tr w:rsidR="00ED2922" w:rsidRPr="003D1E62" w:rsidTr="003735BC">
        <w:tc>
          <w:tcPr>
            <w:tcW w:w="2907" w:type="dxa"/>
          </w:tcPr>
          <w:p w:rsidR="00ED2922" w:rsidRPr="00441C3F" w:rsidRDefault="00ED2922" w:rsidP="001B5C90">
            <w:pPr>
              <w:rPr>
                <w:i/>
              </w:rPr>
            </w:pPr>
            <w:r w:rsidRPr="00441C3F">
              <w:rPr>
                <w:i/>
              </w:rPr>
              <w:t>Date of entry onto ARTG</w:t>
            </w:r>
            <w:r w:rsidR="00500337">
              <w:rPr>
                <w:i/>
              </w:rPr>
              <w:t>:</w:t>
            </w:r>
          </w:p>
        </w:tc>
        <w:tc>
          <w:tcPr>
            <w:tcW w:w="6307" w:type="dxa"/>
          </w:tcPr>
          <w:p w:rsidR="00ED2922" w:rsidRPr="00441C3F" w:rsidRDefault="00617643" w:rsidP="00EC463D">
            <w:pPr>
              <w:rPr>
                <w:i/>
              </w:rPr>
            </w:pPr>
            <w:r>
              <w:t>14 September 2018</w:t>
            </w:r>
          </w:p>
        </w:tc>
      </w:tr>
      <w:tr w:rsidR="00500337" w:rsidRPr="003D1E62" w:rsidTr="003735BC">
        <w:tc>
          <w:tcPr>
            <w:tcW w:w="2907" w:type="dxa"/>
          </w:tcPr>
          <w:p w:rsidR="00500337" w:rsidRPr="00441C3F" w:rsidRDefault="00500337" w:rsidP="001B5C90">
            <w:pPr>
              <w:rPr>
                <w:i/>
              </w:rPr>
            </w:pPr>
            <w:r>
              <w:rPr>
                <w:i/>
              </w:rPr>
              <w:t>ARTG numbers:</w:t>
            </w:r>
          </w:p>
        </w:tc>
        <w:tc>
          <w:tcPr>
            <w:tcW w:w="6307" w:type="dxa"/>
          </w:tcPr>
          <w:p w:rsidR="00500337" w:rsidRPr="00441C3F" w:rsidRDefault="00617643" w:rsidP="00EC463D">
            <w:r>
              <w:rPr>
                <w:rFonts w:eastAsiaTheme="minorHAnsi" w:cs="Cambria"/>
              </w:rPr>
              <w:t>293333, 293334, 293335 and 293336</w:t>
            </w:r>
          </w:p>
        </w:tc>
      </w:tr>
      <w:tr w:rsidR="003735BC" w:rsidRPr="003D1E62" w:rsidTr="003735BC">
        <w:tc>
          <w:tcPr>
            <w:tcW w:w="2907" w:type="dxa"/>
          </w:tcPr>
          <w:p w:rsidR="003735BC" w:rsidRDefault="00FA5069" w:rsidP="001B5C90">
            <w:pPr>
              <w:rPr>
                <w:i/>
              </w:rPr>
            </w:pPr>
            <w:r>
              <w:rPr>
                <w:rFonts w:ascii="Wingdings 3" w:hAnsi="Wingdings 3"/>
                <w:sz w:val="34"/>
                <w:szCs w:val="34"/>
                <w:lang w:eastAsia="en-AU"/>
              </w:rPr>
              <w:t></w:t>
            </w:r>
            <w:r w:rsidR="003735BC" w:rsidRPr="003735BC">
              <w:rPr>
                <w:i/>
              </w:rPr>
              <w:t>Black Triangle Scheme</w:t>
            </w:r>
          </w:p>
        </w:tc>
        <w:tc>
          <w:tcPr>
            <w:tcW w:w="6307" w:type="dxa"/>
          </w:tcPr>
          <w:p w:rsidR="003735BC" w:rsidRPr="00487162" w:rsidRDefault="00617643" w:rsidP="00617643">
            <w:r>
              <w:t xml:space="preserve">Yes. </w:t>
            </w:r>
            <w:r w:rsidR="003735BC">
              <w:t xml:space="preserve">This product will remain in the scheme for 5 years, starting on the date the product is first supplied in </w:t>
            </w:r>
            <w:r w:rsidR="003735BC" w:rsidRPr="00D453FA">
              <w:t>Australia</w:t>
            </w:r>
            <w:r w:rsidR="003735BC" w:rsidRPr="00DB06B8">
              <w:rPr>
                <w:i/>
                <w:color w:val="007099"/>
              </w:rPr>
              <w:t>]</w:t>
            </w:r>
          </w:p>
        </w:tc>
      </w:tr>
      <w:tr w:rsidR="008E7846" w:rsidRPr="00487162" w:rsidTr="00BF1190">
        <w:tc>
          <w:tcPr>
            <w:tcW w:w="2907" w:type="dxa"/>
          </w:tcPr>
          <w:p w:rsidR="008E7846" w:rsidRPr="00487162" w:rsidRDefault="001B5C90" w:rsidP="00E45619">
            <w:pPr>
              <w:rPr>
                <w:i/>
              </w:rPr>
            </w:pPr>
            <w:r>
              <w:rPr>
                <w:i/>
              </w:rPr>
              <w:t>Active ingredient:</w:t>
            </w:r>
          </w:p>
        </w:tc>
        <w:tc>
          <w:tcPr>
            <w:tcW w:w="6307" w:type="dxa"/>
          </w:tcPr>
          <w:p w:rsidR="008E7846" w:rsidRPr="00487162" w:rsidRDefault="00617643" w:rsidP="00617643">
            <w:r>
              <w:t>Sarilumab (rch)</w:t>
            </w:r>
          </w:p>
        </w:tc>
      </w:tr>
      <w:tr w:rsidR="008E7846" w:rsidRPr="00487162" w:rsidTr="00BF1190">
        <w:tc>
          <w:tcPr>
            <w:tcW w:w="2907" w:type="dxa"/>
          </w:tcPr>
          <w:p w:rsidR="008E7846" w:rsidRPr="00487162" w:rsidRDefault="008E7846" w:rsidP="001B5C90">
            <w:pPr>
              <w:rPr>
                <w:i/>
              </w:rPr>
            </w:pPr>
            <w:r w:rsidRPr="00487162">
              <w:rPr>
                <w:i/>
              </w:rPr>
              <w:t>Product</w:t>
            </w:r>
            <w:r w:rsidR="001B5C90">
              <w:rPr>
                <w:i/>
              </w:rPr>
              <w:t xml:space="preserve"> name:</w:t>
            </w:r>
          </w:p>
        </w:tc>
        <w:tc>
          <w:tcPr>
            <w:tcW w:w="6307" w:type="dxa"/>
          </w:tcPr>
          <w:p w:rsidR="008E7846" w:rsidRPr="00487162" w:rsidRDefault="00617643" w:rsidP="00E45619">
            <w:r>
              <w:t>Kevzara</w:t>
            </w:r>
          </w:p>
        </w:tc>
      </w:tr>
      <w:tr w:rsidR="008E7846" w:rsidRPr="00487162" w:rsidTr="00BF1190">
        <w:tc>
          <w:tcPr>
            <w:tcW w:w="2907" w:type="dxa"/>
          </w:tcPr>
          <w:p w:rsidR="008E7846" w:rsidRPr="00487162" w:rsidRDefault="008E7846" w:rsidP="001B5C90">
            <w:pPr>
              <w:rPr>
                <w:i/>
              </w:rPr>
            </w:pPr>
            <w:r w:rsidRPr="00487162">
              <w:rPr>
                <w:i/>
              </w:rPr>
              <w:t xml:space="preserve">Sponsor’s </w:t>
            </w:r>
            <w:r w:rsidR="001B5C90">
              <w:rPr>
                <w:i/>
              </w:rPr>
              <w:t>n</w:t>
            </w:r>
            <w:r w:rsidRPr="00487162">
              <w:rPr>
                <w:i/>
              </w:rPr>
              <w:t xml:space="preserve">ame and </w:t>
            </w:r>
            <w:r w:rsidR="001B5C90">
              <w:rPr>
                <w:i/>
              </w:rPr>
              <w:t>a</w:t>
            </w:r>
            <w:r w:rsidRPr="00487162">
              <w:rPr>
                <w:i/>
              </w:rPr>
              <w:t>ddress:</w:t>
            </w:r>
          </w:p>
        </w:tc>
        <w:tc>
          <w:tcPr>
            <w:tcW w:w="6307" w:type="dxa"/>
          </w:tcPr>
          <w:p w:rsidR="00617643" w:rsidRDefault="00617643" w:rsidP="00617643">
            <w:pPr>
              <w:autoSpaceDE w:val="0"/>
              <w:autoSpaceDN w:val="0"/>
              <w:adjustRightInd w:val="0"/>
              <w:spacing w:before="0" w:after="0" w:line="240" w:lineRule="auto"/>
              <w:rPr>
                <w:rFonts w:eastAsiaTheme="minorHAnsi" w:cs="Cambria"/>
              </w:rPr>
            </w:pPr>
            <w:r>
              <w:rPr>
                <w:rFonts w:eastAsiaTheme="minorHAnsi" w:cs="Cambria"/>
              </w:rPr>
              <w:t>Sanofi-Aventis Australia Pty Ltd</w:t>
            </w:r>
          </w:p>
          <w:p w:rsidR="008E7846" w:rsidRPr="00487162" w:rsidRDefault="00617643" w:rsidP="00617643">
            <w:pPr>
              <w:autoSpaceDE w:val="0"/>
              <w:autoSpaceDN w:val="0"/>
              <w:adjustRightInd w:val="0"/>
              <w:spacing w:before="0" w:after="0" w:line="240" w:lineRule="auto"/>
            </w:pPr>
            <w:r>
              <w:rPr>
                <w:rFonts w:eastAsiaTheme="minorHAnsi" w:cs="Cambria"/>
              </w:rPr>
              <w:t>12-24 Talavera Road,</w:t>
            </w:r>
            <w:r w:rsidR="007A2295">
              <w:rPr>
                <w:rFonts w:eastAsiaTheme="minorHAnsi" w:cs="Cambria"/>
              </w:rPr>
              <w:br/>
            </w:r>
            <w:r>
              <w:rPr>
                <w:rFonts w:eastAsiaTheme="minorHAnsi" w:cs="Cambria"/>
              </w:rPr>
              <w:t>Macquarie Park NSW 2113</w:t>
            </w:r>
          </w:p>
        </w:tc>
      </w:tr>
      <w:tr w:rsidR="008E7846" w:rsidRPr="00487162" w:rsidTr="00BF1190">
        <w:tc>
          <w:tcPr>
            <w:tcW w:w="2907" w:type="dxa"/>
          </w:tcPr>
          <w:p w:rsidR="008E7846" w:rsidRPr="00487162" w:rsidRDefault="001B5C90" w:rsidP="00E45619">
            <w:pPr>
              <w:rPr>
                <w:i/>
              </w:rPr>
            </w:pPr>
            <w:r>
              <w:rPr>
                <w:i/>
              </w:rPr>
              <w:t>Dose form:</w:t>
            </w:r>
          </w:p>
        </w:tc>
        <w:tc>
          <w:tcPr>
            <w:tcW w:w="6307" w:type="dxa"/>
          </w:tcPr>
          <w:p w:rsidR="008E7846" w:rsidRPr="00487162" w:rsidRDefault="00617643" w:rsidP="00E45619">
            <w:r>
              <w:t xml:space="preserve">Solution for </w:t>
            </w:r>
            <w:r w:rsidR="007A2295">
              <w:t>i</w:t>
            </w:r>
            <w:r>
              <w:t>njection</w:t>
            </w:r>
          </w:p>
        </w:tc>
      </w:tr>
      <w:tr w:rsidR="008E7846" w:rsidRPr="00487162" w:rsidTr="00BF1190">
        <w:tc>
          <w:tcPr>
            <w:tcW w:w="2907" w:type="dxa"/>
          </w:tcPr>
          <w:p w:rsidR="008E7846" w:rsidRPr="00487162" w:rsidRDefault="008E7846" w:rsidP="00E45619">
            <w:pPr>
              <w:rPr>
                <w:i/>
              </w:rPr>
            </w:pPr>
            <w:r w:rsidRPr="00487162">
              <w:rPr>
                <w:i/>
              </w:rPr>
              <w:t xml:space="preserve">Strengths: </w:t>
            </w:r>
          </w:p>
        </w:tc>
        <w:tc>
          <w:tcPr>
            <w:tcW w:w="6307" w:type="dxa"/>
          </w:tcPr>
          <w:p w:rsidR="008E7846" w:rsidRPr="00487162" w:rsidRDefault="00617643" w:rsidP="00E45619">
            <w:r>
              <w:t>150 mg (131.6 mg/mL) and 200 mg (175 mg/mL)</w:t>
            </w:r>
          </w:p>
        </w:tc>
      </w:tr>
      <w:tr w:rsidR="008E7846" w:rsidRPr="00487162" w:rsidTr="00BF1190">
        <w:tc>
          <w:tcPr>
            <w:tcW w:w="2907" w:type="dxa"/>
          </w:tcPr>
          <w:p w:rsidR="008E7846" w:rsidRPr="00487162" w:rsidRDefault="008E7846" w:rsidP="00E45619">
            <w:pPr>
              <w:rPr>
                <w:i/>
              </w:rPr>
            </w:pPr>
            <w:r w:rsidRPr="00487162">
              <w:rPr>
                <w:i/>
              </w:rPr>
              <w:t>Containers:</w:t>
            </w:r>
          </w:p>
        </w:tc>
        <w:tc>
          <w:tcPr>
            <w:tcW w:w="6307" w:type="dxa"/>
          </w:tcPr>
          <w:p w:rsidR="008E7846" w:rsidRPr="00487162" w:rsidRDefault="00617643" w:rsidP="00E45619">
            <w:r>
              <w:t xml:space="preserve">Single dose </w:t>
            </w:r>
            <w:r w:rsidR="007A2295">
              <w:t>p</w:t>
            </w:r>
            <w:r>
              <w:t>refilled syringe</w:t>
            </w:r>
            <w:r w:rsidR="007A2295">
              <w:t>;</w:t>
            </w:r>
            <w:r>
              <w:t xml:space="preserve"> </w:t>
            </w:r>
            <w:r w:rsidR="007A2295">
              <w:t>s</w:t>
            </w:r>
            <w:r>
              <w:t xml:space="preserve">ingle use </w:t>
            </w:r>
            <w:r w:rsidR="007A2295">
              <w:t>p</w:t>
            </w:r>
            <w:r>
              <w:t>refilled pen</w:t>
            </w:r>
          </w:p>
        </w:tc>
      </w:tr>
      <w:tr w:rsidR="008E7846" w:rsidRPr="00487162" w:rsidTr="00BF1190">
        <w:tc>
          <w:tcPr>
            <w:tcW w:w="2907" w:type="dxa"/>
          </w:tcPr>
          <w:p w:rsidR="008E7846" w:rsidRPr="00487162" w:rsidRDefault="008E7846" w:rsidP="00E45619">
            <w:pPr>
              <w:rPr>
                <w:i/>
              </w:rPr>
            </w:pPr>
            <w:r w:rsidRPr="00487162">
              <w:rPr>
                <w:i/>
              </w:rPr>
              <w:t>Pack size</w:t>
            </w:r>
            <w:r w:rsidR="00794CFB">
              <w:rPr>
                <w:i/>
              </w:rPr>
              <w:t>s</w:t>
            </w:r>
            <w:r w:rsidRPr="00487162">
              <w:rPr>
                <w:i/>
              </w:rPr>
              <w:t>:</w:t>
            </w:r>
          </w:p>
        </w:tc>
        <w:tc>
          <w:tcPr>
            <w:tcW w:w="6307" w:type="dxa"/>
          </w:tcPr>
          <w:p w:rsidR="008E7846" w:rsidRPr="00487162" w:rsidRDefault="00617643" w:rsidP="00E45619">
            <w:r>
              <w:t>Packs of 2</w:t>
            </w:r>
          </w:p>
        </w:tc>
      </w:tr>
      <w:tr w:rsidR="008E7846" w:rsidRPr="00487162" w:rsidTr="00BF1190">
        <w:tc>
          <w:tcPr>
            <w:tcW w:w="2907" w:type="dxa"/>
          </w:tcPr>
          <w:p w:rsidR="008E7846" w:rsidRPr="00487162" w:rsidRDefault="008E7846" w:rsidP="001B5C90">
            <w:pPr>
              <w:rPr>
                <w:i/>
              </w:rPr>
            </w:pPr>
            <w:r w:rsidRPr="00487162">
              <w:rPr>
                <w:i/>
              </w:rPr>
              <w:t xml:space="preserve">Approved </w:t>
            </w:r>
            <w:r w:rsidR="001B5C90">
              <w:rPr>
                <w:i/>
              </w:rPr>
              <w:t>t</w:t>
            </w:r>
            <w:r w:rsidRPr="00487162">
              <w:rPr>
                <w:i/>
              </w:rPr>
              <w:t>herapeutic use:</w:t>
            </w:r>
          </w:p>
        </w:tc>
        <w:tc>
          <w:tcPr>
            <w:tcW w:w="6307" w:type="dxa"/>
          </w:tcPr>
          <w:p w:rsidR="008E7846" w:rsidRPr="00617643" w:rsidRDefault="00617643" w:rsidP="00617643">
            <w:pPr>
              <w:rPr>
                <w:rFonts w:eastAsia="MS Mincho"/>
                <w:i/>
                <w:lang w:eastAsia="ja-JP"/>
              </w:rPr>
            </w:pPr>
            <w:r w:rsidRPr="00617643">
              <w:rPr>
                <w:i/>
              </w:rPr>
              <w:t>Kevzara in combination with non-biological Disease-Modifying Anti-Rheumatic Drugs (DMARDs) or as monotherapy is indicated for the treatment of moderate to severe active Rheumatoid Arthritis in adult patients who have had an inadequate response or intolerance to one or more DMARDs.</w:t>
            </w:r>
          </w:p>
        </w:tc>
      </w:tr>
      <w:tr w:rsidR="008E7846" w:rsidRPr="00487162" w:rsidTr="00BF1190">
        <w:tc>
          <w:tcPr>
            <w:tcW w:w="2907" w:type="dxa"/>
          </w:tcPr>
          <w:p w:rsidR="008E7846" w:rsidRPr="00487162" w:rsidRDefault="008E7846" w:rsidP="00E45619">
            <w:pPr>
              <w:rPr>
                <w:i/>
              </w:rPr>
            </w:pPr>
            <w:r w:rsidRPr="00487162">
              <w:rPr>
                <w:i/>
              </w:rPr>
              <w:t>Route of administration:</w:t>
            </w:r>
          </w:p>
        </w:tc>
        <w:tc>
          <w:tcPr>
            <w:tcW w:w="6307" w:type="dxa"/>
          </w:tcPr>
          <w:p w:rsidR="008E7846" w:rsidRPr="00487162" w:rsidRDefault="00617643" w:rsidP="00617643">
            <w:r>
              <w:t>Subcutaneous (SC) injection</w:t>
            </w:r>
          </w:p>
        </w:tc>
      </w:tr>
      <w:tr w:rsidR="008E7846" w:rsidRPr="00487162" w:rsidTr="00BF1190">
        <w:tc>
          <w:tcPr>
            <w:tcW w:w="2907" w:type="dxa"/>
          </w:tcPr>
          <w:p w:rsidR="008E7846" w:rsidRPr="00487162" w:rsidRDefault="008E7846" w:rsidP="00E45619">
            <w:pPr>
              <w:rPr>
                <w:i/>
              </w:rPr>
            </w:pPr>
            <w:r w:rsidRPr="00487162">
              <w:rPr>
                <w:i/>
              </w:rPr>
              <w:t>Dosage:</w:t>
            </w:r>
          </w:p>
        </w:tc>
        <w:tc>
          <w:tcPr>
            <w:tcW w:w="6307" w:type="dxa"/>
          </w:tcPr>
          <w:p w:rsidR="008E7846" w:rsidRPr="00487162" w:rsidRDefault="00617643" w:rsidP="00617643">
            <w:r>
              <w:t>The recommended dose of Kevzara is 200 mg once every 2 weeks given as a subcutaneous injection.</w:t>
            </w:r>
          </w:p>
        </w:tc>
      </w:tr>
    </w:tbl>
    <w:p w:rsidR="008E7846" w:rsidRDefault="008E7846" w:rsidP="008E7846">
      <w:pPr>
        <w:pStyle w:val="Heading3"/>
      </w:pPr>
      <w:bookmarkStart w:id="13" w:name="_Toc247691503"/>
      <w:bookmarkStart w:id="14" w:name="_Toc314842484"/>
      <w:bookmarkStart w:id="15" w:name="_Toc12272135"/>
      <w:r>
        <w:t>Product background</w:t>
      </w:r>
      <w:bookmarkEnd w:id="13"/>
      <w:bookmarkEnd w:id="14"/>
      <w:bookmarkEnd w:id="15"/>
    </w:p>
    <w:p w:rsidR="008E7846" w:rsidRDefault="00940A89" w:rsidP="00940A89">
      <w:pPr>
        <w:rPr>
          <w:rFonts w:asciiTheme="minorHAnsi" w:hAnsiTheme="minorHAnsi"/>
        </w:rPr>
      </w:pPr>
      <w:r w:rsidRPr="00940A89">
        <w:t xml:space="preserve">This AusPAR describes the application by the sponsor to register </w:t>
      </w:r>
      <w:r w:rsidR="00101060">
        <w:rPr>
          <w:rFonts w:asciiTheme="minorHAnsi" w:hAnsiTheme="minorHAnsi"/>
        </w:rPr>
        <w:t>a new b</w:t>
      </w:r>
      <w:r w:rsidR="00637490">
        <w:rPr>
          <w:rFonts w:asciiTheme="minorHAnsi" w:hAnsiTheme="minorHAnsi"/>
        </w:rPr>
        <w:t>iological medicine, sarilumab, as Kevzara</w:t>
      </w:r>
      <w:r w:rsidR="00101060">
        <w:rPr>
          <w:rFonts w:asciiTheme="minorHAnsi" w:hAnsiTheme="minorHAnsi"/>
        </w:rPr>
        <w:t xml:space="preserve"> for the treatment of rheumatoid arthritis</w:t>
      </w:r>
      <w:r w:rsidR="00637490">
        <w:rPr>
          <w:rFonts w:asciiTheme="minorHAnsi" w:hAnsiTheme="minorHAnsi"/>
        </w:rPr>
        <w:t xml:space="preserve"> </w:t>
      </w:r>
      <w:r w:rsidR="00D34A35">
        <w:rPr>
          <w:rFonts w:asciiTheme="minorHAnsi" w:hAnsiTheme="minorHAnsi"/>
        </w:rPr>
        <w:t xml:space="preserve">(RA) </w:t>
      </w:r>
      <w:r w:rsidR="00637490">
        <w:rPr>
          <w:rFonts w:asciiTheme="minorHAnsi" w:hAnsiTheme="minorHAnsi"/>
        </w:rPr>
        <w:t>as follows:</w:t>
      </w:r>
    </w:p>
    <w:p w:rsidR="00572EFC" w:rsidRPr="00637490" w:rsidRDefault="00572EFC" w:rsidP="00637490">
      <w:pPr>
        <w:autoSpaceDE w:val="0"/>
        <w:autoSpaceDN w:val="0"/>
        <w:spacing w:after="0" w:line="240" w:lineRule="auto"/>
        <w:ind w:left="720"/>
        <w:rPr>
          <w:rFonts w:asciiTheme="minorHAnsi" w:hAnsiTheme="minorHAnsi"/>
          <w:i/>
        </w:rPr>
      </w:pPr>
      <w:r w:rsidRPr="00637490">
        <w:rPr>
          <w:i/>
        </w:rPr>
        <w:t>Kevzara in combination with non-biologic Disease-Modifying Anti-Rheumatic Drugs (DMARDs) or as monotherapy is indicated for the treatment of moderate to severe Rheumatoid Arthritis in adult patients who have had an inadequate response or intolerance to one or more DMARDs.</w:t>
      </w:r>
    </w:p>
    <w:p w:rsidR="00101060" w:rsidRPr="00A11AA6" w:rsidRDefault="00101060" w:rsidP="00637490">
      <w:pPr>
        <w:ind w:left="34"/>
        <w:rPr>
          <w:rFonts w:asciiTheme="minorHAnsi" w:hAnsiTheme="minorHAnsi"/>
        </w:rPr>
      </w:pPr>
      <w:r w:rsidRPr="00B842A2">
        <w:rPr>
          <w:rFonts w:asciiTheme="minorHAnsi" w:hAnsiTheme="minorHAnsi"/>
        </w:rPr>
        <w:lastRenderedPageBreak/>
        <w:t xml:space="preserve">Kevzara </w:t>
      </w:r>
      <w:r w:rsidR="00637490">
        <w:rPr>
          <w:rFonts w:asciiTheme="minorHAnsi" w:hAnsiTheme="minorHAnsi"/>
        </w:rPr>
        <w:t xml:space="preserve">is to </w:t>
      </w:r>
      <w:r>
        <w:rPr>
          <w:rFonts w:asciiTheme="minorHAnsi" w:hAnsiTheme="minorHAnsi"/>
        </w:rPr>
        <w:t xml:space="preserve">be </w:t>
      </w:r>
      <w:r w:rsidRPr="00B842A2">
        <w:rPr>
          <w:rFonts w:asciiTheme="minorHAnsi" w:hAnsiTheme="minorHAnsi"/>
        </w:rPr>
        <w:t xml:space="preserve">used as a subcutaneous </w:t>
      </w:r>
      <w:r w:rsidR="008E50DA">
        <w:rPr>
          <w:rFonts w:asciiTheme="minorHAnsi" w:hAnsiTheme="minorHAnsi"/>
        </w:rPr>
        <w:t xml:space="preserve">(SC) </w:t>
      </w:r>
      <w:r w:rsidRPr="00B842A2">
        <w:rPr>
          <w:rFonts w:asciiTheme="minorHAnsi" w:hAnsiTheme="minorHAnsi"/>
        </w:rPr>
        <w:t>injection.</w:t>
      </w:r>
      <w:r w:rsidR="00637490">
        <w:rPr>
          <w:rFonts w:asciiTheme="minorHAnsi" w:hAnsiTheme="minorHAnsi"/>
        </w:rPr>
        <w:t xml:space="preserve"> </w:t>
      </w:r>
      <w:r w:rsidR="00637490">
        <w:t xml:space="preserve">The sponsor is requesting two strengths of 200 mg and 150 mg as pre-filled syringes and pens. </w:t>
      </w:r>
      <w:r>
        <w:rPr>
          <w:rFonts w:asciiTheme="minorHAnsi" w:hAnsiTheme="minorHAnsi"/>
        </w:rPr>
        <w:t>Choice of a starting dose should be based on an individual patient assessment, taking into consideration potential risks.</w:t>
      </w:r>
      <w:r w:rsidR="00637490">
        <w:rPr>
          <w:rFonts w:asciiTheme="minorHAnsi" w:hAnsiTheme="minorHAnsi"/>
        </w:rPr>
        <w:t xml:space="preserve"> </w:t>
      </w:r>
      <w:r w:rsidRPr="00B842A2">
        <w:rPr>
          <w:rFonts w:asciiTheme="minorHAnsi" w:hAnsiTheme="minorHAnsi"/>
        </w:rPr>
        <w:t xml:space="preserve">The recommended dose of Kevzara is 200 mg once every 2 weeks </w:t>
      </w:r>
      <w:r w:rsidR="00BA7426">
        <w:rPr>
          <w:rFonts w:asciiTheme="minorHAnsi" w:hAnsiTheme="minorHAnsi"/>
        </w:rPr>
        <w:t xml:space="preserve">(q2w) </w:t>
      </w:r>
      <w:r w:rsidRPr="00B842A2">
        <w:rPr>
          <w:rFonts w:asciiTheme="minorHAnsi" w:hAnsiTheme="minorHAnsi"/>
        </w:rPr>
        <w:t xml:space="preserve">given as a </w:t>
      </w:r>
      <w:r w:rsidR="00BA7426">
        <w:rPr>
          <w:rFonts w:asciiTheme="minorHAnsi" w:hAnsiTheme="minorHAnsi"/>
        </w:rPr>
        <w:t>SC</w:t>
      </w:r>
      <w:r w:rsidRPr="00B842A2">
        <w:rPr>
          <w:rFonts w:asciiTheme="minorHAnsi" w:hAnsiTheme="minorHAnsi"/>
        </w:rPr>
        <w:t xml:space="preserve"> injection.</w:t>
      </w:r>
      <w:r w:rsidR="00637490">
        <w:rPr>
          <w:rFonts w:asciiTheme="minorHAnsi" w:hAnsiTheme="minorHAnsi"/>
        </w:rPr>
        <w:t xml:space="preserve"> </w:t>
      </w:r>
      <w:proofErr w:type="gramStart"/>
      <w:r w:rsidRPr="00B842A2">
        <w:rPr>
          <w:rFonts w:asciiTheme="minorHAnsi" w:hAnsiTheme="minorHAnsi"/>
        </w:rPr>
        <w:t xml:space="preserve">Reduction of dose from 200 mg once </w:t>
      </w:r>
      <w:r w:rsidR="00BA7426">
        <w:rPr>
          <w:rFonts w:asciiTheme="minorHAnsi" w:hAnsiTheme="minorHAnsi"/>
        </w:rPr>
        <w:t>q2w</w:t>
      </w:r>
      <w:r w:rsidRPr="00B842A2">
        <w:rPr>
          <w:rFonts w:asciiTheme="minorHAnsi" w:hAnsiTheme="minorHAnsi"/>
        </w:rPr>
        <w:t xml:space="preserve"> to 150 mg once </w:t>
      </w:r>
      <w:r w:rsidR="00BA7426">
        <w:rPr>
          <w:rFonts w:asciiTheme="minorHAnsi" w:hAnsiTheme="minorHAnsi"/>
        </w:rPr>
        <w:t>q2w</w:t>
      </w:r>
      <w:r w:rsidRPr="00B842A2">
        <w:rPr>
          <w:rFonts w:asciiTheme="minorHAnsi" w:hAnsiTheme="minorHAnsi"/>
        </w:rPr>
        <w:t xml:space="preserve"> is recommended for management of neutro</w:t>
      </w:r>
      <w:r w:rsidR="001E2D44">
        <w:rPr>
          <w:rFonts w:asciiTheme="minorHAnsi" w:hAnsiTheme="minorHAnsi"/>
        </w:rPr>
        <w:t>paenia</w:t>
      </w:r>
      <w:r w:rsidRPr="00B842A2">
        <w:rPr>
          <w:rFonts w:asciiTheme="minorHAnsi" w:hAnsiTheme="minorHAnsi"/>
        </w:rPr>
        <w:t>, thrombocyto</w:t>
      </w:r>
      <w:r w:rsidR="001E2D44">
        <w:rPr>
          <w:rFonts w:asciiTheme="minorHAnsi" w:hAnsiTheme="minorHAnsi"/>
        </w:rPr>
        <w:t>paenia</w:t>
      </w:r>
      <w:r w:rsidRPr="00B842A2">
        <w:rPr>
          <w:rFonts w:asciiTheme="minorHAnsi" w:hAnsiTheme="minorHAnsi"/>
        </w:rPr>
        <w:t xml:space="preserve"> and </w:t>
      </w:r>
      <w:r w:rsidRPr="00A11AA6">
        <w:rPr>
          <w:rFonts w:asciiTheme="minorHAnsi" w:hAnsiTheme="minorHAnsi"/>
        </w:rPr>
        <w:t>elevated liver enzymes.</w:t>
      </w:r>
      <w:bookmarkStart w:id="16" w:name="_Toc314842485"/>
      <w:bookmarkStart w:id="17" w:name="_Toc247691504"/>
      <w:proofErr w:type="gramEnd"/>
    </w:p>
    <w:p w:rsidR="00D34A35" w:rsidRPr="00A11AA6" w:rsidRDefault="00D34A35" w:rsidP="00D34A35">
      <w:r w:rsidRPr="00A11AA6">
        <w:t>In addition to Kev</w:t>
      </w:r>
      <w:r w:rsidR="00A6301B" w:rsidRPr="00A11AA6">
        <w:t>zara, one additional tradename wa</w:t>
      </w:r>
      <w:r w:rsidRPr="00A11AA6">
        <w:t xml:space="preserve">s </w:t>
      </w:r>
      <w:r w:rsidR="00A11AA6" w:rsidRPr="00A11AA6">
        <w:t>initially applied for in this</w:t>
      </w:r>
      <w:r w:rsidRPr="00A11AA6">
        <w:t xml:space="preserve"> submission; </w:t>
      </w:r>
      <w:r w:rsidRPr="001D4F25">
        <w:rPr>
          <w:i/>
        </w:rPr>
        <w:t>Ilsidex</w:t>
      </w:r>
      <w:r w:rsidRPr="00A11AA6">
        <w:t>.</w:t>
      </w:r>
    </w:p>
    <w:p w:rsidR="002928AB" w:rsidRDefault="002928AB" w:rsidP="002928AB">
      <w:r w:rsidRPr="00A11AA6">
        <w:rPr>
          <w:sz w:val="23"/>
          <w:szCs w:val="23"/>
        </w:rPr>
        <w:t xml:space="preserve">Sarilumab is a human </w:t>
      </w:r>
      <w:r w:rsidR="008E50DA">
        <w:rPr>
          <w:sz w:val="23"/>
          <w:szCs w:val="23"/>
        </w:rPr>
        <w:t>immunoglobulin G1 (</w:t>
      </w:r>
      <w:r w:rsidRPr="00A11AA6">
        <w:rPr>
          <w:sz w:val="23"/>
          <w:szCs w:val="23"/>
        </w:rPr>
        <w:t>IgG1</w:t>
      </w:r>
      <w:r w:rsidR="008E50DA">
        <w:rPr>
          <w:sz w:val="23"/>
          <w:szCs w:val="23"/>
        </w:rPr>
        <w:t>)</w:t>
      </w:r>
      <w:r>
        <w:rPr>
          <w:sz w:val="23"/>
          <w:szCs w:val="23"/>
        </w:rPr>
        <w:t xml:space="preserve"> monoclonal antibody that binds specifically to both soluble and membrane-bound </w:t>
      </w:r>
      <w:r w:rsidR="007A4EEA">
        <w:rPr>
          <w:sz w:val="23"/>
          <w:szCs w:val="23"/>
        </w:rPr>
        <w:t>interleukin 6 (</w:t>
      </w:r>
      <w:r>
        <w:rPr>
          <w:sz w:val="23"/>
          <w:szCs w:val="23"/>
        </w:rPr>
        <w:t>IL-6</w:t>
      </w:r>
      <w:r w:rsidR="007A4EEA">
        <w:rPr>
          <w:sz w:val="23"/>
          <w:szCs w:val="23"/>
        </w:rPr>
        <w:t>)</w:t>
      </w:r>
      <w:r>
        <w:rPr>
          <w:sz w:val="23"/>
          <w:szCs w:val="23"/>
        </w:rPr>
        <w:t xml:space="preserve"> receptors (sIL</w:t>
      </w:r>
      <w:r w:rsidR="00794CFB">
        <w:rPr>
          <w:sz w:val="23"/>
          <w:szCs w:val="23"/>
        </w:rPr>
        <w:noBreakHyphen/>
      </w:r>
      <w:r>
        <w:rPr>
          <w:sz w:val="23"/>
          <w:szCs w:val="23"/>
        </w:rPr>
        <w:t>6Rα and mIL-6Rα), and has been shown to inhibit IL-6-mediated signalling through these receptors</w:t>
      </w:r>
      <w:r w:rsidR="00637490" w:rsidRPr="00637490">
        <w:t xml:space="preserve"> </w:t>
      </w:r>
      <w:r w:rsidR="00637490">
        <w:t>similar to tocilizumab (</w:t>
      </w:r>
      <w:r w:rsidR="00794CFB">
        <w:t xml:space="preserve">tradename: </w:t>
      </w:r>
      <w:proofErr w:type="spellStart"/>
      <w:r w:rsidR="00637490" w:rsidRPr="001D4F25">
        <w:rPr>
          <w:i/>
        </w:rPr>
        <w:t>Actemra</w:t>
      </w:r>
      <w:proofErr w:type="spellEnd"/>
      <w:r w:rsidR="00637490">
        <w:t>)</w:t>
      </w:r>
      <w:r w:rsidR="003E7288">
        <w:t>.</w:t>
      </w:r>
    </w:p>
    <w:p w:rsidR="00D34A35" w:rsidRDefault="00D34A35" w:rsidP="00D34A35">
      <w:r>
        <w:t>IL-6 is a multifunctional cytokine which is produced by variety of cell types, and is involved in the pathogenesis of neoplasia, osteoporosis and various inflammatory diseases, including rheumatoid arthritis (RA) as well as inflammatory bowel disease. Elevated tissue and serum levels of IL-6 have been noted in the disease pathology of RA, thus the inhibition of the biological activity of IL-6 or its receptor can potentially be utilised in the treatment of the disease.</w:t>
      </w:r>
    </w:p>
    <w:p w:rsidR="003E7288" w:rsidRPr="00572EFC" w:rsidRDefault="003E7288" w:rsidP="003E7288">
      <w:pPr>
        <w:rPr>
          <w:rFonts w:asciiTheme="minorHAnsi" w:hAnsiTheme="minorHAnsi"/>
        </w:rPr>
      </w:pPr>
      <w:r>
        <w:t xml:space="preserve">RA is a chronic inflammatory autoimmune disease characterised by polyarticular inflammatory synovitis, which is associated with cartilage breakdown, bony erosion and ultimately loss of function of the affected joints. Systemic involvement may also occur, and there is an increased risk of atherosclerosis and lymphoma over time, particularly if the condition is insufficiently controlled. The over-production of pro-inflammatory cytokines such as </w:t>
      </w:r>
      <w:r w:rsidR="00FA0825">
        <w:t>t</w:t>
      </w:r>
      <w:r w:rsidR="00FA0825" w:rsidRPr="00FC3594">
        <w:rPr>
          <w:rFonts w:eastAsia="TimesNewRoman"/>
        </w:rPr>
        <w:t xml:space="preserve">umour necrosis factor </w:t>
      </w:r>
      <w:r w:rsidR="00FA0825">
        <w:rPr>
          <w:rFonts w:eastAsia="TimesNewRoman"/>
        </w:rPr>
        <w:t>(</w:t>
      </w:r>
      <w:r>
        <w:t>TNF</w:t>
      </w:r>
      <w:r w:rsidR="00FA0825">
        <w:t>)</w:t>
      </w:r>
      <w:r>
        <w:t xml:space="preserve"> and IL-6 in the joints and sera of patients with RA are important mediators in the disease pathogenesis primarily via activation of T</w:t>
      </w:r>
      <w:r w:rsidR="00794CFB">
        <w:noBreakHyphen/>
      </w:r>
      <w:r>
        <w:t>lymphocytes, but also through effects on B-lymphocytes. IL-6 can activate hepatocytes to produce acute phase reactants, such as C-</w:t>
      </w:r>
      <w:r w:rsidR="00F549B4">
        <w:t>r</w:t>
      </w:r>
      <w:r>
        <w:t xml:space="preserve">eactive </w:t>
      </w:r>
      <w:r w:rsidR="00F549B4">
        <w:t>p</w:t>
      </w:r>
      <w:r>
        <w:t>rotein (CRP).</w:t>
      </w:r>
    </w:p>
    <w:p w:rsidR="002928AB" w:rsidRDefault="002928AB" w:rsidP="002928AB">
      <w:pPr>
        <w:rPr>
          <w:lang w:eastAsia="ja-JP"/>
        </w:rPr>
      </w:pPr>
      <w:r>
        <w:rPr>
          <w:lang w:eastAsia="ja-JP"/>
        </w:rPr>
        <w:t>The most relevant current treatment option is t</w:t>
      </w:r>
      <w:r w:rsidRPr="00D92D9A">
        <w:rPr>
          <w:rFonts w:asciiTheme="minorHAnsi" w:hAnsiTheme="minorHAnsi"/>
          <w:lang w:eastAsia="ja-JP"/>
        </w:rPr>
        <w:t>ocilizumab (</w:t>
      </w:r>
      <w:proofErr w:type="spellStart"/>
      <w:r w:rsidRPr="00D92D9A">
        <w:rPr>
          <w:rFonts w:asciiTheme="minorHAnsi" w:hAnsiTheme="minorHAnsi"/>
          <w:lang w:eastAsia="ja-JP"/>
        </w:rPr>
        <w:t>Actemra</w:t>
      </w:r>
      <w:proofErr w:type="spellEnd"/>
      <w:r w:rsidRPr="00D92D9A">
        <w:rPr>
          <w:rFonts w:asciiTheme="minorHAnsi" w:hAnsiTheme="minorHAnsi"/>
          <w:lang w:eastAsia="ja-JP"/>
        </w:rPr>
        <w:t xml:space="preserve">), </w:t>
      </w:r>
      <w:r w:rsidRPr="00D92D9A">
        <w:rPr>
          <w:rFonts w:asciiTheme="minorHAnsi" w:hAnsiTheme="minorHAnsi"/>
        </w:rPr>
        <w:t xml:space="preserve">a recombinant humanised monoclonal antibody of the IgG1 subclass which binds to human </w:t>
      </w:r>
      <w:r>
        <w:rPr>
          <w:rFonts w:asciiTheme="minorHAnsi" w:hAnsiTheme="minorHAnsi"/>
        </w:rPr>
        <w:t xml:space="preserve">IL-6 receptors, </w:t>
      </w:r>
      <w:r w:rsidRPr="00D92D9A">
        <w:rPr>
          <w:rFonts w:asciiTheme="minorHAnsi" w:hAnsiTheme="minorHAnsi"/>
        </w:rPr>
        <w:t xml:space="preserve">approved for the treatment of moderate to severe active RA in adult patients in combination with </w:t>
      </w:r>
      <w:r w:rsidR="00DD2390">
        <w:rPr>
          <w:rFonts w:asciiTheme="minorHAnsi" w:hAnsiTheme="minorHAnsi"/>
        </w:rPr>
        <w:t>methotrexate</w:t>
      </w:r>
      <w:r w:rsidR="00DD2390" w:rsidRPr="00D92D9A">
        <w:rPr>
          <w:rFonts w:asciiTheme="minorHAnsi" w:hAnsiTheme="minorHAnsi"/>
        </w:rPr>
        <w:t xml:space="preserve"> </w:t>
      </w:r>
      <w:r w:rsidR="00DD2390">
        <w:rPr>
          <w:rFonts w:asciiTheme="minorHAnsi" w:hAnsiTheme="minorHAnsi"/>
        </w:rPr>
        <w:t>(</w:t>
      </w:r>
      <w:r w:rsidRPr="00D92D9A">
        <w:rPr>
          <w:rFonts w:asciiTheme="minorHAnsi" w:hAnsiTheme="minorHAnsi"/>
        </w:rPr>
        <w:t>MTX</w:t>
      </w:r>
      <w:r w:rsidR="00DD2390">
        <w:rPr>
          <w:rFonts w:asciiTheme="minorHAnsi" w:hAnsiTheme="minorHAnsi"/>
        </w:rPr>
        <w:t>)</w:t>
      </w:r>
      <w:r w:rsidRPr="00D92D9A">
        <w:rPr>
          <w:rFonts w:asciiTheme="minorHAnsi" w:hAnsiTheme="minorHAnsi"/>
        </w:rPr>
        <w:t xml:space="preserve"> or other non-biological DMARDs in case of either an inadequate response or intolerance to previous therapy with one or more DMARDs. Tocilizumab has been shown to inhibit the progression of joint damage in adults, as measured by X-ray when given in combination with </w:t>
      </w:r>
      <w:r w:rsidR="00DD2390">
        <w:rPr>
          <w:rFonts w:asciiTheme="minorHAnsi" w:hAnsiTheme="minorHAnsi"/>
        </w:rPr>
        <w:t>MTX</w:t>
      </w:r>
      <w:r w:rsidRPr="00D92D9A">
        <w:rPr>
          <w:rFonts w:asciiTheme="minorHAnsi" w:hAnsiTheme="minorHAnsi"/>
        </w:rPr>
        <w:t>. Tocilizumab is also approved for polyarticular juvenile idiopathic arthritis and systemic juvenile idiopathic polyarthritis.</w:t>
      </w:r>
    </w:p>
    <w:p w:rsidR="00637490" w:rsidRPr="00A11AA6" w:rsidRDefault="00101060" w:rsidP="00572EFC">
      <w:r>
        <w:t xml:space="preserve">The submission is clinically supported by the original two </w:t>
      </w:r>
      <w:r w:rsidR="001470FB">
        <w:t>Phase III</w:t>
      </w:r>
      <w:r>
        <w:t xml:space="preserve"> studies over 24</w:t>
      </w:r>
      <w:r w:rsidR="00794CFB">
        <w:t xml:space="preserve"> to </w:t>
      </w:r>
      <w:r>
        <w:t>52</w:t>
      </w:r>
      <w:r w:rsidR="00794CFB">
        <w:t> </w:t>
      </w:r>
      <w:r>
        <w:t xml:space="preserve">weeks, along with </w:t>
      </w:r>
      <w:r w:rsidR="008E50DA">
        <w:t xml:space="preserve">some </w:t>
      </w:r>
      <w:r>
        <w:t xml:space="preserve">other studies, in adult patients who have had an inadequate response or </w:t>
      </w:r>
      <w:r w:rsidRPr="00A11AA6">
        <w:t>intolerance to one or more DMARDs, and a new monotherapy study comparing with adalimumab and a study su</w:t>
      </w:r>
      <w:r w:rsidR="00637490" w:rsidRPr="00A11AA6">
        <w:t>pporting the pen presentation.</w:t>
      </w:r>
    </w:p>
    <w:p w:rsidR="00AA6B20" w:rsidRPr="00A11AA6" w:rsidRDefault="008E50DA" w:rsidP="00572EFC">
      <w:r>
        <w:t xml:space="preserve">This is a re-submission to the TGA by the sponsor. </w:t>
      </w:r>
      <w:r w:rsidR="00101060" w:rsidRPr="00A11AA6">
        <w:t>The key differences between the original submission and this re-submission are further justification to support the 20</w:t>
      </w:r>
      <w:r w:rsidR="001470FB" w:rsidRPr="00A11AA6">
        <w:t>0 mg</w:t>
      </w:r>
      <w:r w:rsidR="00101060" w:rsidRPr="00A11AA6">
        <w:t xml:space="preserve"> fortnightly starting dose, a broadening of the indications to include monotherapy use in addition to the original indication of combination use with non-biological DMARDs and the registration of pen presentations for both strengths in addition to th</w:t>
      </w:r>
      <w:r>
        <w:t>e original pre-filled syringes.</w:t>
      </w:r>
    </w:p>
    <w:p w:rsidR="00101060" w:rsidRPr="006806CB" w:rsidRDefault="00101060" w:rsidP="00572EFC">
      <w:pPr>
        <w:rPr>
          <w:rFonts w:asciiTheme="minorHAnsi" w:hAnsiTheme="minorHAnsi"/>
        </w:rPr>
      </w:pPr>
      <w:r w:rsidRPr="00A11AA6">
        <w:rPr>
          <w:rFonts w:asciiTheme="minorHAnsi" w:hAnsiTheme="minorHAnsi"/>
        </w:rPr>
        <w:t xml:space="preserve">In the first application to register sarilumab, the sponsor requested </w:t>
      </w:r>
      <w:r w:rsidR="00622898" w:rsidRPr="00A11AA6">
        <w:rPr>
          <w:rFonts w:asciiTheme="minorHAnsi" w:hAnsiTheme="minorHAnsi"/>
        </w:rPr>
        <w:t xml:space="preserve">a </w:t>
      </w:r>
      <w:r w:rsidRPr="00A11AA6">
        <w:rPr>
          <w:rFonts w:asciiTheme="minorHAnsi" w:hAnsiTheme="minorHAnsi"/>
        </w:rPr>
        <w:t xml:space="preserve">dose </w:t>
      </w:r>
      <w:r w:rsidR="00622898" w:rsidRPr="00A11AA6">
        <w:rPr>
          <w:rFonts w:asciiTheme="minorHAnsi" w:hAnsiTheme="minorHAnsi"/>
        </w:rPr>
        <w:t>of</w:t>
      </w:r>
      <w:r w:rsidRPr="00A11AA6">
        <w:rPr>
          <w:rFonts w:asciiTheme="minorHAnsi" w:hAnsiTheme="minorHAnsi"/>
        </w:rPr>
        <w:t xml:space="preserve"> 20</w:t>
      </w:r>
      <w:r w:rsidR="001470FB" w:rsidRPr="00A11AA6">
        <w:rPr>
          <w:rFonts w:asciiTheme="minorHAnsi" w:hAnsiTheme="minorHAnsi"/>
        </w:rPr>
        <w:t>0 mg</w:t>
      </w:r>
      <w:r w:rsidRPr="00A11AA6">
        <w:rPr>
          <w:rFonts w:asciiTheme="minorHAnsi" w:hAnsiTheme="minorHAnsi"/>
        </w:rPr>
        <w:t xml:space="preserve"> fortnightly which could be decreased to 15</w:t>
      </w:r>
      <w:r w:rsidR="001470FB" w:rsidRPr="00A11AA6">
        <w:rPr>
          <w:rFonts w:asciiTheme="minorHAnsi" w:hAnsiTheme="minorHAnsi"/>
        </w:rPr>
        <w:t>0 mg</w:t>
      </w:r>
      <w:r w:rsidRPr="00A11AA6">
        <w:rPr>
          <w:rFonts w:asciiTheme="minorHAnsi" w:hAnsiTheme="minorHAnsi"/>
        </w:rPr>
        <w:t xml:space="preserve"> fortnightly for patients with neutro</w:t>
      </w:r>
      <w:r w:rsidR="001E2D44" w:rsidRPr="00A11AA6">
        <w:rPr>
          <w:rFonts w:asciiTheme="minorHAnsi" w:hAnsiTheme="minorHAnsi"/>
        </w:rPr>
        <w:t>paenia</w:t>
      </w:r>
      <w:r w:rsidRPr="00A11AA6">
        <w:rPr>
          <w:rFonts w:asciiTheme="minorHAnsi" w:hAnsiTheme="minorHAnsi"/>
        </w:rPr>
        <w:t>, thrombocyto</w:t>
      </w:r>
      <w:r w:rsidR="001E2D44" w:rsidRPr="00A11AA6">
        <w:rPr>
          <w:rFonts w:asciiTheme="minorHAnsi" w:hAnsiTheme="minorHAnsi"/>
        </w:rPr>
        <w:t>paenia</w:t>
      </w:r>
      <w:r w:rsidRPr="00A11AA6">
        <w:rPr>
          <w:rFonts w:asciiTheme="minorHAnsi" w:hAnsiTheme="minorHAnsi"/>
        </w:rPr>
        <w:t xml:space="preserve"> and elevated liver enzymes.</w:t>
      </w:r>
      <w:r w:rsidR="003E7288" w:rsidRPr="00A11AA6">
        <w:rPr>
          <w:rFonts w:asciiTheme="minorHAnsi" w:hAnsiTheme="minorHAnsi"/>
        </w:rPr>
        <w:t xml:space="preserve"> </w:t>
      </w:r>
      <w:r w:rsidRPr="00A11AA6">
        <w:rPr>
          <w:rFonts w:asciiTheme="minorHAnsi" w:hAnsiTheme="minorHAnsi"/>
        </w:rPr>
        <w:t>The clinical evaluator of that application supported 15</w:t>
      </w:r>
      <w:r w:rsidR="001470FB" w:rsidRPr="00A11AA6">
        <w:rPr>
          <w:rFonts w:asciiTheme="minorHAnsi" w:hAnsiTheme="minorHAnsi"/>
        </w:rPr>
        <w:t>0 mg</w:t>
      </w:r>
      <w:r w:rsidRPr="00A11AA6">
        <w:rPr>
          <w:rFonts w:asciiTheme="minorHAnsi" w:hAnsiTheme="minorHAnsi"/>
        </w:rPr>
        <w:t xml:space="preserve"> fortnightly and the </w:t>
      </w:r>
      <w:r w:rsidR="00637490" w:rsidRPr="00A11AA6">
        <w:rPr>
          <w:rFonts w:asciiTheme="minorHAnsi" w:hAnsiTheme="minorHAnsi"/>
        </w:rPr>
        <w:t>TGA’s advisory committee</w:t>
      </w:r>
      <w:r w:rsidRPr="00A11AA6">
        <w:rPr>
          <w:rFonts w:asciiTheme="minorHAnsi" w:hAnsiTheme="minorHAnsi"/>
        </w:rPr>
        <w:t xml:space="preserve"> considered sarilumab to </w:t>
      </w:r>
      <w:r w:rsidRPr="00A11AA6">
        <w:rPr>
          <w:rFonts w:asciiTheme="minorHAnsi" w:hAnsiTheme="minorHAnsi"/>
        </w:rPr>
        <w:lastRenderedPageBreak/>
        <w:t>have an overall positive benefit-risk profile for the combination use indication but that the recommended starting dose should be 15</w:t>
      </w:r>
      <w:r w:rsidR="001470FB" w:rsidRPr="00A11AA6">
        <w:rPr>
          <w:rFonts w:asciiTheme="minorHAnsi" w:hAnsiTheme="minorHAnsi"/>
        </w:rPr>
        <w:t>0 mg</w:t>
      </w:r>
      <w:r w:rsidRPr="00A11AA6">
        <w:rPr>
          <w:rFonts w:asciiTheme="minorHAnsi" w:hAnsiTheme="minorHAnsi"/>
        </w:rPr>
        <w:t xml:space="preserve"> fortnightly, which can be increased if there is an inadequate response and there are no significant safety issues. Following this, further discussions were held with the sponsor regarding the starting dose and advice was again sought from </w:t>
      </w:r>
      <w:r w:rsidR="003E7288" w:rsidRPr="00A11AA6">
        <w:rPr>
          <w:rFonts w:asciiTheme="minorHAnsi" w:hAnsiTheme="minorHAnsi"/>
        </w:rPr>
        <w:t xml:space="preserve">the TGA’s advisory committee </w:t>
      </w:r>
      <w:r w:rsidRPr="00A11AA6">
        <w:rPr>
          <w:rFonts w:asciiTheme="minorHAnsi" w:hAnsiTheme="minorHAnsi"/>
        </w:rPr>
        <w:t>who confirmed a starting dose of 15</w:t>
      </w:r>
      <w:r w:rsidR="001470FB" w:rsidRPr="00A11AA6">
        <w:rPr>
          <w:rFonts w:asciiTheme="minorHAnsi" w:hAnsiTheme="minorHAnsi"/>
        </w:rPr>
        <w:t>0 mg</w:t>
      </w:r>
      <w:r w:rsidRPr="00A11AA6">
        <w:rPr>
          <w:rFonts w:asciiTheme="minorHAnsi" w:hAnsiTheme="minorHAnsi"/>
        </w:rPr>
        <w:t xml:space="preserve"> with an option to increase the dose to 20</w:t>
      </w:r>
      <w:r w:rsidR="001470FB" w:rsidRPr="00A11AA6">
        <w:rPr>
          <w:rFonts w:asciiTheme="minorHAnsi" w:hAnsiTheme="minorHAnsi"/>
        </w:rPr>
        <w:t>0 mg</w:t>
      </w:r>
      <w:r w:rsidRPr="00A11AA6">
        <w:rPr>
          <w:rFonts w:asciiTheme="minorHAnsi" w:hAnsiTheme="minorHAnsi"/>
        </w:rPr>
        <w:t xml:space="preserve"> if clinically appropriate.</w:t>
      </w:r>
      <w:r w:rsidR="003E7288" w:rsidRPr="00A11AA6">
        <w:rPr>
          <w:rFonts w:asciiTheme="minorHAnsi" w:hAnsiTheme="minorHAnsi"/>
        </w:rPr>
        <w:t xml:space="preserve"> </w:t>
      </w:r>
      <w:r w:rsidRPr="00A11AA6">
        <w:rPr>
          <w:rFonts w:asciiTheme="minorHAnsi" w:hAnsiTheme="minorHAnsi"/>
        </w:rPr>
        <w:t>During negotiations with the sponsor to approve sarilumab with a starting dose of 15</w:t>
      </w:r>
      <w:r w:rsidR="001470FB" w:rsidRPr="00A11AA6">
        <w:rPr>
          <w:rFonts w:asciiTheme="minorHAnsi" w:hAnsiTheme="minorHAnsi"/>
        </w:rPr>
        <w:t>0 mg</w:t>
      </w:r>
      <w:r w:rsidRPr="00A11AA6">
        <w:rPr>
          <w:rFonts w:asciiTheme="minorHAnsi" w:hAnsiTheme="minorHAnsi"/>
        </w:rPr>
        <w:t>, the sponsor withdrew the application.</w:t>
      </w:r>
      <w:r w:rsidR="003E7288" w:rsidRPr="00A11AA6">
        <w:rPr>
          <w:rFonts w:asciiTheme="minorHAnsi" w:hAnsiTheme="minorHAnsi"/>
        </w:rPr>
        <w:t xml:space="preserve"> </w:t>
      </w:r>
      <w:r w:rsidRPr="00A11AA6">
        <w:t xml:space="preserve">The sponsor states that the </w:t>
      </w:r>
      <w:r w:rsidR="001470FB" w:rsidRPr="00A11AA6">
        <w:rPr>
          <w:i/>
        </w:rPr>
        <w:t>‘</w:t>
      </w:r>
      <w:r w:rsidRPr="00A11AA6">
        <w:rPr>
          <w:i/>
        </w:rPr>
        <w:t>[re-submission] package addresses a number of issues raised by the Delegate in relation to the overall benefit-risk assessment to justify 200</w:t>
      </w:r>
      <w:r w:rsidR="00794CFB">
        <w:rPr>
          <w:i/>
        </w:rPr>
        <w:t> </w:t>
      </w:r>
      <w:r w:rsidRPr="00A11AA6">
        <w:rPr>
          <w:i/>
        </w:rPr>
        <w:t>mg starting dose to ensure that there is a single dosing recommendation implemented globally</w:t>
      </w:r>
      <w:r w:rsidR="001470FB" w:rsidRPr="00A11AA6">
        <w:rPr>
          <w:i/>
        </w:rPr>
        <w:t>’</w:t>
      </w:r>
      <w:r w:rsidR="00A11AA6" w:rsidRPr="00A11AA6">
        <w:rPr>
          <w:i/>
        </w:rPr>
        <w:t>.</w:t>
      </w:r>
    </w:p>
    <w:p w:rsidR="00572EFC" w:rsidRPr="00572EFC" w:rsidRDefault="00572EFC" w:rsidP="00572EFC">
      <w:pPr>
        <w:adjustRightInd w:val="0"/>
        <w:snapToGrid w:val="0"/>
        <w:spacing w:before="0" w:after="0" w:line="240" w:lineRule="auto"/>
        <w:jc w:val="both"/>
        <w:rPr>
          <w:rFonts w:asciiTheme="minorHAnsi" w:hAnsiTheme="minorHAnsi"/>
        </w:rPr>
      </w:pPr>
      <w:r w:rsidRPr="00572EFC">
        <w:rPr>
          <w:rFonts w:asciiTheme="minorHAnsi" w:hAnsiTheme="minorHAnsi"/>
        </w:rPr>
        <w:t xml:space="preserve">There is one specific </w:t>
      </w:r>
      <w:r w:rsidR="003E7288">
        <w:rPr>
          <w:rFonts w:asciiTheme="minorHAnsi" w:hAnsiTheme="minorHAnsi"/>
        </w:rPr>
        <w:t>European Union (</w:t>
      </w:r>
      <w:r w:rsidRPr="00572EFC">
        <w:rPr>
          <w:rFonts w:asciiTheme="minorHAnsi" w:hAnsiTheme="minorHAnsi"/>
        </w:rPr>
        <w:t>EU</w:t>
      </w:r>
      <w:r w:rsidR="003E7288">
        <w:rPr>
          <w:rFonts w:asciiTheme="minorHAnsi" w:hAnsiTheme="minorHAnsi"/>
        </w:rPr>
        <w:t>)</w:t>
      </w:r>
      <w:r w:rsidRPr="00572EFC">
        <w:rPr>
          <w:rFonts w:asciiTheme="minorHAnsi" w:hAnsiTheme="minorHAnsi"/>
        </w:rPr>
        <w:t xml:space="preserve"> guideline adopted by the TGA relevant to this submission, besides the general guidelines:</w:t>
      </w:r>
    </w:p>
    <w:p w:rsidR="00572EFC" w:rsidRPr="00957F15" w:rsidRDefault="00572EFC" w:rsidP="00572EFC">
      <w:pPr>
        <w:pStyle w:val="ListBullet"/>
        <w:rPr>
          <w:lang w:val="en-US"/>
        </w:rPr>
      </w:pPr>
      <w:r>
        <w:rPr>
          <w:lang w:val="en-US"/>
        </w:rPr>
        <w:t xml:space="preserve">CPMP/EWP/556/95 Rev 1: </w:t>
      </w:r>
      <w:r w:rsidRPr="00957F15">
        <w:rPr>
          <w:lang w:val="en-US"/>
        </w:rPr>
        <w:t>Points to Consider on Clinical Investigation of Medicinal Products other than NSAIDS for Treatment of Rheumatoid Arthritis</w:t>
      </w:r>
      <w:r>
        <w:rPr>
          <w:lang w:val="en-US"/>
        </w:rPr>
        <w:t xml:space="preserve">. </w:t>
      </w:r>
      <w:r w:rsidRPr="00957F15">
        <w:rPr>
          <w:lang w:val="en-US"/>
        </w:rPr>
        <w:t>Effective:</w:t>
      </w:r>
      <w:r w:rsidR="00794CFB">
        <w:rPr>
          <w:lang w:val="en-US"/>
        </w:rPr>
        <w:t> </w:t>
      </w:r>
      <w:r w:rsidRPr="00957F15">
        <w:rPr>
          <w:lang w:val="en-US"/>
        </w:rPr>
        <w:t>29</w:t>
      </w:r>
      <w:r w:rsidR="00794CFB">
        <w:rPr>
          <w:lang w:val="en-US"/>
        </w:rPr>
        <w:t> </w:t>
      </w:r>
      <w:r w:rsidRPr="00957F15">
        <w:rPr>
          <w:lang w:val="en-US"/>
        </w:rPr>
        <w:t>January 2007</w:t>
      </w:r>
    </w:p>
    <w:p w:rsidR="008E7846" w:rsidRPr="003F31A2" w:rsidRDefault="00386150" w:rsidP="00101060">
      <w:pPr>
        <w:pStyle w:val="Heading4"/>
      </w:pPr>
      <w:r>
        <w:t>Regulatory s</w:t>
      </w:r>
      <w:r w:rsidR="008E7846">
        <w:t>tatus</w:t>
      </w:r>
      <w:bookmarkEnd w:id="16"/>
      <w:bookmarkEnd w:id="17"/>
    </w:p>
    <w:p w:rsidR="00101060" w:rsidRPr="00FA5EB1" w:rsidRDefault="00940A89" w:rsidP="00572EFC">
      <w:bookmarkStart w:id="18" w:name="_Toc247691505"/>
      <w:bookmarkStart w:id="19" w:name="_Toc314842486"/>
      <w:r w:rsidRPr="00940A89">
        <w:t>Th</w:t>
      </w:r>
      <w:r w:rsidR="00E27AAF">
        <w:t>is is an application to register a n</w:t>
      </w:r>
      <w:r w:rsidRPr="00940A89">
        <w:t>e</w:t>
      </w:r>
      <w:r w:rsidR="00E27AAF">
        <w:t xml:space="preserve">w chemical entity in Australia. </w:t>
      </w:r>
      <w:r w:rsidRPr="00940A89">
        <w:t>At the time the TGA considered this application, similar application</w:t>
      </w:r>
      <w:r w:rsidR="00B21308">
        <w:t>s</w:t>
      </w:r>
      <w:r w:rsidRPr="00940A89">
        <w:t xml:space="preserve"> had been approved </w:t>
      </w:r>
      <w:r w:rsidR="00E27AAF">
        <w:t>in the EU, USA and Canada.</w:t>
      </w:r>
      <w:r w:rsidR="008948C4">
        <w:t xml:space="preserve"> </w:t>
      </w:r>
      <w:r w:rsidR="00101060">
        <w:t xml:space="preserve">The approved indications </w:t>
      </w:r>
      <w:r w:rsidR="008948C4">
        <w:t xml:space="preserve">in these countries </w:t>
      </w:r>
      <w:r w:rsidR="00101060">
        <w:t xml:space="preserve">which support combination use with </w:t>
      </w:r>
      <w:r w:rsidR="00DD2390">
        <w:t>MTX</w:t>
      </w:r>
      <w:r w:rsidR="00101060">
        <w:t xml:space="preserve"> or traditional DMARDs and as monotherapy at a dose of 20</w:t>
      </w:r>
      <w:r w:rsidR="001470FB">
        <w:t>0 mg</w:t>
      </w:r>
      <w:r w:rsidR="00101060">
        <w:t xml:space="preserve"> fortnightly reducing to 15</w:t>
      </w:r>
      <w:r w:rsidR="001470FB">
        <w:t>0 mg</w:t>
      </w:r>
      <w:r w:rsidR="00101060">
        <w:t xml:space="preserve"> fortnightly </w:t>
      </w:r>
      <w:r w:rsidR="00101060" w:rsidRPr="00FA5EB1">
        <w:t>for the management of neutro</w:t>
      </w:r>
      <w:r w:rsidR="001E2D44">
        <w:t>paenia</w:t>
      </w:r>
      <w:r w:rsidR="00101060" w:rsidRPr="00FA5EB1">
        <w:t>, thrombocyto</w:t>
      </w:r>
      <w:r w:rsidR="001E2D44">
        <w:t>paenia</w:t>
      </w:r>
      <w:r w:rsidR="00101060" w:rsidRPr="00FA5EB1">
        <w:t xml:space="preserve"> and elevated liver enzymes</w:t>
      </w:r>
      <w:r w:rsidR="00B21308" w:rsidRPr="00B21308">
        <w:t xml:space="preserve"> </w:t>
      </w:r>
      <w:r w:rsidR="00B21308">
        <w:t>are shown in Table 1</w:t>
      </w:r>
      <w:r w:rsidR="00101060" w:rsidRPr="00FA5EB1">
        <w:t>.</w:t>
      </w:r>
      <w:r w:rsidR="003E7288">
        <w:rPr>
          <w:lang w:val="en-US"/>
        </w:rPr>
        <w:t xml:space="preserve"> </w:t>
      </w:r>
      <w:r w:rsidR="00101060">
        <w:rPr>
          <w:lang w:val="en-US"/>
        </w:rPr>
        <w:t>The pen is approved in Europe.</w:t>
      </w:r>
    </w:p>
    <w:p w:rsidR="00101060" w:rsidRPr="00FA5EB1" w:rsidRDefault="00572EFC" w:rsidP="00572EFC">
      <w:pPr>
        <w:pStyle w:val="TableTitle"/>
        <w:rPr>
          <w:rFonts w:asciiTheme="minorHAnsi" w:hAnsiTheme="minorHAnsi"/>
          <w:b w:val="0"/>
        </w:rPr>
      </w:pPr>
      <w:r>
        <w:t xml:space="preserve">Table 1: International </w:t>
      </w:r>
      <w:r w:rsidR="00794CFB">
        <w:t>regulatory status</w:t>
      </w:r>
    </w:p>
    <w:tbl>
      <w:tblPr>
        <w:tblStyle w:val="TableTGAblue"/>
        <w:tblW w:w="8591" w:type="dxa"/>
        <w:tblLook w:val="04A0" w:firstRow="1" w:lastRow="0" w:firstColumn="1" w:lastColumn="0" w:noHBand="0" w:noVBand="1"/>
      </w:tblPr>
      <w:tblGrid>
        <w:gridCol w:w="1693"/>
        <w:gridCol w:w="3399"/>
        <w:gridCol w:w="3499"/>
      </w:tblGrid>
      <w:tr w:rsidR="00101060" w:rsidRPr="00823DF8" w:rsidTr="00DB5136">
        <w:trPr>
          <w:cnfStyle w:val="100000000000" w:firstRow="1" w:lastRow="0" w:firstColumn="0" w:lastColumn="0" w:oddVBand="0" w:evenVBand="0" w:oddHBand="0" w:evenHBand="0" w:firstRowFirstColumn="0" w:firstRowLastColumn="0" w:lastRowFirstColumn="0" w:lastRowLastColumn="0"/>
          <w:trHeight w:val="137"/>
        </w:trPr>
        <w:tc>
          <w:tcPr>
            <w:tcW w:w="1693" w:type="dxa"/>
          </w:tcPr>
          <w:p w:rsidR="00101060" w:rsidRPr="00572EFC" w:rsidRDefault="00572EFC" w:rsidP="00572EFC">
            <w:pPr>
              <w:rPr>
                <w:sz w:val="20"/>
                <w:szCs w:val="20"/>
              </w:rPr>
            </w:pPr>
            <w:r w:rsidRPr="00572EFC">
              <w:rPr>
                <w:sz w:val="20"/>
                <w:szCs w:val="20"/>
              </w:rPr>
              <w:t>Country</w:t>
            </w:r>
          </w:p>
          <w:p w:rsidR="00572EFC" w:rsidRPr="00572EFC" w:rsidRDefault="00572EFC" w:rsidP="00572EFC">
            <w:pPr>
              <w:rPr>
                <w:b w:val="0"/>
                <w:sz w:val="20"/>
                <w:szCs w:val="20"/>
              </w:rPr>
            </w:pPr>
            <w:r w:rsidRPr="00572EFC">
              <w:rPr>
                <w:sz w:val="20"/>
                <w:szCs w:val="20"/>
              </w:rPr>
              <w:t>Approval date</w:t>
            </w:r>
          </w:p>
        </w:tc>
        <w:tc>
          <w:tcPr>
            <w:tcW w:w="3399" w:type="dxa"/>
          </w:tcPr>
          <w:p w:rsidR="00101060" w:rsidRPr="00572EFC" w:rsidRDefault="00101060" w:rsidP="00572EFC">
            <w:pPr>
              <w:rPr>
                <w:b w:val="0"/>
                <w:sz w:val="20"/>
                <w:szCs w:val="20"/>
              </w:rPr>
            </w:pPr>
            <w:r w:rsidRPr="00572EFC">
              <w:rPr>
                <w:sz w:val="20"/>
                <w:szCs w:val="20"/>
              </w:rPr>
              <w:t xml:space="preserve">Indication </w:t>
            </w:r>
          </w:p>
        </w:tc>
        <w:tc>
          <w:tcPr>
            <w:tcW w:w="3499" w:type="dxa"/>
          </w:tcPr>
          <w:p w:rsidR="00101060" w:rsidRPr="00572EFC" w:rsidRDefault="00101060" w:rsidP="00572EFC">
            <w:pPr>
              <w:rPr>
                <w:b w:val="0"/>
                <w:sz w:val="20"/>
                <w:szCs w:val="20"/>
              </w:rPr>
            </w:pPr>
            <w:r w:rsidRPr="00572EFC">
              <w:rPr>
                <w:sz w:val="20"/>
                <w:szCs w:val="20"/>
              </w:rPr>
              <w:t xml:space="preserve">Recommended Dose </w:t>
            </w:r>
          </w:p>
        </w:tc>
      </w:tr>
      <w:tr w:rsidR="00101060" w:rsidRPr="00823DF8" w:rsidTr="00DB5136">
        <w:trPr>
          <w:trHeight w:val="137"/>
        </w:trPr>
        <w:tc>
          <w:tcPr>
            <w:tcW w:w="1693" w:type="dxa"/>
          </w:tcPr>
          <w:p w:rsidR="00101060" w:rsidRPr="00572EFC" w:rsidRDefault="00101060" w:rsidP="00572EFC">
            <w:pPr>
              <w:rPr>
                <w:sz w:val="20"/>
                <w:szCs w:val="20"/>
              </w:rPr>
            </w:pPr>
            <w:r w:rsidRPr="00572EFC">
              <w:rPr>
                <w:sz w:val="20"/>
                <w:szCs w:val="20"/>
              </w:rPr>
              <w:t>USA</w:t>
            </w:r>
          </w:p>
          <w:p w:rsidR="00572EFC" w:rsidRPr="00572EFC" w:rsidRDefault="00572EFC" w:rsidP="00572EFC">
            <w:pPr>
              <w:rPr>
                <w:sz w:val="20"/>
                <w:szCs w:val="20"/>
              </w:rPr>
            </w:pPr>
            <w:r w:rsidRPr="00572EFC">
              <w:rPr>
                <w:sz w:val="20"/>
                <w:szCs w:val="20"/>
              </w:rPr>
              <w:t>22 May 2017</w:t>
            </w:r>
          </w:p>
        </w:tc>
        <w:tc>
          <w:tcPr>
            <w:tcW w:w="3399" w:type="dxa"/>
          </w:tcPr>
          <w:p w:rsidR="00101060" w:rsidRPr="00572EFC" w:rsidRDefault="001470FB" w:rsidP="00572EFC">
            <w:pPr>
              <w:rPr>
                <w:rFonts w:eastAsiaTheme="minorHAnsi"/>
                <w:sz w:val="20"/>
                <w:szCs w:val="20"/>
              </w:rPr>
            </w:pPr>
            <w:r>
              <w:rPr>
                <w:rFonts w:eastAsiaTheme="minorHAnsi"/>
                <w:sz w:val="20"/>
                <w:szCs w:val="20"/>
              </w:rPr>
              <w:t>Kevzara</w:t>
            </w:r>
            <w:r w:rsidR="00101060" w:rsidRPr="00572EFC">
              <w:rPr>
                <w:rFonts w:eastAsiaTheme="minorHAnsi"/>
                <w:sz w:val="20"/>
                <w:szCs w:val="20"/>
              </w:rPr>
              <w:t xml:space="preserve"> is an interleukin-6 (IL-6) receptor antagonist indicated for treatment of adult patients with moderately to severely active rheumatoid arthritis who have had an inadequate response or intolerance to one or more disease-modifying anti</w:t>
            </w:r>
            <w:r w:rsidR="00F549B4">
              <w:rPr>
                <w:rFonts w:eastAsiaTheme="minorHAnsi"/>
                <w:sz w:val="20"/>
                <w:szCs w:val="20"/>
              </w:rPr>
              <w:t>-</w:t>
            </w:r>
            <w:r w:rsidR="00101060" w:rsidRPr="00572EFC">
              <w:rPr>
                <w:rFonts w:eastAsiaTheme="minorHAnsi"/>
                <w:sz w:val="20"/>
                <w:szCs w:val="20"/>
              </w:rPr>
              <w:t>rheumatic drugs (DMARDs).</w:t>
            </w:r>
          </w:p>
        </w:tc>
        <w:tc>
          <w:tcPr>
            <w:tcW w:w="3499" w:type="dxa"/>
          </w:tcPr>
          <w:p w:rsidR="00101060" w:rsidRPr="00572EFC" w:rsidRDefault="00101060" w:rsidP="00572EFC">
            <w:pPr>
              <w:rPr>
                <w:rFonts w:eastAsiaTheme="minorHAnsi"/>
                <w:sz w:val="20"/>
                <w:szCs w:val="20"/>
              </w:rPr>
            </w:pPr>
            <w:r w:rsidRPr="00572EFC">
              <w:rPr>
                <w:rFonts w:eastAsiaTheme="minorHAnsi"/>
                <w:sz w:val="20"/>
                <w:szCs w:val="20"/>
              </w:rPr>
              <w:t>Monotherapy or in combination with MTX; 200 mg SC once every 2 weeks. Reduction to 150 mg SC once every 2 weeks for management of neutro</w:t>
            </w:r>
            <w:r w:rsidR="001E2D44">
              <w:rPr>
                <w:rFonts w:eastAsiaTheme="minorHAnsi"/>
                <w:sz w:val="20"/>
                <w:szCs w:val="20"/>
              </w:rPr>
              <w:t>paenia</w:t>
            </w:r>
            <w:r w:rsidRPr="00572EFC">
              <w:rPr>
                <w:rFonts w:eastAsiaTheme="minorHAnsi"/>
                <w:sz w:val="20"/>
                <w:szCs w:val="20"/>
              </w:rPr>
              <w:t>, thrombocyto</w:t>
            </w:r>
            <w:r w:rsidR="001E2D44">
              <w:rPr>
                <w:rFonts w:eastAsiaTheme="minorHAnsi"/>
                <w:sz w:val="20"/>
                <w:szCs w:val="20"/>
              </w:rPr>
              <w:t>paenia</w:t>
            </w:r>
            <w:r w:rsidRPr="00572EFC">
              <w:rPr>
                <w:rFonts w:eastAsiaTheme="minorHAnsi"/>
                <w:sz w:val="20"/>
                <w:szCs w:val="20"/>
              </w:rPr>
              <w:t>, and liver enzyme elevation.</w:t>
            </w:r>
          </w:p>
        </w:tc>
      </w:tr>
      <w:tr w:rsidR="00101060" w:rsidRPr="00823DF8" w:rsidTr="00DB5136">
        <w:trPr>
          <w:trHeight w:val="137"/>
        </w:trPr>
        <w:tc>
          <w:tcPr>
            <w:tcW w:w="1693" w:type="dxa"/>
          </w:tcPr>
          <w:p w:rsidR="00AA6B20" w:rsidRDefault="00101060" w:rsidP="00572EFC">
            <w:pPr>
              <w:rPr>
                <w:sz w:val="20"/>
                <w:szCs w:val="20"/>
              </w:rPr>
            </w:pPr>
            <w:r w:rsidRPr="00572EFC">
              <w:rPr>
                <w:sz w:val="20"/>
                <w:szCs w:val="20"/>
              </w:rPr>
              <w:t>Canada</w:t>
            </w:r>
          </w:p>
          <w:p w:rsidR="00572EFC" w:rsidRPr="00572EFC" w:rsidRDefault="00572EFC" w:rsidP="00572EFC">
            <w:pPr>
              <w:rPr>
                <w:sz w:val="20"/>
                <w:szCs w:val="20"/>
              </w:rPr>
            </w:pPr>
            <w:r w:rsidRPr="00572EFC">
              <w:rPr>
                <w:sz w:val="20"/>
                <w:szCs w:val="20"/>
              </w:rPr>
              <w:t>12 January 2017</w:t>
            </w:r>
          </w:p>
        </w:tc>
        <w:tc>
          <w:tcPr>
            <w:tcW w:w="3399" w:type="dxa"/>
          </w:tcPr>
          <w:p w:rsidR="00101060" w:rsidRPr="00572EFC" w:rsidRDefault="001470FB" w:rsidP="00572EFC">
            <w:pPr>
              <w:rPr>
                <w:rFonts w:eastAsiaTheme="minorHAnsi"/>
                <w:sz w:val="20"/>
                <w:szCs w:val="20"/>
              </w:rPr>
            </w:pPr>
            <w:r>
              <w:rPr>
                <w:rFonts w:eastAsiaTheme="minorHAnsi"/>
                <w:sz w:val="20"/>
                <w:szCs w:val="20"/>
              </w:rPr>
              <w:t>Kevzara</w:t>
            </w:r>
            <w:r w:rsidR="00101060" w:rsidRPr="00572EFC">
              <w:rPr>
                <w:rFonts w:eastAsiaTheme="minorHAnsi"/>
                <w:sz w:val="20"/>
                <w:szCs w:val="20"/>
              </w:rPr>
              <w:t xml:space="preserve"> (sarilumab) is indicated in the treatment of adult patients with moderately to severely active rheumatoid arthritis (RA) who have had an inadequate response or intolerance to one or more biologic or non-biologic Disease-Modifying Anti-Rheumatic Drugs (DMARDs)</w:t>
            </w:r>
            <w:r w:rsidR="00DB5136">
              <w:rPr>
                <w:rFonts w:eastAsiaTheme="minorHAnsi"/>
                <w:sz w:val="20"/>
                <w:szCs w:val="20"/>
              </w:rPr>
              <w:t>.</w:t>
            </w:r>
          </w:p>
        </w:tc>
        <w:tc>
          <w:tcPr>
            <w:tcW w:w="3499" w:type="dxa"/>
          </w:tcPr>
          <w:p w:rsidR="00101060" w:rsidRPr="00572EFC" w:rsidRDefault="00101060" w:rsidP="00572EFC">
            <w:pPr>
              <w:rPr>
                <w:rFonts w:eastAsiaTheme="minorHAnsi"/>
                <w:sz w:val="20"/>
                <w:szCs w:val="20"/>
              </w:rPr>
            </w:pPr>
            <w:r w:rsidRPr="00572EFC">
              <w:rPr>
                <w:rFonts w:eastAsiaTheme="minorHAnsi"/>
                <w:sz w:val="20"/>
                <w:szCs w:val="20"/>
              </w:rPr>
              <w:t>In combination with MTX or other traditional DMARDs. Monotherapy in cases of intolerance or contraindications to MTX or DMARDs; 200 mg SC once every 2 weeks; reduction to 150 mg SC once every 2 weeks for management of neutro</w:t>
            </w:r>
            <w:r w:rsidR="001E2D44">
              <w:rPr>
                <w:rFonts w:eastAsiaTheme="minorHAnsi"/>
                <w:sz w:val="20"/>
                <w:szCs w:val="20"/>
              </w:rPr>
              <w:t>paenia</w:t>
            </w:r>
            <w:r w:rsidRPr="00572EFC">
              <w:rPr>
                <w:rFonts w:eastAsiaTheme="minorHAnsi"/>
                <w:sz w:val="20"/>
                <w:szCs w:val="20"/>
              </w:rPr>
              <w:t>, thrombocyto</w:t>
            </w:r>
            <w:r w:rsidR="001E2D44">
              <w:rPr>
                <w:rFonts w:eastAsiaTheme="minorHAnsi"/>
                <w:sz w:val="20"/>
                <w:szCs w:val="20"/>
              </w:rPr>
              <w:t>paenia</w:t>
            </w:r>
            <w:r w:rsidRPr="00572EFC">
              <w:rPr>
                <w:rFonts w:eastAsiaTheme="minorHAnsi"/>
                <w:sz w:val="20"/>
                <w:szCs w:val="20"/>
              </w:rPr>
              <w:t>, and liver enzyme elevation.</w:t>
            </w:r>
          </w:p>
        </w:tc>
      </w:tr>
      <w:tr w:rsidR="00101060" w:rsidRPr="00823DF8" w:rsidTr="00DB5136">
        <w:trPr>
          <w:cantSplit/>
          <w:trHeight w:val="2973"/>
        </w:trPr>
        <w:tc>
          <w:tcPr>
            <w:tcW w:w="1693" w:type="dxa"/>
          </w:tcPr>
          <w:p w:rsidR="00101060" w:rsidRPr="00572EFC" w:rsidRDefault="00101060" w:rsidP="00572EFC">
            <w:pPr>
              <w:rPr>
                <w:sz w:val="20"/>
                <w:szCs w:val="20"/>
              </w:rPr>
            </w:pPr>
            <w:r w:rsidRPr="00572EFC">
              <w:rPr>
                <w:sz w:val="20"/>
                <w:szCs w:val="20"/>
              </w:rPr>
              <w:lastRenderedPageBreak/>
              <w:t>EU</w:t>
            </w:r>
          </w:p>
          <w:p w:rsidR="00572EFC" w:rsidRPr="00572EFC" w:rsidRDefault="00572EFC" w:rsidP="00572EFC">
            <w:pPr>
              <w:rPr>
                <w:sz w:val="20"/>
                <w:szCs w:val="20"/>
              </w:rPr>
            </w:pPr>
            <w:r w:rsidRPr="00572EFC">
              <w:rPr>
                <w:sz w:val="20"/>
                <w:szCs w:val="20"/>
              </w:rPr>
              <w:t>23 June 2017</w:t>
            </w:r>
          </w:p>
        </w:tc>
        <w:tc>
          <w:tcPr>
            <w:tcW w:w="3399" w:type="dxa"/>
          </w:tcPr>
          <w:p w:rsidR="00101060" w:rsidRPr="00572EFC" w:rsidRDefault="00101060" w:rsidP="00572EFC">
            <w:pPr>
              <w:rPr>
                <w:rFonts w:eastAsiaTheme="minorHAnsi"/>
                <w:sz w:val="20"/>
                <w:szCs w:val="20"/>
              </w:rPr>
            </w:pPr>
            <w:r w:rsidRPr="00572EFC">
              <w:rPr>
                <w:rFonts w:eastAsiaTheme="minorHAnsi"/>
                <w:sz w:val="20"/>
                <w:szCs w:val="20"/>
              </w:rPr>
              <w:t xml:space="preserve">Kevzara in combination with </w:t>
            </w:r>
            <w:r w:rsidR="00DD2390">
              <w:rPr>
                <w:rFonts w:eastAsiaTheme="minorHAnsi"/>
                <w:sz w:val="20"/>
                <w:szCs w:val="20"/>
              </w:rPr>
              <w:t>MTX</w:t>
            </w:r>
            <w:r w:rsidRPr="00572EFC">
              <w:rPr>
                <w:rFonts w:eastAsiaTheme="minorHAnsi"/>
                <w:sz w:val="20"/>
                <w:szCs w:val="20"/>
              </w:rPr>
              <w:t xml:space="preserve"> (MTX) is indicated for the treatment of moderately to severely active rheumatoid arthritis (RA) in adult patients who have responded inadequately to, or who are intolerant to one or more disease modifying anti rheumatic drugs (DMARDs). Kevzara can be given as monotherapy in case of intolerance to MTX or when treatment with MTX is inappropriate</w:t>
            </w:r>
            <w:r w:rsidR="00DB5136">
              <w:rPr>
                <w:rFonts w:eastAsiaTheme="minorHAnsi"/>
                <w:sz w:val="20"/>
                <w:szCs w:val="20"/>
              </w:rPr>
              <w:t>.</w:t>
            </w:r>
          </w:p>
        </w:tc>
        <w:tc>
          <w:tcPr>
            <w:tcW w:w="3499" w:type="dxa"/>
          </w:tcPr>
          <w:p w:rsidR="00101060" w:rsidRPr="00572EFC" w:rsidRDefault="00101060" w:rsidP="00572EFC">
            <w:pPr>
              <w:rPr>
                <w:rFonts w:eastAsiaTheme="minorHAnsi"/>
                <w:sz w:val="20"/>
                <w:szCs w:val="20"/>
              </w:rPr>
            </w:pPr>
            <w:r w:rsidRPr="00572EFC">
              <w:rPr>
                <w:rFonts w:eastAsiaTheme="minorHAnsi"/>
                <w:sz w:val="20"/>
                <w:szCs w:val="20"/>
              </w:rPr>
              <w:t>200 mg SC once every 2 weeks; reduction to 150 mg SC once every 2 weeks for management of neutro</w:t>
            </w:r>
            <w:r w:rsidR="001E2D44">
              <w:rPr>
                <w:rFonts w:eastAsiaTheme="minorHAnsi"/>
                <w:sz w:val="20"/>
                <w:szCs w:val="20"/>
              </w:rPr>
              <w:t>paenia</w:t>
            </w:r>
            <w:r w:rsidRPr="00572EFC">
              <w:rPr>
                <w:rFonts w:eastAsiaTheme="minorHAnsi"/>
                <w:sz w:val="20"/>
                <w:szCs w:val="20"/>
              </w:rPr>
              <w:t>, thrombocyto</w:t>
            </w:r>
            <w:r w:rsidR="001E2D44">
              <w:rPr>
                <w:rFonts w:eastAsiaTheme="minorHAnsi"/>
                <w:sz w:val="20"/>
                <w:szCs w:val="20"/>
              </w:rPr>
              <w:t>paenia</w:t>
            </w:r>
            <w:r w:rsidRPr="00572EFC">
              <w:rPr>
                <w:rFonts w:eastAsiaTheme="minorHAnsi"/>
                <w:sz w:val="20"/>
                <w:szCs w:val="20"/>
              </w:rPr>
              <w:t>, and liver enzyme elevation.</w:t>
            </w:r>
          </w:p>
        </w:tc>
      </w:tr>
    </w:tbl>
    <w:p w:rsidR="008E7846" w:rsidRDefault="008E7846" w:rsidP="00940A89">
      <w:pPr>
        <w:pStyle w:val="Heading3"/>
      </w:pPr>
      <w:bookmarkStart w:id="20" w:name="_Toc12272136"/>
      <w:r>
        <w:t>Product Information</w:t>
      </w:r>
      <w:bookmarkEnd w:id="18"/>
      <w:bookmarkEnd w:id="19"/>
      <w:bookmarkEnd w:id="20"/>
    </w:p>
    <w:p w:rsidR="00940A89" w:rsidRDefault="006136D7" w:rsidP="00940A89">
      <w:bookmarkStart w:id="21" w:name="_Toc247691506"/>
      <w:bookmarkStart w:id="22" w:name="_Toc314842487"/>
      <w:r w:rsidRPr="00940A89">
        <w:t xml:space="preserve">The Product Information (PI) </w:t>
      </w:r>
      <w:r>
        <w:t xml:space="preserve">approved with the submission which is described in </w:t>
      </w:r>
      <w:r w:rsidRPr="00940A89">
        <w:t xml:space="preserve">this AusPAR can be found as Attachment 1. For the most recent </w:t>
      </w:r>
      <w:r>
        <w:t>PI,</w:t>
      </w:r>
      <w:r w:rsidRPr="00940A89">
        <w:t xml:space="preserve"> ple</w:t>
      </w:r>
      <w:r>
        <w:t>ase refer to the TGA website</w:t>
      </w:r>
      <w:r w:rsidRPr="00441C3F">
        <w:t xml:space="preserve"> at </w:t>
      </w:r>
      <w:r w:rsidR="00441C3F" w:rsidRPr="00441C3F">
        <w:t>&lt;</w:t>
      </w:r>
      <w:hyperlink r:id="rId14" w:history="1">
        <w:r w:rsidR="00441C3F" w:rsidRPr="00441C3F">
          <w:rPr>
            <w:rStyle w:val="Hyperlink"/>
          </w:rPr>
          <w:t>https://www.tga.gov.au/product-information-pi</w:t>
        </w:r>
      </w:hyperlink>
      <w:proofErr w:type="gramStart"/>
      <w:r w:rsidR="00DD5BCE">
        <w:t xml:space="preserve">&gt; </w:t>
      </w:r>
      <w:r w:rsidR="00940A89" w:rsidRPr="00940A89">
        <w:t>.</w:t>
      </w:r>
      <w:proofErr w:type="gramEnd"/>
    </w:p>
    <w:p w:rsidR="00500337" w:rsidRDefault="00500337" w:rsidP="00500337">
      <w:pPr>
        <w:pStyle w:val="Heading2"/>
      </w:pPr>
      <w:bookmarkStart w:id="23" w:name="_Toc504480011"/>
      <w:bookmarkStart w:id="24" w:name="_Toc12272137"/>
      <w:r>
        <w:t>II. Registration time line</w:t>
      </w:r>
      <w:bookmarkEnd w:id="23"/>
      <w:bookmarkEnd w:id="24"/>
    </w:p>
    <w:p w:rsidR="00500337" w:rsidRDefault="00500337" w:rsidP="00500337">
      <w:r>
        <w:t>The following table captures the key steps and dates for this application and which are detail</w:t>
      </w:r>
      <w:r w:rsidR="00885729">
        <w:t>ed and discussed in this AusPAR</w:t>
      </w:r>
      <w:r>
        <w:t>.</w:t>
      </w:r>
    </w:p>
    <w:p w:rsidR="00B21308" w:rsidRDefault="00B21308" w:rsidP="00B21308">
      <w:pPr>
        <w:pStyle w:val="Tabletitle0"/>
      </w:pPr>
      <w:r>
        <w:t>Table 2: Registration timeline</w:t>
      </w:r>
    </w:p>
    <w:tbl>
      <w:tblPr>
        <w:tblStyle w:val="TableTGAblue"/>
        <w:tblW w:w="0" w:type="auto"/>
        <w:tblLook w:val="04A0" w:firstRow="1" w:lastRow="0" w:firstColumn="1" w:lastColumn="0" w:noHBand="0" w:noVBand="1"/>
      </w:tblPr>
      <w:tblGrid>
        <w:gridCol w:w="4360"/>
        <w:gridCol w:w="4360"/>
      </w:tblGrid>
      <w:tr w:rsidR="00500337" w:rsidTr="00500337">
        <w:trPr>
          <w:cnfStyle w:val="100000000000" w:firstRow="1" w:lastRow="0" w:firstColumn="0" w:lastColumn="0" w:oddVBand="0" w:evenVBand="0" w:oddHBand="0" w:evenHBand="0" w:firstRowFirstColumn="0" w:firstRowLastColumn="0" w:lastRowFirstColumn="0" w:lastRowLastColumn="0"/>
          <w:cantSplit/>
        </w:trPr>
        <w:tc>
          <w:tcPr>
            <w:tcW w:w="4360" w:type="dxa"/>
          </w:tcPr>
          <w:p w:rsidR="00500337" w:rsidRDefault="00500337" w:rsidP="00500337">
            <w:pPr>
              <w:ind w:left="0" w:right="0"/>
            </w:pPr>
            <w:r>
              <w:t>Description</w:t>
            </w:r>
          </w:p>
        </w:tc>
        <w:tc>
          <w:tcPr>
            <w:tcW w:w="4360" w:type="dxa"/>
          </w:tcPr>
          <w:p w:rsidR="00500337" w:rsidRDefault="00500337" w:rsidP="00500337">
            <w:pPr>
              <w:ind w:left="0" w:right="0"/>
            </w:pPr>
            <w:r>
              <w:t>Date</w:t>
            </w:r>
          </w:p>
        </w:tc>
      </w:tr>
      <w:tr w:rsidR="00500337" w:rsidTr="00500337">
        <w:tc>
          <w:tcPr>
            <w:tcW w:w="4360" w:type="dxa"/>
          </w:tcPr>
          <w:p w:rsidR="00500337" w:rsidRDefault="00500337" w:rsidP="00500337">
            <w:pPr>
              <w:ind w:left="0" w:right="0"/>
            </w:pPr>
            <w:r>
              <w:t>Submission dossier accepted and first round evaluation commenced</w:t>
            </w:r>
          </w:p>
        </w:tc>
        <w:tc>
          <w:tcPr>
            <w:tcW w:w="4360" w:type="dxa"/>
          </w:tcPr>
          <w:p w:rsidR="00500337" w:rsidRDefault="00885729" w:rsidP="00500337">
            <w:pPr>
              <w:ind w:left="0" w:right="0"/>
            </w:pPr>
            <w:r>
              <w:t>29 September 2017</w:t>
            </w:r>
          </w:p>
        </w:tc>
      </w:tr>
      <w:tr w:rsidR="00500337" w:rsidTr="00500337">
        <w:tc>
          <w:tcPr>
            <w:tcW w:w="4360" w:type="dxa"/>
          </w:tcPr>
          <w:p w:rsidR="00500337" w:rsidRDefault="00500337" w:rsidP="00500337">
            <w:pPr>
              <w:ind w:left="0" w:right="0"/>
            </w:pPr>
            <w:r>
              <w:t>First round evaluation completed</w:t>
            </w:r>
          </w:p>
        </w:tc>
        <w:tc>
          <w:tcPr>
            <w:tcW w:w="4360" w:type="dxa"/>
          </w:tcPr>
          <w:p w:rsidR="00500337" w:rsidRDefault="00885729" w:rsidP="00500337">
            <w:pPr>
              <w:ind w:left="0" w:right="0"/>
            </w:pPr>
            <w:r>
              <w:t>7 March 2018</w:t>
            </w:r>
          </w:p>
        </w:tc>
      </w:tr>
      <w:tr w:rsidR="00500337" w:rsidTr="00500337">
        <w:tc>
          <w:tcPr>
            <w:tcW w:w="4360" w:type="dxa"/>
          </w:tcPr>
          <w:p w:rsidR="00500337" w:rsidRDefault="00500337" w:rsidP="00500337">
            <w:pPr>
              <w:ind w:left="0" w:right="0"/>
            </w:pPr>
            <w:r>
              <w:t>Sponsor provides responses on questions raised in first round evaluation</w:t>
            </w:r>
          </w:p>
        </w:tc>
        <w:tc>
          <w:tcPr>
            <w:tcW w:w="4360" w:type="dxa"/>
          </w:tcPr>
          <w:p w:rsidR="00500337" w:rsidRDefault="00885729" w:rsidP="00500337">
            <w:pPr>
              <w:ind w:left="0" w:right="0"/>
            </w:pPr>
            <w:r>
              <w:t>7 May 2018</w:t>
            </w:r>
          </w:p>
        </w:tc>
      </w:tr>
      <w:tr w:rsidR="00500337" w:rsidTr="00500337">
        <w:tc>
          <w:tcPr>
            <w:tcW w:w="4360" w:type="dxa"/>
          </w:tcPr>
          <w:p w:rsidR="00500337" w:rsidRDefault="00500337" w:rsidP="00500337">
            <w:pPr>
              <w:ind w:left="0" w:right="0"/>
            </w:pPr>
            <w:r>
              <w:t>Second round evaluation completed</w:t>
            </w:r>
          </w:p>
        </w:tc>
        <w:tc>
          <w:tcPr>
            <w:tcW w:w="4360" w:type="dxa"/>
          </w:tcPr>
          <w:p w:rsidR="00500337" w:rsidRDefault="00885729" w:rsidP="00500337">
            <w:pPr>
              <w:ind w:left="0" w:right="0"/>
            </w:pPr>
            <w:r>
              <w:t>6 June 2018</w:t>
            </w:r>
          </w:p>
        </w:tc>
      </w:tr>
      <w:tr w:rsidR="00500337" w:rsidTr="00500337">
        <w:tc>
          <w:tcPr>
            <w:tcW w:w="4360" w:type="dxa"/>
          </w:tcPr>
          <w:p w:rsidR="00500337" w:rsidRDefault="00500337" w:rsidP="00500337">
            <w:pPr>
              <w:ind w:left="0" w:right="0"/>
            </w:pPr>
            <w:r>
              <w:t>Delegate’s Overall benefit-risk assessment and request for Advisory Committee advice</w:t>
            </w:r>
          </w:p>
        </w:tc>
        <w:tc>
          <w:tcPr>
            <w:tcW w:w="4360" w:type="dxa"/>
          </w:tcPr>
          <w:p w:rsidR="00500337" w:rsidRDefault="00885729" w:rsidP="00500337">
            <w:pPr>
              <w:ind w:left="0" w:right="0"/>
            </w:pPr>
            <w:r>
              <w:t>3 July 2018</w:t>
            </w:r>
          </w:p>
        </w:tc>
      </w:tr>
      <w:tr w:rsidR="00500337" w:rsidTr="00500337">
        <w:tc>
          <w:tcPr>
            <w:tcW w:w="4360" w:type="dxa"/>
          </w:tcPr>
          <w:p w:rsidR="00500337" w:rsidRDefault="00500337" w:rsidP="00500337">
            <w:pPr>
              <w:ind w:left="0" w:right="0"/>
            </w:pPr>
            <w:r>
              <w:t>Sponsor’s pre-Advisory Committee response</w:t>
            </w:r>
          </w:p>
        </w:tc>
        <w:tc>
          <w:tcPr>
            <w:tcW w:w="4360" w:type="dxa"/>
          </w:tcPr>
          <w:p w:rsidR="00500337" w:rsidRDefault="00885729" w:rsidP="00500337">
            <w:pPr>
              <w:ind w:left="0" w:right="0"/>
            </w:pPr>
            <w:r>
              <w:t>17 July 2018</w:t>
            </w:r>
          </w:p>
        </w:tc>
      </w:tr>
      <w:tr w:rsidR="00500337" w:rsidTr="00500337">
        <w:tc>
          <w:tcPr>
            <w:tcW w:w="4360" w:type="dxa"/>
          </w:tcPr>
          <w:p w:rsidR="00500337" w:rsidRDefault="00500337" w:rsidP="00500337">
            <w:pPr>
              <w:ind w:left="0" w:right="0"/>
            </w:pPr>
            <w:r>
              <w:t>Advisory Committee meeting</w:t>
            </w:r>
          </w:p>
        </w:tc>
        <w:tc>
          <w:tcPr>
            <w:tcW w:w="4360" w:type="dxa"/>
          </w:tcPr>
          <w:p w:rsidR="00500337" w:rsidRDefault="00885729" w:rsidP="00500337">
            <w:pPr>
              <w:ind w:left="0" w:right="0"/>
            </w:pPr>
            <w:r>
              <w:t>1-2 August 2018</w:t>
            </w:r>
          </w:p>
        </w:tc>
      </w:tr>
      <w:tr w:rsidR="00885729" w:rsidTr="00500337">
        <w:tc>
          <w:tcPr>
            <w:tcW w:w="4360" w:type="dxa"/>
          </w:tcPr>
          <w:p w:rsidR="00885729" w:rsidRDefault="00885729" w:rsidP="00500337">
            <w:pPr>
              <w:ind w:left="0" w:right="0"/>
            </w:pPr>
            <w:r>
              <w:lastRenderedPageBreak/>
              <w:t>Registration decision (Outcome)</w:t>
            </w:r>
          </w:p>
        </w:tc>
        <w:tc>
          <w:tcPr>
            <w:tcW w:w="4360" w:type="dxa"/>
          </w:tcPr>
          <w:p w:rsidR="00885729" w:rsidRPr="003D1E62" w:rsidRDefault="00885729" w:rsidP="00885729">
            <w:pPr>
              <w:ind w:left="0"/>
            </w:pPr>
            <w:r>
              <w:t>12 September 2018</w:t>
            </w:r>
          </w:p>
        </w:tc>
      </w:tr>
      <w:tr w:rsidR="00885729" w:rsidTr="00500337">
        <w:tc>
          <w:tcPr>
            <w:tcW w:w="4360" w:type="dxa"/>
          </w:tcPr>
          <w:p w:rsidR="00885729" w:rsidRDefault="00885729" w:rsidP="00500337">
            <w:pPr>
              <w:ind w:left="0" w:right="0"/>
            </w:pPr>
            <w:r>
              <w:t>Completion of administrative activities and registration on ARTG</w:t>
            </w:r>
          </w:p>
        </w:tc>
        <w:tc>
          <w:tcPr>
            <w:tcW w:w="4360" w:type="dxa"/>
          </w:tcPr>
          <w:p w:rsidR="00885729" w:rsidRPr="00441C3F" w:rsidRDefault="00885729" w:rsidP="00885729">
            <w:pPr>
              <w:ind w:left="0"/>
              <w:rPr>
                <w:i/>
              </w:rPr>
            </w:pPr>
            <w:r>
              <w:t>14 September 2018</w:t>
            </w:r>
          </w:p>
        </w:tc>
      </w:tr>
      <w:tr w:rsidR="00885729" w:rsidTr="00500337">
        <w:tc>
          <w:tcPr>
            <w:tcW w:w="4360" w:type="dxa"/>
          </w:tcPr>
          <w:p w:rsidR="00885729" w:rsidRDefault="00885729" w:rsidP="00500337">
            <w:pPr>
              <w:ind w:left="0" w:right="0"/>
            </w:pPr>
            <w:r>
              <w:t>Number of working days from submission dossier acceptance to registration decision*</w:t>
            </w:r>
          </w:p>
        </w:tc>
        <w:tc>
          <w:tcPr>
            <w:tcW w:w="4360" w:type="dxa"/>
          </w:tcPr>
          <w:p w:rsidR="00885729" w:rsidRDefault="00885729" w:rsidP="00500337">
            <w:pPr>
              <w:ind w:left="0" w:right="0"/>
            </w:pPr>
            <w:r>
              <w:t>198 days</w:t>
            </w:r>
          </w:p>
        </w:tc>
      </w:tr>
    </w:tbl>
    <w:p w:rsidR="00500337" w:rsidRDefault="00500337" w:rsidP="00500337">
      <w:pPr>
        <w:pStyle w:val="TableDescription"/>
      </w:pPr>
      <w:r>
        <w:t>*</w:t>
      </w:r>
      <w:r w:rsidR="00BF3774" w:rsidRPr="00BF3774">
        <w:t xml:space="preserve">Statutory </w:t>
      </w:r>
      <w:r>
        <w:t>timeframe for standard applications is 2</w:t>
      </w:r>
      <w:r w:rsidR="00BF3774">
        <w:t>55</w:t>
      </w:r>
      <w:r>
        <w:t xml:space="preserve"> working days</w:t>
      </w:r>
    </w:p>
    <w:p w:rsidR="00500337" w:rsidRDefault="00500337" w:rsidP="00500337">
      <w:r>
        <w:t>Evaluations included under Quality findings and Nonclinical findings incorporate both the first and second round evaluations.</w:t>
      </w:r>
    </w:p>
    <w:p w:rsidR="008E7846" w:rsidRPr="003602A9" w:rsidRDefault="00500337" w:rsidP="008E7846">
      <w:pPr>
        <w:pStyle w:val="Heading2"/>
        <w:ind w:left="-11"/>
      </w:pPr>
      <w:bookmarkStart w:id="25" w:name="_Toc12272138"/>
      <w:r>
        <w:t>I</w:t>
      </w:r>
      <w:r w:rsidR="008E7846">
        <w:t>II. Quality</w:t>
      </w:r>
      <w:bookmarkEnd w:id="1"/>
      <w:r w:rsidR="008E7846">
        <w:t xml:space="preserve"> findings</w:t>
      </w:r>
      <w:bookmarkEnd w:id="21"/>
      <w:bookmarkEnd w:id="22"/>
      <w:bookmarkEnd w:id="25"/>
    </w:p>
    <w:p w:rsidR="008E7846" w:rsidRDefault="008E7846" w:rsidP="00940A89">
      <w:pPr>
        <w:pStyle w:val="Heading3"/>
      </w:pPr>
      <w:bookmarkStart w:id="26" w:name="_Toc247691507"/>
      <w:bookmarkStart w:id="27" w:name="_Toc314842488"/>
      <w:bookmarkStart w:id="28" w:name="_Toc12272139"/>
      <w:r w:rsidRPr="008751DC">
        <w:t xml:space="preserve">Drug </w:t>
      </w:r>
      <w:r>
        <w:t>s</w:t>
      </w:r>
      <w:r w:rsidRPr="008751DC">
        <w:t>ubstance</w:t>
      </w:r>
      <w:r>
        <w:t xml:space="preserve"> (active ingredient)</w:t>
      </w:r>
      <w:bookmarkEnd w:id="26"/>
      <w:bookmarkEnd w:id="27"/>
      <w:bookmarkEnd w:id="28"/>
    </w:p>
    <w:p w:rsidR="00885729" w:rsidRDefault="00885729" w:rsidP="00B26408">
      <w:pPr>
        <w:pStyle w:val="Heading4"/>
      </w:pPr>
      <w:bookmarkStart w:id="29" w:name="_Toc513102774"/>
      <w:r>
        <w:t>Structure</w:t>
      </w:r>
      <w:bookmarkEnd w:id="29"/>
    </w:p>
    <w:p w:rsidR="00885729" w:rsidRDefault="00885729" w:rsidP="00B26408">
      <w:r>
        <w:t xml:space="preserve">Sarilumab (IgG1 isotype monoclonal antibody) is a covalent </w:t>
      </w:r>
      <w:proofErr w:type="spellStart"/>
      <w:r>
        <w:t>heterotetramer</w:t>
      </w:r>
      <w:proofErr w:type="spellEnd"/>
      <w:r>
        <w:t xml:space="preserve"> consisting of two </w:t>
      </w:r>
      <w:r w:rsidR="00F549B4">
        <w:t>disulphide</w:t>
      </w:r>
      <w:r>
        <w:t xml:space="preserve">-linked human heavy chains, each covalently linked through a </w:t>
      </w:r>
      <w:r w:rsidR="00F549B4">
        <w:t>disulphide</w:t>
      </w:r>
      <w:r>
        <w:t xml:space="preserve"> bond to a human kappa light chain.</w:t>
      </w:r>
      <w:r w:rsidR="003E7288">
        <w:t xml:space="preserve"> </w:t>
      </w:r>
      <w:r>
        <w:t>There is a single N-linked glycosylation site (Asn296) on each heavy chain, located within the CH</w:t>
      </w:r>
      <w:r w:rsidRPr="001D4F25">
        <w:rPr>
          <w:vertAlign w:val="subscript"/>
        </w:rPr>
        <w:t>2</w:t>
      </w:r>
      <w:r>
        <w:t xml:space="preserve"> domain of the Fc co</w:t>
      </w:r>
      <w:r w:rsidR="00B41DE2">
        <w:t>nstant region in the molecule.</w:t>
      </w:r>
    </w:p>
    <w:p w:rsidR="00B41DE2" w:rsidRDefault="00B41DE2" w:rsidP="00B21308">
      <w:pPr>
        <w:pStyle w:val="FigureTitle"/>
      </w:pPr>
      <w:r>
        <w:t>Figure 1: Structure of sarilumab antibody</w:t>
      </w:r>
    </w:p>
    <w:p w:rsidR="00885729" w:rsidRDefault="00885729" w:rsidP="00624646">
      <w:r>
        <w:rPr>
          <w:noProof/>
          <w:lang w:eastAsia="en-AU"/>
        </w:rPr>
        <w:drawing>
          <wp:inline distT="0" distB="0" distL="0" distR="0" wp14:anchorId="68B29FC2" wp14:editId="27A7D156">
            <wp:extent cx="2438400" cy="2619375"/>
            <wp:effectExtent l="0" t="0" r="0" b="9525"/>
            <wp:docPr id="19" name="Picture 19" descr="Structure of sarilumab anti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38400" cy="2619375"/>
                    </a:xfrm>
                    <a:prstGeom prst="rect">
                      <a:avLst/>
                    </a:prstGeom>
                    <a:noFill/>
                    <a:ln>
                      <a:noFill/>
                    </a:ln>
                  </pic:spPr>
                </pic:pic>
              </a:graphicData>
            </a:graphic>
          </wp:inline>
        </w:drawing>
      </w:r>
    </w:p>
    <w:p w:rsidR="00885729" w:rsidRPr="00794CFB" w:rsidRDefault="00885729" w:rsidP="00794CFB">
      <w:pPr>
        <w:pStyle w:val="FigureDescription"/>
      </w:pPr>
      <w:r w:rsidRPr="00794CFB">
        <w:t xml:space="preserve">Representation of the structure of sarilumab depicting the location of each of the </w:t>
      </w:r>
      <w:proofErr w:type="spellStart"/>
      <w:r w:rsidRPr="00794CFB">
        <w:t>intrachain</w:t>
      </w:r>
      <w:proofErr w:type="spellEnd"/>
      <w:r w:rsidRPr="00794CFB">
        <w:t xml:space="preserve"> and </w:t>
      </w:r>
      <w:proofErr w:type="spellStart"/>
      <w:r w:rsidRPr="00794CFB">
        <w:t>interchain</w:t>
      </w:r>
      <w:proofErr w:type="spellEnd"/>
      <w:r w:rsidRPr="00794CFB">
        <w:t xml:space="preserve"> </w:t>
      </w:r>
      <w:r w:rsidR="00F549B4" w:rsidRPr="009F1D5D">
        <w:t>disulphide</w:t>
      </w:r>
      <w:r w:rsidRPr="00794CFB">
        <w:t xml:space="preserve"> bonds (orange).</w:t>
      </w:r>
      <w:r w:rsidR="003E7288" w:rsidRPr="00794CFB">
        <w:t xml:space="preserve"> </w:t>
      </w:r>
      <w:r w:rsidRPr="00794CFB">
        <w:t xml:space="preserve">Heavy (green) and light (blue) chains are connected by </w:t>
      </w:r>
      <w:proofErr w:type="spellStart"/>
      <w:r w:rsidRPr="00794CFB">
        <w:t>interchain</w:t>
      </w:r>
      <w:proofErr w:type="spellEnd"/>
      <w:r w:rsidRPr="00794CFB">
        <w:t xml:space="preserve"> </w:t>
      </w:r>
      <w:r w:rsidR="00F549B4" w:rsidRPr="00794CFB">
        <w:t>disulphide</w:t>
      </w:r>
      <w:r w:rsidRPr="00794CFB">
        <w:t xml:space="preserve"> bonds; heavy chain </w:t>
      </w:r>
      <w:proofErr w:type="spellStart"/>
      <w:r w:rsidR="00794CFB" w:rsidRPr="00794CFB">
        <w:t>dimerisation</w:t>
      </w:r>
      <w:proofErr w:type="spellEnd"/>
      <w:r w:rsidR="00794CFB" w:rsidRPr="00794CFB">
        <w:t xml:space="preserve"> </w:t>
      </w:r>
      <w:r w:rsidRPr="00794CFB">
        <w:t xml:space="preserve">is achieved through two heavy chain intermolecular </w:t>
      </w:r>
      <w:r w:rsidR="00F549B4" w:rsidRPr="00794CFB">
        <w:t>disulphide</w:t>
      </w:r>
      <w:r w:rsidRPr="00794CFB">
        <w:t xml:space="preserve"> bonds located within the hinge region.</w:t>
      </w:r>
      <w:r w:rsidR="003E7288" w:rsidRPr="00794CFB">
        <w:t xml:space="preserve"> </w:t>
      </w:r>
      <w:r w:rsidRPr="00794CFB">
        <w:t>The Fc domain glycosylation site is also indicated (cyan).</w:t>
      </w:r>
    </w:p>
    <w:p w:rsidR="00B41DE2" w:rsidRDefault="002D53B7" w:rsidP="00B41DE2">
      <w:pPr>
        <w:pStyle w:val="Tabletitle0"/>
      </w:pPr>
      <w:bookmarkStart w:id="30" w:name="_Toc513102775"/>
      <w:r>
        <w:t>P</w:t>
      </w:r>
      <w:r w:rsidR="00885729">
        <w:t>hysical and chemical properties</w:t>
      </w:r>
      <w:bookmarkEnd w:id="30"/>
    </w:p>
    <w:p w:rsidR="00B41DE2" w:rsidRDefault="00B41DE2" w:rsidP="00B41DE2">
      <w:r>
        <w:t>The physical and chemical properties are described in the table below (Table</w:t>
      </w:r>
      <w:r w:rsidR="00B21308">
        <w:t xml:space="preserve"> 3</w:t>
      </w:r>
      <w:r>
        <w:t>).</w:t>
      </w:r>
    </w:p>
    <w:p w:rsidR="00B41DE2" w:rsidRPr="00B41DE2" w:rsidRDefault="00B41DE2" w:rsidP="00B41DE2">
      <w:pPr>
        <w:pStyle w:val="TableTitle"/>
      </w:pPr>
      <w:r>
        <w:lastRenderedPageBreak/>
        <w:t xml:space="preserve">Table </w:t>
      </w:r>
      <w:r w:rsidR="00B21308">
        <w:t>3</w:t>
      </w:r>
      <w:r>
        <w:t>: Physical and chemical properties of sarilumab</w:t>
      </w:r>
    </w:p>
    <w:p w:rsidR="00B41DE2" w:rsidRPr="00B41DE2" w:rsidRDefault="00B41DE2" w:rsidP="00B41DE2">
      <w:r>
        <w:rPr>
          <w:noProof/>
          <w:lang w:eastAsia="en-AU"/>
        </w:rPr>
        <w:drawing>
          <wp:inline distT="0" distB="0" distL="0" distR="0" wp14:anchorId="6C168D62" wp14:editId="383ACAD5">
            <wp:extent cx="4259293" cy="2786743"/>
            <wp:effectExtent l="0" t="0" r="8255" b="0"/>
            <wp:docPr id="451" name="Picture 451" descr="Physical and chemical properties of Sarilum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Lst>
                    </a:blip>
                    <a:stretch>
                      <a:fillRect/>
                    </a:stretch>
                  </pic:blipFill>
                  <pic:spPr>
                    <a:xfrm>
                      <a:off x="0" y="0"/>
                      <a:ext cx="4259865" cy="2787117"/>
                    </a:xfrm>
                    <a:prstGeom prst="rect">
                      <a:avLst/>
                    </a:prstGeom>
                  </pic:spPr>
                </pic:pic>
              </a:graphicData>
            </a:graphic>
          </wp:inline>
        </w:drawing>
      </w:r>
    </w:p>
    <w:p w:rsidR="00AA6B20" w:rsidRDefault="00885729" w:rsidP="00B26408">
      <w:r>
        <w:t xml:space="preserve">All manufacturing steps </w:t>
      </w:r>
      <w:r w:rsidR="00B21308">
        <w:t>have been</w:t>
      </w:r>
      <w:r>
        <w:t xml:space="preserve"> validated.</w:t>
      </w:r>
    </w:p>
    <w:p w:rsidR="008E7846" w:rsidRDefault="008E7846" w:rsidP="008E7846">
      <w:pPr>
        <w:pStyle w:val="Heading3"/>
      </w:pPr>
      <w:bookmarkStart w:id="31" w:name="_Toc247691508"/>
      <w:bookmarkStart w:id="32" w:name="_Toc314842490"/>
      <w:bookmarkStart w:id="33" w:name="_Toc12272140"/>
      <w:r w:rsidRPr="008751DC">
        <w:t xml:space="preserve">Drug </w:t>
      </w:r>
      <w:r>
        <w:t>p</w:t>
      </w:r>
      <w:r w:rsidRPr="008751DC">
        <w:t>roduct</w:t>
      </w:r>
      <w:bookmarkEnd w:id="31"/>
      <w:bookmarkEnd w:id="32"/>
      <w:bookmarkEnd w:id="33"/>
    </w:p>
    <w:p w:rsidR="00B41DE2" w:rsidRPr="00EB4B8A" w:rsidRDefault="00D34A35" w:rsidP="00EB4B8A">
      <w:r w:rsidRPr="00EB4B8A">
        <w:t>Apart from the active ingredient</w:t>
      </w:r>
      <w:r w:rsidR="00EB4B8A">
        <w:t xml:space="preserve"> sarilumab</w:t>
      </w:r>
      <w:r w:rsidRPr="00EB4B8A">
        <w:t xml:space="preserve">, the drug product contains the </w:t>
      </w:r>
      <w:r w:rsidR="00B41DE2" w:rsidRPr="00EB4B8A">
        <w:t>excipients</w:t>
      </w:r>
      <w:r w:rsidRPr="00EB4B8A">
        <w:t xml:space="preserve"> L</w:t>
      </w:r>
      <w:r w:rsidR="00794CFB">
        <w:noBreakHyphen/>
      </w:r>
      <w:r w:rsidRPr="00EB4B8A">
        <w:t>histidine, L-arginine,</w:t>
      </w:r>
      <w:r w:rsidR="003A59CB" w:rsidRPr="00EB4B8A">
        <w:t xml:space="preserve"> </w:t>
      </w:r>
      <w:r w:rsidR="00794CFB">
        <w:t>s</w:t>
      </w:r>
      <w:r w:rsidR="00794CFB" w:rsidRPr="00EB4B8A">
        <w:t>ucrose</w:t>
      </w:r>
      <w:r w:rsidRPr="00EB4B8A">
        <w:t xml:space="preserve">, </w:t>
      </w:r>
      <w:r w:rsidR="00794CFB">
        <w:t>p</w:t>
      </w:r>
      <w:r w:rsidR="00794CFB" w:rsidRPr="00EB4B8A">
        <w:t xml:space="preserve">olysorbate </w:t>
      </w:r>
      <w:r w:rsidRPr="00EB4B8A">
        <w:t xml:space="preserve">20 and </w:t>
      </w:r>
      <w:r w:rsidR="00794CFB">
        <w:t>w</w:t>
      </w:r>
      <w:r w:rsidR="00794CFB" w:rsidRPr="00EB4B8A">
        <w:t xml:space="preserve">ater </w:t>
      </w:r>
      <w:r w:rsidRPr="00EB4B8A">
        <w:t>for injection.</w:t>
      </w:r>
    </w:p>
    <w:p w:rsidR="0032450F" w:rsidRDefault="0032450F" w:rsidP="00B21308">
      <w:pPr>
        <w:pStyle w:val="Heading4"/>
      </w:pPr>
      <w:r>
        <w:t>Specifications</w:t>
      </w:r>
    </w:p>
    <w:p w:rsidR="0032450F" w:rsidRDefault="0032450F" w:rsidP="0032450F">
      <w:pPr>
        <w:rPr>
          <w:bCs/>
          <w:iCs/>
        </w:rPr>
      </w:pPr>
      <w:r>
        <w:t xml:space="preserve">The release specifications for </w:t>
      </w:r>
      <w:r w:rsidR="00794CFB">
        <w:t xml:space="preserve">the pre-filled pen </w:t>
      </w:r>
      <w:r>
        <w:t xml:space="preserve">include a complete list of release tests and acceptance criteria covering product solution properties, identity, strength, purity, potency and functional performance. Several specific release tests are performed on the bulk </w:t>
      </w:r>
      <w:r w:rsidR="00794CFB">
        <w:t>pre-filled syringe</w:t>
      </w:r>
      <w:r>
        <w:t xml:space="preserve"> intermediate. Results obtained from testing of the bulk </w:t>
      </w:r>
      <w:r w:rsidR="00794CFB">
        <w:t>pre-filled syringe</w:t>
      </w:r>
      <w:r w:rsidR="001D4F25">
        <w:t xml:space="preserve"> (</w:t>
      </w:r>
      <w:r>
        <w:t>PFS</w:t>
      </w:r>
      <w:r w:rsidR="001D4F25">
        <w:t>)</w:t>
      </w:r>
      <w:r>
        <w:t xml:space="preserve"> are used to release the final drug product presentation. Release testing performed on the final </w:t>
      </w:r>
      <w:r w:rsidR="00794CFB">
        <w:t>pre-filled pen</w:t>
      </w:r>
      <w:r w:rsidR="001D4F25">
        <w:t xml:space="preserve"> (</w:t>
      </w:r>
      <w:r>
        <w:t>PFP</w:t>
      </w:r>
      <w:r w:rsidR="001D4F25">
        <w:t>)</w:t>
      </w:r>
      <w:r>
        <w:t xml:space="preserve"> includes appearance, identity, protein content and functional performance </w:t>
      </w:r>
      <w:r w:rsidRPr="0032450F">
        <w:t xml:space="preserve">testing. </w:t>
      </w:r>
      <w:r w:rsidRPr="0032450F">
        <w:rPr>
          <w:bCs/>
          <w:iCs/>
        </w:rPr>
        <w:t xml:space="preserve">The PFP specification parameters and limits correspond to those for PFS. Additional parameters (activation force, dose accuracy, injection depth and time) </w:t>
      </w:r>
      <w:r>
        <w:rPr>
          <w:bCs/>
          <w:iCs/>
        </w:rPr>
        <w:t>were</w:t>
      </w:r>
      <w:r w:rsidRPr="0032450F">
        <w:rPr>
          <w:bCs/>
          <w:iCs/>
        </w:rPr>
        <w:t xml:space="preserve"> also included </w:t>
      </w:r>
      <w:r>
        <w:rPr>
          <w:bCs/>
          <w:iCs/>
        </w:rPr>
        <w:t xml:space="preserve">and validated </w:t>
      </w:r>
      <w:r w:rsidRPr="0032450F">
        <w:rPr>
          <w:bCs/>
          <w:iCs/>
        </w:rPr>
        <w:t>for PFP.</w:t>
      </w:r>
    </w:p>
    <w:p w:rsidR="0032450F" w:rsidRDefault="0032450F" w:rsidP="0032450F">
      <w:pPr>
        <w:pStyle w:val="Heading4"/>
      </w:pPr>
      <w:r>
        <w:t>Batch analyses</w:t>
      </w:r>
    </w:p>
    <w:p w:rsidR="0032450F" w:rsidRPr="0032450F" w:rsidRDefault="0032450F" w:rsidP="0032450F">
      <w:r w:rsidRPr="0032450F">
        <w:t xml:space="preserve">The results from batch analyses </w:t>
      </w:r>
      <w:r w:rsidRPr="0032450F">
        <w:rPr>
          <w:bCs/>
          <w:iCs/>
        </w:rPr>
        <w:t>are within the release criteria and confirm consistency, uniformity and the device functionality of the PFP</w:t>
      </w:r>
      <w:r>
        <w:rPr>
          <w:bCs/>
          <w:iCs/>
        </w:rPr>
        <w:t>.</w:t>
      </w:r>
    </w:p>
    <w:p w:rsidR="00B21308" w:rsidRPr="00B41DE2" w:rsidRDefault="00B21308" w:rsidP="00B21308">
      <w:pPr>
        <w:pStyle w:val="Heading4"/>
      </w:pPr>
      <w:r>
        <w:t>Stability</w:t>
      </w:r>
    </w:p>
    <w:p w:rsidR="00D34A35" w:rsidRDefault="00D34A35" w:rsidP="00D34A35">
      <w:r>
        <w:rPr>
          <w:rFonts w:asciiTheme="minorHAnsi" w:hAnsiTheme="minorHAnsi"/>
        </w:rPr>
        <w:t xml:space="preserve">Stability studies have been conducted in accordance with relevant </w:t>
      </w:r>
      <w:r w:rsidRPr="00B21308">
        <w:t>International Conference on Harmonisation</w:t>
      </w:r>
      <w:r w:rsidR="00794CFB">
        <w:t xml:space="preserve"> (ICH)</w:t>
      </w:r>
      <w:r w:rsidRPr="00B21308">
        <w:t xml:space="preserve"> of Technical Requirements for Registration of Pharmaceuticals for Human Use (ICH) </w:t>
      </w:r>
      <w:r>
        <w:t>guidelines.</w:t>
      </w:r>
    </w:p>
    <w:p w:rsidR="00B21308" w:rsidRDefault="00B21308" w:rsidP="00B21308">
      <w:pPr>
        <w:pStyle w:val="Heading5"/>
      </w:pPr>
      <w:r>
        <w:t>Pre-filled syringe (PFS)</w:t>
      </w:r>
    </w:p>
    <w:p w:rsidR="00885729" w:rsidRDefault="00B41DE2" w:rsidP="00026F8C">
      <w:r w:rsidRPr="00B21308">
        <w:t>Recommended shelf life</w:t>
      </w:r>
      <w:r w:rsidR="00B21308" w:rsidRPr="00B21308">
        <w:t xml:space="preserve"> is </w:t>
      </w:r>
      <w:r w:rsidR="002D53B7" w:rsidRPr="00B21308">
        <w:t>24 months storage at 2</w:t>
      </w:r>
      <w:r w:rsidR="00EB4B8A">
        <w:t xml:space="preserve"> to </w:t>
      </w:r>
      <w:r w:rsidR="002D53B7" w:rsidRPr="00B21308">
        <w:t>8°C</w:t>
      </w:r>
      <w:r w:rsidR="00B21308" w:rsidRPr="00B21308">
        <w:t>, p</w:t>
      </w:r>
      <w:r w:rsidR="002D53B7" w:rsidRPr="00B21308">
        <w:t>rotected from light.</w:t>
      </w:r>
      <w:r w:rsidR="00B21308">
        <w:t xml:space="preserve"> It is recommended to u</w:t>
      </w:r>
      <w:r w:rsidR="002D53B7">
        <w:t>se the syringe within 14 days after taking it out of the refrigerator or insulated bag.</w:t>
      </w:r>
      <w:r w:rsidR="00B21308">
        <w:t xml:space="preserve"> </w:t>
      </w:r>
      <w:r w:rsidR="00885729">
        <w:t>Real-time stability data through to 30</w:t>
      </w:r>
      <w:r w:rsidR="00EB4B8A">
        <w:t xml:space="preserve"> </w:t>
      </w:r>
      <w:r w:rsidR="00885729">
        <w:t xml:space="preserve">months for three full-scale primary stability batches of </w:t>
      </w:r>
      <w:r w:rsidR="00794CFB">
        <w:t xml:space="preserve">the pre-filled syringe </w:t>
      </w:r>
      <w:r w:rsidR="00885729">
        <w:t>PFS supported the proposed shelf life for PFS.</w:t>
      </w:r>
    </w:p>
    <w:p w:rsidR="00885729" w:rsidRDefault="00B21308" w:rsidP="00026F8C">
      <w:pPr>
        <w:pStyle w:val="Heading5"/>
      </w:pPr>
      <w:r>
        <w:lastRenderedPageBreak/>
        <w:t>P</w:t>
      </w:r>
      <w:r w:rsidR="00885729">
        <w:t>re-filled pen</w:t>
      </w:r>
      <w:r>
        <w:t xml:space="preserve"> (PFP</w:t>
      </w:r>
      <w:r w:rsidR="00885729">
        <w:t>)</w:t>
      </w:r>
    </w:p>
    <w:p w:rsidR="00885729" w:rsidRDefault="00885729" w:rsidP="00885729">
      <w:pPr>
        <w:spacing w:after="0"/>
        <w:rPr>
          <w:rFonts w:asciiTheme="minorHAnsi" w:hAnsiTheme="minorHAnsi" w:cs="Arial"/>
          <w:color w:val="000000"/>
        </w:rPr>
      </w:pPr>
      <w:r>
        <w:rPr>
          <w:rFonts w:asciiTheme="minorHAnsi" w:hAnsiTheme="minorHAnsi" w:cs="Arial"/>
          <w:color w:val="000000"/>
        </w:rPr>
        <w:t xml:space="preserve">The proposed shelf life is </w:t>
      </w:r>
      <w:r w:rsidR="00D34A35">
        <w:rPr>
          <w:rFonts w:asciiTheme="minorHAnsi" w:hAnsiTheme="minorHAnsi" w:cs="Arial"/>
          <w:color w:val="000000"/>
        </w:rPr>
        <w:t xml:space="preserve">also </w:t>
      </w:r>
      <w:r w:rsidRPr="00D34A35">
        <w:rPr>
          <w:rFonts w:asciiTheme="minorHAnsi" w:hAnsiTheme="minorHAnsi" w:cs="Arial"/>
          <w:color w:val="000000"/>
        </w:rPr>
        <w:t>24 months when stored at 2-8°C, protected from light.</w:t>
      </w:r>
      <w:r>
        <w:rPr>
          <w:rFonts w:asciiTheme="minorHAnsi" w:hAnsiTheme="minorHAnsi" w:cs="Arial"/>
          <w:color w:val="000000"/>
        </w:rPr>
        <w:t xml:space="preserve"> This is based on the shelf life of PFS.</w:t>
      </w:r>
      <w:r w:rsidR="003E7288">
        <w:rPr>
          <w:rFonts w:asciiTheme="minorHAnsi" w:hAnsiTheme="minorHAnsi" w:cs="Arial"/>
          <w:color w:val="000000"/>
        </w:rPr>
        <w:t xml:space="preserve"> </w:t>
      </w:r>
      <w:r>
        <w:rPr>
          <w:rFonts w:asciiTheme="minorHAnsi" w:hAnsiTheme="minorHAnsi" w:cs="Arial"/>
          <w:color w:val="000000"/>
        </w:rPr>
        <w:t>The stability data from the PFS was used to determine the shelf life of the PFP.</w:t>
      </w:r>
      <w:r w:rsidR="003E7288">
        <w:rPr>
          <w:rFonts w:asciiTheme="minorHAnsi" w:hAnsiTheme="minorHAnsi" w:cs="Arial"/>
          <w:color w:val="000000"/>
        </w:rPr>
        <w:t xml:space="preserve"> </w:t>
      </w:r>
      <w:r>
        <w:rPr>
          <w:rFonts w:asciiTheme="minorHAnsi" w:hAnsiTheme="minorHAnsi" w:cs="Arial"/>
          <w:color w:val="000000"/>
        </w:rPr>
        <w:t xml:space="preserve">This approach is supported by side-by-side studies examining the stability PFS and PFP when </w:t>
      </w:r>
      <w:r w:rsidR="00B21308">
        <w:rPr>
          <w:rFonts w:asciiTheme="minorHAnsi" w:hAnsiTheme="minorHAnsi" w:cs="Arial"/>
          <w:color w:val="000000"/>
        </w:rPr>
        <w:t xml:space="preserve">stored at elevated temperature. </w:t>
      </w:r>
      <w:r>
        <w:rPr>
          <w:rFonts w:asciiTheme="minorHAnsi" w:hAnsiTheme="minorHAnsi" w:cs="Arial"/>
          <w:color w:val="000000"/>
        </w:rPr>
        <w:t>Real-time stability data through to 18</w:t>
      </w:r>
      <w:r w:rsidR="00D04501">
        <w:rPr>
          <w:rFonts w:asciiTheme="minorHAnsi" w:hAnsiTheme="minorHAnsi" w:cs="Arial"/>
          <w:color w:val="000000"/>
        </w:rPr>
        <w:t xml:space="preserve"> to</w:t>
      </w:r>
      <w:r w:rsidR="001D4F25">
        <w:rPr>
          <w:rFonts w:asciiTheme="minorHAnsi" w:hAnsiTheme="minorHAnsi" w:cs="Arial"/>
          <w:color w:val="000000"/>
        </w:rPr>
        <w:t xml:space="preserve"> </w:t>
      </w:r>
      <w:r>
        <w:rPr>
          <w:rFonts w:asciiTheme="minorHAnsi" w:hAnsiTheme="minorHAnsi" w:cs="Arial"/>
          <w:color w:val="000000"/>
        </w:rPr>
        <w:t>24 months for two clinical batches of PFP for ach strength supported the proposed shelf life for PFP.</w:t>
      </w:r>
    </w:p>
    <w:p w:rsidR="0032450F" w:rsidRDefault="0032450F" w:rsidP="00885729">
      <w:pPr>
        <w:spacing w:after="0"/>
      </w:pPr>
      <w:r>
        <w:t>Dose accuracy, injection time, injection depth, and activation force, were all within specification limits.</w:t>
      </w:r>
    </w:p>
    <w:p w:rsidR="0032450F" w:rsidRDefault="0032450F" w:rsidP="0032450F">
      <w:pPr>
        <w:pStyle w:val="Heading4"/>
      </w:pPr>
      <w:r>
        <w:t>Labelling</w:t>
      </w:r>
    </w:p>
    <w:p w:rsidR="0032450F" w:rsidRPr="00125CC4" w:rsidRDefault="0032450F" w:rsidP="00885729">
      <w:pPr>
        <w:spacing w:after="0"/>
        <w:rPr>
          <w:rFonts w:asciiTheme="minorHAnsi" w:hAnsiTheme="minorHAnsi" w:cs="Arial"/>
          <w:color w:val="000000"/>
          <w:szCs w:val="20"/>
        </w:rPr>
      </w:pPr>
      <w:r w:rsidRPr="00125CC4">
        <w:t xml:space="preserve">Mock-ups for </w:t>
      </w:r>
      <w:r w:rsidR="00D04501">
        <w:t>the pre-filled pen</w:t>
      </w:r>
      <w:r w:rsidRPr="00125CC4">
        <w:t xml:space="preserve"> 15</w:t>
      </w:r>
      <w:r w:rsidR="00EB4B8A">
        <w:t>0 mg</w:t>
      </w:r>
      <w:r w:rsidRPr="00125CC4">
        <w:t xml:space="preserve"> and 20</w:t>
      </w:r>
      <w:r w:rsidR="00EB4B8A">
        <w:t>0 mg</w:t>
      </w:r>
      <w:r w:rsidRPr="00125CC4">
        <w:t xml:space="preserve"> labels have been provided. Information contained in the </w:t>
      </w:r>
      <w:r w:rsidR="00D04501">
        <w:t>pre-filled pen</w:t>
      </w:r>
      <w:r w:rsidRPr="00125CC4">
        <w:t xml:space="preserve"> labels is consistent with that for </w:t>
      </w:r>
      <w:r w:rsidR="00D04501">
        <w:t>pre-filled syringe</w:t>
      </w:r>
      <w:r w:rsidRPr="00125CC4">
        <w:t xml:space="preserve">. </w:t>
      </w:r>
      <w:r w:rsidRPr="00125CC4">
        <w:rPr>
          <w:bCs/>
          <w:iCs/>
        </w:rPr>
        <w:t xml:space="preserve">These labels have been assessed to comply with the requirements of </w:t>
      </w:r>
      <w:r w:rsidR="00125CC4" w:rsidRPr="00125CC4">
        <w:rPr>
          <w:bCs/>
          <w:iCs/>
        </w:rPr>
        <w:t>the Therapeutic Goods Order (</w:t>
      </w:r>
      <w:r w:rsidRPr="00125CC4">
        <w:rPr>
          <w:bCs/>
          <w:iCs/>
        </w:rPr>
        <w:t>TGO</w:t>
      </w:r>
      <w:r w:rsidR="00125CC4" w:rsidRPr="00125CC4">
        <w:rPr>
          <w:bCs/>
          <w:iCs/>
        </w:rPr>
        <w:t>)</w:t>
      </w:r>
      <w:r w:rsidRPr="00125CC4">
        <w:rPr>
          <w:bCs/>
          <w:iCs/>
        </w:rPr>
        <w:t xml:space="preserve"> 69 and TGO 91.</w:t>
      </w:r>
    </w:p>
    <w:p w:rsidR="008E7846" w:rsidRPr="008751DC" w:rsidRDefault="008E7846" w:rsidP="008E7846">
      <w:pPr>
        <w:pStyle w:val="Heading3"/>
      </w:pPr>
      <w:bookmarkStart w:id="34" w:name="_Toc247691509"/>
      <w:bookmarkStart w:id="35" w:name="_Toc314842493"/>
      <w:bookmarkStart w:id="36" w:name="_Toc12272141"/>
      <w:r>
        <w:t>Quality s</w:t>
      </w:r>
      <w:r w:rsidRPr="008751DC">
        <w:t>ummary</w:t>
      </w:r>
      <w:r>
        <w:t xml:space="preserve"> and conclusions</w:t>
      </w:r>
      <w:bookmarkEnd w:id="34"/>
      <w:bookmarkEnd w:id="35"/>
      <w:bookmarkEnd w:id="36"/>
    </w:p>
    <w:p w:rsidR="00D34A35" w:rsidRPr="00B21308" w:rsidRDefault="00D34A35" w:rsidP="00D34A35">
      <w:bookmarkStart w:id="37" w:name="_Toc513102768"/>
      <w:r w:rsidRPr="00B21308">
        <w:t>There are no issues pertaining to stability of drug substance and drug product.</w:t>
      </w:r>
    </w:p>
    <w:p w:rsidR="00AA6B20" w:rsidRDefault="00D34A35" w:rsidP="00D34A35">
      <w:r>
        <w:t>There are no objections to the registration of this product from sterility; endotoxin, container safety and viral safety related aspects.</w:t>
      </w:r>
    </w:p>
    <w:p w:rsidR="00D34A35" w:rsidRDefault="00D34A35" w:rsidP="00D34A35">
      <w:r>
        <w:t>Overall, sufficient evidence has been provided to demonstrate that the risks related to the manufacturing quality of Kevzara have been controlled to an acceptable level.</w:t>
      </w:r>
    </w:p>
    <w:p w:rsidR="00885729" w:rsidRDefault="00885729" w:rsidP="00885729">
      <w:pPr>
        <w:pStyle w:val="Heading4"/>
      </w:pPr>
      <w:r>
        <w:t>Recommendation</w:t>
      </w:r>
      <w:r w:rsidR="00026F8C">
        <w:t xml:space="preserve"> regarding approval </w:t>
      </w:r>
      <w:r>
        <w:t xml:space="preserve">to the </w:t>
      </w:r>
      <w:r w:rsidR="004A1A01">
        <w:t>d</w:t>
      </w:r>
      <w:r>
        <w:t>elegate</w:t>
      </w:r>
      <w:bookmarkEnd w:id="37"/>
    </w:p>
    <w:p w:rsidR="00885729" w:rsidRDefault="00885729" w:rsidP="00885729">
      <w:r>
        <w:t>There are no objections on quality grounds to the approval of Kevzara.</w:t>
      </w:r>
    </w:p>
    <w:p w:rsidR="00885729" w:rsidRDefault="00885729" w:rsidP="00D34A35">
      <w:pPr>
        <w:pStyle w:val="Heading5"/>
      </w:pPr>
      <w:bookmarkStart w:id="38" w:name="_Toc513102770"/>
      <w:r>
        <w:t xml:space="preserve">Proposed conditions of registration for </w:t>
      </w:r>
      <w:r w:rsidR="004A1A01">
        <w:t>d</w:t>
      </w:r>
      <w:r>
        <w:t>elegate</w:t>
      </w:r>
      <w:bookmarkEnd w:id="38"/>
    </w:p>
    <w:p w:rsidR="00885729" w:rsidRDefault="00885729" w:rsidP="00D34A35">
      <w:pPr>
        <w:pStyle w:val="Heading6"/>
      </w:pPr>
      <w:bookmarkStart w:id="39" w:name="_Toc513102771"/>
      <w:r>
        <w:t xml:space="preserve">Batch release testing </w:t>
      </w:r>
      <w:r w:rsidR="00EB4B8A">
        <w:t>and</w:t>
      </w:r>
      <w:r>
        <w:t xml:space="preserve"> compliance with Certified Product Details (CPD)</w:t>
      </w:r>
      <w:bookmarkEnd w:id="39"/>
    </w:p>
    <w:p w:rsidR="00885729" w:rsidRDefault="00885729" w:rsidP="00885729">
      <w:pPr>
        <w:pStyle w:val="Numberbullet0"/>
      </w:pPr>
      <w:r>
        <w:t>It is a condition of registration that all batches of Kevzara</w:t>
      </w:r>
      <w:r>
        <w:rPr>
          <w:b/>
          <w:bCs/>
          <w:color w:val="FF0000"/>
        </w:rPr>
        <w:t xml:space="preserve"> </w:t>
      </w:r>
      <w:r>
        <w:t>imported into/manufactured in Australia must comply with the product details and specifications approved during evaluation and detailed in the Certified Product Details (CPD).</w:t>
      </w:r>
    </w:p>
    <w:p w:rsidR="00885729" w:rsidRDefault="00885729" w:rsidP="00885729">
      <w:pPr>
        <w:pStyle w:val="Numberbullet0"/>
      </w:pPr>
      <w:r>
        <w:t>It is a condition of registration that each batch of Kevzara imported into/manufactured in Australia is not released for sale until samples and/or the manufacturer’s release data have been assessed and endorsed for release by the TGA Laboratories Branch. Outcomes of laboratory testing are published biannually in the TGA Database of Laboratory Testing Results.</w:t>
      </w:r>
    </w:p>
    <w:p w:rsidR="00885729" w:rsidRDefault="00885729" w:rsidP="00885729">
      <w:pPr>
        <w:pStyle w:val="Numberbullet0"/>
      </w:pPr>
      <w:r>
        <w:rPr>
          <w:rFonts w:eastAsia="MS Mincho"/>
        </w:rPr>
        <w:t>The sponsor should be prepared to provide product samples, reference materials and documentary evidence as defined by the TGA Laboratories branch. The</w:t>
      </w:r>
      <w:r>
        <w:t xml:space="preserve"> sponsor must contact </w:t>
      </w:r>
      <w:hyperlink r:id="rId18" w:history="1">
        <w:r>
          <w:rPr>
            <w:rStyle w:val="Hyperlink"/>
          </w:rPr>
          <w:t>Biochemistry.Testing@health.gov.au</w:t>
        </w:r>
      </w:hyperlink>
      <w:r>
        <w:t xml:space="preserve"> for specific material requirements related to the batch release testing/assessment of the product. More information on TGA testing of biological medicines is available</w:t>
      </w:r>
      <w:r w:rsidR="00026F8C">
        <w:t xml:space="preserve"> [on the TGA website]</w:t>
      </w:r>
      <w:r>
        <w:t>.</w:t>
      </w:r>
    </w:p>
    <w:p w:rsidR="00885729" w:rsidRPr="002D53B7" w:rsidRDefault="00885729" w:rsidP="001D4F25">
      <w:pPr>
        <w:ind w:left="425"/>
      </w:pPr>
      <w:r w:rsidRPr="002D53B7">
        <w:t>This batch release condition will be reviewed and may be modified on the basis of actual batch quality and consistency. This condition remains in place until you are notified in writing of any variation.</w:t>
      </w:r>
    </w:p>
    <w:p w:rsidR="00885729" w:rsidRDefault="00885729" w:rsidP="00D34A35">
      <w:pPr>
        <w:pStyle w:val="Heading6"/>
      </w:pPr>
      <w:bookmarkStart w:id="40" w:name="_Toc513102772"/>
      <w:r>
        <w:lastRenderedPageBreak/>
        <w:t xml:space="preserve">Certified </w:t>
      </w:r>
      <w:r w:rsidR="004A1A01">
        <w:t>product details</w:t>
      </w:r>
      <w:bookmarkEnd w:id="40"/>
    </w:p>
    <w:p w:rsidR="00885729" w:rsidRPr="002D53B7" w:rsidRDefault="00885729" w:rsidP="002D53B7">
      <w:r w:rsidRPr="002D53B7">
        <w:t>The Certified Product Details (CPD), as described in Guidance 7: Certified Product Details of the Australian Regulatory Guidelines for Prescription Medicines (ARGPM), in PDF format, for the above products should be provided upon registration of these therapeutic goods. In addition, an updated CPD should be provided when changes to finished product specifications and test methods are approved in a Category 3 application or notified through a self-assessable change.</w:t>
      </w:r>
    </w:p>
    <w:p w:rsidR="008E7846" w:rsidRDefault="008E7846" w:rsidP="008E7846">
      <w:pPr>
        <w:pStyle w:val="Heading2"/>
      </w:pPr>
      <w:bookmarkStart w:id="41" w:name="_Toc196046439"/>
      <w:bookmarkStart w:id="42" w:name="_Toc247691510"/>
      <w:bookmarkStart w:id="43" w:name="_Toc314842494"/>
      <w:bookmarkStart w:id="44" w:name="_Toc12272142"/>
      <w:r>
        <w:t>I</w:t>
      </w:r>
      <w:r w:rsidR="00500337">
        <w:t>V</w:t>
      </w:r>
      <w:r>
        <w:t>. Nonclinical</w:t>
      </w:r>
      <w:bookmarkEnd w:id="41"/>
      <w:r>
        <w:t xml:space="preserve"> findings</w:t>
      </w:r>
      <w:bookmarkEnd w:id="42"/>
      <w:bookmarkEnd w:id="43"/>
      <w:bookmarkEnd w:id="44"/>
    </w:p>
    <w:p w:rsidR="008E7846" w:rsidRDefault="008E7846" w:rsidP="00940A89">
      <w:pPr>
        <w:pStyle w:val="Heading3"/>
      </w:pPr>
      <w:bookmarkStart w:id="45" w:name="_Toc247691511"/>
      <w:bookmarkStart w:id="46" w:name="_Toc314842495"/>
      <w:bookmarkStart w:id="47" w:name="_Toc12272143"/>
      <w:r>
        <w:t>Introduction</w:t>
      </w:r>
      <w:bookmarkEnd w:id="45"/>
      <w:bookmarkEnd w:id="46"/>
      <w:bookmarkEnd w:id="47"/>
    </w:p>
    <w:p w:rsidR="00720B5E" w:rsidRDefault="00720B5E" w:rsidP="00624646">
      <w:pPr>
        <w:pStyle w:val="Heading4"/>
      </w:pPr>
      <w:bookmarkStart w:id="48" w:name="_Toc507484931"/>
      <w:bookmarkStart w:id="49" w:name="_Toc295290864"/>
      <w:bookmarkStart w:id="50" w:name="_Toc294861722"/>
      <w:r>
        <w:t>Overall quality of the nonclinical dossier</w:t>
      </w:r>
      <w:bookmarkEnd w:id="48"/>
      <w:bookmarkEnd w:id="49"/>
      <w:bookmarkEnd w:id="50"/>
    </w:p>
    <w:p w:rsidR="00AA6B20" w:rsidRDefault="00720B5E" w:rsidP="00720B5E">
      <w:pPr>
        <w:rPr>
          <w:snapToGrid w:val="0"/>
        </w:rPr>
      </w:pPr>
      <w:r>
        <w:rPr>
          <w:snapToGrid w:val="0"/>
        </w:rPr>
        <w:t xml:space="preserve">The dossier of pharmacology studies consisted of original studies and covered the mechanism of action as well as </w:t>
      </w:r>
      <w:r w:rsidRPr="00D34A35">
        <w:rPr>
          <w:snapToGrid w:val="0"/>
        </w:rPr>
        <w:t>in vitro and in vivo efficacy in a murine joint inflammation model. Sarilumab does not bind to mouse IL-</w:t>
      </w:r>
      <w:r>
        <w:rPr>
          <w:snapToGrid w:val="0"/>
        </w:rPr>
        <w:t>6Rα, and therefore a surrogate murine monoclonal antibody against mouse IL-6Rα (REGN844) was generated to conduct pharmacology and reproductive and developmental toxicology studies in wild-type (WT) mice.</w:t>
      </w:r>
    </w:p>
    <w:p w:rsidR="00720B5E" w:rsidRDefault="00720B5E" w:rsidP="00720B5E">
      <w:pPr>
        <w:rPr>
          <w:snapToGrid w:val="0"/>
        </w:rPr>
      </w:pPr>
      <w:r>
        <w:rPr>
          <w:snapToGrid w:val="0"/>
        </w:rPr>
        <w:t xml:space="preserve">A murine </w:t>
      </w:r>
      <w:r w:rsidRPr="00D34A35">
        <w:rPr>
          <w:snapToGrid w:val="0"/>
        </w:rPr>
        <w:t>in vivo</w:t>
      </w:r>
      <w:r>
        <w:rPr>
          <w:snapToGrid w:val="0"/>
        </w:rPr>
        <w:t xml:space="preserve"> pharmacology study with sarilumab</w:t>
      </w:r>
      <w:r w:rsidR="00D34A35">
        <w:rPr>
          <w:snapToGrid w:val="0"/>
        </w:rPr>
        <w:t xml:space="preserve"> was performed in double-humanis</w:t>
      </w:r>
      <w:r>
        <w:rPr>
          <w:snapToGrid w:val="0"/>
        </w:rPr>
        <w:t>ed (IL-6hu/</w:t>
      </w:r>
      <w:proofErr w:type="spellStart"/>
      <w:r>
        <w:rPr>
          <w:snapToGrid w:val="0"/>
        </w:rPr>
        <w:t>hu</w:t>
      </w:r>
      <w:proofErr w:type="spellEnd"/>
      <w:r>
        <w:rPr>
          <w:snapToGrid w:val="0"/>
        </w:rPr>
        <w:t xml:space="preserve"> IL-6Rα</w:t>
      </w:r>
      <w:proofErr w:type="spellStart"/>
      <w:r>
        <w:rPr>
          <w:snapToGrid w:val="0"/>
        </w:rPr>
        <w:t>hu</w:t>
      </w:r>
      <w:proofErr w:type="spellEnd"/>
      <w:r>
        <w:rPr>
          <w:snapToGrid w:val="0"/>
        </w:rPr>
        <w:t>/</w:t>
      </w:r>
      <w:proofErr w:type="spellStart"/>
      <w:r>
        <w:rPr>
          <w:snapToGrid w:val="0"/>
        </w:rPr>
        <w:t>hu</w:t>
      </w:r>
      <w:proofErr w:type="spellEnd"/>
      <w:r>
        <w:rPr>
          <w:snapToGrid w:val="0"/>
        </w:rPr>
        <w:t xml:space="preserve">) mice expressing human IL-6 and the human </w:t>
      </w:r>
      <w:proofErr w:type="spellStart"/>
      <w:r>
        <w:rPr>
          <w:snapToGrid w:val="0"/>
        </w:rPr>
        <w:t>ectodomain</w:t>
      </w:r>
      <w:proofErr w:type="spellEnd"/>
      <w:r>
        <w:rPr>
          <w:snapToGrid w:val="0"/>
        </w:rPr>
        <w:t xml:space="preserve"> of IL-6Rα instead of the equivalent mouse gene products. All toxicology studies were performed in responsive species, either in monkeys (using sarilumab) or mice (using REGN844). The studies were </w:t>
      </w:r>
      <w:r w:rsidR="00D34A35">
        <w:rPr>
          <w:snapToGrid w:val="0"/>
        </w:rPr>
        <w:t>Good Laboratory Practice (</w:t>
      </w:r>
      <w:r>
        <w:rPr>
          <w:snapToGrid w:val="0"/>
        </w:rPr>
        <w:t>GLP</w:t>
      </w:r>
      <w:r w:rsidR="00D34A35">
        <w:rPr>
          <w:snapToGrid w:val="0"/>
        </w:rPr>
        <w:t>)</w:t>
      </w:r>
      <w:r>
        <w:rPr>
          <w:snapToGrid w:val="0"/>
        </w:rPr>
        <w:t xml:space="preserve"> compliant and generally appeared to be concordant with relevant guidelines.</w:t>
      </w:r>
      <w:bookmarkStart w:id="51" w:name="_Ref528066336"/>
      <w:r w:rsidR="00D34A35">
        <w:rPr>
          <w:rStyle w:val="FootnoteReference"/>
          <w:snapToGrid w:val="0"/>
        </w:rPr>
        <w:footnoteReference w:id="1"/>
      </w:r>
      <w:bookmarkEnd w:id="51"/>
      <w:r>
        <w:rPr>
          <w:snapToGrid w:val="0"/>
        </w:rPr>
        <w:t xml:space="preserve"> The dossier was of adequate quality to enable an assessment of the toxicity of the proposed product to be conducted. In addition, the sponsor provided a number of studies published in the literature describing the role of IL-6/IL-6R in normal cellular processes and in RA.</w:t>
      </w:r>
    </w:p>
    <w:p w:rsidR="00720B5E" w:rsidRDefault="00720B5E" w:rsidP="00720B5E">
      <w:pPr>
        <w:rPr>
          <w:rFonts w:eastAsia="MS Mincho" w:cstheme="minorBidi"/>
          <w:kern w:val="2"/>
        </w:rPr>
      </w:pPr>
      <w:r>
        <w:rPr>
          <w:snapToGrid w:val="0"/>
        </w:rPr>
        <w:t xml:space="preserve">All of the original sarilumab toxicology studies were conducted with the same formulation buffer and original manufacturing process (P1) used in the Phase </w:t>
      </w:r>
      <w:r w:rsidR="00AA6B20">
        <w:rPr>
          <w:snapToGrid w:val="0"/>
        </w:rPr>
        <w:t>I</w:t>
      </w:r>
      <w:r>
        <w:rPr>
          <w:snapToGrid w:val="0"/>
        </w:rPr>
        <w:t xml:space="preserve"> clinical trials. A new process (P3, used in </w:t>
      </w:r>
      <w:r w:rsidR="001470FB">
        <w:rPr>
          <w:snapToGrid w:val="0"/>
        </w:rPr>
        <w:t>Phase III</w:t>
      </w:r>
      <w:r>
        <w:rPr>
          <w:snapToGrid w:val="0"/>
        </w:rPr>
        <w:t xml:space="preserve"> clinical trials) was only used in a bridging study in monkeys (in which no toxicological differences were observed between process formulations P1 and P3).</w:t>
      </w:r>
    </w:p>
    <w:p w:rsidR="008E7846" w:rsidRDefault="008E7846" w:rsidP="008E7846">
      <w:pPr>
        <w:pStyle w:val="Heading3"/>
      </w:pPr>
      <w:bookmarkStart w:id="52" w:name="_Toc247691512"/>
      <w:bookmarkStart w:id="53" w:name="_Toc314842496"/>
      <w:bookmarkStart w:id="54" w:name="_Toc12272144"/>
      <w:r w:rsidRPr="00020030">
        <w:t>Pharmacology</w:t>
      </w:r>
      <w:bookmarkEnd w:id="52"/>
      <w:bookmarkEnd w:id="53"/>
      <w:bookmarkEnd w:id="54"/>
    </w:p>
    <w:p w:rsidR="00720B5E" w:rsidRDefault="00720B5E" w:rsidP="00720B5E">
      <w:pPr>
        <w:pStyle w:val="Heading4"/>
      </w:pPr>
      <w:r>
        <w:t>Primary pharmacology</w:t>
      </w:r>
    </w:p>
    <w:p w:rsidR="00720B5E" w:rsidRDefault="00720B5E" w:rsidP="00720B5E">
      <w:pPr>
        <w:rPr>
          <w:kern w:val="16"/>
        </w:rPr>
      </w:pPr>
      <w:r>
        <w:t>Dysregulation of IL-6-type cytokine signalling contributes to the onset and maintenance of several diseases, including RA, and in fact IL-6 is found in RA synovial tissue. The key studies submitted with this application focussed on the ability of sarilumab (and its murine surrogate) to block the interaction of IL-6Rα with IL-6 (and therefore to block IL</w:t>
      </w:r>
      <w:r w:rsidR="00A26678">
        <w:noBreakHyphen/>
      </w:r>
      <w:r>
        <w:t xml:space="preserve">6-induced receptor signalling). Three </w:t>
      </w:r>
      <w:r w:rsidRPr="00AA6B20">
        <w:t>in vivo</w:t>
      </w:r>
      <w:r>
        <w:t xml:space="preserve"> pharmacology studies were submitted, one using sarilumab in a double</w:t>
      </w:r>
      <w:r>
        <w:rPr>
          <w:spacing w:val="81"/>
        </w:rPr>
        <w:t xml:space="preserve"> </w:t>
      </w:r>
      <w:r w:rsidR="00AA6B20">
        <w:rPr>
          <w:spacing w:val="-1"/>
        </w:rPr>
        <w:t>humanis</w:t>
      </w:r>
      <w:r>
        <w:rPr>
          <w:spacing w:val="-1"/>
        </w:rPr>
        <w:t>ed</w:t>
      </w:r>
      <w:r>
        <w:t xml:space="preserve"> mouse</w:t>
      </w:r>
      <w:r>
        <w:rPr>
          <w:spacing w:val="-1"/>
        </w:rPr>
        <w:t xml:space="preserve"> (IL</w:t>
      </w:r>
      <w:r>
        <w:rPr>
          <w:spacing w:val="-1"/>
        </w:rPr>
        <w:noBreakHyphen/>
        <w:t>6</w:t>
      </w:r>
      <w:r>
        <w:rPr>
          <w:spacing w:val="-1"/>
          <w:vertAlign w:val="superscript"/>
        </w:rPr>
        <w:t>hu/hu</w:t>
      </w:r>
      <w:r>
        <w:rPr>
          <w:spacing w:val="-1"/>
        </w:rPr>
        <w:t>IL-6a</w:t>
      </w:r>
      <w:r>
        <w:rPr>
          <w:spacing w:val="-1"/>
          <w:vertAlign w:val="superscript"/>
        </w:rPr>
        <w:t>hu/</w:t>
      </w:r>
      <w:proofErr w:type="spellStart"/>
      <w:r>
        <w:rPr>
          <w:spacing w:val="-1"/>
          <w:vertAlign w:val="superscript"/>
        </w:rPr>
        <w:t>hu</w:t>
      </w:r>
      <w:proofErr w:type="spellEnd"/>
      <w:r>
        <w:rPr>
          <w:spacing w:val="-1"/>
        </w:rPr>
        <w:t>)</w:t>
      </w:r>
      <w:r>
        <w:t xml:space="preserve">, and </w:t>
      </w:r>
      <w:proofErr w:type="gramStart"/>
      <w:r>
        <w:t>two using</w:t>
      </w:r>
      <w:proofErr w:type="gramEnd"/>
      <w:r>
        <w:t xml:space="preserve"> REGN844 in wild type mice.</w:t>
      </w:r>
    </w:p>
    <w:p w:rsidR="00AA6B20" w:rsidRDefault="00720B5E" w:rsidP="00720B5E">
      <w:pPr>
        <w:rPr>
          <w:rFonts w:eastAsia="Times New Roman"/>
          <w:kern w:val="16"/>
          <w:szCs w:val="24"/>
        </w:rPr>
      </w:pPr>
      <w:r>
        <w:rPr>
          <w:rFonts w:eastAsia="Times New Roman"/>
          <w:kern w:val="16"/>
          <w:szCs w:val="24"/>
        </w:rPr>
        <w:lastRenderedPageBreak/>
        <w:t>IL-6 exerts its action through interaction with either a membrane bound or soluble form of the IL-6 receptor (mIL-6R and sIL-6R, respectively). The sarilumab dissociation constant (K</w:t>
      </w:r>
      <w:r>
        <w:rPr>
          <w:rFonts w:eastAsia="Times New Roman"/>
          <w:kern w:val="16"/>
          <w:szCs w:val="24"/>
          <w:vertAlign w:val="subscript"/>
        </w:rPr>
        <w:t>D</w:t>
      </w:r>
      <w:r>
        <w:rPr>
          <w:rFonts w:eastAsia="Times New Roman"/>
          <w:kern w:val="16"/>
          <w:szCs w:val="24"/>
        </w:rPr>
        <w:t xml:space="preserve">) for human and monkey IL-6Rα was 54 and 123 </w:t>
      </w:r>
      <w:proofErr w:type="spellStart"/>
      <w:r>
        <w:rPr>
          <w:rFonts w:eastAsia="Times New Roman"/>
          <w:kern w:val="16"/>
          <w:szCs w:val="24"/>
        </w:rPr>
        <w:t>pM</w:t>
      </w:r>
      <w:proofErr w:type="spellEnd"/>
      <w:r>
        <w:rPr>
          <w:rFonts w:eastAsia="Times New Roman"/>
          <w:kern w:val="16"/>
          <w:szCs w:val="24"/>
        </w:rPr>
        <w:t xml:space="preserve"> respectively, whereas the dissociation constant of REGN844 for mouse IL-6Rα was 193pM.</w:t>
      </w:r>
    </w:p>
    <w:p w:rsidR="00AA6B20" w:rsidRDefault="00720B5E" w:rsidP="00720B5E">
      <w:pPr>
        <w:rPr>
          <w:rFonts w:eastAsia="Times New Roman"/>
          <w:kern w:val="16"/>
          <w:szCs w:val="24"/>
        </w:rPr>
      </w:pPr>
      <w:r>
        <w:rPr>
          <w:rFonts w:eastAsia="Times New Roman"/>
          <w:kern w:val="16"/>
          <w:szCs w:val="24"/>
        </w:rPr>
        <w:t xml:space="preserve">Sarilumab bound to monkey and </w:t>
      </w:r>
      <w:r w:rsidRPr="00AA6B20">
        <w:t xml:space="preserve">human </w:t>
      </w:r>
      <w:r w:rsidR="00AA6B20" w:rsidRPr="00AA6B20">
        <w:t>peripheral blood mononuclear cells (PBMCs)</w:t>
      </w:r>
      <w:r w:rsidRPr="00AA6B20">
        <w:t xml:space="preserve">, </w:t>
      </w:r>
      <w:r>
        <w:rPr>
          <w:rFonts w:eastAsia="Times New Roman"/>
          <w:kern w:val="16"/>
          <w:szCs w:val="24"/>
        </w:rPr>
        <w:t>and not to PBMCs of dogs, sheep, mini-pigs, rabbits, hamsters, guinea pigs, rats or mice. Sarilumab also bound to human and monkey tissues with a very similar pattern of immunohistochemistry staining.</w:t>
      </w:r>
      <w:r w:rsidR="003E7288">
        <w:rPr>
          <w:rFonts w:eastAsia="Times New Roman"/>
          <w:kern w:val="16"/>
          <w:szCs w:val="24"/>
        </w:rPr>
        <w:t xml:space="preserve"> </w:t>
      </w:r>
      <w:r>
        <w:rPr>
          <w:rFonts w:eastAsia="Times New Roman"/>
          <w:kern w:val="16"/>
          <w:szCs w:val="24"/>
        </w:rPr>
        <w:t xml:space="preserve">Specific staining was almost exclusively detected in the cytoplasm and/or cytoplasmic granules in tissues of both species. Membrane staining was not observed in any of the human tissues and only in mammary gland epithelium from one monkey. The potential toxicological impact of the cytoplasmic binding is unknown but of little concern since access to the antibody by the cytoplasm </w:t>
      </w:r>
      <w:r w:rsidRPr="00AA6B20">
        <w:rPr>
          <w:rFonts w:eastAsia="Times New Roman"/>
          <w:kern w:val="16"/>
          <w:szCs w:val="24"/>
        </w:rPr>
        <w:t>in vivo</w:t>
      </w:r>
      <w:r>
        <w:rPr>
          <w:rFonts w:eastAsia="Times New Roman"/>
          <w:kern w:val="16"/>
          <w:szCs w:val="24"/>
        </w:rPr>
        <w:t xml:space="preserve"> is not expected.</w:t>
      </w:r>
      <w:r w:rsidR="003E7288">
        <w:rPr>
          <w:rFonts w:eastAsia="Times New Roman"/>
          <w:kern w:val="16"/>
          <w:szCs w:val="24"/>
        </w:rPr>
        <w:t xml:space="preserve"> </w:t>
      </w:r>
      <w:r>
        <w:rPr>
          <w:rFonts w:eastAsia="Times New Roman"/>
          <w:kern w:val="16"/>
          <w:szCs w:val="24"/>
        </w:rPr>
        <w:t>Taken together, the monkey was an appropriate species for the evaluation of the pharmacology, pharmacokinetics and toxicology of sarilumab.</w:t>
      </w:r>
    </w:p>
    <w:p w:rsidR="00AA6B20" w:rsidRDefault="00720B5E" w:rsidP="00720B5E">
      <w:pPr>
        <w:rPr>
          <w:rFonts w:eastAsia="Times New Roman"/>
          <w:kern w:val="16"/>
          <w:szCs w:val="24"/>
        </w:rPr>
      </w:pPr>
      <w:r>
        <w:rPr>
          <w:rFonts w:eastAsia="Times New Roman"/>
          <w:kern w:val="16"/>
          <w:szCs w:val="24"/>
        </w:rPr>
        <w:t xml:space="preserve">IL-6 is a cytokine from a family of mediators which modulate the immune response, including induction of inflammation, and are involved in the regulation of the acute-phase response to injury and infection. It is produced by T cells, monocytes and fibroblasts and induces B cell and T cell proliferation and differentiation, as well as the differentiation of macrophages, osteoclasts, and megakaryocytes. As anticipated from these functions, IL-6 also has a role in haematopoiesis, but is also implicated in liver and neuronal regeneration, embryonic development and fertility. A pleiotropic effect of IL-6 is to be anticipated, since the signal transducer in both cases is the </w:t>
      </w:r>
      <w:proofErr w:type="spellStart"/>
      <w:r>
        <w:rPr>
          <w:rFonts w:eastAsia="Times New Roman"/>
          <w:kern w:val="16"/>
          <w:szCs w:val="24"/>
        </w:rPr>
        <w:t>gp</w:t>
      </w:r>
      <w:proofErr w:type="spellEnd"/>
      <w:r>
        <w:rPr>
          <w:rFonts w:eastAsia="Times New Roman"/>
          <w:kern w:val="16"/>
          <w:szCs w:val="24"/>
        </w:rPr>
        <w:t xml:space="preserve"> (glycoprotein) 130 protein, the interaction resulting in the activation of the JAK/STAT (Janus kinase/signal transducer and activator of transcription) and MAPK (mitogen-activated protein kinase) cascades.</w:t>
      </w:r>
    </w:p>
    <w:p w:rsidR="00720B5E" w:rsidRDefault="00720B5E" w:rsidP="00720B5E">
      <w:pPr>
        <w:rPr>
          <w:rFonts w:eastAsia="Times New Roman"/>
          <w:kern w:val="16"/>
          <w:szCs w:val="24"/>
        </w:rPr>
      </w:pPr>
      <w:r>
        <w:rPr>
          <w:rFonts w:eastAsia="Times New Roman"/>
          <w:kern w:val="16"/>
          <w:szCs w:val="24"/>
        </w:rPr>
        <w:t xml:space="preserve">Sarilumab blocked IL-6 dependent STAT-3 activation in HepG2 human </w:t>
      </w:r>
      <w:proofErr w:type="spellStart"/>
      <w:r>
        <w:rPr>
          <w:rFonts w:eastAsia="Times New Roman"/>
          <w:kern w:val="16"/>
          <w:szCs w:val="24"/>
        </w:rPr>
        <w:t>hepatocarcinoma</w:t>
      </w:r>
      <w:proofErr w:type="spellEnd"/>
      <w:r>
        <w:rPr>
          <w:rFonts w:eastAsia="Times New Roman"/>
          <w:kern w:val="16"/>
          <w:szCs w:val="24"/>
        </w:rPr>
        <w:t xml:space="preserve"> cells (expressing membrane-bound IL-6Rα), and trans-signalling (induced by a combination of IL-6 and soluble IL-6R α) in an engineered </w:t>
      </w:r>
      <w:r w:rsidR="00AA6B20">
        <w:rPr>
          <w:rFonts w:eastAsia="Times New Roman"/>
          <w:kern w:val="16"/>
          <w:szCs w:val="24"/>
        </w:rPr>
        <w:t>human embryonic kidney (</w:t>
      </w:r>
      <w:r>
        <w:rPr>
          <w:rFonts w:eastAsia="Times New Roman"/>
          <w:kern w:val="16"/>
          <w:szCs w:val="24"/>
        </w:rPr>
        <w:t>HEK</w:t>
      </w:r>
      <w:r w:rsidR="00AA6B20">
        <w:rPr>
          <w:rFonts w:eastAsia="Times New Roman"/>
          <w:kern w:val="16"/>
          <w:szCs w:val="24"/>
        </w:rPr>
        <w:t>)</w:t>
      </w:r>
      <w:r>
        <w:rPr>
          <w:rFonts w:eastAsia="Times New Roman"/>
          <w:kern w:val="16"/>
          <w:szCs w:val="24"/>
        </w:rPr>
        <w:t>-293 cell line over expressing gp130 but not expressing IL-6Rα. In vitro cell-based assays for antibody-dependent cell-mediated cytotoxicity (ADCC) and complement-dependent cytotoxicity (CDC) did not detect Fc effector function activity associated with sarilumab.</w:t>
      </w:r>
    </w:p>
    <w:p w:rsidR="00720B5E" w:rsidRDefault="00720B5E" w:rsidP="00720B5E">
      <w:pPr>
        <w:rPr>
          <w:rFonts w:eastAsia="Times New Roman"/>
          <w:kern w:val="16"/>
          <w:szCs w:val="24"/>
        </w:rPr>
      </w:pPr>
      <w:r>
        <w:rPr>
          <w:rFonts w:eastAsia="Times New Roman"/>
          <w:kern w:val="16"/>
          <w:szCs w:val="24"/>
        </w:rPr>
        <w:t>The mouse surrogate IL-6Rα antibody</w:t>
      </w:r>
      <w:r w:rsidR="00AA6B20">
        <w:rPr>
          <w:rFonts w:eastAsia="Times New Roman"/>
          <w:kern w:val="16"/>
          <w:szCs w:val="24"/>
        </w:rPr>
        <w:t xml:space="preserve"> </w:t>
      </w:r>
      <w:r>
        <w:rPr>
          <w:rFonts w:eastAsia="Times New Roman"/>
          <w:kern w:val="16"/>
          <w:szCs w:val="24"/>
        </w:rPr>
        <w:t>REGN844 bound mouse IL-6Rα (K</w:t>
      </w:r>
      <w:r>
        <w:rPr>
          <w:rFonts w:eastAsia="Times New Roman"/>
          <w:kern w:val="16"/>
          <w:szCs w:val="24"/>
          <w:vertAlign w:val="subscript"/>
        </w:rPr>
        <w:t>D</w:t>
      </w:r>
      <w:r>
        <w:rPr>
          <w:rFonts w:eastAsia="Times New Roman"/>
          <w:kern w:val="16"/>
          <w:szCs w:val="24"/>
        </w:rPr>
        <w:t xml:space="preserve"> 193 </w:t>
      </w:r>
      <w:proofErr w:type="spellStart"/>
      <w:r>
        <w:rPr>
          <w:rFonts w:eastAsia="Times New Roman"/>
          <w:kern w:val="16"/>
          <w:szCs w:val="24"/>
        </w:rPr>
        <w:t>pM</w:t>
      </w:r>
      <w:proofErr w:type="spellEnd"/>
      <w:r>
        <w:rPr>
          <w:rFonts w:eastAsia="Times New Roman"/>
          <w:kern w:val="16"/>
          <w:szCs w:val="24"/>
        </w:rPr>
        <w:t xml:space="preserve">) with a similar potency to that of sarilumab with human and monkey receptors (54 and 123 </w:t>
      </w:r>
      <w:proofErr w:type="spellStart"/>
      <w:r>
        <w:rPr>
          <w:rFonts w:eastAsia="Times New Roman"/>
          <w:kern w:val="16"/>
          <w:szCs w:val="24"/>
        </w:rPr>
        <w:t>pM</w:t>
      </w:r>
      <w:proofErr w:type="spellEnd"/>
      <w:r>
        <w:rPr>
          <w:rFonts w:eastAsia="Times New Roman"/>
          <w:kern w:val="16"/>
          <w:szCs w:val="24"/>
        </w:rPr>
        <w:t>). REGN844 inhibited the binding of human IL-6 to mouse IL-6Rα (</w:t>
      </w:r>
      <w:r w:rsidR="007A4EEA">
        <w:rPr>
          <w:rFonts w:eastAsia="Times New Roman"/>
          <w:kern w:val="16"/>
          <w:szCs w:val="24"/>
        </w:rPr>
        <w:t>50% inhibitory concentration (</w:t>
      </w:r>
      <w:r>
        <w:rPr>
          <w:rFonts w:eastAsia="Times New Roman"/>
          <w:kern w:val="16"/>
          <w:szCs w:val="24"/>
        </w:rPr>
        <w:t>IC</w:t>
      </w:r>
      <w:r>
        <w:rPr>
          <w:rFonts w:eastAsia="Times New Roman"/>
          <w:kern w:val="16"/>
          <w:szCs w:val="24"/>
          <w:vertAlign w:val="subscript"/>
        </w:rPr>
        <w:t>50</w:t>
      </w:r>
      <w:r w:rsidR="007A4EEA">
        <w:rPr>
          <w:rFonts w:eastAsia="Times New Roman"/>
          <w:kern w:val="16"/>
          <w:szCs w:val="24"/>
        </w:rPr>
        <w:t>)</w:t>
      </w:r>
      <w:r>
        <w:rPr>
          <w:rFonts w:eastAsia="Times New Roman"/>
          <w:kern w:val="16"/>
          <w:szCs w:val="24"/>
        </w:rPr>
        <w:t xml:space="preserve">: 4 </w:t>
      </w:r>
      <w:proofErr w:type="spellStart"/>
      <w:r>
        <w:rPr>
          <w:rFonts w:eastAsia="Times New Roman"/>
          <w:kern w:val="16"/>
          <w:szCs w:val="24"/>
        </w:rPr>
        <w:t>nM</w:t>
      </w:r>
      <w:proofErr w:type="spellEnd"/>
      <w:r>
        <w:rPr>
          <w:rFonts w:eastAsia="Times New Roman"/>
          <w:kern w:val="16"/>
          <w:szCs w:val="24"/>
        </w:rPr>
        <w:t>) and the (IL-6 induced) proliferation of a mouse B cell hybridoma cell line (IC</w:t>
      </w:r>
      <w:r>
        <w:rPr>
          <w:rFonts w:eastAsia="Times New Roman"/>
          <w:kern w:val="16"/>
          <w:szCs w:val="24"/>
          <w:vertAlign w:val="subscript"/>
        </w:rPr>
        <w:t>50</w:t>
      </w:r>
      <w:r>
        <w:rPr>
          <w:rFonts w:eastAsia="Times New Roman"/>
          <w:kern w:val="16"/>
          <w:szCs w:val="24"/>
        </w:rPr>
        <w:t xml:space="preserve">: 110 </w:t>
      </w:r>
      <w:proofErr w:type="spellStart"/>
      <w:r>
        <w:rPr>
          <w:rFonts w:eastAsia="Times New Roman"/>
          <w:kern w:val="16"/>
          <w:szCs w:val="24"/>
        </w:rPr>
        <w:t>pM</w:t>
      </w:r>
      <w:proofErr w:type="spellEnd"/>
      <w:r>
        <w:rPr>
          <w:rFonts w:eastAsia="Times New Roman"/>
          <w:kern w:val="16"/>
          <w:szCs w:val="24"/>
        </w:rPr>
        <w:t>).</w:t>
      </w:r>
    </w:p>
    <w:p w:rsidR="00720B5E" w:rsidRDefault="00720B5E" w:rsidP="00720B5E">
      <w:pPr>
        <w:rPr>
          <w:rFonts w:eastAsia="Times New Roman"/>
          <w:kern w:val="16"/>
          <w:szCs w:val="24"/>
        </w:rPr>
      </w:pPr>
      <w:r>
        <w:rPr>
          <w:rFonts w:eastAsia="Times New Roman"/>
          <w:kern w:val="16"/>
          <w:szCs w:val="24"/>
        </w:rPr>
        <w:t>Turpentine</w:t>
      </w:r>
      <w:r w:rsidR="00EB4B8A">
        <w:rPr>
          <w:rFonts w:eastAsia="Times New Roman"/>
          <w:kern w:val="16"/>
          <w:szCs w:val="24"/>
        </w:rPr>
        <w:t xml:space="preserve"> </w:t>
      </w:r>
      <w:r>
        <w:rPr>
          <w:rFonts w:eastAsia="Times New Roman"/>
          <w:kern w:val="16"/>
          <w:szCs w:val="24"/>
        </w:rPr>
        <w:t>induced elevation of</w:t>
      </w:r>
      <w:r w:rsidR="00DD2390">
        <w:rPr>
          <w:rFonts w:eastAsia="Times New Roman"/>
          <w:kern w:val="16"/>
          <w:szCs w:val="24"/>
        </w:rPr>
        <w:t xml:space="preserve"> serum amyloid A (</w:t>
      </w:r>
      <w:r>
        <w:rPr>
          <w:rFonts w:eastAsia="Times New Roman"/>
          <w:kern w:val="16"/>
          <w:szCs w:val="24"/>
        </w:rPr>
        <w:t>SAA</w:t>
      </w:r>
      <w:r w:rsidR="00DD2390">
        <w:rPr>
          <w:rFonts w:eastAsia="Times New Roman"/>
          <w:kern w:val="16"/>
          <w:szCs w:val="24"/>
        </w:rPr>
        <w:t xml:space="preserve">; </w:t>
      </w:r>
      <w:r>
        <w:rPr>
          <w:rFonts w:eastAsia="Times New Roman"/>
          <w:kern w:val="16"/>
          <w:szCs w:val="24"/>
        </w:rPr>
        <w:t>an inflammation biomarker) was inhibited by sarilumab in double humanised (IL-6</w:t>
      </w:r>
      <w:r>
        <w:rPr>
          <w:rFonts w:eastAsia="Times New Roman"/>
          <w:kern w:val="16"/>
          <w:szCs w:val="24"/>
          <w:vertAlign w:val="superscript"/>
        </w:rPr>
        <w:t>hu</w:t>
      </w:r>
      <w:r>
        <w:rPr>
          <w:rFonts w:eastAsia="Times New Roman"/>
          <w:kern w:val="16"/>
          <w:szCs w:val="24"/>
        </w:rPr>
        <w:t>/</w:t>
      </w:r>
      <w:r>
        <w:rPr>
          <w:rFonts w:eastAsia="Times New Roman"/>
          <w:kern w:val="16"/>
          <w:szCs w:val="24"/>
          <w:vertAlign w:val="superscript"/>
        </w:rPr>
        <w:t>hu</w:t>
      </w:r>
      <w:r>
        <w:rPr>
          <w:rFonts w:eastAsia="Times New Roman"/>
          <w:kern w:val="16"/>
          <w:szCs w:val="24"/>
        </w:rPr>
        <w:t>IL-6Rα</w:t>
      </w:r>
      <w:proofErr w:type="spellStart"/>
      <w:r>
        <w:rPr>
          <w:rFonts w:eastAsia="Times New Roman"/>
          <w:kern w:val="16"/>
          <w:szCs w:val="24"/>
          <w:vertAlign w:val="superscript"/>
        </w:rPr>
        <w:t>hu</w:t>
      </w:r>
      <w:proofErr w:type="spellEnd"/>
      <w:r>
        <w:rPr>
          <w:rFonts w:eastAsia="Times New Roman"/>
          <w:kern w:val="16"/>
          <w:szCs w:val="24"/>
        </w:rPr>
        <w:t>/</w:t>
      </w:r>
      <w:proofErr w:type="spellStart"/>
      <w:r>
        <w:rPr>
          <w:rFonts w:eastAsia="Times New Roman"/>
          <w:kern w:val="16"/>
          <w:szCs w:val="24"/>
          <w:vertAlign w:val="superscript"/>
        </w:rPr>
        <w:t>hu</w:t>
      </w:r>
      <w:proofErr w:type="spellEnd"/>
      <w:r>
        <w:rPr>
          <w:rFonts w:eastAsia="Times New Roman"/>
          <w:kern w:val="16"/>
          <w:szCs w:val="24"/>
        </w:rPr>
        <w:t xml:space="preserve">) male mice expressing human IL-6 and the </w:t>
      </w:r>
      <w:proofErr w:type="spellStart"/>
      <w:r>
        <w:rPr>
          <w:rFonts w:eastAsia="Times New Roman"/>
          <w:kern w:val="16"/>
          <w:szCs w:val="24"/>
        </w:rPr>
        <w:t>ectodomain</w:t>
      </w:r>
      <w:proofErr w:type="spellEnd"/>
      <w:r>
        <w:rPr>
          <w:rFonts w:eastAsia="Times New Roman"/>
          <w:kern w:val="16"/>
          <w:szCs w:val="24"/>
        </w:rPr>
        <w:t xml:space="preserve"> of human IL-6Rα, and by REGN844 in wild type mice. In these studies, there was a trend towards increased concentrations of circulating IL-6 (human or mouse), supporting the argument that circulating IL-6 cannot bind the receptors since they are blocked by the antibody.</w:t>
      </w:r>
    </w:p>
    <w:p w:rsidR="00720B5E" w:rsidRDefault="00720B5E" w:rsidP="00720B5E">
      <w:pPr>
        <w:rPr>
          <w:rFonts w:eastAsia="Times New Roman"/>
          <w:kern w:val="16"/>
          <w:szCs w:val="24"/>
        </w:rPr>
      </w:pPr>
      <w:r>
        <w:rPr>
          <w:rFonts w:eastAsia="Times New Roman"/>
          <w:kern w:val="16"/>
          <w:szCs w:val="24"/>
        </w:rPr>
        <w:t>In the collagen-induced arthritis murine model, in which collagen was administered to cause autoimmunity to collagen and inflammation of synovial joints, prophylactic administration of REGN844 (10 or 30 mg/kg twice weekly) mitigated inflammation and bone erosion.</w:t>
      </w:r>
    </w:p>
    <w:p w:rsidR="00AA6B20" w:rsidRDefault="00720B5E" w:rsidP="00720B5E">
      <w:pPr>
        <w:rPr>
          <w:rFonts w:eastAsia="Times New Roman"/>
          <w:kern w:val="16"/>
          <w:szCs w:val="24"/>
        </w:rPr>
      </w:pPr>
      <w:r>
        <w:rPr>
          <w:rFonts w:eastAsia="Times New Roman"/>
          <w:kern w:val="16"/>
          <w:szCs w:val="24"/>
        </w:rPr>
        <w:t>Taken together, the results from the nonclinical studies described above support the proposed mechanism of action (direct inhibition of the binding between IL-6 and IL-6Rα) and the proposed indication.</w:t>
      </w:r>
    </w:p>
    <w:p w:rsidR="00AA6B20" w:rsidRDefault="00720B5E" w:rsidP="00F2151A">
      <w:r>
        <w:lastRenderedPageBreak/>
        <w:t>In mice, the serum IL-6 level was higher in the presence of the murine anti-IL-6R antibody</w:t>
      </w:r>
      <w:r w:rsidR="00A26678">
        <w:t>;</w:t>
      </w:r>
      <w:r>
        <w:t xml:space="preserve"> REGN844 in this </w:t>
      </w:r>
      <w:r w:rsidR="003F112F">
        <w:t>submission</w:t>
      </w:r>
      <w:r>
        <w:t xml:space="preserve"> and MR16-1 in </w:t>
      </w:r>
      <w:proofErr w:type="spellStart"/>
      <w:r>
        <w:t>Mihara</w:t>
      </w:r>
      <w:proofErr w:type="spellEnd"/>
      <w:r>
        <w:t xml:space="preserve"> </w:t>
      </w:r>
      <w:r w:rsidRPr="00485E22">
        <w:t>et al</w:t>
      </w:r>
      <w:r w:rsidR="00A26678">
        <w:t>.,</w:t>
      </w:r>
      <w:r>
        <w:t xml:space="preserve"> </w:t>
      </w:r>
      <w:r w:rsidR="00A26678">
        <w:t>(</w:t>
      </w:r>
      <w:r>
        <w:t>2002</w:t>
      </w:r>
      <w:r w:rsidR="00A26678">
        <w:t>).</w:t>
      </w:r>
      <w:r>
        <w:rPr>
          <w:rStyle w:val="FootnoteReference"/>
          <w:rFonts w:eastAsia="Times New Roman"/>
          <w:kern w:val="16"/>
          <w:szCs w:val="24"/>
        </w:rPr>
        <w:footnoteReference w:id="2"/>
      </w:r>
      <w:r>
        <w:t>. Intravenous administration of sarilumab increased serum IL-6 levels in monkeys (26</w:t>
      </w:r>
      <w:r w:rsidR="00AA6B20">
        <w:t xml:space="preserve"> </w:t>
      </w:r>
      <w:r>
        <w:t>week IV study). The most likely explanation is the displacement of IL-6 from the receptor, but a feedback-mediated change in its synthesis or elimination in the presence of an anti-IL-6R-antibody such as sarilumab may also be possible.</w:t>
      </w:r>
    </w:p>
    <w:p w:rsidR="00AA6B20" w:rsidRDefault="00720B5E" w:rsidP="00F2151A">
      <w:r>
        <w:t>The rapid turnover rate of the IL-6R (</w:t>
      </w:r>
      <w:r w:rsidR="00AA6B20">
        <w:t>half-life (</w:t>
      </w:r>
      <w:r w:rsidR="00A26678">
        <w:t>T</w:t>
      </w:r>
      <w:r w:rsidRPr="00AA6B20">
        <w:rPr>
          <w:vertAlign w:val="subscript"/>
        </w:rPr>
        <w:t>½</w:t>
      </w:r>
      <w:r w:rsidR="00AA6B20">
        <w:t>) of</w:t>
      </w:r>
      <w:r>
        <w:t xml:space="preserve"> 2</w:t>
      </w:r>
      <w:r w:rsidR="00A26678">
        <w:t xml:space="preserve"> to </w:t>
      </w:r>
      <w:r>
        <w:t>3 h) combined with continuous production of IL-6 during chronic inflammation suggests that a continuous presence of sarilumab is required for effective receptor inhibition. The need for continuous sarilumab presence was not evaluated due to the lack of a study using monkeys experiencing inflammation.</w:t>
      </w:r>
    </w:p>
    <w:p w:rsidR="00720B5E" w:rsidRDefault="00720B5E" w:rsidP="00F2151A">
      <w:r>
        <w:t>Sarilumab suppressed the IL-6/sIL-6R-induced STAT3 activation in human gp130</w:t>
      </w:r>
      <w:r w:rsidR="00A26678">
        <w:t xml:space="preserve"> </w:t>
      </w:r>
      <w:r>
        <w:t>overexpressing HEK293 cells, indicating that sarilumab/sIL-6R complexes are not biologically active. Dissociation of IL-6 and sIL-6R from their preformed complex in vitro due to sarilumab, and the effect of sarilumab on the levels or function of other interleukins, were not investigated.</w:t>
      </w:r>
    </w:p>
    <w:p w:rsidR="00720B5E" w:rsidRDefault="00720B5E" w:rsidP="00F2151A">
      <w:r>
        <w:t xml:space="preserve">There was evidence in the published literature to suggest that IL-6 is involved in the pathology of RA. Firstly, as reviewed </w:t>
      </w:r>
      <w:r w:rsidRPr="00622898">
        <w:t xml:space="preserve">by </w:t>
      </w:r>
      <w:r w:rsidR="00622898" w:rsidRPr="00622898">
        <w:t>Wong et al</w:t>
      </w:r>
      <w:r w:rsidR="00A26678">
        <w:t>.;</w:t>
      </w:r>
      <w:r w:rsidR="00622898" w:rsidRPr="00622898">
        <w:rPr>
          <w:rStyle w:val="FootnoteReference"/>
        </w:rPr>
        <w:footnoteReference w:id="3"/>
      </w:r>
      <w:r w:rsidRPr="00622898">
        <w:t xml:space="preserve"> IL-6-/-</w:t>
      </w:r>
      <w:r>
        <w:t xml:space="preserve"> mice are protected against joint inflammation and destruction in both collagen</w:t>
      </w:r>
      <w:r w:rsidR="00A26678">
        <w:t xml:space="preserve"> </w:t>
      </w:r>
      <w:r>
        <w:t>induced arthritis (CIA) and antigen</w:t>
      </w:r>
      <w:r w:rsidR="00A26678">
        <w:t> </w:t>
      </w:r>
      <w:r>
        <w:t>induced arthritis (AIA). While complete protection (no arthritis) was seen in one (CIA) study</w:t>
      </w:r>
      <w:r w:rsidR="00A26678">
        <w:t>,</w:t>
      </w:r>
      <w:r w:rsidR="00EE1913">
        <w:rPr>
          <w:rStyle w:val="FootnoteReference"/>
        </w:rPr>
        <w:footnoteReference w:id="4"/>
      </w:r>
      <w:r>
        <w:t xml:space="preserve"> amelioration (reduced severity and/or delayed onset) of arthritis was seen in other studies (with both CIA and AIA). This protection was seen despite the expression of both TNF and IL-1 in the inflamed synovium, indicating a particularly important role for IL-</w:t>
      </w:r>
      <w:r w:rsidRPr="00622898">
        <w:t>6 in these models of disease. In one study, arthritis was reduced and failed to progress to a chronic infiltrate in both AIA and zymogen-induced arthritis models in IL-6-/- mice.</w:t>
      </w:r>
      <w:r w:rsidR="00EE1913" w:rsidRPr="00622898">
        <w:rPr>
          <w:rStyle w:val="FootnoteReference"/>
        </w:rPr>
        <w:footnoteReference w:id="5"/>
      </w:r>
      <w:r w:rsidRPr="00622898">
        <w:t xml:space="preserve"> These findings suggest that IL-6 is important in either maintaining acute inflammation or converting it into a chronic phase. Secondly, (as also noted in Wong et al, 2003) an IL-6 receptor (IL-6R) </w:t>
      </w:r>
      <w:r w:rsidR="00A26678" w:rsidRPr="00622898">
        <w:t>neutrali</w:t>
      </w:r>
      <w:r w:rsidR="00A26678">
        <w:t>s</w:t>
      </w:r>
      <w:r w:rsidR="00A26678" w:rsidRPr="00622898">
        <w:t xml:space="preserve">ing </w:t>
      </w:r>
      <w:r w:rsidRPr="00622898">
        <w:t>antibody suppressed the onset and reduced the severity of</w:t>
      </w:r>
      <w:r>
        <w:t xml:space="preserve"> CIA in mice. However, complete suppression of arthritis occurred only when the blocking antibody was administered on </w:t>
      </w:r>
      <w:r w:rsidR="00AA6B20">
        <w:t>D</w:t>
      </w:r>
      <w:r>
        <w:t>ays 0 or 3, indicating that IL-6 is important in the early phase of disease.</w:t>
      </w:r>
    </w:p>
    <w:p w:rsidR="00AA6B20" w:rsidRDefault="00720B5E" w:rsidP="00F2151A">
      <w:r>
        <w:t xml:space="preserve">The only model of arthritis/inflammation investigated in this submission was in mice, which received the surrogate antibody REGN844. Therefore radiological and histopathological evidence of the therapeutic effect of sarilumab </w:t>
      </w:r>
      <w:r w:rsidR="00AA6B20">
        <w:t>as such</w:t>
      </w:r>
      <w:r>
        <w:rPr>
          <w:i/>
        </w:rPr>
        <w:t xml:space="preserve"> </w:t>
      </w:r>
      <w:r>
        <w:t>is missing in a responsive species.</w:t>
      </w:r>
    </w:p>
    <w:p w:rsidR="00720B5E" w:rsidRDefault="00720B5E" w:rsidP="00720B5E">
      <w:pPr>
        <w:pStyle w:val="Heading4"/>
      </w:pPr>
      <w:r>
        <w:t>Secondary pharmacodynamics and safety pharmacology</w:t>
      </w:r>
    </w:p>
    <w:p w:rsidR="00720B5E" w:rsidRDefault="00720B5E" w:rsidP="00720B5E">
      <w:r>
        <w:t>In vitro and ex vivo studies in humans demonstrated that the decrease in circulating neutrophil numbers following administration of IL-6 inhibitors may be due to these drugs influencing neutrophil margination and/or re-uptake by the bone marrow, without affecting neutrophil function and survival.</w:t>
      </w:r>
    </w:p>
    <w:p w:rsidR="00720B5E" w:rsidRDefault="00720B5E" w:rsidP="00720B5E">
      <w:r>
        <w:t xml:space="preserve">The dossier also included two studies which investigated the anti-tumour potential of IL-6. In vitro, sarilumab blocked IL-6-induced STAT3 activation (in two human lung cancer cell </w:t>
      </w:r>
      <w:r>
        <w:lastRenderedPageBreak/>
        <w:t xml:space="preserve">lines) and phosphorylation (in human prostate cancer and lung cancer cell lines). Sarilumab also inhibited IL-6-induced proliferation of a human B-cell line dose dependently. </w:t>
      </w:r>
      <w:r w:rsidRPr="00AA6B20">
        <w:t>In vivo</w:t>
      </w:r>
      <w:r>
        <w:t>, sarilumab inhibited the growth of human prostate (Du145 cells) and lung (A549, Calu3 and NCI-H1650 cells) tumour xenografts in immunocompromised mice. Immunohistochemistry analysis of prostate cancer xenografts (DU145 cells) revealed inhibition of growth associated with increased cleaved caspase-3 (marker of apoptosis) immunostaining. Based on these results, and since IL-6 and STAT3 signalling play a role in tumour progression, it is possible that sarilumab treatment may exert an inhibitory effect on the growth of some tumours.</w:t>
      </w:r>
    </w:p>
    <w:p w:rsidR="00AA6B20" w:rsidRDefault="00720B5E" w:rsidP="00720B5E">
      <w:pPr>
        <w:rPr>
          <w:rFonts w:ascii="Times New Roman" w:eastAsiaTheme="minorHAnsi" w:hAnsi="Times New Roman"/>
          <w:sz w:val="24"/>
          <w:szCs w:val="24"/>
          <w:lang w:eastAsia="en-AU"/>
        </w:rPr>
      </w:pPr>
      <w:r>
        <w:t>Cardiovascular, respiratory, and central nervous system evaluations were integrated into the toxicology studies conducted in cynomolgus monkeys.</w:t>
      </w:r>
      <w:r w:rsidR="003E7288">
        <w:t xml:space="preserve"> </w:t>
      </w:r>
      <w:r>
        <w:t xml:space="preserve">There were no effects on neurobehavioral parameters (including body temperature), or cardiovascular or respiratory effects (including </w:t>
      </w:r>
      <w:r w:rsidR="00AA6B20">
        <w:t>electrocardiogram (</w:t>
      </w:r>
      <w:r>
        <w:t>ECG</w:t>
      </w:r>
      <w:r w:rsidR="00AA6B20">
        <w:t>)</w:t>
      </w:r>
      <w:r>
        <w:t xml:space="preserve">) in the repeat-dose toxicity studies in monkeys, following doses up to 100 mg/kg/week SC for 13 weeks, or 50 mg/kg/week IV for 26 weeks (dose ratios 25 and 12.5-fold the proposed clinical dose, respectively, on a mg/kg/week basis). No </w:t>
      </w:r>
      <w:r w:rsidR="00AA6B20">
        <w:t>potassium channel (</w:t>
      </w:r>
      <w:proofErr w:type="spellStart"/>
      <w:r>
        <w:t>hERG</w:t>
      </w:r>
      <w:proofErr w:type="spellEnd"/>
      <w:r w:rsidR="00AA6B20">
        <w:t>)</w:t>
      </w:r>
      <w:r>
        <w:t xml:space="preserve"> assay was performed, which is appropriate for biotechnology-derived therapeutic products.</w:t>
      </w:r>
    </w:p>
    <w:p w:rsidR="008E7846" w:rsidRDefault="008E7846" w:rsidP="008E7846">
      <w:pPr>
        <w:pStyle w:val="Heading3"/>
      </w:pPr>
      <w:bookmarkStart w:id="55" w:name="_Toc247691513"/>
      <w:bookmarkStart w:id="56" w:name="_Toc314842497"/>
      <w:bookmarkStart w:id="57" w:name="_Toc12272145"/>
      <w:r>
        <w:t>Pharmacokinetics</w:t>
      </w:r>
      <w:bookmarkEnd w:id="55"/>
      <w:bookmarkEnd w:id="56"/>
      <w:bookmarkEnd w:id="57"/>
    </w:p>
    <w:p w:rsidR="00AA6B20" w:rsidRDefault="00720B5E" w:rsidP="00720B5E">
      <w:bookmarkStart w:id="58" w:name="_Toc247691514"/>
      <w:bookmarkStart w:id="59" w:name="_Toc314842498"/>
      <w:r>
        <w:t xml:space="preserve">The </w:t>
      </w:r>
      <w:r w:rsidR="00FA0825">
        <w:t>p</w:t>
      </w:r>
      <w:r w:rsidR="00FA0825" w:rsidRPr="00FC3594">
        <w:rPr>
          <w:rFonts w:eastAsia="TimesNewRoman"/>
        </w:rPr>
        <w:t>harmacokinetic</w:t>
      </w:r>
      <w:r w:rsidR="00FA0825">
        <w:rPr>
          <w:rFonts w:eastAsia="TimesNewRoman"/>
        </w:rPr>
        <w:t xml:space="preserve"> (</w:t>
      </w:r>
      <w:r>
        <w:t>PK</w:t>
      </w:r>
      <w:r w:rsidR="00FA0825">
        <w:t>)</w:t>
      </w:r>
      <w:r>
        <w:t xml:space="preserve"> profile of sarilumab was assessed following single </w:t>
      </w:r>
      <w:r w:rsidR="00AA6B20">
        <w:t>intravenous (</w:t>
      </w:r>
      <w:r>
        <w:t>IV</w:t>
      </w:r>
      <w:r w:rsidR="00AA6B20">
        <w:t>)</w:t>
      </w:r>
      <w:r>
        <w:t xml:space="preserve"> and SC administration of sarilumab to rats and monkeys, and measuring free (rats) or total (monkeys) sarilumab in serum. Toxicokinetic parameters were determined in the general and reproductive, IV and SC toxicology studies in monkeys with sarilumab and in the mice with REGN844. In addition, anti-sarilumab antibodies were also determined in the toxicology studies to assess the impact of anti-sarilumab antibodies on sarilumab exposure and to evaluate any toxicity associated with formation of anti-sarilumab antibodies. Conventional metabolism studies were not conducted with sarilumab and were not required. Plasma protein binding was not evaluated, which is acceptable as sarilumab would not be expected to bind to plasma proteins. IgG molecules do not cross the blood-brain barrier. Standard distribution, metabolism and excretion studies were not conducted and are not required for an antibody. The pharmacological activity of the drug in the species chosen for toxicity testing is the critical factor in the choice of species as the metabolic pathways for antibodies are generally understood and are consistent between species.</w:t>
      </w:r>
    </w:p>
    <w:p w:rsidR="00720B5E" w:rsidRDefault="00720B5E" w:rsidP="00720B5E">
      <w:r>
        <w:t xml:space="preserve">Bioavailability after SC dosing was 78% in monkeys after single dosing. The low volume of distribution suggested that sarilumab was largely confined to the vascular compartment, with limited extracellular fluid distribution. There was no evidence, in either rabbits or cynomolgus monkeys, of a </w:t>
      </w:r>
      <w:r w:rsidR="00027A8C">
        <w:t>gender</w:t>
      </w:r>
      <w:r>
        <w:t xml:space="preserve"> difference in the pharmacokinetics of REGN844 or sarilumab, respectively.</w:t>
      </w:r>
    </w:p>
    <w:p w:rsidR="00720B5E" w:rsidRPr="00027A8C" w:rsidRDefault="00720B5E" w:rsidP="00720B5E">
      <w:r>
        <w:t xml:space="preserve">Sarilumab crossed the placenta and/or was excreted in milk in monkeys, since infants from mothers which received sarilumab up to parturition, had measurable levels of sarilumab up to </w:t>
      </w:r>
      <w:r w:rsidR="00A26678">
        <w:t xml:space="preserve">Day </w:t>
      </w:r>
      <w:r>
        <w:t xml:space="preserve">30 of birth. Sarilumab is expected to be excreted into milk since it has been </w:t>
      </w:r>
      <w:r w:rsidRPr="00027A8C">
        <w:t xml:space="preserve">established (in rodents) that IgG is excreted in milk and transferred to the suckling offspring via the </w:t>
      </w:r>
      <w:r w:rsidR="00027A8C" w:rsidRPr="00027A8C">
        <w:t>neonatal Fc receptor (</w:t>
      </w:r>
      <w:proofErr w:type="spellStart"/>
      <w:r w:rsidRPr="00027A8C">
        <w:t>FcRn</w:t>
      </w:r>
      <w:proofErr w:type="spellEnd"/>
      <w:r w:rsidR="00027A8C" w:rsidRPr="00027A8C">
        <w:t>)</w:t>
      </w:r>
      <w:r w:rsidRPr="00027A8C">
        <w:t xml:space="preserve"> in the small intestine.</w:t>
      </w:r>
      <w:r w:rsidR="00004579">
        <w:rPr>
          <w:rStyle w:val="FootnoteReference"/>
        </w:rPr>
        <w:footnoteReference w:id="6"/>
      </w:r>
    </w:p>
    <w:p w:rsidR="00720B5E" w:rsidRDefault="00F549B4" w:rsidP="00720B5E">
      <w:r>
        <w:t>I</w:t>
      </w:r>
      <w:r w:rsidR="00720B5E">
        <w:t xml:space="preserve">n rats </w:t>
      </w:r>
      <w:r>
        <w:t xml:space="preserve">sarilumab </w:t>
      </w:r>
      <w:r w:rsidR="00720B5E">
        <w:t xml:space="preserve">showed linear pharmacokinetics which is expected </w:t>
      </w:r>
      <w:r w:rsidR="00027A8C">
        <w:t>in</w:t>
      </w:r>
      <w:r w:rsidR="00720B5E">
        <w:t xml:space="preserve"> a species not expressing the target receptor.</w:t>
      </w:r>
    </w:p>
    <w:p w:rsidR="00720B5E" w:rsidRDefault="00720B5E" w:rsidP="00720B5E">
      <w:r>
        <w:lastRenderedPageBreak/>
        <w:t>Sarilumab exposure was continuous during repeated weekly dosing with sarilumab in most of the monkeys treated. At doses of less than 5 mg/kg/week, continuous exposure to sarilumab was not observed, likely due to the production of anti-sarilumab antibodies. In monkeys, sarilumab exposure increased dose-proportionally between 5 and 100</w:t>
      </w:r>
      <w:r w:rsidR="00A26678">
        <w:t> </w:t>
      </w:r>
      <w:r>
        <w:t xml:space="preserve">mg/kg/week, and accumulation was observed. </w:t>
      </w:r>
      <w:r w:rsidR="00027A8C">
        <w:t xml:space="preserve">The </w:t>
      </w:r>
      <w:r w:rsidR="00A26678">
        <w:t>T</w:t>
      </w:r>
      <w:r w:rsidR="00027A8C" w:rsidRPr="00027A8C">
        <w:rPr>
          <w:vertAlign w:val="subscript"/>
        </w:rPr>
        <w:t>1/2</w:t>
      </w:r>
      <w:r w:rsidR="00027A8C">
        <w:t xml:space="preserve"> of s</w:t>
      </w:r>
      <w:r>
        <w:t>arilumab was long in monkeys and humans.</w:t>
      </w:r>
    </w:p>
    <w:p w:rsidR="00720B5E" w:rsidRDefault="00720B5E" w:rsidP="00720B5E">
      <w:r>
        <w:t xml:space="preserve">Development of anti-sarilumab antibodies was observed in most monkeys receiving 0.5 to 2 mg/kg/week, whereas minimal anti-sarilumab antibodies development was observed in animals receiving </w:t>
      </w:r>
      <w:r w:rsidR="00DD5BCE">
        <w:t xml:space="preserve">≥ </w:t>
      </w:r>
      <w:r>
        <w:t xml:space="preserve">15 mg/kg/week. The presence of anti-sarilumab antibodies responses was not unexpected due to the foreign (human) nature of the antibody to monkeys, however the draft Product Information document (dated 6 January 2016) states that 9.2% of patients treated with </w:t>
      </w:r>
      <w:r w:rsidRPr="00027A8C">
        <w:t>Kevzara</w:t>
      </w:r>
      <w:r>
        <w:t xml:space="preserve"> monotherapy exhibited an anti-sarilumab antibody response, with 6.9% of patients also exhibiting neutralising antibodies.</w:t>
      </w:r>
    </w:p>
    <w:p w:rsidR="00AA6B20" w:rsidRDefault="00720B5E" w:rsidP="00720B5E">
      <w:r>
        <w:t xml:space="preserve">Sarilumab concentrations </w:t>
      </w:r>
      <w:r w:rsidR="00F549B4">
        <w:t>following</w:t>
      </w:r>
      <w:r>
        <w:t xml:space="preserve"> higher doses were more than dose-proportional, and anti-sarilumab antibodies were not observed at the end of the recovery period, when sarilumab concentrations had reached low levels. Therefore the lack of an anti-sarilumab antibody response at doses </w:t>
      </w:r>
      <w:r w:rsidR="00DD5BCE">
        <w:t xml:space="preserve">≥ </w:t>
      </w:r>
      <w:r>
        <w:t>15 mg/kg/week may reflect the potential for the high circulating drug concentrations to interfere in the anti-sarilumab antibodies assay, or may indicate that high circulating sarilumab concentrations have caused immune tolerance. No toxicities related to anti-sarilumab antibodies were observed.</w:t>
      </w:r>
    </w:p>
    <w:p w:rsidR="00720B5E" w:rsidRDefault="00720B5E" w:rsidP="00720B5E">
      <w:r>
        <w:t>In humans (</w:t>
      </w:r>
      <w:r w:rsidR="00027A8C">
        <w:t>RA</w:t>
      </w:r>
      <w:r>
        <w:t xml:space="preserve"> patients), the population pharmacokinetics of sarilumab (</w:t>
      </w:r>
      <w:r w:rsidR="00027A8C">
        <w:t>peak plasma concentration (</w:t>
      </w:r>
      <w:proofErr w:type="spellStart"/>
      <w:r w:rsidR="00027A8C">
        <w:t>C</w:t>
      </w:r>
      <w:r w:rsidR="00027A8C" w:rsidRPr="00027A8C">
        <w:rPr>
          <w:vertAlign w:val="subscript"/>
        </w:rPr>
        <w:t>max</w:t>
      </w:r>
      <w:proofErr w:type="spellEnd"/>
      <w:r w:rsidR="00027A8C">
        <w:t>))</w:t>
      </w:r>
      <w:r>
        <w:t xml:space="preserve">, </w:t>
      </w:r>
      <w:r w:rsidR="00027A8C">
        <w:t>area under the plasma concentration versus time curve (</w:t>
      </w:r>
      <w:r>
        <w:t>AUC</w:t>
      </w:r>
      <w:r w:rsidR="00027A8C">
        <w:t>)</w:t>
      </w:r>
      <w:r>
        <w:t xml:space="preserve"> and </w:t>
      </w:r>
      <w:r w:rsidR="00027A8C">
        <w:t>lowest plasma concentration reached before the next dose is administered (</w:t>
      </w:r>
      <w:proofErr w:type="spellStart"/>
      <w:r>
        <w:t>C</w:t>
      </w:r>
      <w:r>
        <w:rPr>
          <w:vertAlign w:val="subscript"/>
        </w:rPr>
        <w:t>trough</w:t>
      </w:r>
      <w:proofErr w:type="spellEnd"/>
      <w:r>
        <w:t>)</w:t>
      </w:r>
      <w:r w:rsidR="00027A8C">
        <w:t>)</w:t>
      </w:r>
      <w:r>
        <w:t xml:space="preserve"> were more than dose proportional and accumulation was observed due to the drug’s non-linear clearance and long half-life.</w:t>
      </w:r>
    </w:p>
    <w:p w:rsidR="00720B5E" w:rsidRDefault="00720B5E" w:rsidP="00720B5E">
      <w:r>
        <w:t xml:space="preserve">The potential differences in exposure between different sarilumab lots derived from different formulations and manufacturing processes were assessed in a study in monkeys of 13 weeks duration. No significant differences were observed in the different lots used (the formulation used in most nonclinical toxicological studies was also used in Phase </w:t>
      </w:r>
      <w:r w:rsidR="00027A8C">
        <w:t>I</w:t>
      </w:r>
      <w:r>
        <w:t xml:space="preserve"> clinical trials, whereas the second formulation was used only in the comparative study but had been used in </w:t>
      </w:r>
      <w:r w:rsidR="001470FB">
        <w:t>Phase III</w:t>
      </w:r>
      <w:r>
        <w:t xml:space="preserve"> clinical trials). There were no nonclinical studies with sarilumab in combination with other drugs (such as </w:t>
      </w:r>
      <w:r w:rsidR="00DD2390">
        <w:t>MTX</w:t>
      </w:r>
      <w:r>
        <w:t>) to support its clinical use with other drugs.</w:t>
      </w:r>
    </w:p>
    <w:p w:rsidR="00720B5E" w:rsidRPr="00027A8C" w:rsidRDefault="00720B5E" w:rsidP="00720B5E">
      <w:r>
        <w:t>Overall, the pharmacokinetic profiles in the laboratory animal species used in the pivotal repeat-dose toxicity studies (monkeys) were sufficiently similar to allow them to serve as appropriate models for the assessment of the drug’s toxicity in humans.</w:t>
      </w:r>
    </w:p>
    <w:p w:rsidR="00720B5E" w:rsidRDefault="00720B5E" w:rsidP="00E246F9">
      <w:pPr>
        <w:pStyle w:val="Heading4"/>
      </w:pPr>
      <w:bookmarkStart w:id="60" w:name="_Toc294861725"/>
      <w:r>
        <w:t>Pharmacokinetic drug interactions</w:t>
      </w:r>
      <w:bookmarkEnd w:id="60"/>
    </w:p>
    <w:p w:rsidR="00720B5E" w:rsidRDefault="00720B5E" w:rsidP="00720B5E">
      <w:pPr>
        <w:rPr>
          <w:kern w:val="16"/>
        </w:rPr>
      </w:pPr>
      <w:r>
        <w:t xml:space="preserve">No nonclinical drug interactions studies were conducted. The proposed </w:t>
      </w:r>
      <w:r w:rsidR="00027A8C">
        <w:t>PI</w:t>
      </w:r>
      <w:r>
        <w:t xml:space="preserve"> does state that ‘</w:t>
      </w:r>
      <w:r w:rsidRPr="00027A8C">
        <w:rPr>
          <w:i/>
        </w:rPr>
        <w:t>Kevzara has not been investigated in combination with JAK inhibitors or biological DMARDs</w:t>
      </w:r>
      <w:r>
        <w:t>.</w:t>
      </w:r>
      <w:r w:rsidR="00027A8C">
        <w:t>’</w:t>
      </w:r>
      <w:r>
        <w:t xml:space="preserve"> Clinical pharmacokinetic studies must be evaluated since this drug is indicated to be used concomitantly with other drugs</w:t>
      </w:r>
      <w:r w:rsidR="00027A8C">
        <w:t>.</w:t>
      </w:r>
    </w:p>
    <w:p w:rsidR="001B5C90" w:rsidRDefault="008E7846" w:rsidP="001B5C90">
      <w:pPr>
        <w:pStyle w:val="Heading3"/>
      </w:pPr>
      <w:bookmarkStart w:id="61" w:name="_Toc12272146"/>
      <w:r>
        <w:t>Toxicology</w:t>
      </w:r>
      <w:bookmarkEnd w:id="58"/>
      <w:bookmarkEnd w:id="59"/>
      <w:bookmarkEnd w:id="61"/>
    </w:p>
    <w:p w:rsidR="00720B5E" w:rsidRPr="00E246F9" w:rsidRDefault="00720B5E" w:rsidP="00E246F9">
      <w:pPr>
        <w:pStyle w:val="Heading4"/>
      </w:pPr>
      <w:bookmarkStart w:id="62" w:name="_Toc294861727"/>
      <w:r>
        <w:t>Acute toxicity</w:t>
      </w:r>
      <w:bookmarkEnd w:id="62"/>
    </w:p>
    <w:p w:rsidR="00720B5E" w:rsidRDefault="00720B5E" w:rsidP="00720B5E">
      <w:pPr>
        <w:rPr>
          <w:kern w:val="16"/>
        </w:rPr>
      </w:pPr>
      <w:r>
        <w:t xml:space="preserve">No studies were submitted, and this is acceptable since acute toxic effects could have been ascertained from the repeat-dose studies. In those studies, the maximum non-lethal dose was the maximum dose administered </w:t>
      </w:r>
      <w:r w:rsidR="00027A8C">
        <w:t>SC</w:t>
      </w:r>
      <w:r>
        <w:t xml:space="preserve"> for 13 weeks, </w:t>
      </w:r>
      <w:r w:rsidR="00027A8C">
        <w:t>that is</w:t>
      </w:r>
      <w:r>
        <w:t xml:space="preserve"> 100 mg/kg/week. </w:t>
      </w:r>
      <w:r>
        <w:lastRenderedPageBreak/>
        <w:t>No</w:t>
      </w:r>
      <w:r w:rsidR="00A26678">
        <w:t> </w:t>
      </w:r>
      <w:r>
        <w:t xml:space="preserve">mortality was observed following </w:t>
      </w:r>
      <w:r w:rsidR="00027A8C">
        <w:t>IV</w:t>
      </w:r>
      <w:r>
        <w:t xml:space="preserve"> administration of sarilumab for 26 weeks at 50</w:t>
      </w:r>
      <w:r w:rsidR="00A26678">
        <w:t> </w:t>
      </w:r>
      <w:r>
        <w:t>mg/kg/week.</w:t>
      </w:r>
    </w:p>
    <w:p w:rsidR="00720B5E" w:rsidRDefault="00720B5E" w:rsidP="00E246F9">
      <w:pPr>
        <w:pStyle w:val="Heading4"/>
      </w:pPr>
      <w:bookmarkStart w:id="63" w:name="_Toc294861728"/>
      <w:r>
        <w:t>Repeat-dose toxicity</w:t>
      </w:r>
      <w:bookmarkEnd w:id="63"/>
    </w:p>
    <w:p w:rsidR="00720B5E" w:rsidRDefault="00720B5E" w:rsidP="00720B5E">
      <w:r>
        <w:t xml:space="preserve">Toxicology studies were all conducted in accordance with ICH guidelines, and included repeat-dose studies of up to 6 months duration in cynomolgus monkeys, an embryo-foetal development study in mice </w:t>
      </w:r>
      <w:r w:rsidR="00027A8C">
        <w:t>(using REGN844), and a pre/post</w:t>
      </w:r>
      <w:r>
        <w:t>natal study in cynomolgus monkeys. The formulations in the toxicology studies used excipients similar to those used in the clinical trials. The SC and IV routes of administration were used in the nonclinical studies to support the proposed route of administration of sarilumab to patients (SC).</w:t>
      </w:r>
    </w:p>
    <w:p w:rsidR="00AA6B20" w:rsidRDefault="00720B5E" w:rsidP="00720B5E">
      <w:pPr>
        <w:rPr>
          <w:rFonts w:eastAsia="Times New Roman"/>
          <w:snapToGrid w:val="0"/>
          <w:szCs w:val="24"/>
        </w:rPr>
      </w:pPr>
      <w:r>
        <w:rPr>
          <w:rFonts w:eastAsia="Times New Roman"/>
          <w:snapToGrid w:val="0"/>
          <w:szCs w:val="24"/>
        </w:rPr>
        <w:t>In mice, REGN844 was used to study the effects of IL-6Rα inhibition in reproductive and developmental toxicology studies, in a fertility study, and in juvenile toxicology studies. The REGN844 chosen for the mouse toxicology study (200 mg/kg/week) was significantly higher than the dose (5 mg/kg) which reduced turpentine-induced inflammation in this species. Continuous exposure to REGN844 was observed in mice in the 4</w:t>
      </w:r>
      <w:r w:rsidR="00027A8C">
        <w:rPr>
          <w:rFonts w:eastAsia="Times New Roman"/>
          <w:snapToGrid w:val="0"/>
          <w:szCs w:val="24"/>
        </w:rPr>
        <w:t xml:space="preserve"> </w:t>
      </w:r>
      <w:r>
        <w:rPr>
          <w:rFonts w:eastAsia="Times New Roman"/>
          <w:snapToGrid w:val="0"/>
          <w:szCs w:val="24"/>
        </w:rPr>
        <w:t>week studies.</w:t>
      </w:r>
    </w:p>
    <w:p w:rsidR="00720B5E" w:rsidRDefault="00720B5E" w:rsidP="00720B5E">
      <w:pPr>
        <w:rPr>
          <w:rFonts w:eastAsia="Times New Roman"/>
          <w:snapToGrid w:val="0"/>
          <w:szCs w:val="24"/>
        </w:rPr>
      </w:pPr>
      <w:r>
        <w:rPr>
          <w:rFonts w:eastAsia="Times New Roman"/>
          <w:snapToGrid w:val="0"/>
          <w:szCs w:val="24"/>
        </w:rPr>
        <w:t xml:space="preserve">Justification of the use of the cynomolgus monkey as the main species for the nonclinical safety evaluation of sarilumab is discussed under </w:t>
      </w:r>
      <w:r w:rsidR="001470FB">
        <w:rPr>
          <w:rFonts w:eastAsia="Times New Roman"/>
          <w:snapToGrid w:val="0"/>
          <w:szCs w:val="24"/>
        </w:rPr>
        <w:t>‘</w:t>
      </w:r>
      <w:r>
        <w:rPr>
          <w:rFonts w:eastAsia="Times New Roman"/>
          <w:snapToGrid w:val="0"/>
          <w:szCs w:val="24"/>
        </w:rPr>
        <w:t>Pharmacology</w:t>
      </w:r>
      <w:r w:rsidR="001470FB">
        <w:rPr>
          <w:rFonts w:eastAsia="Times New Roman"/>
          <w:snapToGrid w:val="0"/>
          <w:szCs w:val="24"/>
        </w:rPr>
        <w:t>’</w:t>
      </w:r>
      <w:r w:rsidR="00325F5F">
        <w:rPr>
          <w:rFonts w:eastAsia="Times New Roman"/>
          <w:snapToGrid w:val="0"/>
          <w:szCs w:val="24"/>
        </w:rPr>
        <w:t xml:space="preserve"> above</w:t>
      </w:r>
      <w:r>
        <w:rPr>
          <w:rFonts w:eastAsia="Times New Roman"/>
          <w:snapToGrid w:val="0"/>
          <w:szCs w:val="24"/>
        </w:rPr>
        <w:t>. The clinical (SC) route was used in some of the toxicology studies. The weekly dosing frequency used with the cynomolgus monkey was greater than that proposed for humans (2</w:t>
      </w:r>
      <w:r w:rsidR="00C341E7">
        <w:rPr>
          <w:rFonts w:eastAsia="Times New Roman"/>
          <w:snapToGrid w:val="0"/>
          <w:szCs w:val="24"/>
        </w:rPr>
        <w:t xml:space="preserve"> </w:t>
      </w:r>
      <w:r>
        <w:rPr>
          <w:rFonts w:eastAsia="Times New Roman"/>
          <w:snapToGrid w:val="0"/>
          <w:szCs w:val="24"/>
        </w:rPr>
        <w:t>weekly), and since the half-life was comparable in cynomolgus monkeys and in humans, this dosing regimen adequately mimicked or exaggerated conditions under which sarilumab is proposed to be used in humans (accumulation was also observed at the higher doses). While the duration of human treatment with sarilumab has not been specified, 6 month studies in monkeys are usually acceptable for toxicity tests of a biotechnology-derived pharmaceutical for chronic indications. The mouse study with REGN844 was of 4 weeks duration but given the length of the pivotal monkey study and the fact that the substance used in the mice was not sarilumab, this was acceptable.</w:t>
      </w:r>
    </w:p>
    <w:p w:rsidR="00720B5E" w:rsidRDefault="00720B5E" w:rsidP="00E246F9">
      <w:pPr>
        <w:pStyle w:val="Heading5"/>
      </w:pPr>
      <w:r>
        <w:t>Relative exposure</w:t>
      </w:r>
    </w:p>
    <w:p w:rsidR="00AA6B20" w:rsidRDefault="00720B5E" w:rsidP="00720B5E">
      <w:r>
        <w:t>Doses of sarilumab administered in the repeated-dose toxicity studies ranged from 1 to 50</w:t>
      </w:r>
      <w:r w:rsidR="00DD5BCE">
        <w:t> </w:t>
      </w:r>
      <w:r>
        <w:t xml:space="preserve">mg/kg/week IV for up to 26 weeks, and 2 to 100 mg/kg/week SC for 13 weeks. Toxicokinetic data in the SC study were restricted to </w:t>
      </w:r>
      <w:proofErr w:type="spellStart"/>
      <w:r>
        <w:t>C</w:t>
      </w:r>
      <w:r>
        <w:rPr>
          <w:vertAlign w:val="subscript"/>
        </w:rPr>
        <w:t>trough</w:t>
      </w:r>
      <w:proofErr w:type="spellEnd"/>
      <w:r>
        <w:t xml:space="preserve"> and mean serum concentration values. As anti-sarilumab antibody formation only occurred at lower doses the AUC data in the table below is considered valid.</w:t>
      </w:r>
      <w:r w:rsidR="003E7288">
        <w:t xml:space="preserve"> </w:t>
      </w:r>
      <w:r>
        <w:t>Although the AUC data were tabulated for comparison purposes, the dose ratios (based on mg/kg/week) are a better indicator of the relative exposure, because molecules as large as sarilumab are likely to be confined to the vasculature.</w:t>
      </w:r>
    </w:p>
    <w:p w:rsidR="00AA6B20" w:rsidRDefault="00720B5E" w:rsidP="00720B5E">
      <w:pPr>
        <w:rPr>
          <w:snapToGrid w:val="0"/>
        </w:rPr>
      </w:pPr>
      <w:r>
        <w:rPr>
          <w:snapToGrid w:val="0"/>
        </w:rPr>
        <w:t xml:space="preserve">In cynomolgus monkeys, </w:t>
      </w:r>
      <w:r w:rsidR="00C341E7">
        <w:rPr>
          <w:snapToGrid w:val="0"/>
        </w:rPr>
        <w:t>D</w:t>
      </w:r>
      <w:r>
        <w:rPr>
          <w:snapToGrid w:val="0"/>
        </w:rPr>
        <w:t xml:space="preserve">ay 1 levels were not maintained for the full duration of the study in a number of animals at the </w:t>
      </w:r>
      <w:r w:rsidR="00C341E7">
        <w:rPr>
          <w:snapToGrid w:val="0"/>
        </w:rPr>
        <w:t>low dose (</w:t>
      </w:r>
      <w:r>
        <w:rPr>
          <w:snapToGrid w:val="0"/>
        </w:rPr>
        <w:t>LD</w:t>
      </w:r>
      <w:r w:rsidR="00C341E7">
        <w:rPr>
          <w:snapToGrid w:val="0"/>
        </w:rPr>
        <w:t>)</w:t>
      </w:r>
      <w:r>
        <w:rPr>
          <w:snapToGrid w:val="0"/>
        </w:rPr>
        <w:t xml:space="preserve"> and </w:t>
      </w:r>
      <w:r w:rsidR="00C341E7">
        <w:rPr>
          <w:snapToGrid w:val="0"/>
        </w:rPr>
        <w:t>mid dose (</w:t>
      </w:r>
      <w:r>
        <w:rPr>
          <w:snapToGrid w:val="0"/>
        </w:rPr>
        <w:t>MD</w:t>
      </w:r>
      <w:r w:rsidR="00C341E7">
        <w:rPr>
          <w:snapToGrid w:val="0"/>
        </w:rPr>
        <w:t>)</w:t>
      </w:r>
      <w:r>
        <w:rPr>
          <w:snapToGrid w:val="0"/>
        </w:rPr>
        <w:t xml:space="preserve">, but at the </w:t>
      </w:r>
      <w:r w:rsidR="00C341E7">
        <w:rPr>
          <w:snapToGrid w:val="0"/>
        </w:rPr>
        <w:t>high dose (</w:t>
      </w:r>
      <w:r>
        <w:rPr>
          <w:snapToGrid w:val="0"/>
        </w:rPr>
        <w:t>HD</w:t>
      </w:r>
      <w:r w:rsidR="00C341E7">
        <w:rPr>
          <w:snapToGrid w:val="0"/>
        </w:rPr>
        <w:t>)</w:t>
      </w:r>
      <w:r>
        <w:rPr>
          <w:snapToGrid w:val="0"/>
        </w:rPr>
        <w:t xml:space="preserve"> serum concentrations were maintained throughout the study in all animals as no animal developed anti-sarilumab antibodies, and AUC values were higher on the last sampling day than on </w:t>
      </w:r>
      <w:r w:rsidR="00C341E7">
        <w:rPr>
          <w:snapToGrid w:val="0"/>
        </w:rPr>
        <w:t>D</w:t>
      </w:r>
      <w:r>
        <w:rPr>
          <w:snapToGrid w:val="0"/>
        </w:rPr>
        <w:t>ay 1</w:t>
      </w:r>
      <w:r w:rsidR="00C341E7">
        <w:rPr>
          <w:snapToGrid w:val="0"/>
        </w:rPr>
        <w:t xml:space="preserve"> (Table 4)</w:t>
      </w:r>
      <w:r>
        <w:rPr>
          <w:snapToGrid w:val="0"/>
        </w:rPr>
        <w:t>. Therefore, the AUC values from the last sampling period (representing an adequate level of exposure to sarilumab) were used. Exposure to sarilumab was maintained in an adequate number of antibody-negative animals to sufficiently characterise its toxicity.</w:t>
      </w:r>
    </w:p>
    <w:p w:rsidR="00720B5E" w:rsidRDefault="00720B5E" w:rsidP="00720B5E">
      <w:r>
        <w:rPr>
          <w:snapToGrid w:val="0"/>
        </w:rPr>
        <w:t>In summ</w:t>
      </w:r>
      <w:r>
        <w:t>ary, the doses administered in the toxicology studies exceed those in the clinical trials and provided substantially higher exposures relative to those achieved clinically. Estimated exposure levels in monkeys during the toxicity studies and a comparison to expected human sarilumab exposure are tabulated below</w:t>
      </w:r>
      <w:r w:rsidR="00C341E7">
        <w:t xml:space="preserve"> in Table 4.</w:t>
      </w:r>
    </w:p>
    <w:p w:rsidR="00A26678" w:rsidRDefault="00A26678" w:rsidP="00720B5E">
      <w:r>
        <w:t xml:space="preserve">Anti-sarilumab antibodies were induced in a number of studies, particularly at doses of </w:t>
      </w:r>
      <w:r w:rsidR="00DD5BCE">
        <w:t xml:space="preserve">≤ </w:t>
      </w:r>
      <w:r>
        <w:t xml:space="preserve">15 mg/kg/week, and resulted in a reduction in exposure to sarilumab in some animals. </w:t>
      </w:r>
      <w:r>
        <w:lastRenderedPageBreak/>
        <w:t>However, exposure to sarilumab was maintained in an adequate number of negative animals to sufficiently characterise its toxicity.</w:t>
      </w:r>
    </w:p>
    <w:p w:rsidR="00720B5E" w:rsidRDefault="00C341E7" w:rsidP="00720B5E">
      <w:pPr>
        <w:pStyle w:val="TableTitle"/>
        <w:rPr>
          <w:szCs w:val="24"/>
        </w:rPr>
      </w:pPr>
      <w:r>
        <w:t>Table 4:</w:t>
      </w:r>
      <w:r w:rsidR="00720B5E">
        <w:t xml:space="preserve"> Relative exposure in repeat-dose toxicity studies in monkeys</w:t>
      </w:r>
    </w:p>
    <w:tbl>
      <w:tblPr>
        <w:tblStyle w:val="TableTGAblue"/>
        <w:tblW w:w="5000" w:type="pct"/>
        <w:tblLayout w:type="fixed"/>
        <w:tblLook w:val="01E0" w:firstRow="1" w:lastRow="1" w:firstColumn="1" w:lastColumn="1" w:noHBand="0" w:noVBand="0"/>
      </w:tblPr>
      <w:tblGrid>
        <w:gridCol w:w="1529"/>
        <w:gridCol w:w="1556"/>
        <w:gridCol w:w="1277"/>
        <w:gridCol w:w="1700"/>
        <w:gridCol w:w="1310"/>
        <w:gridCol w:w="1348"/>
      </w:tblGrid>
      <w:tr w:rsidR="00A26678" w:rsidTr="00485E22">
        <w:trPr>
          <w:cnfStyle w:val="100000000000" w:firstRow="1" w:lastRow="0" w:firstColumn="0" w:lastColumn="0" w:oddVBand="0" w:evenVBand="0" w:oddHBand="0" w:evenHBand="0" w:firstRowFirstColumn="0" w:firstRowLastColumn="0" w:lastRowFirstColumn="0" w:lastRowLastColumn="0"/>
          <w:cantSplit/>
        </w:trPr>
        <w:tc>
          <w:tcPr>
            <w:tcW w:w="877" w:type="pct"/>
            <w:vMerge w:val="restart"/>
            <w:tcBorders>
              <w:right w:val="single" w:sz="4" w:space="0" w:color="auto"/>
            </w:tcBorders>
            <w:hideMark/>
          </w:tcPr>
          <w:p w:rsidR="00720B5E" w:rsidRPr="00C341E7" w:rsidRDefault="00720B5E" w:rsidP="00A26678">
            <w:pPr>
              <w:ind w:left="0"/>
              <w:rPr>
                <w:sz w:val="18"/>
                <w:szCs w:val="18"/>
                <w:lang w:eastAsia="en-US"/>
              </w:rPr>
            </w:pPr>
            <w:r w:rsidRPr="00C341E7">
              <w:rPr>
                <w:sz w:val="18"/>
                <w:szCs w:val="18"/>
              </w:rPr>
              <w:t xml:space="preserve">Study, duration </w:t>
            </w:r>
            <w:r w:rsidR="00A26678">
              <w:rPr>
                <w:sz w:val="18"/>
                <w:szCs w:val="18"/>
              </w:rPr>
              <w:t>and</w:t>
            </w:r>
            <w:r w:rsidRPr="00C341E7">
              <w:rPr>
                <w:sz w:val="18"/>
                <w:szCs w:val="18"/>
              </w:rPr>
              <w:t xml:space="preserve"> route</w:t>
            </w:r>
          </w:p>
        </w:tc>
        <w:tc>
          <w:tcPr>
            <w:tcW w:w="892" w:type="pct"/>
            <w:vMerge w:val="restart"/>
            <w:tcBorders>
              <w:left w:val="single" w:sz="4" w:space="0" w:color="auto"/>
              <w:right w:val="single" w:sz="4" w:space="0" w:color="auto"/>
            </w:tcBorders>
            <w:hideMark/>
          </w:tcPr>
          <w:p w:rsidR="00720B5E" w:rsidRPr="00C341E7" w:rsidRDefault="00720B5E" w:rsidP="00485E22">
            <w:pPr>
              <w:ind w:left="0"/>
              <w:rPr>
                <w:b w:val="0"/>
                <w:color w:val="auto"/>
                <w:sz w:val="18"/>
                <w:szCs w:val="18"/>
                <w:lang w:eastAsia="en-US"/>
              </w:rPr>
            </w:pPr>
            <w:r w:rsidRPr="00C341E7">
              <w:rPr>
                <w:sz w:val="18"/>
                <w:szCs w:val="18"/>
              </w:rPr>
              <w:t>Dose mg/kg/week</w:t>
            </w:r>
          </w:p>
        </w:tc>
        <w:tc>
          <w:tcPr>
            <w:tcW w:w="732" w:type="pct"/>
            <w:vMerge w:val="restart"/>
            <w:tcBorders>
              <w:left w:val="single" w:sz="4" w:space="0" w:color="auto"/>
              <w:right w:val="single" w:sz="4" w:space="0" w:color="auto"/>
            </w:tcBorders>
            <w:hideMark/>
          </w:tcPr>
          <w:p w:rsidR="00720B5E" w:rsidRPr="00C341E7" w:rsidRDefault="00720B5E" w:rsidP="00485E22">
            <w:pPr>
              <w:ind w:left="0"/>
              <w:rPr>
                <w:b w:val="0"/>
                <w:color w:val="auto"/>
                <w:sz w:val="18"/>
                <w:szCs w:val="18"/>
                <w:lang w:eastAsia="en-US"/>
              </w:rPr>
            </w:pPr>
            <w:r w:rsidRPr="00C341E7">
              <w:rPr>
                <w:sz w:val="18"/>
                <w:szCs w:val="18"/>
              </w:rPr>
              <w:t>AUC</w:t>
            </w:r>
            <w:r w:rsidRPr="00C341E7">
              <w:rPr>
                <w:sz w:val="18"/>
                <w:szCs w:val="18"/>
                <w:vertAlign w:val="subscript"/>
              </w:rPr>
              <w:t>0-168h</w:t>
            </w:r>
            <w:r w:rsidRPr="00C341E7">
              <w:rPr>
                <w:sz w:val="18"/>
                <w:szCs w:val="18"/>
              </w:rPr>
              <w:t xml:space="preserve"> µ</w:t>
            </w:r>
            <w:proofErr w:type="spellStart"/>
            <w:r w:rsidRPr="00C341E7">
              <w:rPr>
                <w:sz w:val="18"/>
                <w:szCs w:val="18"/>
              </w:rPr>
              <w:t>g.h</w:t>
            </w:r>
            <w:proofErr w:type="spellEnd"/>
            <w:r w:rsidRPr="00C341E7">
              <w:rPr>
                <w:sz w:val="18"/>
                <w:szCs w:val="18"/>
              </w:rPr>
              <w:t>/mL</w:t>
            </w:r>
          </w:p>
        </w:tc>
        <w:tc>
          <w:tcPr>
            <w:tcW w:w="975" w:type="pct"/>
            <w:vMerge w:val="restart"/>
            <w:tcBorders>
              <w:left w:val="single" w:sz="4" w:space="0" w:color="auto"/>
              <w:right w:val="single" w:sz="4" w:space="0" w:color="auto"/>
            </w:tcBorders>
            <w:hideMark/>
          </w:tcPr>
          <w:p w:rsidR="00720B5E" w:rsidRPr="00C341E7" w:rsidRDefault="00720B5E" w:rsidP="00485E22">
            <w:pPr>
              <w:ind w:left="0"/>
              <w:rPr>
                <w:b w:val="0"/>
                <w:color w:val="auto"/>
                <w:sz w:val="18"/>
                <w:szCs w:val="18"/>
                <w:lang w:eastAsia="en-US"/>
              </w:rPr>
            </w:pPr>
            <w:r w:rsidRPr="00C341E7">
              <w:rPr>
                <w:sz w:val="18"/>
                <w:szCs w:val="18"/>
              </w:rPr>
              <w:t>AUC for 2 weeks µ</w:t>
            </w:r>
            <w:proofErr w:type="spellStart"/>
            <w:r w:rsidRPr="00C341E7">
              <w:rPr>
                <w:sz w:val="18"/>
                <w:szCs w:val="18"/>
              </w:rPr>
              <w:t>g.h</w:t>
            </w:r>
            <w:proofErr w:type="spellEnd"/>
            <w:r w:rsidRPr="00C341E7">
              <w:rPr>
                <w:sz w:val="18"/>
                <w:szCs w:val="18"/>
              </w:rPr>
              <w:t>/mL</w:t>
            </w:r>
          </w:p>
        </w:tc>
        <w:tc>
          <w:tcPr>
            <w:tcW w:w="1524" w:type="pct"/>
            <w:gridSpan w:val="2"/>
            <w:tcBorders>
              <w:left w:val="single" w:sz="4" w:space="0" w:color="auto"/>
            </w:tcBorders>
            <w:hideMark/>
          </w:tcPr>
          <w:p w:rsidR="00720B5E" w:rsidRPr="00C341E7" w:rsidRDefault="00720B5E" w:rsidP="00485E22">
            <w:pPr>
              <w:ind w:left="0"/>
              <w:rPr>
                <w:b w:val="0"/>
                <w:color w:val="auto"/>
                <w:sz w:val="18"/>
                <w:szCs w:val="18"/>
                <w:lang w:eastAsia="en-US"/>
              </w:rPr>
            </w:pPr>
            <w:r w:rsidRPr="00C341E7">
              <w:rPr>
                <w:sz w:val="18"/>
                <w:szCs w:val="18"/>
              </w:rPr>
              <w:t>Exposure ratio</w:t>
            </w:r>
            <w:r w:rsidRPr="00C341E7">
              <w:rPr>
                <w:position w:val="-2"/>
                <w:sz w:val="18"/>
                <w:szCs w:val="18"/>
                <w:vertAlign w:val="superscript"/>
              </w:rPr>
              <w:t>#</w:t>
            </w:r>
            <w:r w:rsidRPr="00C341E7">
              <w:rPr>
                <w:sz w:val="18"/>
                <w:szCs w:val="18"/>
              </w:rPr>
              <w:t xml:space="preserve"> over 2 weeks</w:t>
            </w:r>
          </w:p>
        </w:tc>
      </w:tr>
      <w:tr w:rsidR="00A26678" w:rsidTr="00485E22">
        <w:trPr>
          <w:cantSplit/>
          <w:trHeight w:val="539"/>
        </w:trPr>
        <w:tc>
          <w:tcPr>
            <w:tcW w:w="877" w:type="pct"/>
            <w:vMerge/>
            <w:tcBorders>
              <w:right w:val="single" w:sz="4" w:space="0" w:color="auto"/>
            </w:tcBorders>
            <w:hideMark/>
          </w:tcPr>
          <w:p w:rsidR="00720B5E" w:rsidRPr="00C341E7" w:rsidRDefault="00720B5E" w:rsidP="00C341E7">
            <w:pPr>
              <w:rPr>
                <w:b/>
                <w:sz w:val="18"/>
                <w:szCs w:val="18"/>
                <w:lang w:eastAsia="en-US"/>
              </w:rPr>
            </w:pPr>
          </w:p>
        </w:tc>
        <w:tc>
          <w:tcPr>
            <w:tcW w:w="892" w:type="pct"/>
            <w:vMerge/>
            <w:tcBorders>
              <w:left w:val="single" w:sz="4" w:space="0" w:color="auto"/>
              <w:right w:val="single" w:sz="4" w:space="0" w:color="auto"/>
            </w:tcBorders>
            <w:hideMark/>
          </w:tcPr>
          <w:p w:rsidR="00720B5E" w:rsidRPr="00C341E7" w:rsidRDefault="00720B5E" w:rsidP="00C341E7">
            <w:pPr>
              <w:rPr>
                <w:b/>
                <w:sz w:val="18"/>
                <w:szCs w:val="18"/>
                <w:lang w:eastAsia="en-US"/>
              </w:rPr>
            </w:pPr>
          </w:p>
        </w:tc>
        <w:tc>
          <w:tcPr>
            <w:tcW w:w="732" w:type="pct"/>
            <w:vMerge/>
            <w:tcBorders>
              <w:left w:val="single" w:sz="4" w:space="0" w:color="auto"/>
              <w:right w:val="single" w:sz="4" w:space="0" w:color="auto"/>
            </w:tcBorders>
            <w:hideMark/>
          </w:tcPr>
          <w:p w:rsidR="00720B5E" w:rsidRPr="00C341E7" w:rsidRDefault="00720B5E" w:rsidP="00C341E7">
            <w:pPr>
              <w:rPr>
                <w:b/>
                <w:sz w:val="18"/>
                <w:szCs w:val="18"/>
                <w:lang w:eastAsia="en-US"/>
              </w:rPr>
            </w:pPr>
          </w:p>
        </w:tc>
        <w:tc>
          <w:tcPr>
            <w:tcW w:w="975" w:type="pct"/>
            <w:vMerge/>
            <w:tcBorders>
              <w:left w:val="single" w:sz="4" w:space="0" w:color="auto"/>
              <w:right w:val="single" w:sz="4" w:space="0" w:color="auto"/>
            </w:tcBorders>
            <w:hideMark/>
          </w:tcPr>
          <w:p w:rsidR="00720B5E" w:rsidRPr="00C341E7" w:rsidRDefault="00720B5E" w:rsidP="00C341E7">
            <w:pPr>
              <w:rPr>
                <w:b/>
                <w:sz w:val="18"/>
                <w:szCs w:val="18"/>
                <w:lang w:eastAsia="en-US"/>
              </w:rPr>
            </w:pPr>
          </w:p>
        </w:tc>
        <w:tc>
          <w:tcPr>
            <w:tcW w:w="751" w:type="pct"/>
            <w:tcBorders>
              <w:left w:val="single" w:sz="4" w:space="0" w:color="auto"/>
            </w:tcBorders>
            <w:hideMark/>
          </w:tcPr>
          <w:p w:rsidR="00720B5E" w:rsidRPr="00C341E7" w:rsidRDefault="00720B5E" w:rsidP="00485E22">
            <w:pPr>
              <w:spacing w:before="0" w:after="0"/>
              <w:rPr>
                <w:b/>
                <w:color w:val="auto"/>
                <w:sz w:val="18"/>
                <w:szCs w:val="18"/>
                <w:lang w:eastAsia="en-US"/>
              </w:rPr>
            </w:pPr>
            <w:r w:rsidRPr="00C341E7">
              <w:rPr>
                <w:sz w:val="18"/>
                <w:szCs w:val="18"/>
              </w:rPr>
              <w:t>Based on AUC</w:t>
            </w:r>
          </w:p>
        </w:tc>
        <w:tc>
          <w:tcPr>
            <w:tcW w:w="773" w:type="pct"/>
            <w:hideMark/>
          </w:tcPr>
          <w:p w:rsidR="00720B5E" w:rsidRPr="00C341E7" w:rsidRDefault="00720B5E" w:rsidP="00485E22">
            <w:pPr>
              <w:spacing w:before="0" w:after="0"/>
              <w:rPr>
                <w:b/>
                <w:color w:val="auto"/>
                <w:sz w:val="18"/>
                <w:szCs w:val="18"/>
                <w:lang w:eastAsia="en-US"/>
              </w:rPr>
            </w:pPr>
            <w:r w:rsidRPr="00C341E7">
              <w:rPr>
                <w:sz w:val="18"/>
                <w:szCs w:val="18"/>
              </w:rPr>
              <w:t>Based on dose</w:t>
            </w:r>
          </w:p>
        </w:tc>
      </w:tr>
      <w:tr w:rsidR="00A26678" w:rsidTr="00485E22">
        <w:trPr>
          <w:trHeight w:val="227"/>
        </w:trPr>
        <w:tc>
          <w:tcPr>
            <w:tcW w:w="877" w:type="pct"/>
            <w:vMerge w:val="restart"/>
            <w:hideMark/>
          </w:tcPr>
          <w:p w:rsidR="00720B5E" w:rsidRPr="00C341E7" w:rsidRDefault="00720B5E" w:rsidP="00C341E7">
            <w:pPr>
              <w:rPr>
                <w:rFonts w:eastAsia="Times New Roman"/>
                <w:sz w:val="18"/>
                <w:szCs w:val="18"/>
              </w:rPr>
            </w:pPr>
            <w:r w:rsidRPr="00C341E7">
              <w:rPr>
                <w:sz w:val="18"/>
                <w:szCs w:val="18"/>
              </w:rPr>
              <w:t>REGN88-TX-06040</w:t>
            </w:r>
          </w:p>
          <w:p w:rsidR="00720B5E" w:rsidRPr="00C341E7" w:rsidRDefault="00720B5E" w:rsidP="00C341E7">
            <w:pPr>
              <w:rPr>
                <w:sz w:val="18"/>
                <w:szCs w:val="18"/>
              </w:rPr>
            </w:pPr>
            <w:r w:rsidRPr="00C341E7">
              <w:rPr>
                <w:sz w:val="18"/>
                <w:szCs w:val="18"/>
              </w:rPr>
              <w:t>(5 weeks)</w:t>
            </w:r>
          </w:p>
          <w:p w:rsidR="00720B5E" w:rsidRPr="00C341E7" w:rsidRDefault="00720B5E" w:rsidP="00C341E7">
            <w:pPr>
              <w:rPr>
                <w:rFonts w:eastAsia="Times New Roman"/>
                <w:sz w:val="18"/>
                <w:szCs w:val="18"/>
                <w:lang w:eastAsia="en-US"/>
              </w:rPr>
            </w:pPr>
            <w:r w:rsidRPr="00C341E7">
              <w:rPr>
                <w:sz w:val="18"/>
                <w:szCs w:val="18"/>
              </w:rPr>
              <w:t>IV</w:t>
            </w:r>
          </w:p>
        </w:tc>
        <w:tc>
          <w:tcPr>
            <w:tcW w:w="892" w:type="pct"/>
            <w:hideMark/>
          </w:tcPr>
          <w:p w:rsidR="00720B5E" w:rsidRPr="00C341E7" w:rsidRDefault="00720B5E" w:rsidP="00C341E7">
            <w:pPr>
              <w:rPr>
                <w:rFonts w:eastAsia="Times New Roman"/>
                <w:sz w:val="18"/>
                <w:szCs w:val="18"/>
                <w:lang w:eastAsia="en-US"/>
              </w:rPr>
            </w:pPr>
            <w:r w:rsidRPr="00C341E7">
              <w:rPr>
                <w:sz w:val="18"/>
                <w:szCs w:val="18"/>
              </w:rPr>
              <w:t>5</w:t>
            </w:r>
          </w:p>
        </w:tc>
        <w:tc>
          <w:tcPr>
            <w:tcW w:w="732" w:type="pct"/>
            <w:hideMark/>
          </w:tcPr>
          <w:p w:rsidR="00720B5E" w:rsidRPr="00C341E7" w:rsidRDefault="00720B5E" w:rsidP="00C341E7">
            <w:pPr>
              <w:rPr>
                <w:rFonts w:eastAsia="Times New Roman"/>
                <w:sz w:val="18"/>
                <w:szCs w:val="18"/>
                <w:lang w:eastAsia="en-US"/>
              </w:rPr>
            </w:pPr>
            <w:r w:rsidRPr="00C341E7">
              <w:rPr>
                <w:sz w:val="18"/>
                <w:szCs w:val="18"/>
              </w:rPr>
              <w:t>16800</w:t>
            </w:r>
          </w:p>
        </w:tc>
        <w:tc>
          <w:tcPr>
            <w:tcW w:w="975" w:type="pct"/>
            <w:hideMark/>
          </w:tcPr>
          <w:p w:rsidR="00720B5E" w:rsidRPr="00C341E7" w:rsidRDefault="00720B5E" w:rsidP="00C341E7">
            <w:pPr>
              <w:rPr>
                <w:rFonts w:eastAsia="Times New Roman"/>
                <w:sz w:val="18"/>
                <w:szCs w:val="18"/>
                <w:lang w:eastAsia="en-US"/>
              </w:rPr>
            </w:pPr>
            <w:r w:rsidRPr="00C341E7">
              <w:rPr>
                <w:sz w:val="18"/>
                <w:szCs w:val="18"/>
              </w:rPr>
              <w:t>33600</w:t>
            </w:r>
          </w:p>
        </w:tc>
        <w:tc>
          <w:tcPr>
            <w:tcW w:w="751" w:type="pct"/>
            <w:hideMark/>
          </w:tcPr>
          <w:p w:rsidR="00720B5E" w:rsidRPr="00C341E7" w:rsidRDefault="00720B5E" w:rsidP="00C341E7">
            <w:pPr>
              <w:rPr>
                <w:rFonts w:eastAsia="Times New Roman"/>
                <w:sz w:val="18"/>
                <w:szCs w:val="18"/>
                <w:lang w:eastAsia="en-US"/>
              </w:rPr>
            </w:pPr>
            <w:r w:rsidRPr="00C341E7">
              <w:rPr>
                <w:sz w:val="18"/>
                <w:szCs w:val="18"/>
              </w:rPr>
              <w:t>3.5</w:t>
            </w:r>
          </w:p>
        </w:tc>
        <w:tc>
          <w:tcPr>
            <w:tcW w:w="773" w:type="pct"/>
            <w:hideMark/>
          </w:tcPr>
          <w:p w:rsidR="00720B5E" w:rsidRPr="00C341E7" w:rsidRDefault="00720B5E" w:rsidP="00C341E7">
            <w:pPr>
              <w:rPr>
                <w:rFonts w:eastAsia="Times New Roman"/>
                <w:sz w:val="18"/>
                <w:szCs w:val="18"/>
                <w:lang w:eastAsia="en-US"/>
              </w:rPr>
            </w:pPr>
            <w:r w:rsidRPr="00C341E7">
              <w:rPr>
                <w:sz w:val="18"/>
                <w:szCs w:val="18"/>
              </w:rPr>
              <w:t>2.5</w:t>
            </w:r>
          </w:p>
        </w:tc>
      </w:tr>
      <w:tr w:rsidR="00A26678" w:rsidTr="00485E22">
        <w:trPr>
          <w:trHeight w:val="227"/>
        </w:trPr>
        <w:tc>
          <w:tcPr>
            <w:tcW w:w="877" w:type="pct"/>
            <w:vMerge/>
            <w:hideMark/>
          </w:tcPr>
          <w:p w:rsidR="00720B5E" w:rsidRPr="00C341E7" w:rsidRDefault="00720B5E" w:rsidP="00C341E7">
            <w:pPr>
              <w:rPr>
                <w:rFonts w:eastAsia="Times New Roman"/>
                <w:sz w:val="18"/>
                <w:szCs w:val="18"/>
                <w:lang w:eastAsia="en-US"/>
              </w:rPr>
            </w:pPr>
          </w:p>
        </w:tc>
        <w:tc>
          <w:tcPr>
            <w:tcW w:w="892" w:type="pct"/>
            <w:hideMark/>
          </w:tcPr>
          <w:p w:rsidR="00720B5E" w:rsidRPr="00C341E7" w:rsidRDefault="00720B5E" w:rsidP="00C341E7">
            <w:pPr>
              <w:rPr>
                <w:rFonts w:eastAsia="Times New Roman"/>
                <w:sz w:val="18"/>
                <w:szCs w:val="18"/>
                <w:lang w:eastAsia="en-US"/>
              </w:rPr>
            </w:pPr>
            <w:r w:rsidRPr="00C341E7">
              <w:rPr>
                <w:sz w:val="18"/>
                <w:szCs w:val="18"/>
              </w:rPr>
              <w:t>10</w:t>
            </w:r>
          </w:p>
        </w:tc>
        <w:tc>
          <w:tcPr>
            <w:tcW w:w="732" w:type="pct"/>
            <w:hideMark/>
          </w:tcPr>
          <w:p w:rsidR="00720B5E" w:rsidRPr="00C341E7" w:rsidRDefault="00720B5E" w:rsidP="00C341E7">
            <w:pPr>
              <w:rPr>
                <w:rFonts w:eastAsia="Times New Roman"/>
                <w:sz w:val="18"/>
                <w:szCs w:val="18"/>
                <w:lang w:eastAsia="en-US"/>
              </w:rPr>
            </w:pPr>
            <w:r w:rsidRPr="00C341E7">
              <w:rPr>
                <w:sz w:val="18"/>
                <w:szCs w:val="18"/>
              </w:rPr>
              <w:t>28050</w:t>
            </w:r>
          </w:p>
        </w:tc>
        <w:tc>
          <w:tcPr>
            <w:tcW w:w="975" w:type="pct"/>
            <w:hideMark/>
          </w:tcPr>
          <w:p w:rsidR="00720B5E" w:rsidRPr="00C341E7" w:rsidRDefault="00720B5E" w:rsidP="00C341E7">
            <w:pPr>
              <w:rPr>
                <w:rFonts w:eastAsia="Times New Roman"/>
                <w:sz w:val="18"/>
                <w:szCs w:val="18"/>
                <w:lang w:eastAsia="en-US"/>
              </w:rPr>
            </w:pPr>
            <w:r w:rsidRPr="00C341E7">
              <w:rPr>
                <w:sz w:val="18"/>
                <w:szCs w:val="18"/>
              </w:rPr>
              <w:t>56100</w:t>
            </w:r>
          </w:p>
        </w:tc>
        <w:tc>
          <w:tcPr>
            <w:tcW w:w="751" w:type="pct"/>
            <w:hideMark/>
          </w:tcPr>
          <w:p w:rsidR="00720B5E" w:rsidRPr="00C341E7" w:rsidRDefault="00720B5E" w:rsidP="00C341E7">
            <w:pPr>
              <w:rPr>
                <w:rFonts w:eastAsia="Times New Roman"/>
                <w:sz w:val="18"/>
                <w:szCs w:val="18"/>
                <w:lang w:eastAsia="en-US"/>
              </w:rPr>
            </w:pPr>
            <w:r w:rsidRPr="00C341E7">
              <w:rPr>
                <w:sz w:val="18"/>
                <w:szCs w:val="18"/>
              </w:rPr>
              <w:t>5.9</w:t>
            </w:r>
          </w:p>
        </w:tc>
        <w:tc>
          <w:tcPr>
            <w:tcW w:w="773" w:type="pct"/>
            <w:hideMark/>
          </w:tcPr>
          <w:p w:rsidR="00720B5E" w:rsidRPr="00C341E7" w:rsidRDefault="00720B5E" w:rsidP="00C341E7">
            <w:pPr>
              <w:rPr>
                <w:rFonts w:eastAsia="Times New Roman"/>
                <w:sz w:val="18"/>
                <w:szCs w:val="18"/>
                <w:lang w:eastAsia="en-US"/>
              </w:rPr>
            </w:pPr>
            <w:r w:rsidRPr="00C341E7">
              <w:rPr>
                <w:sz w:val="18"/>
                <w:szCs w:val="18"/>
              </w:rPr>
              <w:t>5</w:t>
            </w:r>
          </w:p>
        </w:tc>
      </w:tr>
      <w:tr w:rsidR="00A26678" w:rsidTr="00485E22">
        <w:trPr>
          <w:trHeight w:val="227"/>
        </w:trPr>
        <w:tc>
          <w:tcPr>
            <w:tcW w:w="877" w:type="pct"/>
            <w:vMerge/>
            <w:hideMark/>
          </w:tcPr>
          <w:p w:rsidR="00720B5E" w:rsidRPr="00C341E7" w:rsidRDefault="00720B5E" w:rsidP="00C341E7">
            <w:pPr>
              <w:rPr>
                <w:rFonts w:eastAsia="Times New Roman"/>
                <w:sz w:val="18"/>
                <w:szCs w:val="18"/>
                <w:lang w:eastAsia="en-US"/>
              </w:rPr>
            </w:pPr>
          </w:p>
        </w:tc>
        <w:tc>
          <w:tcPr>
            <w:tcW w:w="892" w:type="pct"/>
            <w:hideMark/>
          </w:tcPr>
          <w:p w:rsidR="00720B5E" w:rsidRPr="00C341E7" w:rsidRDefault="00720B5E" w:rsidP="00C341E7">
            <w:pPr>
              <w:rPr>
                <w:rFonts w:eastAsia="Times New Roman"/>
                <w:sz w:val="18"/>
                <w:szCs w:val="18"/>
                <w:lang w:eastAsia="en-US"/>
              </w:rPr>
            </w:pPr>
            <w:r w:rsidRPr="00C341E7">
              <w:rPr>
                <w:sz w:val="18"/>
                <w:szCs w:val="18"/>
              </w:rPr>
              <w:t>40</w:t>
            </w:r>
          </w:p>
        </w:tc>
        <w:tc>
          <w:tcPr>
            <w:tcW w:w="732" w:type="pct"/>
            <w:hideMark/>
          </w:tcPr>
          <w:p w:rsidR="00720B5E" w:rsidRPr="00C341E7" w:rsidRDefault="00720B5E" w:rsidP="00C341E7">
            <w:pPr>
              <w:rPr>
                <w:rFonts w:eastAsia="Times New Roman"/>
                <w:sz w:val="18"/>
                <w:szCs w:val="18"/>
                <w:lang w:eastAsia="en-US"/>
              </w:rPr>
            </w:pPr>
            <w:r w:rsidRPr="00C341E7">
              <w:rPr>
                <w:sz w:val="18"/>
                <w:szCs w:val="18"/>
              </w:rPr>
              <w:t>159500</w:t>
            </w:r>
          </w:p>
        </w:tc>
        <w:tc>
          <w:tcPr>
            <w:tcW w:w="975" w:type="pct"/>
            <w:hideMark/>
          </w:tcPr>
          <w:p w:rsidR="00720B5E" w:rsidRPr="00C341E7" w:rsidRDefault="00720B5E" w:rsidP="00C341E7">
            <w:pPr>
              <w:rPr>
                <w:rFonts w:eastAsia="Times New Roman"/>
                <w:sz w:val="18"/>
                <w:szCs w:val="18"/>
                <w:lang w:eastAsia="en-US"/>
              </w:rPr>
            </w:pPr>
            <w:r w:rsidRPr="00C341E7">
              <w:rPr>
                <w:sz w:val="18"/>
                <w:szCs w:val="18"/>
              </w:rPr>
              <w:t>319000</w:t>
            </w:r>
          </w:p>
        </w:tc>
        <w:tc>
          <w:tcPr>
            <w:tcW w:w="751" w:type="pct"/>
            <w:hideMark/>
          </w:tcPr>
          <w:p w:rsidR="00720B5E" w:rsidRPr="00C341E7" w:rsidRDefault="00720B5E" w:rsidP="00C341E7">
            <w:pPr>
              <w:rPr>
                <w:rFonts w:eastAsia="Times New Roman"/>
                <w:sz w:val="18"/>
                <w:szCs w:val="18"/>
                <w:lang w:eastAsia="en-US"/>
              </w:rPr>
            </w:pPr>
            <w:r w:rsidRPr="00C341E7">
              <w:rPr>
                <w:sz w:val="18"/>
                <w:szCs w:val="18"/>
              </w:rPr>
              <w:t>33.6</w:t>
            </w:r>
          </w:p>
        </w:tc>
        <w:tc>
          <w:tcPr>
            <w:tcW w:w="773" w:type="pct"/>
            <w:hideMark/>
          </w:tcPr>
          <w:p w:rsidR="00720B5E" w:rsidRPr="00C341E7" w:rsidRDefault="00720B5E" w:rsidP="00C341E7">
            <w:pPr>
              <w:rPr>
                <w:rFonts w:eastAsia="Times New Roman"/>
                <w:sz w:val="18"/>
                <w:szCs w:val="18"/>
                <w:lang w:eastAsia="en-US"/>
              </w:rPr>
            </w:pPr>
            <w:r w:rsidRPr="00C341E7">
              <w:rPr>
                <w:sz w:val="18"/>
                <w:szCs w:val="18"/>
              </w:rPr>
              <w:t>20</w:t>
            </w:r>
          </w:p>
        </w:tc>
      </w:tr>
      <w:tr w:rsidR="00A26678" w:rsidTr="00485E22">
        <w:trPr>
          <w:trHeight w:val="227"/>
        </w:trPr>
        <w:tc>
          <w:tcPr>
            <w:tcW w:w="877" w:type="pct"/>
            <w:vMerge w:val="restart"/>
            <w:hideMark/>
          </w:tcPr>
          <w:p w:rsidR="00720B5E" w:rsidRPr="00C341E7" w:rsidRDefault="00720B5E" w:rsidP="00C341E7">
            <w:pPr>
              <w:rPr>
                <w:rFonts w:eastAsia="Times New Roman"/>
                <w:sz w:val="18"/>
                <w:szCs w:val="18"/>
              </w:rPr>
            </w:pPr>
            <w:r w:rsidRPr="00C341E7">
              <w:rPr>
                <w:sz w:val="18"/>
                <w:szCs w:val="18"/>
              </w:rPr>
              <w:t>REGN88-TX-06037</w:t>
            </w:r>
          </w:p>
          <w:p w:rsidR="00720B5E" w:rsidRPr="00C341E7" w:rsidRDefault="00720B5E" w:rsidP="00C341E7">
            <w:pPr>
              <w:rPr>
                <w:sz w:val="18"/>
                <w:szCs w:val="18"/>
              </w:rPr>
            </w:pPr>
            <w:r w:rsidRPr="00C341E7">
              <w:rPr>
                <w:sz w:val="18"/>
                <w:szCs w:val="18"/>
              </w:rPr>
              <w:t>(13 weeks)</w:t>
            </w:r>
          </w:p>
          <w:p w:rsidR="00720B5E" w:rsidRPr="00C341E7" w:rsidRDefault="00720B5E" w:rsidP="00C341E7">
            <w:pPr>
              <w:rPr>
                <w:rFonts w:eastAsia="Times New Roman"/>
                <w:sz w:val="18"/>
                <w:szCs w:val="18"/>
                <w:lang w:eastAsia="en-US"/>
              </w:rPr>
            </w:pPr>
            <w:r w:rsidRPr="00C341E7">
              <w:rPr>
                <w:sz w:val="18"/>
                <w:szCs w:val="18"/>
              </w:rPr>
              <w:t>IV</w:t>
            </w:r>
          </w:p>
        </w:tc>
        <w:tc>
          <w:tcPr>
            <w:tcW w:w="892" w:type="pct"/>
            <w:hideMark/>
          </w:tcPr>
          <w:p w:rsidR="00720B5E" w:rsidRPr="00C341E7" w:rsidRDefault="00720B5E" w:rsidP="00C341E7">
            <w:pPr>
              <w:rPr>
                <w:rFonts w:eastAsia="Times New Roman"/>
                <w:sz w:val="18"/>
                <w:szCs w:val="18"/>
                <w:lang w:eastAsia="en-US"/>
              </w:rPr>
            </w:pPr>
            <w:r w:rsidRPr="00C341E7">
              <w:rPr>
                <w:sz w:val="18"/>
                <w:szCs w:val="18"/>
              </w:rPr>
              <w:t>1</w:t>
            </w:r>
          </w:p>
        </w:tc>
        <w:tc>
          <w:tcPr>
            <w:tcW w:w="732" w:type="pct"/>
            <w:hideMark/>
          </w:tcPr>
          <w:p w:rsidR="00720B5E" w:rsidRPr="00C341E7" w:rsidRDefault="00720B5E" w:rsidP="00C341E7">
            <w:pPr>
              <w:rPr>
                <w:rFonts w:eastAsia="Times New Roman"/>
                <w:sz w:val="18"/>
                <w:szCs w:val="18"/>
                <w:lang w:eastAsia="en-US"/>
              </w:rPr>
            </w:pPr>
            <w:r w:rsidRPr="00C341E7">
              <w:rPr>
                <w:sz w:val="18"/>
                <w:szCs w:val="18"/>
              </w:rPr>
              <w:t>389</w:t>
            </w:r>
          </w:p>
        </w:tc>
        <w:tc>
          <w:tcPr>
            <w:tcW w:w="975" w:type="pct"/>
            <w:hideMark/>
          </w:tcPr>
          <w:p w:rsidR="00720B5E" w:rsidRPr="00C341E7" w:rsidRDefault="00720B5E" w:rsidP="00C341E7">
            <w:pPr>
              <w:rPr>
                <w:rFonts w:eastAsia="Times New Roman"/>
                <w:sz w:val="18"/>
                <w:szCs w:val="18"/>
                <w:lang w:eastAsia="en-US"/>
              </w:rPr>
            </w:pPr>
            <w:r w:rsidRPr="00C341E7">
              <w:rPr>
                <w:sz w:val="18"/>
                <w:szCs w:val="18"/>
              </w:rPr>
              <w:t>778</w:t>
            </w:r>
          </w:p>
        </w:tc>
        <w:tc>
          <w:tcPr>
            <w:tcW w:w="751" w:type="pct"/>
            <w:hideMark/>
          </w:tcPr>
          <w:p w:rsidR="00720B5E" w:rsidRPr="00C341E7" w:rsidRDefault="00720B5E" w:rsidP="00C341E7">
            <w:pPr>
              <w:rPr>
                <w:rFonts w:eastAsia="Times New Roman"/>
                <w:sz w:val="18"/>
                <w:szCs w:val="18"/>
                <w:lang w:eastAsia="en-US"/>
              </w:rPr>
            </w:pPr>
            <w:r w:rsidRPr="00C341E7">
              <w:rPr>
                <w:sz w:val="18"/>
                <w:szCs w:val="18"/>
              </w:rPr>
              <w:t>0.1</w:t>
            </w:r>
          </w:p>
        </w:tc>
        <w:tc>
          <w:tcPr>
            <w:tcW w:w="773" w:type="pct"/>
            <w:hideMark/>
          </w:tcPr>
          <w:p w:rsidR="00720B5E" w:rsidRPr="00C341E7" w:rsidRDefault="00720B5E" w:rsidP="00C341E7">
            <w:pPr>
              <w:rPr>
                <w:rFonts w:eastAsia="Times New Roman"/>
                <w:sz w:val="18"/>
                <w:szCs w:val="18"/>
                <w:lang w:eastAsia="en-US"/>
              </w:rPr>
            </w:pPr>
            <w:r w:rsidRPr="00C341E7">
              <w:rPr>
                <w:sz w:val="18"/>
                <w:szCs w:val="18"/>
              </w:rPr>
              <w:t>0.5</w:t>
            </w:r>
          </w:p>
        </w:tc>
      </w:tr>
      <w:tr w:rsidR="00A26678" w:rsidTr="00485E22">
        <w:trPr>
          <w:trHeight w:val="227"/>
        </w:trPr>
        <w:tc>
          <w:tcPr>
            <w:tcW w:w="877" w:type="pct"/>
            <w:vMerge/>
            <w:hideMark/>
          </w:tcPr>
          <w:p w:rsidR="00720B5E" w:rsidRPr="00C341E7" w:rsidRDefault="00720B5E" w:rsidP="00C341E7">
            <w:pPr>
              <w:rPr>
                <w:rFonts w:eastAsia="Times New Roman"/>
                <w:sz w:val="18"/>
                <w:szCs w:val="18"/>
                <w:lang w:eastAsia="en-US"/>
              </w:rPr>
            </w:pPr>
          </w:p>
        </w:tc>
        <w:tc>
          <w:tcPr>
            <w:tcW w:w="892" w:type="pct"/>
            <w:hideMark/>
          </w:tcPr>
          <w:p w:rsidR="00720B5E" w:rsidRPr="00C341E7" w:rsidRDefault="00720B5E" w:rsidP="00C341E7">
            <w:pPr>
              <w:rPr>
                <w:rFonts w:eastAsia="Times New Roman"/>
                <w:sz w:val="18"/>
                <w:szCs w:val="18"/>
                <w:lang w:eastAsia="en-US"/>
              </w:rPr>
            </w:pPr>
            <w:r w:rsidRPr="00C341E7">
              <w:rPr>
                <w:sz w:val="18"/>
                <w:szCs w:val="18"/>
              </w:rPr>
              <w:t>10</w:t>
            </w:r>
          </w:p>
        </w:tc>
        <w:tc>
          <w:tcPr>
            <w:tcW w:w="732" w:type="pct"/>
            <w:hideMark/>
          </w:tcPr>
          <w:p w:rsidR="00720B5E" w:rsidRPr="00C341E7" w:rsidRDefault="00720B5E" w:rsidP="00C341E7">
            <w:pPr>
              <w:rPr>
                <w:rFonts w:eastAsia="Times New Roman"/>
                <w:sz w:val="18"/>
                <w:szCs w:val="18"/>
                <w:lang w:eastAsia="en-US"/>
              </w:rPr>
            </w:pPr>
            <w:r w:rsidRPr="00C341E7">
              <w:rPr>
                <w:sz w:val="18"/>
                <w:szCs w:val="18"/>
              </w:rPr>
              <w:t>61550</w:t>
            </w:r>
          </w:p>
        </w:tc>
        <w:tc>
          <w:tcPr>
            <w:tcW w:w="975" w:type="pct"/>
            <w:hideMark/>
          </w:tcPr>
          <w:p w:rsidR="00720B5E" w:rsidRPr="00C341E7" w:rsidRDefault="00720B5E" w:rsidP="00C341E7">
            <w:pPr>
              <w:rPr>
                <w:rFonts w:eastAsia="Times New Roman"/>
                <w:sz w:val="18"/>
                <w:szCs w:val="18"/>
                <w:lang w:eastAsia="en-US"/>
              </w:rPr>
            </w:pPr>
            <w:r w:rsidRPr="00C341E7">
              <w:rPr>
                <w:sz w:val="18"/>
                <w:szCs w:val="18"/>
              </w:rPr>
              <w:t>123100</w:t>
            </w:r>
          </w:p>
        </w:tc>
        <w:tc>
          <w:tcPr>
            <w:tcW w:w="751" w:type="pct"/>
            <w:hideMark/>
          </w:tcPr>
          <w:p w:rsidR="00720B5E" w:rsidRPr="00C341E7" w:rsidRDefault="00720B5E" w:rsidP="00C341E7">
            <w:pPr>
              <w:rPr>
                <w:rFonts w:eastAsia="Times New Roman"/>
                <w:sz w:val="18"/>
                <w:szCs w:val="18"/>
                <w:lang w:eastAsia="en-US"/>
              </w:rPr>
            </w:pPr>
            <w:r w:rsidRPr="00C341E7">
              <w:rPr>
                <w:sz w:val="18"/>
                <w:szCs w:val="18"/>
              </w:rPr>
              <w:t>13.0</w:t>
            </w:r>
          </w:p>
        </w:tc>
        <w:tc>
          <w:tcPr>
            <w:tcW w:w="773" w:type="pct"/>
            <w:hideMark/>
          </w:tcPr>
          <w:p w:rsidR="00720B5E" w:rsidRPr="00C341E7" w:rsidRDefault="00720B5E" w:rsidP="00C341E7">
            <w:pPr>
              <w:rPr>
                <w:rFonts w:eastAsia="Times New Roman"/>
                <w:sz w:val="18"/>
                <w:szCs w:val="18"/>
                <w:lang w:eastAsia="en-US"/>
              </w:rPr>
            </w:pPr>
            <w:r w:rsidRPr="00C341E7">
              <w:rPr>
                <w:sz w:val="18"/>
                <w:szCs w:val="18"/>
              </w:rPr>
              <w:t>5</w:t>
            </w:r>
          </w:p>
        </w:tc>
      </w:tr>
      <w:tr w:rsidR="00A26678" w:rsidTr="00485E22">
        <w:trPr>
          <w:trHeight w:val="227"/>
        </w:trPr>
        <w:tc>
          <w:tcPr>
            <w:tcW w:w="877" w:type="pct"/>
            <w:vMerge/>
            <w:hideMark/>
          </w:tcPr>
          <w:p w:rsidR="00720B5E" w:rsidRPr="00C341E7" w:rsidRDefault="00720B5E" w:rsidP="00C341E7">
            <w:pPr>
              <w:rPr>
                <w:rFonts w:eastAsia="Times New Roman"/>
                <w:sz w:val="18"/>
                <w:szCs w:val="18"/>
                <w:lang w:eastAsia="en-US"/>
              </w:rPr>
            </w:pPr>
          </w:p>
        </w:tc>
        <w:tc>
          <w:tcPr>
            <w:tcW w:w="892" w:type="pct"/>
            <w:hideMark/>
          </w:tcPr>
          <w:p w:rsidR="00720B5E" w:rsidRPr="00C341E7" w:rsidRDefault="00720B5E" w:rsidP="00C341E7">
            <w:pPr>
              <w:rPr>
                <w:rFonts w:eastAsia="Times New Roman"/>
                <w:sz w:val="18"/>
                <w:szCs w:val="18"/>
                <w:lang w:eastAsia="en-US"/>
              </w:rPr>
            </w:pPr>
            <w:r w:rsidRPr="00C341E7">
              <w:rPr>
                <w:sz w:val="18"/>
                <w:szCs w:val="18"/>
              </w:rPr>
              <w:t>50</w:t>
            </w:r>
          </w:p>
        </w:tc>
        <w:tc>
          <w:tcPr>
            <w:tcW w:w="732" w:type="pct"/>
            <w:hideMark/>
          </w:tcPr>
          <w:p w:rsidR="00720B5E" w:rsidRPr="00C341E7" w:rsidRDefault="00720B5E" w:rsidP="00C341E7">
            <w:pPr>
              <w:rPr>
                <w:rFonts w:eastAsia="Times New Roman"/>
                <w:sz w:val="18"/>
                <w:szCs w:val="18"/>
                <w:lang w:eastAsia="en-US"/>
              </w:rPr>
            </w:pPr>
            <w:r w:rsidRPr="00C341E7">
              <w:rPr>
                <w:sz w:val="18"/>
                <w:szCs w:val="18"/>
              </w:rPr>
              <w:t>258313</w:t>
            </w:r>
          </w:p>
        </w:tc>
        <w:tc>
          <w:tcPr>
            <w:tcW w:w="975" w:type="pct"/>
            <w:hideMark/>
          </w:tcPr>
          <w:p w:rsidR="00720B5E" w:rsidRPr="00C341E7" w:rsidRDefault="00720B5E" w:rsidP="00C341E7">
            <w:pPr>
              <w:rPr>
                <w:rFonts w:eastAsia="Times New Roman"/>
                <w:sz w:val="18"/>
                <w:szCs w:val="18"/>
                <w:lang w:eastAsia="en-US"/>
              </w:rPr>
            </w:pPr>
            <w:r w:rsidRPr="00C341E7">
              <w:rPr>
                <w:sz w:val="18"/>
                <w:szCs w:val="18"/>
              </w:rPr>
              <w:t>516626</w:t>
            </w:r>
          </w:p>
        </w:tc>
        <w:tc>
          <w:tcPr>
            <w:tcW w:w="751" w:type="pct"/>
            <w:hideMark/>
          </w:tcPr>
          <w:p w:rsidR="00720B5E" w:rsidRPr="00C341E7" w:rsidRDefault="00720B5E" w:rsidP="00C341E7">
            <w:pPr>
              <w:rPr>
                <w:rFonts w:eastAsia="Times New Roman"/>
                <w:sz w:val="18"/>
                <w:szCs w:val="18"/>
                <w:lang w:eastAsia="en-US"/>
              </w:rPr>
            </w:pPr>
            <w:r w:rsidRPr="00C341E7">
              <w:rPr>
                <w:sz w:val="18"/>
                <w:szCs w:val="18"/>
              </w:rPr>
              <w:t>54.5</w:t>
            </w:r>
          </w:p>
        </w:tc>
        <w:tc>
          <w:tcPr>
            <w:tcW w:w="773" w:type="pct"/>
            <w:hideMark/>
          </w:tcPr>
          <w:p w:rsidR="00720B5E" w:rsidRPr="00C341E7" w:rsidRDefault="00720B5E" w:rsidP="00C341E7">
            <w:pPr>
              <w:rPr>
                <w:rFonts w:eastAsia="Times New Roman"/>
                <w:sz w:val="18"/>
                <w:szCs w:val="18"/>
                <w:lang w:eastAsia="en-US"/>
              </w:rPr>
            </w:pPr>
            <w:r w:rsidRPr="00C341E7">
              <w:rPr>
                <w:sz w:val="18"/>
                <w:szCs w:val="18"/>
              </w:rPr>
              <w:t>25</w:t>
            </w:r>
          </w:p>
        </w:tc>
      </w:tr>
      <w:tr w:rsidR="00A26678" w:rsidTr="00485E22">
        <w:trPr>
          <w:trHeight w:val="227"/>
        </w:trPr>
        <w:tc>
          <w:tcPr>
            <w:tcW w:w="877" w:type="pct"/>
            <w:vMerge w:val="restart"/>
            <w:hideMark/>
          </w:tcPr>
          <w:p w:rsidR="00720B5E" w:rsidRPr="00C341E7" w:rsidRDefault="00720B5E" w:rsidP="00C341E7">
            <w:pPr>
              <w:rPr>
                <w:rFonts w:eastAsia="Times New Roman"/>
                <w:sz w:val="18"/>
                <w:szCs w:val="18"/>
              </w:rPr>
            </w:pPr>
            <w:r w:rsidRPr="00C341E7">
              <w:rPr>
                <w:sz w:val="18"/>
                <w:szCs w:val="18"/>
              </w:rPr>
              <w:t>REGN88-TX-08031</w:t>
            </w:r>
          </w:p>
          <w:p w:rsidR="00720B5E" w:rsidRPr="00C341E7" w:rsidRDefault="00720B5E" w:rsidP="00C341E7">
            <w:pPr>
              <w:rPr>
                <w:sz w:val="18"/>
                <w:szCs w:val="18"/>
              </w:rPr>
            </w:pPr>
            <w:r w:rsidRPr="00C341E7">
              <w:rPr>
                <w:sz w:val="18"/>
                <w:szCs w:val="18"/>
              </w:rPr>
              <w:t>(26 weeks)</w:t>
            </w:r>
          </w:p>
          <w:p w:rsidR="00720B5E" w:rsidRPr="00C341E7" w:rsidRDefault="00720B5E" w:rsidP="00C341E7">
            <w:pPr>
              <w:rPr>
                <w:rFonts w:eastAsia="Times New Roman"/>
                <w:sz w:val="18"/>
                <w:szCs w:val="18"/>
                <w:lang w:eastAsia="en-US"/>
              </w:rPr>
            </w:pPr>
            <w:r w:rsidRPr="00C341E7">
              <w:rPr>
                <w:sz w:val="18"/>
                <w:szCs w:val="18"/>
              </w:rPr>
              <w:t>IV</w:t>
            </w:r>
          </w:p>
        </w:tc>
        <w:tc>
          <w:tcPr>
            <w:tcW w:w="892" w:type="pct"/>
            <w:hideMark/>
          </w:tcPr>
          <w:p w:rsidR="00720B5E" w:rsidRPr="00C341E7" w:rsidRDefault="00720B5E" w:rsidP="00C341E7">
            <w:pPr>
              <w:rPr>
                <w:rFonts w:eastAsia="Times New Roman"/>
                <w:sz w:val="18"/>
                <w:szCs w:val="18"/>
                <w:lang w:eastAsia="en-US"/>
              </w:rPr>
            </w:pPr>
            <w:r w:rsidRPr="00C341E7">
              <w:rPr>
                <w:sz w:val="18"/>
                <w:szCs w:val="18"/>
              </w:rPr>
              <w:t>0.5</w:t>
            </w:r>
          </w:p>
        </w:tc>
        <w:tc>
          <w:tcPr>
            <w:tcW w:w="732" w:type="pct"/>
            <w:hideMark/>
          </w:tcPr>
          <w:p w:rsidR="00720B5E" w:rsidRPr="00C341E7" w:rsidRDefault="00720B5E" w:rsidP="00C341E7">
            <w:pPr>
              <w:rPr>
                <w:rFonts w:eastAsia="Times New Roman"/>
                <w:sz w:val="18"/>
                <w:szCs w:val="18"/>
                <w:lang w:eastAsia="en-US"/>
              </w:rPr>
            </w:pPr>
            <w:r w:rsidRPr="00C341E7">
              <w:rPr>
                <w:sz w:val="18"/>
                <w:szCs w:val="18"/>
              </w:rPr>
              <w:t>186</w:t>
            </w:r>
          </w:p>
        </w:tc>
        <w:tc>
          <w:tcPr>
            <w:tcW w:w="975" w:type="pct"/>
            <w:hideMark/>
          </w:tcPr>
          <w:p w:rsidR="00720B5E" w:rsidRPr="00C341E7" w:rsidRDefault="00720B5E" w:rsidP="00C341E7">
            <w:pPr>
              <w:rPr>
                <w:rFonts w:eastAsia="Times New Roman"/>
                <w:sz w:val="18"/>
                <w:szCs w:val="18"/>
                <w:lang w:eastAsia="en-US"/>
              </w:rPr>
            </w:pPr>
            <w:r w:rsidRPr="00C341E7">
              <w:rPr>
                <w:sz w:val="18"/>
                <w:szCs w:val="18"/>
              </w:rPr>
              <w:t>372</w:t>
            </w:r>
          </w:p>
        </w:tc>
        <w:tc>
          <w:tcPr>
            <w:tcW w:w="751" w:type="pct"/>
            <w:hideMark/>
          </w:tcPr>
          <w:p w:rsidR="00720B5E" w:rsidRPr="00C341E7" w:rsidRDefault="00720B5E" w:rsidP="00C341E7">
            <w:pPr>
              <w:rPr>
                <w:rFonts w:eastAsia="Times New Roman"/>
                <w:sz w:val="18"/>
                <w:szCs w:val="18"/>
                <w:lang w:eastAsia="en-US"/>
              </w:rPr>
            </w:pPr>
            <w:r w:rsidRPr="00C341E7">
              <w:rPr>
                <w:sz w:val="18"/>
                <w:szCs w:val="18"/>
              </w:rPr>
              <w:t>0.04</w:t>
            </w:r>
          </w:p>
        </w:tc>
        <w:tc>
          <w:tcPr>
            <w:tcW w:w="773" w:type="pct"/>
            <w:hideMark/>
          </w:tcPr>
          <w:p w:rsidR="00720B5E" w:rsidRPr="00C341E7" w:rsidRDefault="00720B5E" w:rsidP="00C341E7">
            <w:pPr>
              <w:rPr>
                <w:rFonts w:eastAsia="Times New Roman"/>
                <w:sz w:val="18"/>
                <w:szCs w:val="18"/>
                <w:lang w:eastAsia="en-US"/>
              </w:rPr>
            </w:pPr>
            <w:r w:rsidRPr="00C341E7">
              <w:rPr>
                <w:sz w:val="18"/>
                <w:szCs w:val="18"/>
              </w:rPr>
              <w:t>0.3</w:t>
            </w:r>
          </w:p>
        </w:tc>
      </w:tr>
      <w:tr w:rsidR="00A26678" w:rsidTr="00485E22">
        <w:trPr>
          <w:trHeight w:val="227"/>
        </w:trPr>
        <w:tc>
          <w:tcPr>
            <w:tcW w:w="877" w:type="pct"/>
            <w:vMerge/>
            <w:hideMark/>
          </w:tcPr>
          <w:p w:rsidR="00720B5E" w:rsidRPr="00C341E7" w:rsidRDefault="00720B5E" w:rsidP="00C341E7">
            <w:pPr>
              <w:rPr>
                <w:rFonts w:eastAsia="Times New Roman"/>
                <w:sz w:val="18"/>
                <w:szCs w:val="18"/>
                <w:lang w:eastAsia="en-US"/>
              </w:rPr>
            </w:pPr>
          </w:p>
        </w:tc>
        <w:tc>
          <w:tcPr>
            <w:tcW w:w="892" w:type="pct"/>
            <w:hideMark/>
          </w:tcPr>
          <w:p w:rsidR="00720B5E" w:rsidRPr="00C341E7" w:rsidRDefault="00720B5E" w:rsidP="00C341E7">
            <w:pPr>
              <w:rPr>
                <w:rFonts w:eastAsia="Times New Roman"/>
                <w:sz w:val="18"/>
                <w:szCs w:val="18"/>
                <w:lang w:eastAsia="en-US"/>
              </w:rPr>
            </w:pPr>
            <w:r w:rsidRPr="00C341E7">
              <w:rPr>
                <w:sz w:val="18"/>
                <w:szCs w:val="18"/>
              </w:rPr>
              <w:t>5</w:t>
            </w:r>
          </w:p>
        </w:tc>
        <w:tc>
          <w:tcPr>
            <w:tcW w:w="732" w:type="pct"/>
            <w:hideMark/>
          </w:tcPr>
          <w:p w:rsidR="00720B5E" w:rsidRPr="00C341E7" w:rsidRDefault="00720B5E" w:rsidP="00C341E7">
            <w:pPr>
              <w:rPr>
                <w:rFonts w:eastAsia="Times New Roman"/>
                <w:sz w:val="18"/>
                <w:szCs w:val="18"/>
                <w:lang w:eastAsia="en-US"/>
              </w:rPr>
            </w:pPr>
            <w:r w:rsidRPr="00C341E7">
              <w:rPr>
                <w:sz w:val="18"/>
                <w:szCs w:val="18"/>
              </w:rPr>
              <w:t>22892</w:t>
            </w:r>
          </w:p>
        </w:tc>
        <w:tc>
          <w:tcPr>
            <w:tcW w:w="975" w:type="pct"/>
            <w:hideMark/>
          </w:tcPr>
          <w:p w:rsidR="00720B5E" w:rsidRPr="00C341E7" w:rsidRDefault="00720B5E" w:rsidP="00C341E7">
            <w:pPr>
              <w:rPr>
                <w:rFonts w:eastAsia="Times New Roman"/>
                <w:sz w:val="18"/>
                <w:szCs w:val="18"/>
                <w:lang w:eastAsia="en-US"/>
              </w:rPr>
            </w:pPr>
            <w:r w:rsidRPr="00C341E7">
              <w:rPr>
                <w:sz w:val="18"/>
                <w:szCs w:val="18"/>
              </w:rPr>
              <w:t>45784</w:t>
            </w:r>
          </w:p>
        </w:tc>
        <w:tc>
          <w:tcPr>
            <w:tcW w:w="751" w:type="pct"/>
            <w:hideMark/>
          </w:tcPr>
          <w:p w:rsidR="00720B5E" w:rsidRPr="00C341E7" w:rsidRDefault="00720B5E" w:rsidP="00C341E7">
            <w:pPr>
              <w:rPr>
                <w:rFonts w:eastAsia="Times New Roman"/>
                <w:sz w:val="18"/>
                <w:szCs w:val="18"/>
                <w:lang w:eastAsia="en-US"/>
              </w:rPr>
            </w:pPr>
            <w:r w:rsidRPr="00C341E7">
              <w:rPr>
                <w:sz w:val="18"/>
                <w:szCs w:val="18"/>
              </w:rPr>
              <w:t>4.8</w:t>
            </w:r>
          </w:p>
        </w:tc>
        <w:tc>
          <w:tcPr>
            <w:tcW w:w="773" w:type="pct"/>
            <w:hideMark/>
          </w:tcPr>
          <w:p w:rsidR="00720B5E" w:rsidRPr="00C341E7" w:rsidRDefault="00720B5E" w:rsidP="00C341E7">
            <w:pPr>
              <w:rPr>
                <w:rFonts w:eastAsia="Times New Roman"/>
                <w:sz w:val="18"/>
                <w:szCs w:val="18"/>
                <w:lang w:eastAsia="en-US"/>
              </w:rPr>
            </w:pPr>
            <w:r w:rsidRPr="00C341E7">
              <w:rPr>
                <w:sz w:val="18"/>
                <w:szCs w:val="18"/>
              </w:rPr>
              <w:t>2.5</w:t>
            </w:r>
          </w:p>
        </w:tc>
      </w:tr>
      <w:tr w:rsidR="00A26678" w:rsidTr="00485E22">
        <w:trPr>
          <w:trHeight w:val="227"/>
        </w:trPr>
        <w:tc>
          <w:tcPr>
            <w:tcW w:w="877" w:type="pct"/>
            <w:vMerge/>
            <w:hideMark/>
          </w:tcPr>
          <w:p w:rsidR="00720B5E" w:rsidRPr="00C341E7" w:rsidRDefault="00720B5E" w:rsidP="00C341E7">
            <w:pPr>
              <w:rPr>
                <w:rFonts w:eastAsia="Times New Roman"/>
                <w:sz w:val="18"/>
                <w:szCs w:val="18"/>
                <w:lang w:eastAsia="en-US"/>
              </w:rPr>
            </w:pPr>
          </w:p>
        </w:tc>
        <w:tc>
          <w:tcPr>
            <w:tcW w:w="892" w:type="pct"/>
            <w:hideMark/>
          </w:tcPr>
          <w:p w:rsidR="00720B5E" w:rsidRPr="00C341E7" w:rsidRDefault="00720B5E" w:rsidP="00C341E7">
            <w:pPr>
              <w:rPr>
                <w:rFonts w:eastAsia="Times New Roman"/>
                <w:sz w:val="18"/>
                <w:szCs w:val="18"/>
                <w:lang w:eastAsia="en-US"/>
              </w:rPr>
            </w:pPr>
            <w:r w:rsidRPr="00C341E7">
              <w:rPr>
                <w:sz w:val="18"/>
                <w:szCs w:val="18"/>
              </w:rPr>
              <w:t>15</w:t>
            </w:r>
          </w:p>
        </w:tc>
        <w:tc>
          <w:tcPr>
            <w:tcW w:w="732" w:type="pct"/>
            <w:hideMark/>
          </w:tcPr>
          <w:p w:rsidR="00720B5E" w:rsidRPr="00C341E7" w:rsidRDefault="00720B5E" w:rsidP="00C341E7">
            <w:pPr>
              <w:rPr>
                <w:rFonts w:eastAsia="Times New Roman"/>
                <w:sz w:val="18"/>
                <w:szCs w:val="18"/>
                <w:lang w:eastAsia="en-US"/>
              </w:rPr>
            </w:pPr>
            <w:r w:rsidRPr="00C341E7">
              <w:rPr>
                <w:sz w:val="18"/>
                <w:szCs w:val="18"/>
              </w:rPr>
              <w:t>90371</w:t>
            </w:r>
          </w:p>
        </w:tc>
        <w:tc>
          <w:tcPr>
            <w:tcW w:w="975" w:type="pct"/>
            <w:hideMark/>
          </w:tcPr>
          <w:p w:rsidR="00720B5E" w:rsidRPr="00C341E7" w:rsidRDefault="00720B5E" w:rsidP="00C341E7">
            <w:pPr>
              <w:rPr>
                <w:rFonts w:eastAsia="Times New Roman"/>
                <w:sz w:val="18"/>
                <w:szCs w:val="18"/>
                <w:lang w:eastAsia="en-US"/>
              </w:rPr>
            </w:pPr>
            <w:r w:rsidRPr="00C341E7">
              <w:rPr>
                <w:sz w:val="18"/>
                <w:szCs w:val="18"/>
              </w:rPr>
              <w:t>180742</w:t>
            </w:r>
          </w:p>
        </w:tc>
        <w:tc>
          <w:tcPr>
            <w:tcW w:w="751" w:type="pct"/>
            <w:hideMark/>
          </w:tcPr>
          <w:p w:rsidR="00720B5E" w:rsidRPr="00C341E7" w:rsidRDefault="00720B5E" w:rsidP="00C341E7">
            <w:pPr>
              <w:rPr>
                <w:rFonts w:eastAsia="Times New Roman"/>
                <w:sz w:val="18"/>
                <w:szCs w:val="18"/>
                <w:lang w:eastAsia="en-US"/>
              </w:rPr>
            </w:pPr>
            <w:r w:rsidRPr="00C341E7">
              <w:rPr>
                <w:sz w:val="18"/>
                <w:szCs w:val="18"/>
              </w:rPr>
              <w:t>19.1</w:t>
            </w:r>
          </w:p>
        </w:tc>
        <w:tc>
          <w:tcPr>
            <w:tcW w:w="773" w:type="pct"/>
            <w:hideMark/>
          </w:tcPr>
          <w:p w:rsidR="00720B5E" w:rsidRPr="00C341E7" w:rsidRDefault="00720B5E" w:rsidP="00C341E7">
            <w:pPr>
              <w:rPr>
                <w:rFonts w:eastAsia="Times New Roman"/>
                <w:sz w:val="18"/>
                <w:szCs w:val="18"/>
                <w:lang w:eastAsia="en-US"/>
              </w:rPr>
            </w:pPr>
            <w:r w:rsidRPr="00C341E7">
              <w:rPr>
                <w:sz w:val="18"/>
                <w:szCs w:val="18"/>
              </w:rPr>
              <w:t>7.5</w:t>
            </w:r>
          </w:p>
        </w:tc>
      </w:tr>
      <w:tr w:rsidR="00A26678" w:rsidTr="00485E22">
        <w:trPr>
          <w:trHeight w:val="227"/>
        </w:trPr>
        <w:tc>
          <w:tcPr>
            <w:tcW w:w="877" w:type="pct"/>
            <w:vMerge/>
            <w:hideMark/>
          </w:tcPr>
          <w:p w:rsidR="00720B5E" w:rsidRPr="00C341E7" w:rsidRDefault="00720B5E" w:rsidP="00C341E7">
            <w:pPr>
              <w:rPr>
                <w:rFonts w:eastAsia="Times New Roman"/>
                <w:sz w:val="18"/>
                <w:szCs w:val="18"/>
                <w:lang w:eastAsia="en-US"/>
              </w:rPr>
            </w:pPr>
          </w:p>
        </w:tc>
        <w:tc>
          <w:tcPr>
            <w:tcW w:w="892" w:type="pct"/>
            <w:hideMark/>
          </w:tcPr>
          <w:p w:rsidR="00720B5E" w:rsidRPr="00C341E7" w:rsidRDefault="00720B5E" w:rsidP="00C341E7">
            <w:pPr>
              <w:rPr>
                <w:rFonts w:eastAsia="Times New Roman"/>
                <w:sz w:val="18"/>
                <w:szCs w:val="18"/>
                <w:lang w:eastAsia="en-US"/>
              </w:rPr>
            </w:pPr>
            <w:r w:rsidRPr="00C341E7">
              <w:rPr>
                <w:sz w:val="18"/>
                <w:szCs w:val="18"/>
              </w:rPr>
              <w:t>50</w:t>
            </w:r>
          </w:p>
        </w:tc>
        <w:tc>
          <w:tcPr>
            <w:tcW w:w="732" w:type="pct"/>
            <w:hideMark/>
          </w:tcPr>
          <w:p w:rsidR="00720B5E" w:rsidRPr="00C341E7" w:rsidRDefault="00720B5E" w:rsidP="00C341E7">
            <w:pPr>
              <w:rPr>
                <w:rFonts w:eastAsia="Times New Roman"/>
                <w:sz w:val="18"/>
                <w:szCs w:val="18"/>
                <w:lang w:eastAsia="en-US"/>
              </w:rPr>
            </w:pPr>
            <w:r w:rsidRPr="00C341E7">
              <w:rPr>
                <w:sz w:val="18"/>
                <w:szCs w:val="18"/>
              </w:rPr>
              <w:t>381040</w:t>
            </w:r>
          </w:p>
        </w:tc>
        <w:tc>
          <w:tcPr>
            <w:tcW w:w="975" w:type="pct"/>
            <w:hideMark/>
          </w:tcPr>
          <w:p w:rsidR="00720B5E" w:rsidRPr="00C341E7" w:rsidRDefault="00720B5E" w:rsidP="00C341E7">
            <w:pPr>
              <w:rPr>
                <w:rFonts w:eastAsia="Times New Roman"/>
                <w:sz w:val="18"/>
                <w:szCs w:val="18"/>
                <w:lang w:eastAsia="en-US"/>
              </w:rPr>
            </w:pPr>
            <w:r w:rsidRPr="00C341E7">
              <w:rPr>
                <w:sz w:val="18"/>
                <w:szCs w:val="18"/>
              </w:rPr>
              <w:t>762080</w:t>
            </w:r>
          </w:p>
        </w:tc>
        <w:tc>
          <w:tcPr>
            <w:tcW w:w="751" w:type="pct"/>
            <w:hideMark/>
          </w:tcPr>
          <w:p w:rsidR="00720B5E" w:rsidRPr="00C341E7" w:rsidRDefault="00720B5E" w:rsidP="00C341E7">
            <w:pPr>
              <w:rPr>
                <w:rFonts w:eastAsia="Times New Roman"/>
                <w:sz w:val="18"/>
                <w:szCs w:val="18"/>
                <w:lang w:eastAsia="en-US"/>
              </w:rPr>
            </w:pPr>
            <w:r w:rsidRPr="00C341E7">
              <w:rPr>
                <w:sz w:val="18"/>
                <w:szCs w:val="18"/>
              </w:rPr>
              <w:t>80.4</w:t>
            </w:r>
          </w:p>
        </w:tc>
        <w:tc>
          <w:tcPr>
            <w:tcW w:w="773" w:type="pct"/>
            <w:hideMark/>
          </w:tcPr>
          <w:p w:rsidR="00720B5E" w:rsidRPr="00C341E7" w:rsidRDefault="00720B5E" w:rsidP="00C341E7">
            <w:pPr>
              <w:rPr>
                <w:rFonts w:eastAsia="Times New Roman"/>
                <w:sz w:val="18"/>
                <w:szCs w:val="18"/>
                <w:lang w:eastAsia="en-US"/>
              </w:rPr>
            </w:pPr>
            <w:r w:rsidRPr="00C341E7">
              <w:rPr>
                <w:sz w:val="18"/>
                <w:szCs w:val="18"/>
              </w:rPr>
              <w:t>25</w:t>
            </w:r>
          </w:p>
        </w:tc>
      </w:tr>
      <w:tr w:rsidR="00A26678" w:rsidTr="00485E22">
        <w:trPr>
          <w:trHeight w:val="227"/>
        </w:trPr>
        <w:tc>
          <w:tcPr>
            <w:tcW w:w="877" w:type="pct"/>
            <w:vMerge w:val="restart"/>
            <w:hideMark/>
          </w:tcPr>
          <w:p w:rsidR="00720B5E" w:rsidRPr="00C341E7" w:rsidRDefault="00720B5E" w:rsidP="00C341E7">
            <w:pPr>
              <w:rPr>
                <w:rFonts w:eastAsia="Times New Roman"/>
                <w:sz w:val="18"/>
                <w:szCs w:val="18"/>
              </w:rPr>
            </w:pPr>
            <w:r w:rsidRPr="00C341E7">
              <w:rPr>
                <w:sz w:val="18"/>
                <w:szCs w:val="18"/>
              </w:rPr>
              <w:t>REGN88-TX-08030</w:t>
            </w:r>
          </w:p>
          <w:p w:rsidR="00C341E7" w:rsidRPr="00C341E7" w:rsidRDefault="00720B5E" w:rsidP="00C341E7">
            <w:pPr>
              <w:rPr>
                <w:sz w:val="18"/>
                <w:szCs w:val="18"/>
              </w:rPr>
            </w:pPr>
            <w:r w:rsidRPr="00C341E7">
              <w:rPr>
                <w:sz w:val="18"/>
                <w:szCs w:val="18"/>
              </w:rPr>
              <w:t>(145 days; pre</w:t>
            </w:r>
            <w:r w:rsidR="00C341E7" w:rsidRPr="00C341E7">
              <w:rPr>
                <w:sz w:val="18"/>
                <w:szCs w:val="18"/>
              </w:rPr>
              <w:t>/</w:t>
            </w:r>
            <w:r w:rsidRPr="00C341E7">
              <w:rPr>
                <w:sz w:val="18"/>
                <w:szCs w:val="18"/>
              </w:rPr>
              <w:t>post</w:t>
            </w:r>
          </w:p>
          <w:p w:rsidR="00720B5E" w:rsidRPr="00C341E7" w:rsidRDefault="00720B5E" w:rsidP="00C341E7">
            <w:pPr>
              <w:rPr>
                <w:rFonts w:eastAsia="Times New Roman"/>
                <w:sz w:val="18"/>
                <w:szCs w:val="18"/>
                <w:lang w:eastAsia="en-US"/>
              </w:rPr>
            </w:pPr>
            <w:r w:rsidRPr="00C341E7">
              <w:rPr>
                <w:sz w:val="18"/>
                <w:szCs w:val="18"/>
              </w:rPr>
              <w:t>natal) IV</w:t>
            </w:r>
          </w:p>
        </w:tc>
        <w:tc>
          <w:tcPr>
            <w:tcW w:w="892" w:type="pct"/>
            <w:hideMark/>
          </w:tcPr>
          <w:p w:rsidR="00720B5E" w:rsidRPr="00C341E7" w:rsidRDefault="00720B5E" w:rsidP="00C341E7">
            <w:pPr>
              <w:rPr>
                <w:rFonts w:eastAsia="Times New Roman"/>
                <w:sz w:val="18"/>
                <w:szCs w:val="18"/>
                <w:lang w:eastAsia="en-US"/>
              </w:rPr>
            </w:pPr>
            <w:r w:rsidRPr="00C341E7">
              <w:rPr>
                <w:sz w:val="18"/>
                <w:szCs w:val="18"/>
              </w:rPr>
              <w:t>5</w:t>
            </w:r>
          </w:p>
        </w:tc>
        <w:tc>
          <w:tcPr>
            <w:tcW w:w="732" w:type="pct"/>
            <w:hideMark/>
          </w:tcPr>
          <w:p w:rsidR="00720B5E" w:rsidRPr="00C341E7" w:rsidRDefault="00720B5E" w:rsidP="00C341E7">
            <w:pPr>
              <w:rPr>
                <w:rFonts w:eastAsia="Times New Roman"/>
                <w:sz w:val="18"/>
                <w:szCs w:val="18"/>
                <w:lang w:eastAsia="en-US"/>
              </w:rPr>
            </w:pPr>
            <w:r w:rsidRPr="00C341E7">
              <w:rPr>
                <w:sz w:val="18"/>
                <w:szCs w:val="18"/>
              </w:rPr>
              <w:t>37260</w:t>
            </w:r>
          </w:p>
        </w:tc>
        <w:tc>
          <w:tcPr>
            <w:tcW w:w="975" w:type="pct"/>
            <w:hideMark/>
          </w:tcPr>
          <w:p w:rsidR="00720B5E" w:rsidRPr="00C341E7" w:rsidRDefault="00720B5E" w:rsidP="00C341E7">
            <w:pPr>
              <w:rPr>
                <w:rFonts w:eastAsia="Times New Roman"/>
                <w:sz w:val="18"/>
                <w:szCs w:val="18"/>
                <w:lang w:eastAsia="en-US"/>
              </w:rPr>
            </w:pPr>
            <w:r w:rsidRPr="00C341E7">
              <w:rPr>
                <w:sz w:val="18"/>
                <w:szCs w:val="18"/>
              </w:rPr>
              <w:t>74520</w:t>
            </w:r>
          </w:p>
        </w:tc>
        <w:tc>
          <w:tcPr>
            <w:tcW w:w="751" w:type="pct"/>
            <w:hideMark/>
          </w:tcPr>
          <w:p w:rsidR="00720B5E" w:rsidRPr="00C341E7" w:rsidRDefault="00720B5E" w:rsidP="00C341E7">
            <w:pPr>
              <w:rPr>
                <w:rFonts w:eastAsia="Times New Roman"/>
                <w:sz w:val="18"/>
                <w:szCs w:val="18"/>
                <w:lang w:eastAsia="en-US"/>
              </w:rPr>
            </w:pPr>
            <w:r w:rsidRPr="00C341E7">
              <w:rPr>
                <w:sz w:val="18"/>
                <w:szCs w:val="18"/>
              </w:rPr>
              <w:t>7.9</w:t>
            </w:r>
          </w:p>
        </w:tc>
        <w:tc>
          <w:tcPr>
            <w:tcW w:w="773" w:type="pct"/>
            <w:hideMark/>
          </w:tcPr>
          <w:p w:rsidR="00720B5E" w:rsidRPr="00C341E7" w:rsidRDefault="00720B5E" w:rsidP="00C341E7">
            <w:pPr>
              <w:rPr>
                <w:rFonts w:eastAsia="Times New Roman"/>
                <w:sz w:val="18"/>
                <w:szCs w:val="18"/>
                <w:lang w:eastAsia="en-US"/>
              </w:rPr>
            </w:pPr>
            <w:r w:rsidRPr="00C341E7">
              <w:rPr>
                <w:sz w:val="18"/>
                <w:szCs w:val="18"/>
              </w:rPr>
              <w:t>2.5</w:t>
            </w:r>
          </w:p>
        </w:tc>
      </w:tr>
      <w:tr w:rsidR="00A26678" w:rsidTr="00485E22">
        <w:trPr>
          <w:trHeight w:val="227"/>
        </w:trPr>
        <w:tc>
          <w:tcPr>
            <w:tcW w:w="877" w:type="pct"/>
            <w:vMerge/>
            <w:hideMark/>
          </w:tcPr>
          <w:p w:rsidR="00720B5E" w:rsidRPr="00C341E7" w:rsidRDefault="00720B5E" w:rsidP="00C341E7">
            <w:pPr>
              <w:rPr>
                <w:rFonts w:eastAsia="Times New Roman"/>
                <w:sz w:val="18"/>
                <w:szCs w:val="18"/>
                <w:lang w:eastAsia="en-US"/>
              </w:rPr>
            </w:pPr>
          </w:p>
        </w:tc>
        <w:tc>
          <w:tcPr>
            <w:tcW w:w="892" w:type="pct"/>
            <w:hideMark/>
          </w:tcPr>
          <w:p w:rsidR="00720B5E" w:rsidRPr="00C341E7" w:rsidRDefault="00720B5E" w:rsidP="00C341E7">
            <w:pPr>
              <w:rPr>
                <w:rFonts w:eastAsia="Times New Roman"/>
                <w:sz w:val="18"/>
                <w:szCs w:val="18"/>
                <w:lang w:eastAsia="en-US"/>
              </w:rPr>
            </w:pPr>
            <w:r w:rsidRPr="00C341E7">
              <w:rPr>
                <w:sz w:val="18"/>
                <w:szCs w:val="18"/>
              </w:rPr>
              <w:t>15</w:t>
            </w:r>
          </w:p>
        </w:tc>
        <w:tc>
          <w:tcPr>
            <w:tcW w:w="732" w:type="pct"/>
            <w:hideMark/>
          </w:tcPr>
          <w:p w:rsidR="00720B5E" w:rsidRPr="00C341E7" w:rsidRDefault="00720B5E" w:rsidP="00C341E7">
            <w:pPr>
              <w:rPr>
                <w:rFonts w:eastAsia="Times New Roman"/>
                <w:sz w:val="18"/>
                <w:szCs w:val="18"/>
                <w:lang w:eastAsia="en-US"/>
              </w:rPr>
            </w:pPr>
            <w:r w:rsidRPr="00C341E7">
              <w:rPr>
                <w:sz w:val="18"/>
                <w:szCs w:val="18"/>
              </w:rPr>
              <w:t>124845</w:t>
            </w:r>
          </w:p>
        </w:tc>
        <w:tc>
          <w:tcPr>
            <w:tcW w:w="975" w:type="pct"/>
            <w:hideMark/>
          </w:tcPr>
          <w:p w:rsidR="00720B5E" w:rsidRPr="00C341E7" w:rsidRDefault="00720B5E" w:rsidP="00C341E7">
            <w:pPr>
              <w:rPr>
                <w:rFonts w:eastAsia="Times New Roman"/>
                <w:sz w:val="18"/>
                <w:szCs w:val="18"/>
                <w:lang w:eastAsia="en-US"/>
              </w:rPr>
            </w:pPr>
            <w:r w:rsidRPr="00C341E7">
              <w:rPr>
                <w:sz w:val="18"/>
                <w:szCs w:val="18"/>
              </w:rPr>
              <w:t>249690</w:t>
            </w:r>
          </w:p>
        </w:tc>
        <w:tc>
          <w:tcPr>
            <w:tcW w:w="751" w:type="pct"/>
            <w:hideMark/>
          </w:tcPr>
          <w:p w:rsidR="00720B5E" w:rsidRPr="00C341E7" w:rsidRDefault="00720B5E" w:rsidP="00C341E7">
            <w:pPr>
              <w:rPr>
                <w:rFonts w:eastAsia="Times New Roman"/>
                <w:sz w:val="18"/>
                <w:szCs w:val="18"/>
                <w:lang w:eastAsia="en-US"/>
              </w:rPr>
            </w:pPr>
            <w:r w:rsidRPr="00C341E7">
              <w:rPr>
                <w:sz w:val="18"/>
                <w:szCs w:val="18"/>
              </w:rPr>
              <w:t>26.3</w:t>
            </w:r>
          </w:p>
        </w:tc>
        <w:tc>
          <w:tcPr>
            <w:tcW w:w="773" w:type="pct"/>
            <w:hideMark/>
          </w:tcPr>
          <w:p w:rsidR="00720B5E" w:rsidRPr="00C341E7" w:rsidRDefault="00720B5E" w:rsidP="00C341E7">
            <w:pPr>
              <w:rPr>
                <w:rFonts w:eastAsia="Times New Roman"/>
                <w:sz w:val="18"/>
                <w:szCs w:val="18"/>
                <w:lang w:eastAsia="en-US"/>
              </w:rPr>
            </w:pPr>
            <w:r w:rsidRPr="00C341E7">
              <w:rPr>
                <w:sz w:val="18"/>
                <w:szCs w:val="18"/>
              </w:rPr>
              <w:t>7.5</w:t>
            </w:r>
          </w:p>
        </w:tc>
      </w:tr>
      <w:tr w:rsidR="00A26678" w:rsidTr="00485E22">
        <w:trPr>
          <w:trHeight w:val="227"/>
        </w:trPr>
        <w:tc>
          <w:tcPr>
            <w:tcW w:w="877" w:type="pct"/>
            <w:vMerge/>
            <w:hideMark/>
          </w:tcPr>
          <w:p w:rsidR="00720B5E" w:rsidRPr="00C341E7" w:rsidRDefault="00720B5E" w:rsidP="00C341E7">
            <w:pPr>
              <w:rPr>
                <w:rFonts w:eastAsia="Times New Roman"/>
                <w:sz w:val="18"/>
                <w:szCs w:val="18"/>
                <w:lang w:eastAsia="en-US"/>
              </w:rPr>
            </w:pPr>
          </w:p>
        </w:tc>
        <w:tc>
          <w:tcPr>
            <w:tcW w:w="892" w:type="pct"/>
            <w:hideMark/>
          </w:tcPr>
          <w:p w:rsidR="00720B5E" w:rsidRPr="00C341E7" w:rsidRDefault="00720B5E" w:rsidP="00C341E7">
            <w:pPr>
              <w:rPr>
                <w:rFonts w:eastAsia="Times New Roman"/>
                <w:sz w:val="18"/>
                <w:szCs w:val="18"/>
                <w:lang w:eastAsia="en-US"/>
              </w:rPr>
            </w:pPr>
            <w:r w:rsidRPr="00C341E7">
              <w:rPr>
                <w:sz w:val="18"/>
                <w:szCs w:val="18"/>
              </w:rPr>
              <w:t>50</w:t>
            </w:r>
          </w:p>
        </w:tc>
        <w:tc>
          <w:tcPr>
            <w:tcW w:w="732" w:type="pct"/>
            <w:hideMark/>
          </w:tcPr>
          <w:p w:rsidR="00720B5E" w:rsidRPr="00C341E7" w:rsidRDefault="00720B5E" w:rsidP="00C341E7">
            <w:pPr>
              <w:rPr>
                <w:rFonts w:eastAsia="Times New Roman"/>
                <w:sz w:val="18"/>
                <w:szCs w:val="18"/>
                <w:lang w:eastAsia="en-US"/>
              </w:rPr>
            </w:pPr>
            <w:r w:rsidRPr="00C341E7">
              <w:rPr>
                <w:sz w:val="18"/>
                <w:szCs w:val="18"/>
              </w:rPr>
              <w:t>396455</w:t>
            </w:r>
          </w:p>
        </w:tc>
        <w:tc>
          <w:tcPr>
            <w:tcW w:w="975" w:type="pct"/>
            <w:hideMark/>
          </w:tcPr>
          <w:p w:rsidR="00720B5E" w:rsidRPr="00C341E7" w:rsidRDefault="00720B5E" w:rsidP="00C341E7">
            <w:pPr>
              <w:rPr>
                <w:rFonts w:eastAsia="Times New Roman"/>
                <w:sz w:val="18"/>
                <w:szCs w:val="18"/>
                <w:lang w:eastAsia="en-US"/>
              </w:rPr>
            </w:pPr>
            <w:r w:rsidRPr="00C341E7">
              <w:rPr>
                <w:sz w:val="18"/>
                <w:szCs w:val="18"/>
              </w:rPr>
              <w:t>792910</w:t>
            </w:r>
          </w:p>
        </w:tc>
        <w:tc>
          <w:tcPr>
            <w:tcW w:w="751" w:type="pct"/>
            <w:hideMark/>
          </w:tcPr>
          <w:p w:rsidR="00720B5E" w:rsidRPr="00C341E7" w:rsidRDefault="00720B5E" w:rsidP="00C341E7">
            <w:pPr>
              <w:rPr>
                <w:rFonts w:eastAsia="Times New Roman"/>
                <w:sz w:val="18"/>
                <w:szCs w:val="18"/>
                <w:lang w:eastAsia="en-US"/>
              </w:rPr>
            </w:pPr>
            <w:r w:rsidRPr="00C341E7">
              <w:rPr>
                <w:sz w:val="18"/>
                <w:szCs w:val="18"/>
              </w:rPr>
              <w:t>83.6</w:t>
            </w:r>
          </w:p>
        </w:tc>
        <w:tc>
          <w:tcPr>
            <w:tcW w:w="773" w:type="pct"/>
            <w:hideMark/>
          </w:tcPr>
          <w:p w:rsidR="00720B5E" w:rsidRPr="00C341E7" w:rsidRDefault="00720B5E" w:rsidP="00C341E7">
            <w:pPr>
              <w:rPr>
                <w:rFonts w:eastAsia="Times New Roman"/>
                <w:sz w:val="18"/>
                <w:szCs w:val="18"/>
                <w:lang w:eastAsia="en-US"/>
              </w:rPr>
            </w:pPr>
            <w:r w:rsidRPr="00C341E7">
              <w:rPr>
                <w:sz w:val="18"/>
                <w:szCs w:val="18"/>
              </w:rPr>
              <w:t>25</w:t>
            </w:r>
          </w:p>
        </w:tc>
      </w:tr>
      <w:tr w:rsidR="00A26678" w:rsidTr="00485E22">
        <w:trPr>
          <w:trHeight w:val="227"/>
        </w:trPr>
        <w:tc>
          <w:tcPr>
            <w:tcW w:w="877" w:type="pct"/>
            <w:vMerge w:val="restart"/>
            <w:hideMark/>
          </w:tcPr>
          <w:p w:rsidR="00720B5E" w:rsidRPr="00C341E7" w:rsidRDefault="00720B5E" w:rsidP="00C341E7">
            <w:pPr>
              <w:rPr>
                <w:rFonts w:eastAsia="Times New Roman"/>
                <w:sz w:val="18"/>
                <w:szCs w:val="18"/>
              </w:rPr>
            </w:pPr>
            <w:r w:rsidRPr="00C341E7">
              <w:rPr>
                <w:sz w:val="18"/>
                <w:szCs w:val="18"/>
              </w:rPr>
              <w:t>REGN88-TX-06038</w:t>
            </w:r>
          </w:p>
          <w:p w:rsidR="00720B5E" w:rsidRPr="00A26678" w:rsidRDefault="00720B5E" w:rsidP="00C341E7">
            <w:pPr>
              <w:rPr>
                <w:sz w:val="18"/>
                <w:szCs w:val="18"/>
              </w:rPr>
            </w:pPr>
            <w:r w:rsidRPr="00A26678">
              <w:rPr>
                <w:sz w:val="18"/>
                <w:szCs w:val="18"/>
              </w:rPr>
              <w:t>(</w:t>
            </w:r>
            <w:r w:rsidRPr="00485E22">
              <w:rPr>
                <w:sz w:val="18"/>
                <w:szCs w:val="18"/>
              </w:rPr>
              <w:t>13 weeks</w:t>
            </w:r>
            <w:r w:rsidRPr="00A26678">
              <w:rPr>
                <w:sz w:val="18"/>
                <w:szCs w:val="18"/>
              </w:rPr>
              <w:t>)</w:t>
            </w:r>
          </w:p>
          <w:p w:rsidR="00720B5E" w:rsidRPr="00C341E7" w:rsidRDefault="00720B5E" w:rsidP="00C341E7">
            <w:pPr>
              <w:rPr>
                <w:rFonts w:eastAsia="Times New Roman"/>
                <w:sz w:val="18"/>
                <w:szCs w:val="18"/>
                <w:u w:val="single"/>
                <w:lang w:eastAsia="en-US"/>
              </w:rPr>
            </w:pPr>
            <w:r w:rsidRPr="00485E22">
              <w:rPr>
                <w:sz w:val="18"/>
                <w:szCs w:val="18"/>
              </w:rPr>
              <w:t>SC</w:t>
            </w:r>
          </w:p>
        </w:tc>
        <w:tc>
          <w:tcPr>
            <w:tcW w:w="892" w:type="pct"/>
            <w:hideMark/>
          </w:tcPr>
          <w:p w:rsidR="00720B5E" w:rsidRPr="00C341E7" w:rsidRDefault="00720B5E" w:rsidP="00C341E7">
            <w:pPr>
              <w:rPr>
                <w:rFonts w:eastAsia="Times New Roman"/>
                <w:sz w:val="18"/>
                <w:szCs w:val="18"/>
                <w:lang w:eastAsia="en-US"/>
              </w:rPr>
            </w:pPr>
            <w:r w:rsidRPr="00C341E7">
              <w:rPr>
                <w:sz w:val="18"/>
                <w:szCs w:val="18"/>
              </w:rPr>
              <w:t>2</w:t>
            </w:r>
          </w:p>
        </w:tc>
        <w:tc>
          <w:tcPr>
            <w:tcW w:w="732" w:type="pct"/>
            <w:hideMark/>
          </w:tcPr>
          <w:p w:rsidR="00720B5E" w:rsidRPr="00C341E7" w:rsidRDefault="00720B5E" w:rsidP="00C341E7">
            <w:pPr>
              <w:rPr>
                <w:rFonts w:eastAsia="Times New Roman"/>
                <w:sz w:val="18"/>
                <w:szCs w:val="18"/>
                <w:lang w:eastAsia="en-US"/>
              </w:rPr>
            </w:pPr>
            <w:r w:rsidRPr="00C341E7">
              <w:rPr>
                <w:sz w:val="18"/>
                <w:szCs w:val="18"/>
              </w:rPr>
              <w:t>ND</w:t>
            </w:r>
          </w:p>
        </w:tc>
        <w:tc>
          <w:tcPr>
            <w:tcW w:w="975" w:type="pct"/>
            <w:hideMark/>
          </w:tcPr>
          <w:p w:rsidR="00720B5E" w:rsidRPr="00C341E7" w:rsidRDefault="00720B5E" w:rsidP="00C341E7">
            <w:pPr>
              <w:rPr>
                <w:rFonts w:eastAsia="Times New Roman"/>
                <w:sz w:val="18"/>
                <w:szCs w:val="18"/>
                <w:lang w:eastAsia="en-US"/>
              </w:rPr>
            </w:pPr>
            <w:r w:rsidRPr="00C341E7">
              <w:rPr>
                <w:sz w:val="18"/>
                <w:szCs w:val="18"/>
              </w:rPr>
              <w:t>-</w:t>
            </w:r>
          </w:p>
        </w:tc>
        <w:tc>
          <w:tcPr>
            <w:tcW w:w="751" w:type="pct"/>
            <w:hideMark/>
          </w:tcPr>
          <w:p w:rsidR="00720B5E" w:rsidRPr="00C341E7" w:rsidRDefault="00720B5E" w:rsidP="00C341E7">
            <w:pPr>
              <w:rPr>
                <w:rFonts w:eastAsia="Times New Roman"/>
                <w:sz w:val="18"/>
                <w:szCs w:val="18"/>
                <w:lang w:eastAsia="en-US"/>
              </w:rPr>
            </w:pPr>
            <w:r w:rsidRPr="00C341E7">
              <w:rPr>
                <w:sz w:val="18"/>
                <w:szCs w:val="18"/>
              </w:rPr>
              <w:t>-</w:t>
            </w:r>
          </w:p>
        </w:tc>
        <w:tc>
          <w:tcPr>
            <w:tcW w:w="773" w:type="pct"/>
            <w:hideMark/>
          </w:tcPr>
          <w:p w:rsidR="00720B5E" w:rsidRPr="00C341E7" w:rsidRDefault="00720B5E" w:rsidP="00C341E7">
            <w:pPr>
              <w:rPr>
                <w:rFonts w:eastAsia="Times New Roman"/>
                <w:sz w:val="18"/>
                <w:szCs w:val="18"/>
                <w:lang w:eastAsia="en-US"/>
              </w:rPr>
            </w:pPr>
            <w:r w:rsidRPr="00C341E7">
              <w:rPr>
                <w:sz w:val="18"/>
                <w:szCs w:val="18"/>
              </w:rPr>
              <w:t>1</w:t>
            </w:r>
          </w:p>
        </w:tc>
      </w:tr>
      <w:tr w:rsidR="00A26678" w:rsidTr="00485E22">
        <w:trPr>
          <w:trHeight w:val="227"/>
        </w:trPr>
        <w:tc>
          <w:tcPr>
            <w:tcW w:w="877" w:type="pct"/>
            <w:vMerge/>
            <w:hideMark/>
          </w:tcPr>
          <w:p w:rsidR="00720B5E" w:rsidRPr="00C341E7" w:rsidRDefault="00720B5E" w:rsidP="00C341E7">
            <w:pPr>
              <w:rPr>
                <w:rFonts w:eastAsia="Times New Roman"/>
                <w:sz w:val="18"/>
                <w:szCs w:val="18"/>
                <w:u w:val="single"/>
                <w:lang w:eastAsia="en-US"/>
              </w:rPr>
            </w:pPr>
          </w:p>
        </w:tc>
        <w:tc>
          <w:tcPr>
            <w:tcW w:w="892" w:type="pct"/>
            <w:hideMark/>
          </w:tcPr>
          <w:p w:rsidR="00720B5E" w:rsidRPr="00C341E7" w:rsidRDefault="00720B5E" w:rsidP="00C341E7">
            <w:pPr>
              <w:rPr>
                <w:rFonts w:eastAsia="Times New Roman"/>
                <w:sz w:val="18"/>
                <w:szCs w:val="18"/>
                <w:lang w:eastAsia="en-US"/>
              </w:rPr>
            </w:pPr>
            <w:r w:rsidRPr="00C341E7">
              <w:rPr>
                <w:sz w:val="18"/>
                <w:szCs w:val="18"/>
              </w:rPr>
              <w:t>10</w:t>
            </w:r>
          </w:p>
        </w:tc>
        <w:tc>
          <w:tcPr>
            <w:tcW w:w="732" w:type="pct"/>
            <w:hideMark/>
          </w:tcPr>
          <w:p w:rsidR="00720B5E" w:rsidRPr="00C341E7" w:rsidRDefault="00720B5E" w:rsidP="00C341E7">
            <w:pPr>
              <w:rPr>
                <w:rFonts w:eastAsia="Times New Roman"/>
                <w:sz w:val="18"/>
                <w:szCs w:val="18"/>
                <w:lang w:eastAsia="en-US"/>
              </w:rPr>
            </w:pPr>
            <w:r w:rsidRPr="00C341E7">
              <w:rPr>
                <w:sz w:val="18"/>
                <w:szCs w:val="18"/>
              </w:rPr>
              <w:t>ND</w:t>
            </w:r>
          </w:p>
        </w:tc>
        <w:tc>
          <w:tcPr>
            <w:tcW w:w="975" w:type="pct"/>
            <w:hideMark/>
          </w:tcPr>
          <w:p w:rsidR="00720B5E" w:rsidRPr="00C341E7" w:rsidRDefault="00720B5E" w:rsidP="00C341E7">
            <w:pPr>
              <w:rPr>
                <w:rFonts w:eastAsia="Times New Roman"/>
                <w:sz w:val="18"/>
                <w:szCs w:val="18"/>
                <w:lang w:eastAsia="en-US"/>
              </w:rPr>
            </w:pPr>
            <w:r w:rsidRPr="00C341E7">
              <w:rPr>
                <w:sz w:val="18"/>
                <w:szCs w:val="18"/>
              </w:rPr>
              <w:t>-</w:t>
            </w:r>
          </w:p>
        </w:tc>
        <w:tc>
          <w:tcPr>
            <w:tcW w:w="751" w:type="pct"/>
            <w:hideMark/>
          </w:tcPr>
          <w:p w:rsidR="00720B5E" w:rsidRPr="00C341E7" w:rsidRDefault="00720B5E" w:rsidP="00C341E7">
            <w:pPr>
              <w:rPr>
                <w:rFonts w:eastAsia="Times New Roman"/>
                <w:sz w:val="18"/>
                <w:szCs w:val="18"/>
                <w:lang w:eastAsia="en-US"/>
              </w:rPr>
            </w:pPr>
            <w:r w:rsidRPr="00C341E7">
              <w:rPr>
                <w:sz w:val="18"/>
                <w:szCs w:val="18"/>
              </w:rPr>
              <w:t>-</w:t>
            </w:r>
          </w:p>
        </w:tc>
        <w:tc>
          <w:tcPr>
            <w:tcW w:w="773" w:type="pct"/>
            <w:hideMark/>
          </w:tcPr>
          <w:p w:rsidR="00720B5E" w:rsidRPr="00C341E7" w:rsidRDefault="00720B5E" w:rsidP="00C341E7">
            <w:pPr>
              <w:rPr>
                <w:rFonts w:eastAsia="Times New Roman"/>
                <w:sz w:val="18"/>
                <w:szCs w:val="18"/>
                <w:lang w:eastAsia="en-US"/>
              </w:rPr>
            </w:pPr>
            <w:r w:rsidRPr="00C341E7">
              <w:rPr>
                <w:sz w:val="18"/>
                <w:szCs w:val="18"/>
              </w:rPr>
              <w:t>5</w:t>
            </w:r>
          </w:p>
        </w:tc>
      </w:tr>
      <w:tr w:rsidR="00A26678" w:rsidTr="00485E22">
        <w:trPr>
          <w:trHeight w:val="227"/>
        </w:trPr>
        <w:tc>
          <w:tcPr>
            <w:tcW w:w="877" w:type="pct"/>
            <w:vMerge/>
            <w:hideMark/>
          </w:tcPr>
          <w:p w:rsidR="00720B5E" w:rsidRPr="00C341E7" w:rsidRDefault="00720B5E" w:rsidP="00C341E7">
            <w:pPr>
              <w:rPr>
                <w:rFonts w:eastAsia="Times New Roman"/>
                <w:sz w:val="18"/>
                <w:szCs w:val="18"/>
                <w:u w:val="single"/>
                <w:lang w:eastAsia="en-US"/>
              </w:rPr>
            </w:pPr>
          </w:p>
        </w:tc>
        <w:tc>
          <w:tcPr>
            <w:tcW w:w="892" w:type="pct"/>
            <w:hideMark/>
          </w:tcPr>
          <w:p w:rsidR="00720B5E" w:rsidRPr="00C341E7" w:rsidRDefault="00720B5E" w:rsidP="00C341E7">
            <w:pPr>
              <w:rPr>
                <w:rFonts w:eastAsia="Times New Roman"/>
                <w:sz w:val="18"/>
                <w:szCs w:val="18"/>
                <w:lang w:eastAsia="en-US"/>
              </w:rPr>
            </w:pPr>
            <w:r w:rsidRPr="00C341E7">
              <w:rPr>
                <w:sz w:val="18"/>
                <w:szCs w:val="18"/>
              </w:rPr>
              <w:t>30</w:t>
            </w:r>
          </w:p>
        </w:tc>
        <w:tc>
          <w:tcPr>
            <w:tcW w:w="732" w:type="pct"/>
            <w:hideMark/>
          </w:tcPr>
          <w:p w:rsidR="00720B5E" w:rsidRPr="00C341E7" w:rsidRDefault="00720B5E" w:rsidP="00C341E7">
            <w:pPr>
              <w:rPr>
                <w:rFonts w:eastAsia="Times New Roman"/>
                <w:sz w:val="18"/>
                <w:szCs w:val="18"/>
                <w:lang w:eastAsia="en-US"/>
              </w:rPr>
            </w:pPr>
            <w:r w:rsidRPr="00C341E7">
              <w:rPr>
                <w:sz w:val="18"/>
                <w:szCs w:val="18"/>
              </w:rPr>
              <w:t>ND</w:t>
            </w:r>
          </w:p>
        </w:tc>
        <w:tc>
          <w:tcPr>
            <w:tcW w:w="975" w:type="pct"/>
            <w:hideMark/>
          </w:tcPr>
          <w:p w:rsidR="00720B5E" w:rsidRPr="00C341E7" w:rsidRDefault="00720B5E" w:rsidP="00C341E7">
            <w:pPr>
              <w:rPr>
                <w:rFonts w:eastAsia="Times New Roman"/>
                <w:sz w:val="18"/>
                <w:szCs w:val="18"/>
                <w:lang w:eastAsia="en-US"/>
              </w:rPr>
            </w:pPr>
            <w:r w:rsidRPr="00C341E7">
              <w:rPr>
                <w:sz w:val="18"/>
                <w:szCs w:val="18"/>
              </w:rPr>
              <w:t>-</w:t>
            </w:r>
          </w:p>
        </w:tc>
        <w:tc>
          <w:tcPr>
            <w:tcW w:w="751" w:type="pct"/>
            <w:hideMark/>
          </w:tcPr>
          <w:p w:rsidR="00720B5E" w:rsidRPr="00C341E7" w:rsidRDefault="00720B5E" w:rsidP="00C341E7">
            <w:pPr>
              <w:rPr>
                <w:rFonts w:eastAsia="Times New Roman"/>
                <w:sz w:val="18"/>
                <w:szCs w:val="18"/>
                <w:lang w:eastAsia="en-US"/>
              </w:rPr>
            </w:pPr>
            <w:r w:rsidRPr="00C341E7">
              <w:rPr>
                <w:sz w:val="18"/>
                <w:szCs w:val="18"/>
              </w:rPr>
              <w:t>-</w:t>
            </w:r>
          </w:p>
        </w:tc>
        <w:tc>
          <w:tcPr>
            <w:tcW w:w="773" w:type="pct"/>
            <w:hideMark/>
          </w:tcPr>
          <w:p w:rsidR="00720B5E" w:rsidRPr="00C341E7" w:rsidRDefault="00720B5E" w:rsidP="00C341E7">
            <w:pPr>
              <w:rPr>
                <w:rFonts w:eastAsia="Times New Roman"/>
                <w:sz w:val="18"/>
                <w:szCs w:val="18"/>
                <w:lang w:eastAsia="en-US"/>
              </w:rPr>
            </w:pPr>
            <w:r w:rsidRPr="00C341E7">
              <w:rPr>
                <w:sz w:val="18"/>
                <w:szCs w:val="18"/>
              </w:rPr>
              <w:t>15</w:t>
            </w:r>
          </w:p>
        </w:tc>
      </w:tr>
      <w:tr w:rsidR="00A26678" w:rsidTr="00485E22">
        <w:trPr>
          <w:trHeight w:val="227"/>
        </w:trPr>
        <w:tc>
          <w:tcPr>
            <w:tcW w:w="877" w:type="pct"/>
            <w:vMerge/>
            <w:hideMark/>
          </w:tcPr>
          <w:p w:rsidR="00720B5E" w:rsidRPr="00C341E7" w:rsidRDefault="00720B5E" w:rsidP="00C341E7">
            <w:pPr>
              <w:rPr>
                <w:rFonts w:eastAsia="Times New Roman"/>
                <w:sz w:val="18"/>
                <w:szCs w:val="18"/>
                <w:u w:val="single"/>
                <w:lang w:eastAsia="en-US"/>
              </w:rPr>
            </w:pPr>
          </w:p>
        </w:tc>
        <w:tc>
          <w:tcPr>
            <w:tcW w:w="892" w:type="pct"/>
            <w:hideMark/>
          </w:tcPr>
          <w:p w:rsidR="00720B5E" w:rsidRPr="00C341E7" w:rsidRDefault="00720B5E" w:rsidP="00C341E7">
            <w:pPr>
              <w:rPr>
                <w:rFonts w:eastAsia="Times New Roman"/>
                <w:sz w:val="18"/>
                <w:szCs w:val="18"/>
                <w:lang w:eastAsia="en-US"/>
              </w:rPr>
            </w:pPr>
            <w:r w:rsidRPr="00C341E7">
              <w:rPr>
                <w:sz w:val="18"/>
                <w:szCs w:val="18"/>
              </w:rPr>
              <w:t>100</w:t>
            </w:r>
          </w:p>
        </w:tc>
        <w:tc>
          <w:tcPr>
            <w:tcW w:w="732" w:type="pct"/>
            <w:hideMark/>
          </w:tcPr>
          <w:p w:rsidR="00720B5E" w:rsidRPr="00C341E7" w:rsidRDefault="00720B5E" w:rsidP="00C341E7">
            <w:pPr>
              <w:rPr>
                <w:rFonts w:eastAsia="Times New Roman"/>
                <w:sz w:val="18"/>
                <w:szCs w:val="18"/>
                <w:lang w:eastAsia="en-US"/>
              </w:rPr>
            </w:pPr>
            <w:r w:rsidRPr="00C341E7">
              <w:rPr>
                <w:sz w:val="18"/>
                <w:szCs w:val="18"/>
              </w:rPr>
              <w:t>ND</w:t>
            </w:r>
          </w:p>
        </w:tc>
        <w:tc>
          <w:tcPr>
            <w:tcW w:w="975" w:type="pct"/>
            <w:hideMark/>
          </w:tcPr>
          <w:p w:rsidR="00720B5E" w:rsidRPr="00C341E7" w:rsidRDefault="00720B5E" w:rsidP="00C341E7">
            <w:pPr>
              <w:rPr>
                <w:rFonts w:eastAsia="Times New Roman"/>
                <w:sz w:val="18"/>
                <w:szCs w:val="18"/>
                <w:lang w:eastAsia="en-US"/>
              </w:rPr>
            </w:pPr>
            <w:r w:rsidRPr="00C341E7">
              <w:rPr>
                <w:sz w:val="18"/>
                <w:szCs w:val="18"/>
              </w:rPr>
              <w:t>-</w:t>
            </w:r>
          </w:p>
        </w:tc>
        <w:tc>
          <w:tcPr>
            <w:tcW w:w="751" w:type="pct"/>
            <w:hideMark/>
          </w:tcPr>
          <w:p w:rsidR="00720B5E" w:rsidRPr="00C341E7" w:rsidRDefault="00720B5E" w:rsidP="00C341E7">
            <w:pPr>
              <w:rPr>
                <w:rFonts w:eastAsia="Times New Roman"/>
                <w:sz w:val="18"/>
                <w:szCs w:val="18"/>
                <w:lang w:eastAsia="en-US"/>
              </w:rPr>
            </w:pPr>
            <w:r w:rsidRPr="00C341E7">
              <w:rPr>
                <w:sz w:val="18"/>
                <w:szCs w:val="18"/>
              </w:rPr>
              <w:t>-</w:t>
            </w:r>
          </w:p>
        </w:tc>
        <w:tc>
          <w:tcPr>
            <w:tcW w:w="773" w:type="pct"/>
            <w:hideMark/>
          </w:tcPr>
          <w:p w:rsidR="00720B5E" w:rsidRPr="00C341E7" w:rsidRDefault="00720B5E" w:rsidP="00C341E7">
            <w:pPr>
              <w:rPr>
                <w:rFonts w:eastAsia="Times New Roman"/>
                <w:sz w:val="18"/>
                <w:szCs w:val="18"/>
                <w:lang w:eastAsia="en-US"/>
              </w:rPr>
            </w:pPr>
            <w:r w:rsidRPr="00C341E7">
              <w:rPr>
                <w:sz w:val="18"/>
                <w:szCs w:val="18"/>
              </w:rPr>
              <w:t>50</w:t>
            </w:r>
          </w:p>
        </w:tc>
      </w:tr>
      <w:tr w:rsidR="00A26678" w:rsidTr="00485E22">
        <w:trPr>
          <w:trHeight w:val="227"/>
        </w:trPr>
        <w:tc>
          <w:tcPr>
            <w:tcW w:w="877" w:type="pct"/>
            <w:hideMark/>
          </w:tcPr>
          <w:p w:rsidR="00720B5E" w:rsidRPr="00C341E7" w:rsidRDefault="00720B5E" w:rsidP="00C341E7">
            <w:pPr>
              <w:rPr>
                <w:rFonts w:eastAsia="Times New Roman"/>
                <w:sz w:val="18"/>
                <w:szCs w:val="18"/>
              </w:rPr>
            </w:pPr>
            <w:r w:rsidRPr="00C341E7">
              <w:rPr>
                <w:sz w:val="18"/>
                <w:szCs w:val="18"/>
              </w:rPr>
              <w:t>POH0428; (population PK)</w:t>
            </w:r>
          </w:p>
          <w:p w:rsidR="00720B5E" w:rsidRPr="00C341E7" w:rsidRDefault="00C341E7" w:rsidP="00C341E7">
            <w:pPr>
              <w:rPr>
                <w:rFonts w:eastAsia="Times New Roman"/>
                <w:sz w:val="18"/>
                <w:szCs w:val="18"/>
                <w:lang w:eastAsia="en-US"/>
              </w:rPr>
            </w:pPr>
            <w:r w:rsidRPr="00C341E7">
              <w:rPr>
                <w:sz w:val="18"/>
                <w:szCs w:val="18"/>
              </w:rPr>
              <w:t>RA</w:t>
            </w:r>
            <w:r w:rsidR="00720B5E" w:rsidRPr="00C341E7">
              <w:rPr>
                <w:sz w:val="18"/>
                <w:szCs w:val="18"/>
              </w:rPr>
              <w:t xml:space="preserve"> patients</w:t>
            </w:r>
          </w:p>
        </w:tc>
        <w:tc>
          <w:tcPr>
            <w:tcW w:w="892" w:type="pct"/>
            <w:hideMark/>
          </w:tcPr>
          <w:p w:rsidR="00720B5E" w:rsidRPr="00C341E7" w:rsidRDefault="00720B5E" w:rsidP="00C341E7">
            <w:pPr>
              <w:rPr>
                <w:rFonts w:eastAsia="Times New Roman"/>
                <w:sz w:val="18"/>
                <w:szCs w:val="18"/>
                <w:lang w:eastAsia="en-US"/>
              </w:rPr>
            </w:pPr>
            <w:r w:rsidRPr="00C341E7">
              <w:rPr>
                <w:sz w:val="18"/>
                <w:szCs w:val="18"/>
              </w:rPr>
              <w:t>2</w:t>
            </w:r>
            <w:r w:rsidRPr="00C341E7">
              <w:rPr>
                <w:sz w:val="18"/>
                <w:szCs w:val="18"/>
                <w:vertAlign w:val="superscript"/>
              </w:rPr>
              <w:t>a</w:t>
            </w:r>
          </w:p>
        </w:tc>
        <w:tc>
          <w:tcPr>
            <w:tcW w:w="732" w:type="pct"/>
            <w:hideMark/>
          </w:tcPr>
          <w:p w:rsidR="00720B5E" w:rsidRPr="00C341E7" w:rsidRDefault="00720B5E" w:rsidP="00C341E7">
            <w:pPr>
              <w:rPr>
                <w:rFonts w:eastAsia="Times New Roman"/>
                <w:sz w:val="18"/>
                <w:szCs w:val="18"/>
                <w:lang w:eastAsia="en-US"/>
              </w:rPr>
            </w:pPr>
            <w:r w:rsidRPr="00C341E7">
              <w:rPr>
                <w:sz w:val="18"/>
                <w:szCs w:val="18"/>
              </w:rPr>
              <w:t>-</w:t>
            </w:r>
          </w:p>
        </w:tc>
        <w:tc>
          <w:tcPr>
            <w:tcW w:w="975" w:type="pct"/>
            <w:hideMark/>
          </w:tcPr>
          <w:p w:rsidR="00720B5E" w:rsidRPr="00C341E7" w:rsidRDefault="00720B5E" w:rsidP="00C341E7">
            <w:pPr>
              <w:rPr>
                <w:rFonts w:eastAsia="Times New Roman"/>
                <w:sz w:val="18"/>
                <w:szCs w:val="18"/>
                <w:lang w:eastAsia="en-US"/>
              </w:rPr>
            </w:pPr>
            <w:r w:rsidRPr="00C341E7">
              <w:rPr>
                <w:sz w:val="18"/>
                <w:szCs w:val="18"/>
              </w:rPr>
              <w:t>9480</w:t>
            </w:r>
            <w:r w:rsidRPr="00C341E7">
              <w:rPr>
                <w:sz w:val="18"/>
                <w:szCs w:val="18"/>
                <w:vertAlign w:val="superscript"/>
              </w:rPr>
              <w:t>b</w:t>
            </w:r>
          </w:p>
        </w:tc>
        <w:tc>
          <w:tcPr>
            <w:tcW w:w="751" w:type="pct"/>
            <w:hideMark/>
          </w:tcPr>
          <w:p w:rsidR="00720B5E" w:rsidRPr="00C341E7" w:rsidRDefault="00720B5E" w:rsidP="00C341E7">
            <w:pPr>
              <w:rPr>
                <w:rFonts w:eastAsia="Times New Roman"/>
                <w:sz w:val="18"/>
                <w:szCs w:val="18"/>
                <w:lang w:eastAsia="en-US"/>
              </w:rPr>
            </w:pPr>
            <w:r w:rsidRPr="00C341E7">
              <w:rPr>
                <w:sz w:val="18"/>
                <w:szCs w:val="18"/>
              </w:rPr>
              <w:t>-</w:t>
            </w:r>
          </w:p>
        </w:tc>
        <w:tc>
          <w:tcPr>
            <w:tcW w:w="773" w:type="pct"/>
            <w:hideMark/>
          </w:tcPr>
          <w:p w:rsidR="00720B5E" w:rsidRPr="00C341E7" w:rsidRDefault="00720B5E" w:rsidP="00C341E7">
            <w:pPr>
              <w:rPr>
                <w:rFonts w:eastAsia="Times New Roman"/>
                <w:sz w:val="18"/>
                <w:szCs w:val="18"/>
                <w:lang w:eastAsia="en-US"/>
              </w:rPr>
            </w:pPr>
            <w:r w:rsidRPr="00C341E7">
              <w:rPr>
                <w:sz w:val="18"/>
                <w:szCs w:val="18"/>
              </w:rPr>
              <w:t>-</w:t>
            </w:r>
          </w:p>
        </w:tc>
      </w:tr>
    </w:tbl>
    <w:p w:rsidR="00720B5E" w:rsidRPr="00160672" w:rsidRDefault="00720B5E" w:rsidP="00C341E7">
      <w:pPr>
        <w:pStyle w:val="TableDescription"/>
      </w:pPr>
      <w:r w:rsidRPr="000A0A15">
        <w:t># = animal</w:t>
      </w:r>
      <w:r w:rsidR="00F549B4" w:rsidRPr="00160672">
        <w:t>: human</w:t>
      </w:r>
      <w:r w:rsidRPr="009F1D5D">
        <w:t xml:space="preserve">; </w:t>
      </w:r>
      <w:r w:rsidRPr="00485E22">
        <w:t>a</w:t>
      </w:r>
      <w:r w:rsidRPr="000A0A15">
        <w:t xml:space="preserve">: 200 mg every 2 weeks to a 50-kg patient; </w:t>
      </w:r>
      <w:r w:rsidRPr="00485E22">
        <w:t>b</w:t>
      </w:r>
      <w:r w:rsidRPr="000A0A15">
        <w:t xml:space="preserve">: AUC0–14 days of </w:t>
      </w:r>
      <w:r w:rsidRPr="00160672">
        <w:t xml:space="preserve">395 </w:t>
      </w:r>
      <w:proofErr w:type="spellStart"/>
      <w:r w:rsidRPr="00160672">
        <w:t>mg</w:t>
      </w:r>
      <w:r w:rsidR="00DD5BCE">
        <w:t>.</w:t>
      </w:r>
      <w:r w:rsidRPr="00160672">
        <w:t>day</w:t>
      </w:r>
      <w:proofErr w:type="spellEnd"/>
      <w:r w:rsidRPr="00160672">
        <w:t>/L was multiplied by 24 to convert to µ</w:t>
      </w:r>
      <w:proofErr w:type="spellStart"/>
      <w:r w:rsidRPr="00160672">
        <w:t>g</w:t>
      </w:r>
      <w:r w:rsidR="00DD5BCE">
        <w:t>.</w:t>
      </w:r>
      <w:r w:rsidRPr="00160672">
        <w:t>h</w:t>
      </w:r>
      <w:proofErr w:type="spellEnd"/>
      <w:r w:rsidRPr="00160672">
        <w:t>/mL; ND: not determined; - : not applicable</w:t>
      </w:r>
    </w:p>
    <w:p w:rsidR="00720B5E" w:rsidRDefault="00720B5E" w:rsidP="00E246F9">
      <w:pPr>
        <w:pStyle w:val="Heading5"/>
      </w:pPr>
      <w:r>
        <w:lastRenderedPageBreak/>
        <w:t>Major toxicities</w:t>
      </w:r>
    </w:p>
    <w:p w:rsidR="00720B5E" w:rsidRDefault="00720B5E" w:rsidP="00720B5E">
      <w:pPr>
        <w:rPr>
          <w:rFonts w:eastAsia="Times New Roman"/>
          <w:snapToGrid w:val="0"/>
          <w:kern w:val="2"/>
          <w:szCs w:val="20"/>
        </w:rPr>
      </w:pPr>
      <w:r>
        <w:rPr>
          <w:rFonts w:eastAsia="Times New Roman"/>
          <w:snapToGrid w:val="0"/>
          <w:kern w:val="2"/>
          <w:szCs w:val="20"/>
        </w:rPr>
        <w:t>There was no indication from the repeat-dose toxicity studies of any target organ toxicity. The only effects observed were due to the pharmacological activity of sarilumab (IL-6Rα inhibitor).</w:t>
      </w:r>
    </w:p>
    <w:p w:rsidR="00720B5E" w:rsidRPr="00C341E7" w:rsidRDefault="00720B5E" w:rsidP="00720B5E">
      <w:r>
        <w:rPr>
          <w:rFonts w:eastAsia="Times New Roman"/>
          <w:snapToGrid w:val="0"/>
          <w:kern w:val="2"/>
          <w:szCs w:val="20"/>
        </w:rPr>
        <w:t>Sarilumab caused moderate and (at least partially) reversible decreases in serum fibrinogen and serum CRP levels. Apart from the effects on fibrinogen, sarilumab did not cause any other effects on haemostasis (platelet counts, prothrombin time</w:t>
      </w:r>
      <w:r w:rsidR="00C341E7">
        <w:rPr>
          <w:rFonts w:eastAsia="Times New Roman"/>
          <w:snapToGrid w:val="0"/>
          <w:kern w:val="2"/>
          <w:szCs w:val="20"/>
        </w:rPr>
        <w:t xml:space="preserve"> </w:t>
      </w:r>
      <w:r w:rsidR="00C341E7" w:rsidRPr="00C341E7">
        <w:t>and activated partial thromboplastin time</w:t>
      </w:r>
      <w:r w:rsidR="00C341E7">
        <w:t xml:space="preserve"> </w:t>
      </w:r>
      <w:r w:rsidR="00C341E7" w:rsidRPr="00C341E7">
        <w:t>(</w:t>
      </w:r>
      <w:r w:rsidRPr="00C341E7">
        <w:t>APTT</w:t>
      </w:r>
      <w:r w:rsidR="00C341E7" w:rsidRPr="00C341E7">
        <w:t>)</w:t>
      </w:r>
      <w:r w:rsidRPr="00C341E7">
        <w:t>).</w:t>
      </w:r>
    </w:p>
    <w:p w:rsidR="00720B5E" w:rsidRDefault="00720B5E" w:rsidP="00720B5E">
      <w:pPr>
        <w:rPr>
          <w:rFonts w:eastAsia="Times New Roman"/>
          <w:snapToGrid w:val="0"/>
          <w:kern w:val="2"/>
          <w:szCs w:val="20"/>
        </w:rPr>
      </w:pPr>
      <w:r>
        <w:rPr>
          <w:rFonts w:eastAsia="Times New Roman"/>
          <w:snapToGrid w:val="0"/>
          <w:kern w:val="2"/>
          <w:szCs w:val="20"/>
        </w:rPr>
        <w:t>Although IL-6R is expressed on early myeloid progenitors, stem cells and bone marrow stroma cells, the only effect observed in monkeys was neutro</w:t>
      </w:r>
      <w:r w:rsidR="001E2D44">
        <w:rPr>
          <w:rFonts w:eastAsia="Times New Roman"/>
          <w:snapToGrid w:val="0"/>
          <w:kern w:val="2"/>
          <w:szCs w:val="20"/>
        </w:rPr>
        <w:t>paenia</w:t>
      </w:r>
      <w:r>
        <w:rPr>
          <w:rFonts w:eastAsia="Times New Roman"/>
          <w:snapToGrid w:val="0"/>
          <w:kern w:val="2"/>
          <w:szCs w:val="20"/>
        </w:rPr>
        <w:t xml:space="preserve"> and lower primary and secondary IgG responses following an antigen (keyhole limpet haemocyanin) challenge. No instances of </w:t>
      </w:r>
      <w:proofErr w:type="spellStart"/>
      <w:r>
        <w:rPr>
          <w:rFonts w:eastAsia="Times New Roman"/>
          <w:snapToGrid w:val="0"/>
          <w:kern w:val="2"/>
          <w:szCs w:val="20"/>
        </w:rPr>
        <w:t>pancyto</w:t>
      </w:r>
      <w:r w:rsidR="001E2D44">
        <w:rPr>
          <w:rFonts w:eastAsia="Times New Roman"/>
          <w:snapToGrid w:val="0"/>
          <w:kern w:val="2"/>
          <w:szCs w:val="20"/>
        </w:rPr>
        <w:t>paenia</w:t>
      </w:r>
      <w:proofErr w:type="spellEnd"/>
      <w:r>
        <w:rPr>
          <w:rFonts w:eastAsia="Times New Roman"/>
          <w:snapToGrid w:val="0"/>
          <w:kern w:val="2"/>
          <w:szCs w:val="20"/>
        </w:rPr>
        <w:t>, aplastic anaemia or bone marrow effects were observed. Furthermore, no increased incidences of infection were observed.</w:t>
      </w:r>
    </w:p>
    <w:p w:rsidR="00720B5E" w:rsidRDefault="00720B5E" w:rsidP="00720B5E">
      <w:pPr>
        <w:rPr>
          <w:rFonts w:eastAsia="Times New Roman"/>
          <w:snapToGrid w:val="0"/>
          <w:kern w:val="2"/>
          <w:szCs w:val="20"/>
        </w:rPr>
      </w:pPr>
      <w:r>
        <w:rPr>
          <w:rFonts w:eastAsia="Times New Roman"/>
          <w:snapToGrid w:val="0"/>
          <w:kern w:val="2"/>
          <w:szCs w:val="20"/>
        </w:rPr>
        <w:t xml:space="preserve">According to the </w:t>
      </w:r>
      <w:r w:rsidR="00C341E7">
        <w:rPr>
          <w:rFonts w:eastAsia="Times New Roman"/>
          <w:snapToGrid w:val="0"/>
          <w:kern w:val="2"/>
          <w:szCs w:val="20"/>
        </w:rPr>
        <w:t xml:space="preserve">sponsor’s </w:t>
      </w:r>
      <w:r>
        <w:rPr>
          <w:rFonts w:eastAsia="Times New Roman"/>
          <w:snapToGrid w:val="0"/>
          <w:kern w:val="2"/>
          <w:szCs w:val="20"/>
        </w:rPr>
        <w:t xml:space="preserve">Clinical Overview and </w:t>
      </w:r>
      <w:r w:rsidR="00C341E7">
        <w:rPr>
          <w:rFonts w:eastAsia="Times New Roman"/>
          <w:snapToGrid w:val="0"/>
          <w:kern w:val="2"/>
          <w:szCs w:val="20"/>
        </w:rPr>
        <w:t xml:space="preserve">draft </w:t>
      </w:r>
      <w:r>
        <w:rPr>
          <w:rFonts w:eastAsia="Times New Roman"/>
          <w:snapToGrid w:val="0"/>
          <w:kern w:val="2"/>
          <w:szCs w:val="20"/>
        </w:rPr>
        <w:t>P</w:t>
      </w:r>
      <w:r w:rsidR="00C341E7">
        <w:rPr>
          <w:rFonts w:eastAsia="Times New Roman"/>
          <w:snapToGrid w:val="0"/>
          <w:kern w:val="2"/>
          <w:szCs w:val="20"/>
        </w:rPr>
        <w:t>I</w:t>
      </w:r>
      <w:r>
        <w:rPr>
          <w:rFonts w:eastAsia="Times New Roman"/>
          <w:snapToGrid w:val="0"/>
          <w:kern w:val="2"/>
          <w:szCs w:val="20"/>
        </w:rPr>
        <w:t>, elevations of hepatic transaminases have been observed with sarilumab treatment in clinical trials, but without progression to serious hepatic injury. No elevations of hepatic transaminases were seen in the toxicology studies, even when IL-6 was significantly elevated in the 26</w:t>
      </w:r>
      <w:r w:rsidR="00C341E7">
        <w:rPr>
          <w:rFonts w:eastAsia="Times New Roman"/>
          <w:snapToGrid w:val="0"/>
          <w:kern w:val="2"/>
          <w:szCs w:val="20"/>
        </w:rPr>
        <w:t xml:space="preserve"> </w:t>
      </w:r>
      <w:r>
        <w:rPr>
          <w:rFonts w:eastAsia="Times New Roman"/>
          <w:snapToGrid w:val="0"/>
          <w:kern w:val="2"/>
          <w:szCs w:val="20"/>
        </w:rPr>
        <w:t>week study in cynomolgus monkeys.</w:t>
      </w:r>
    </w:p>
    <w:p w:rsidR="00720B5E" w:rsidRDefault="00720B5E" w:rsidP="00720B5E">
      <w:pPr>
        <w:rPr>
          <w:rFonts w:eastAsia="Times New Roman"/>
          <w:snapToGrid w:val="0"/>
          <w:kern w:val="2"/>
          <w:szCs w:val="20"/>
        </w:rPr>
      </w:pPr>
      <w:r>
        <w:rPr>
          <w:rFonts w:eastAsia="Times New Roman"/>
          <w:snapToGrid w:val="0"/>
          <w:kern w:val="2"/>
          <w:szCs w:val="20"/>
        </w:rPr>
        <w:t xml:space="preserve">No hypersensitivity reactions (observed in patients), or any effect on organ weights, macroscopic or microscopic pathology, </w:t>
      </w:r>
      <w:proofErr w:type="spellStart"/>
      <w:r>
        <w:rPr>
          <w:rFonts w:eastAsia="Times New Roman"/>
          <w:snapToGrid w:val="0"/>
          <w:kern w:val="2"/>
          <w:szCs w:val="20"/>
        </w:rPr>
        <w:t>immunophenotypic</w:t>
      </w:r>
      <w:proofErr w:type="spellEnd"/>
      <w:r>
        <w:rPr>
          <w:rFonts w:eastAsia="Times New Roman"/>
          <w:snapToGrid w:val="0"/>
          <w:kern w:val="2"/>
          <w:szCs w:val="20"/>
        </w:rPr>
        <w:t xml:space="preserve"> analysis, or clinical signs, were observed in any of the studies in monkeys. Anti-sarilumab antibodies, developed in monkeys receiving doses of </w:t>
      </w:r>
      <w:r w:rsidR="00DD5BCE">
        <w:rPr>
          <w:rFonts w:eastAsia="Times New Roman"/>
          <w:snapToGrid w:val="0"/>
          <w:kern w:val="2"/>
          <w:szCs w:val="20"/>
        </w:rPr>
        <w:t xml:space="preserve">≤ </w:t>
      </w:r>
      <w:r>
        <w:rPr>
          <w:rFonts w:eastAsia="Times New Roman"/>
          <w:snapToGrid w:val="0"/>
          <w:kern w:val="2"/>
          <w:szCs w:val="20"/>
        </w:rPr>
        <w:t>15 mg/kg/week, did not cause any apparent toxicological effect. After SC administration, injection sites displayed moderate inflammatory infiltrates (which is not unexpected after SC injection of concentrated human proteins).</w:t>
      </w:r>
    </w:p>
    <w:p w:rsidR="00720B5E" w:rsidRDefault="00720B5E" w:rsidP="00720B5E">
      <w:pPr>
        <w:rPr>
          <w:rFonts w:eastAsia="MS Mincho" w:cstheme="minorBidi"/>
        </w:rPr>
      </w:pPr>
      <w:r>
        <w:t>Considering the mechanism of action of sarilumab, effects on the immune system may have been anticipated, but there were no sarilumab</w:t>
      </w:r>
      <w:r w:rsidR="00C341E7">
        <w:t xml:space="preserve"> </w:t>
      </w:r>
      <w:r>
        <w:t>related effects on the morphology of any organ (including of the immune system). Overall, there was little evidence of toxicity of sarilumab following weekly treatment to monkeys.</w:t>
      </w:r>
    </w:p>
    <w:p w:rsidR="00720B5E" w:rsidRDefault="00720B5E" w:rsidP="00E246F9">
      <w:pPr>
        <w:pStyle w:val="Heading4"/>
        <w:rPr>
          <w:szCs w:val="24"/>
        </w:rPr>
      </w:pPr>
      <w:bookmarkStart w:id="64" w:name="_Toc294861729"/>
      <w:r>
        <w:t>Genotoxicity</w:t>
      </w:r>
      <w:bookmarkEnd w:id="64"/>
      <w:r>
        <w:t xml:space="preserve"> and carcinogenicity</w:t>
      </w:r>
    </w:p>
    <w:p w:rsidR="00AA6B20" w:rsidRPr="00C341E7" w:rsidRDefault="00720B5E" w:rsidP="00720B5E">
      <w:r>
        <w:t>The range and type of genotoxicity studies routinely conducted for small molecule pharmaceuticals are not applicable to biotechnology-derived products</w:t>
      </w:r>
      <w:r w:rsidR="00C341E7" w:rsidRPr="00C341E7">
        <w:rPr>
          <w:vertAlign w:val="superscript"/>
        </w:rPr>
        <w:fldChar w:fldCharType="begin"/>
      </w:r>
      <w:r w:rsidR="00C341E7" w:rsidRPr="00C341E7">
        <w:rPr>
          <w:vertAlign w:val="superscript"/>
        </w:rPr>
        <w:instrText xml:space="preserve"> NOTEREF _Ref528066336 \h </w:instrText>
      </w:r>
      <w:r w:rsidR="00C341E7">
        <w:rPr>
          <w:vertAlign w:val="superscript"/>
        </w:rPr>
        <w:instrText xml:space="preserve"> \* MERGEFORMAT </w:instrText>
      </w:r>
      <w:r w:rsidR="00C341E7" w:rsidRPr="00C341E7">
        <w:rPr>
          <w:vertAlign w:val="superscript"/>
        </w:rPr>
      </w:r>
      <w:r w:rsidR="00C341E7" w:rsidRPr="00C341E7">
        <w:rPr>
          <w:vertAlign w:val="superscript"/>
        </w:rPr>
        <w:fldChar w:fldCharType="separate"/>
      </w:r>
      <w:r w:rsidR="0033674E">
        <w:rPr>
          <w:vertAlign w:val="superscript"/>
        </w:rPr>
        <w:t>1</w:t>
      </w:r>
      <w:r w:rsidR="00C341E7" w:rsidRPr="00C341E7">
        <w:rPr>
          <w:vertAlign w:val="superscript"/>
        </w:rPr>
        <w:fldChar w:fldCharType="end"/>
      </w:r>
      <w:r>
        <w:t xml:space="preserve"> and therefore, a full battery of tests was not conducted. It is not expected that a monoclonal antibody such as sarilumab would interact directly </w:t>
      </w:r>
      <w:r w:rsidRPr="00C341E7">
        <w:t xml:space="preserve">with </w:t>
      </w:r>
      <w:r w:rsidR="00C341E7" w:rsidRPr="00C341E7">
        <w:t>deoxyribonucleic acid (</w:t>
      </w:r>
      <w:r w:rsidRPr="00C341E7">
        <w:t>DNA</w:t>
      </w:r>
      <w:r w:rsidR="00C341E7" w:rsidRPr="00C341E7">
        <w:t>)</w:t>
      </w:r>
      <w:r w:rsidRPr="00C341E7">
        <w:t xml:space="preserve"> or other chromosomal material.</w:t>
      </w:r>
    </w:p>
    <w:p w:rsidR="00AA6B20" w:rsidRDefault="00720B5E" w:rsidP="00720B5E">
      <w:r>
        <w:t>The mechanism of action of sarilumab is not expected to be carcinogenic. No preneoplastic lesions were observed in cynomolgus monkeys administered sarilumab for up to 26</w:t>
      </w:r>
      <w:r w:rsidR="007C7C62">
        <w:t xml:space="preserve"> </w:t>
      </w:r>
      <w:r>
        <w:t>weeks, although this time span is relatively short in the lifespan of this species.</w:t>
      </w:r>
    </w:p>
    <w:p w:rsidR="00720B5E" w:rsidRDefault="00720B5E" w:rsidP="00720B5E">
      <w:r>
        <w:t xml:space="preserve">Furthermore, </w:t>
      </w:r>
      <w:r w:rsidRPr="00C341E7">
        <w:t>in vivo</w:t>
      </w:r>
      <w:r>
        <w:t>, sarilumab inhibited the growth of human prostate (Du145 cells) and lung (A549, Calu3 and NCI-H1650 cells) tumour xenografts in immunocompromised mice. Immunohistochemistry analysis of prostate cancer xenografts (DU145 cells) revealed inhibition of growth associated with increased cleaved caspase-3 (marker of apoptosis) immunostaining. Based on these results, and since IL-6 and STAT3 signalling play a role in tumour progression, it is possible that sarilumab treatment may exert an inhibitory effect on the growth of some tumours.</w:t>
      </w:r>
    </w:p>
    <w:p w:rsidR="00720B5E" w:rsidRDefault="00720B5E" w:rsidP="00720B5E">
      <w:pPr>
        <w:rPr>
          <w:color w:val="7030A0"/>
          <w:kern w:val="16"/>
          <w:szCs w:val="24"/>
        </w:rPr>
      </w:pPr>
      <w:r>
        <w:t>Based on the lack of mechanistic concern, and the data described above, carcinogenicity studies with sarilumab were not considered necessary, consistent with the approach in current regulatory guidelines.</w:t>
      </w:r>
    </w:p>
    <w:p w:rsidR="00720B5E" w:rsidRDefault="00720B5E" w:rsidP="00E246F9">
      <w:pPr>
        <w:pStyle w:val="Heading4"/>
      </w:pPr>
      <w:r>
        <w:lastRenderedPageBreak/>
        <w:t>Reproductive toxicity</w:t>
      </w:r>
    </w:p>
    <w:p w:rsidR="00AA6B20" w:rsidRDefault="00720B5E" w:rsidP="00720B5E">
      <w:r>
        <w:t>A fertility study was conducted in mice, in which the effects of inhibition of IL-6Rα on fertility were investigated using the murine specific surrogate REGN844 (sarilumab was not pharmacologically active in rats, mice or guinea pigs). Some additional fertility endpoints (such as reproductive hormones, menstrual cycling and sperm analysis) could have been not included in the repeat-dose toxicity studies in cynomolgus monkeys, and an embryofetal development study could have been performed with the surrogate murine antibody.</w:t>
      </w:r>
    </w:p>
    <w:p w:rsidR="00720B5E" w:rsidRDefault="00720B5E" w:rsidP="00720B5E">
      <w:r>
        <w:t>In the REGN844 study in mice, an increased incidence of implantation site degeneration was observed microscopically at the HD, however no other drug-related effects were observed in reproductive indices (mating, fertility and pregnancy), and the significance of the finding is not known.</w:t>
      </w:r>
    </w:p>
    <w:p w:rsidR="00AA6B20" w:rsidRDefault="00720B5E" w:rsidP="00720B5E">
      <w:r>
        <w:t>There was evidence of cross-reactivity of sarilumab with (cytoplasm and/or cytoplasmic granule in) human reproductive tissues (prostate, oviduct, cervix, endometrium, placenta) but no evidence from the repeat-dose toxicity studies in mice (with REGN844) or cynomolgus monkeys (with sarilumab) of an effect of IL-6Rα block on the reproductive organs of either males or females.</w:t>
      </w:r>
    </w:p>
    <w:p w:rsidR="00AA6B20" w:rsidRDefault="00720B5E" w:rsidP="00720B5E">
      <w:r>
        <w:t>Embryofetal development studies were not conducted in mice or monkeys, and these studies would have been advisable. However a pre/postnatal development study was performed in monkeys</w:t>
      </w:r>
      <w:r w:rsidR="00A6756D">
        <w:t xml:space="preserve"> and it </w:t>
      </w:r>
      <w:r>
        <w:t>includ</w:t>
      </w:r>
      <w:r w:rsidR="00A6756D">
        <w:t>ed</w:t>
      </w:r>
      <w:r>
        <w:t xml:space="preserve"> dosing </w:t>
      </w:r>
      <w:r w:rsidR="00A6756D">
        <w:t>from</w:t>
      </w:r>
      <w:r>
        <w:t xml:space="preserve"> </w:t>
      </w:r>
      <w:r w:rsidR="00A6756D">
        <w:t>gestational day (</w:t>
      </w:r>
      <w:r>
        <w:t>GD</w:t>
      </w:r>
      <w:r w:rsidR="00A6756D">
        <w:t xml:space="preserve">) </w:t>
      </w:r>
      <w:r>
        <w:t>20, which is the beginning of organogen</w:t>
      </w:r>
      <w:r w:rsidR="00A6756D">
        <w:t>esis in monkeys (equivalent to W</w:t>
      </w:r>
      <w:r>
        <w:t xml:space="preserve">eek 3 in a human pregnancy), until GD165 (natural delivery). Exposure began at implantation and continued until at least </w:t>
      </w:r>
      <w:r w:rsidR="00A6756D">
        <w:t>postnatal day (</w:t>
      </w:r>
      <w:r>
        <w:t>PND</w:t>
      </w:r>
      <w:r w:rsidR="00A6756D">
        <w:t xml:space="preserve">) </w:t>
      </w:r>
      <w:r>
        <w:t>30 at all doses both in mothers and offspring (offspring w</w:t>
      </w:r>
      <w:r w:rsidR="00A6756D">
        <w:t>ere</w:t>
      </w:r>
      <w:r>
        <w:t xml:space="preserve"> then euthanised).</w:t>
      </w:r>
    </w:p>
    <w:p w:rsidR="00AA6B20" w:rsidRDefault="00720B5E" w:rsidP="00720B5E">
      <w:r>
        <w:t>There was no evidence of teratogenicity, although the number of offspring was limited. Offspring were examined for malformations/variations (organ measurements, macroscopic observations and skeletal examination by X-ray imaging).</w:t>
      </w:r>
    </w:p>
    <w:p w:rsidR="00720B5E" w:rsidRDefault="00720B5E" w:rsidP="00720B5E">
      <w:r>
        <w:t>Increases in pregnancy loss, premature births, stillbirths, neonate deaths post-birth and a de</w:t>
      </w:r>
      <w:r w:rsidR="00A6756D">
        <w:t>crease in infants surviving to D</w:t>
      </w:r>
      <w:r>
        <w:t>ay</w:t>
      </w:r>
      <w:r w:rsidR="000A0A15">
        <w:t>s</w:t>
      </w:r>
      <w:r>
        <w:t xml:space="preserve"> 30</w:t>
      </w:r>
      <w:r w:rsidR="000A0A15">
        <w:t xml:space="preserve"> to </w:t>
      </w:r>
      <w:r>
        <w:t>32 of birth were observed in the 50</w:t>
      </w:r>
      <w:r w:rsidR="000A0A15">
        <w:t> </w:t>
      </w:r>
      <w:r>
        <w:t>mg/kg/week dose group compared to vehicle control and lower</w:t>
      </w:r>
      <w:r w:rsidR="00A6756D">
        <w:t xml:space="preserve"> dose groups (see </w:t>
      </w:r>
      <w:r w:rsidR="000A0A15">
        <w:t>T</w:t>
      </w:r>
      <w:r w:rsidR="00A6756D">
        <w:t>able</w:t>
      </w:r>
      <w:r w:rsidR="00485E22">
        <w:t> </w:t>
      </w:r>
      <w:r w:rsidR="000A0A15">
        <w:t>5,</w:t>
      </w:r>
      <w:r w:rsidR="00A6756D">
        <w:t xml:space="preserve"> below).</w:t>
      </w:r>
    </w:p>
    <w:p w:rsidR="00A6756D" w:rsidRDefault="00A6756D" w:rsidP="000A0A15">
      <w:pPr>
        <w:pStyle w:val="Tabletitle0"/>
      </w:pPr>
      <w:r>
        <w:t>Table 5: Adverse events reported from reproductive study in monkeys</w:t>
      </w:r>
    </w:p>
    <w:tbl>
      <w:tblPr>
        <w:tblStyle w:val="TableTGAblue"/>
        <w:tblW w:w="5000" w:type="pct"/>
        <w:tblLayout w:type="fixed"/>
        <w:tblLook w:val="01E0" w:firstRow="1" w:lastRow="1" w:firstColumn="1" w:lastColumn="1" w:noHBand="0" w:noVBand="0"/>
      </w:tblPr>
      <w:tblGrid>
        <w:gridCol w:w="3355"/>
        <w:gridCol w:w="1493"/>
        <w:gridCol w:w="1331"/>
        <w:gridCol w:w="1270"/>
        <w:gridCol w:w="1271"/>
      </w:tblGrid>
      <w:tr w:rsidR="00720B5E" w:rsidTr="00091017">
        <w:trPr>
          <w:cnfStyle w:val="100000000000" w:firstRow="1" w:lastRow="0" w:firstColumn="0" w:lastColumn="0" w:oddVBand="0" w:evenVBand="0" w:oddHBand="0" w:evenHBand="0" w:firstRowFirstColumn="0" w:firstRowLastColumn="0" w:lastRowFirstColumn="0" w:lastRowLastColumn="0"/>
          <w:cantSplit/>
          <w:trHeight w:val="200"/>
        </w:trPr>
        <w:tc>
          <w:tcPr>
            <w:tcW w:w="3369" w:type="dxa"/>
            <w:vMerge w:val="restart"/>
            <w:hideMark/>
          </w:tcPr>
          <w:p w:rsidR="00720B5E" w:rsidRPr="00A6756D" w:rsidRDefault="00720B5E" w:rsidP="00160672">
            <w:pPr>
              <w:rPr>
                <w:rFonts w:eastAsia="Times New Roman"/>
                <w:sz w:val="20"/>
                <w:szCs w:val="20"/>
                <w:lang w:eastAsia="en-US"/>
              </w:rPr>
            </w:pPr>
            <w:r w:rsidRPr="00A6756D">
              <w:rPr>
                <w:sz w:val="20"/>
                <w:szCs w:val="20"/>
              </w:rPr>
              <w:t xml:space="preserve">Finding </w:t>
            </w:r>
          </w:p>
        </w:tc>
        <w:tc>
          <w:tcPr>
            <w:tcW w:w="5386" w:type="dxa"/>
            <w:gridSpan w:val="4"/>
            <w:hideMark/>
          </w:tcPr>
          <w:p w:rsidR="00720B5E" w:rsidRPr="00A6756D" w:rsidRDefault="00720B5E" w:rsidP="009F1D5D">
            <w:pPr>
              <w:rPr>
                <w:rFonts w:eastAsia="Times New Roman"/>
                <w:sz w:val="20"/>
                <w:szCs w:val="20"/>
                <w:lang w:eastAsia="en-US"/>
              </w:rPr>
            </w:pPr>
            <w:r w:rsidRPr="00A6756D">
              <w:rPr>
                <w:sz w:val="20"/>
                <w:szCs w:val="20"/>
              </w:rPr>
              <w:t>Dose (mg/kg/week)</w:t>
            </w:r>
          </w:p>
        </w:tc>
      </w:tr>
      <w:tr w:rsidR="00720B5E" w:rsidTr="00091017">
        <w:trPr>
          <w:cantSplit/>
          <w:trHeight w:val="200"/>
        </w:trPr>
        <w:tc>
          <w:tcPr>
            <w:tcW w:w="3369" w:type="dxa"/>
            <w:vMerge/>
            <w:hideMark/>
          </w:tcPr>
          <w:p w:rsidR="00720B5E" w:rsidRPr="00A6756D" w:rsidRDefault="00720B5E" w:rsidP="00485E22">
            <w:pPr>
              <w:rPr>
                <w:rFonts w:eastAsia="Times New Roman"/>
                <w:color w:val="auto"/>
                <w:kern w:val="16"/>
                <w:sz w:val="20"/>
                <w:szCs w:val="20"/>
                <w:lang w:eastAsia="en-US"/>
              </w:rPr>
            </w:pPr>
          </w:p>
        </w:tc>
        <w:tc>
          <w:tcPr>
            <w:tcW w:w="1499" w:type="dxa"/>
            <w:hideMark/>
          </w:tcPr>
          <w:p w:rsidR="00720B5E" w:rsidRPr="00A6756D" w:rsidRDefault="00720B5E" w:rsidP="00485E22">
            <w:pPr>
              <w:rPr>
                <w:rFonts w:eastAsia="Times New Roman"/>
                <w:color w:val="auto"/>
                <w:sz w:val="20"/>
                <w:szCs w:val="20"/>
                <w:lang w:eastAsia="en-US"/>
              </w:rPr>
            </w:pPr>
            <w:r w:rsidRPr="00A6756D">
              <w:rPr>
                <w:sz w:val="20"/>
                <w:szCs w:val="20"/>
              </w:rPr>
              <w:t>0</w:t>
            </w:r>
          </w:p>
        </w:tc>
        <w:tc>
          <w:tcPr>
            <w:tcW w:w="1336" w:type="dxa"/>
            <w:hideMark/>
          </w:tcPr>
          <w:p w:rsidR="00720B5E" w:rsidRPr="00A6756D" w:rsidRDefault="00720B5E" w:rsidP="00485E22">
            <w:pPr>
              <w:rPr>
                <w:rFonts w:eastAsia="Times New Roman"/>
                <w:color w:val="auto"/>
                <w:sz w:val="20"/>
                <w:szCs w:val="20"/>
                <w:lang w:eastAsia="en-US"/>
              </w:rPr>
            </w:pPr>
            <w:r w:rsidRPr="00A6756D">
              <w:rPr>
                <w:sz w:val="20"/>
                <w:szCs w:val="20"/>
              </w:rPr>
              <w:t>5</w:t>
            </w:r>
          </w:p>
        </w:tc>
        <w:tc>
          <w:tcPr>
            <w:tcW w:w="1275" w:type="dxa"/>
            <w:hideMark/>
          </w:tcPr>
          <w:p w:rsidR="00720B5E" w:rsidRPr="00A6756D" w:rsidRDefault="00720B5E" w:rsidP="00485E22">
            <w:pPr>
              <w:rPr>
                <w:rFonts w:eastAsia="Times New Roman"/>
                <w:color w:val="auto"/>
                <w:sz w:val="20"/>
                <w:szCs w:val="20"/>
                <w:lang w:eastAsia="en-US"/>
              </w:rPr>
            </w:pPr>
            <w:r w:rsidRPr="00A6756D">
              <w:rPr>
                <w:sz w:val="20"/>
                <w:szCs w:val="20"/>
              </w:rPr>
              <w:t>15</w:t>
            </w:r>
          </w:p>
        </w:tc>
        <w:tc>
          <w:tcPr>
            <w:tcW w:w="1276" w:type="dxa"/>
            <w:hideMark/>
          </w:tcPr>
          <w:p w:rsidR="00720B5E" w:rsidRPr="00A6756D" w:rsidRDefault="00720B5E" w:rsidP="00485E22">
            <w:pPr>
              <w:rPr>
                <w:rFonts w:eastAsia="Times New Roman"/>
                <w:color w:val="auto"/>
                <w:sz w:val="20"/>
                <w:szCs w:val="20"/>
                <w:lang w:eastAsia="en-US"/>
              </w:rPr>
            </w:pPr>
            <w:r w:rsidRPr="00A6756D">
              <w:rPr>
                <w:sz w:val="20"/>
                <w:szCs w:val="20"/>
              </w:rPr>
              <w:t>50</w:t>
            </w:r>
          </w:p>
        </w:tc>
      </w:tr>
      <w:tr w:rsidR="00720B5E" w:rsidTr="00A6756D">
        <w:tc>
          <w:tcPr>
            <w:tcW w:w="3369" w:type="dxa"/>
            <w:hideMark/>
          </w:tcPr>
          <w:p w:rsidR="00720B5E" w:rsidRPr="00A6756D" w:rsidRDefault="00720B5E" w:rsidP="00485E22">
            <w:pPr>
              <w:keepNext/>
              <w:rPr>
                <w:rFonts w:eastAsia="Times New Roman"/>
                <w:snapToGrid w:val="0"/>
                <w:color w:val="auto"/>
                <w:kern w:val="16"/>
                <w:sz w:val="20"/>
                <w:szCs w:val="20"/>
                <w:lang w:eastAsia="en-US"/>
              </w:rPr>
            </w:pPr>
            <w:r w:rsidRPr="00A6756D">
              <w:rPr>
                <w:rFonts w:eastAsia="Times New Roman"/>
                <w:snapToGrid w:val="0"/>
                <w:kern w:val="16"/>
                <w:sz w:val="20"/>
                <w:szCs w:val="20"/>
              </w:rPr>
              <w:t>Abortion/</w:t>
            </w:r>
            <w:proofErr w:type="spellStart"/>
            <w:r w:rsidRPr="00A6756D">
              <w:rPr>
                <w:rFonts w:eastAsia="Times New Roman"/>
                <w:snapToGrid w:val="0"/>
                <w:kern w:val="16"/>
                <w:sz w:val="20"/>
                <w:szCs w:val="20"/>
              </w:rPr>
              <w:t>embryofoetal</w:t>
            </w:r>
            <w:proofErr w:type="spellEnd"/>
            <w:r w:rsidRPr="00A6756D">
              <w:rPr>
                <w:rFonts w:eastAsia="Times New Roman"/>
                <w:snapToGrid w:val="0"/>
                <w:kern w:val="16"/>
                <w:sz w:val="20"/>
                <w:szCs w:val="20"/>
              </w:rPr>
              <w:t xml:space="preserve"> death ratio (and percentage)</w:t>
            </w:r>
          </w:p>
        </w:tc>
        <w:tc>
          <w:tcPr>
            <w:tcW w:w="1499" w:type="dxa"/>
            <w:hideMark/>
          </w:tcPr>
          <w:p w:rsidR="00720B5E" w:rsidRPr="00A6756D" w:rsidRDefault="00720B5E" w:rsidP="00485E22">
            <w:pPr>
              <w:keepNext/>
              <w:rPr>
                <w:rFonts w:eastAsia="Times New Roman"/>
                <w:snapToGrid w:val="0"/>
                <w:color w:val="auto"/>
                <w:kern w:val="16"/>
                <w:sz w:val="20"/>
                <w:szCs w:val="20"/>
                <w:lang w:eastAsia="en-US"/>
              </w:rPr>
            </w:pPr>
            <w:r w:rsidRPr="00A6756D">
              <w:rPr>
                <w:rFonts w:eastAsia="Times New Roman"/>
                <w:snapToGrid w:val="0"/>
                <w:kern w:val="16"/>
                <w:sz w:val="20"/>
                <w:szCs w:val="20"/>
              </w:rPr>
              <w:t>3/12 (25%)</w:t>
            </w:r>
          </w:p>
        </w:tc>
        <w:tc>
          <w:tcPr>
            <w:tcW w:w="1336" w:type="dxa"/>
            <w:hideMark/>
          </w:tcPr>
          <w:p w:rsidR="00720B5E" w:rsidRPr="00A6756D" w:rsidRDefault="00720B5E" w:rsidP="00485E22">
            <w:pPr>
              <w:keepNext/>
              <w:rPr>
                <w:rFonts w:eastAsia="Times New Roman"/>
                <w:snapToGrid w:val="0"/>
                <w:color w:val="auto"/>
                <w:kern w:val="16"/>
                <w:sz w:val="20"/>
                <w:szCs w:val="20"/>
                <w:lang w:eastAsia="en-US"/>
              </w:rPr>
            </w:pPr>
            <w:r w:rsidRPr="00A6756D">
              <w:rPr>
                <w:rFonts w:eastAsia="Times New Roman"/>
                <w:snapToGrid w:val="0"/>
                <w:kern w:val="16"/>
                <w:sz w:val="20"/>
                <w:szCs w:val="20"/>
              </w:rPr>
              <w:t>3/12 (25%)</w:t>
            </w:r>
          </w:p>
        </w:tc>
        <w:tc>
          <w:tcPr>
            <w:tcW w:w="1275" w:type="dxa"/>
            <w:hideMark/>
          </w:tcPr>
          <w:p w:rsidR="00720B5E" w:rsidRPr="00A6756D" w:rsidRDefault="00720B5E" w:rsidP="00485E22">
            <w:pPr>
              <w:keepNext/>
              <w:rPr>
                <w:rFonts w:eastAsia="Times New Roman"/>
                <w:snapToGrid w:val="0"/>
                <w:color w:val="auto"/>
                <w:kern w:val="16"/>
                <w:sz w:val="20"/>
                <w:szCs w:val="20"/>
                <w:lang w:eastAsia="en-US"/>
              </w:rPr>
            </w:pPr>
            <w:r w:rsidRPr="00A6756D">
              <w:rPr>
                <w:rFonts w:eastAsia="Times New Roman"/>
                <w:snapToGrid w:val="0"/>
                <w:kern w:val="16"/>
                <w:sz w:val="20"/>
                <w:szCs w:val="20"/>
              </w:rPr>
              <w:t>4/12 (33.3%)</w:t>
            </w:r>
          </w:p>
        </w:tc>
        <w:tc>
          <w:tcPr>
            <w:tcW w:w="1276" w:type="dxa"/>
            <w:hideMark/>
          </w:tcPr>
          <w:p w:rsidR="00720B5E" w:rsidRPr="00A6756D" w:rsidRDefault="00720B5E" w:rsidP="00485E22">
            <w:pPr>
              <w:keepNext/>
              <w:rPr>
                <w:rFonts w:eastAsia="Times New Roman"/>
                <w:snapToGrid w:val="0"/>
                <w:color w:val="auto"/>
                <w:kern w:val="16"/>
                <w:sz w:val="20"/>
                <w:szCs w:val="20"/>
                <w:lang w:eastAsia="en-US"/>
              </w:rPr>
            </w:pPr>
            <w:r w:rsidRPr="00A6756D">
              <w:rPr>
                <w:rFonts w:eastAsia="Times New Roman"/>
                <w:snapToGrid w:val="0"/>
                <w:kern w:val="16"/>
                <w:sz w:val="20"/>
                <w:szCs w:val="20"/>
              </w:rPr>
              <w:t>3/12 (25%)</w:t>
            </w:r>
          </w:p>
        </w:tc>
      </w:tr>
      <w:tr w:rsidR="00720B5E" w:rsidTr="00A6756D">
        <w:tc>
          <w:tcPr>
            <w:tcW w:w="3369" w:type="dxa"/>
            <w:hideMark/>
          </w:tcPr>
          <w:p w:rsidR="00720B5E" w:rsidRPr="00A6756D" w:rsidRDefault="00720B5E" w:rsidP="00A6756D">
            <w:pPr>
              <w:rPr>
                <w:rFonts w:eastAsia="Times New Roman"/>
                <w:snapToGrid w:val="0"/>
                <w:kern w:val="16"/>
                <w:sz w:val="20"/>
                <w:szCs w:val="20"/>
                <w:lang w:eastAsia="en-US"/>
              </w:rPr>
            </w:pPr>
            <w:r w:rsidRPr="00A6756D">
              <w:rPr>
                <w:rFonts w:eastAsia="Times New Roman"/>
                <w:snapToGrid w:val="0"/>
                <w:kern w:val="16"/>
                <w:sz w:val="20"/>
                <w:szCs w:val="20"/>
              </w:rPr>
              <w:t>Premature/preterm birth (incidence)</w:t>
            </w:r>
          </w:p>
        </w:tc>
        <w:tc>
          <w:tcPr>
            <w:tcW w:w="1499" w:type="dxa"/>
            <w:hideMark/>
          </w:tcPr>
          <w:p w:rsidR="00720B5E" w:rsidRPr="00A6756D" w:rsidRDefault="00720B5E" w:rsidP="00A6756D">
            <w:pPr>
              <w:rPr>
                <w:rFonts w:eastAsia="Times New Roman"/>
                <w:snapToGrid w:val="0"/>
                <w:kern w:val="16"/>
                <w:sz w:val="20"/>
                <w:szCs w:val="20"/>
                <w:lang w:eastAsia="en-US"/>
              </w:rPr>
            </w:pPr>
            <w:r w:rsidRPr="00A6756D">
              <w:rPr>
                <w:rFonts w:eastAsia="Times New Roman"/>
                <w:snapToGrid w:val="0"/>
                <w:kern w:val="16"/>
                <w:sz w:val="20"/>
                <w:szCs w:val="20"/>
              </w:rPr>
              <w:t>0</w:t>
            </w:r>
          </w:p>
        </w:tc>
        <w:tc>
          <w:tcPr>
            <w:tcW w:w="1336" w:type="dxa"/>
            <w:hideMark/>
          </w:tcPr>
          <w:p w:rsidR="00720B5E" w:rsidRPr="00A6756D" w:rsidRDefault="00720B5E" w:rsidP="00A6756D">
            <w:pPr>
              <w:rPr>
                <w:rFonts w:eastAsia="Times New Roman"/>
                <w:snapToGrid w:val="0"/>
                <w:kern w:val="16"/>
                <w:sz w:val="20"/>
                <w:szCs w:val="20"/>
                <w:lang w:eastAsia="en-US"/>
              </w:rPr>
            </w:pPr>
            <w:r w:rsidRPr="00A6756D">
              <w:rPr>
                <w:rFonts w:eastAsia="Times New Roman"/>
                <w:snapToGrid w:val="0"/>
                <w:kern w:val="16"/>
                <w:sz w:val="20"/>
                <w:szCs w:val="20"/>
              </w:rPr>
              <w:t>0</w:t>
            </w:r>
          </w:p>
        </w:tc>
        <w:tc>
          <w:tcPr>
            <w:tcW w:w="1275" w:type="dxa"/>
            <w:hideMark/>
          </w:tcPr>
          <w:p w:rsidR="00720B5E" w:rsidRPr="00A6756D" w:rsidRDefault="00720B5E" w:rsidP="00A6756D">
            <w:pPr>
              <w:rPr>
                <w:rFonts w:eastAsia="Times New Roman"/>
                <w:snapToGrid w:val="0"/>
                <w:kern w:val="16"/>
                <w:sz w:val="20"/>
                <w:szCs w:val="20"/>
                <w:lang w:eastAsia="en-US"/>
              </w:rPr>
            </w:pPr>
            <w:r w:rsidRPr="00A6756D">
              <w:rPr>
                <w:rFonts w:eastAsia="Times New Roman"/>
                <w:snapToGrid w:val="0"/>
                <w:kern w:val="16"/>
                <w:sz w:val="20"/>
                <w:szCs w:val="20"/>
              </w:rPr>
              <w:t>0</w:t>
            </w:r>
          </w:p>
        </w:tc>
        <w:tc>
          <w:tcPr>
            <w:tcW w:w="1276" w:type="dxa"/>
            <w:hideMark/>
          </w:tcPr>
          <w:p w:rsidR="00720B5E" w:rsidRPr="00A6756D" w:rsidRDefault="00720B5E" w:rsidP="00A6756D">
            <w:pPr>
              <w:rPr>
                <w:rFonts w:eastAsia="Times New Roman"/>
                <w:snapToGrid w:val="0"/>
                <w:kern w:val="16"/>
                <w:sz w:val="20"/>
                <w:szCs w:val="20"/>
                <w:lang w:eastAsia="en-US"/>
              </w:rPr>
            </w:pPr>
            <w:r w:rsidRPr="00A6756D">
              <w:rPr>
                <w:rFonts w:eastAsia="Times New Roman"/>
                <w:snapToGrid w:val="0"/>
                <w:kern w:val="16"/>
                <w:sz w:val="20"/>
                <w:szCs w:val="20"/>
              </w:rPr>
              <w:t>2</w:t>
            </w:r>
          </w:p>
        </w:tc>
      </w:tr>
      <w:tr w:rsidR="00720B5E" w:rsidTr="00A6756D">
        <w:tc>
          <w:tcPr>
            <w:tcW w:w="3369" w:type="dxa"/>
            <w:hideMark/>
          </w:tcPr>
          <w:p w:rsidR="00720B5E" w:rsidRPr="00A6756D" w:rsidRDefault="00720B5E" w:rsidP="00A6756D">
            <w:pPr>
              <w:rPr>
                <w:rFonts w:eastAsia="Times New Roman"/>
                <w:snapToGrid w:val="0"/>
                <w:kern w:val="16"/>
                <w:sz w:val="20"/>
                <w:szCs w:val="20"/>
                <w:lang w:eastAsia="en-US"/>
              </w:rPr>
            </w:pPr>
            <w:r w:rsidRPr="00A6756D">
              <w:rPr>
                <w:rFonts w:eastAsia="Times New Roman"/>
                <w:snapToGrid w:val="0"/>
                <w:kern w:val="16"/>
                <w:sz w:val="20"/>
                <w:szCs w:val="20"/>
              </w:rPr>
              <w:t>Pregnancy loss (and percentage)</w:t>
            </w:r>
          </w:p>
        </w:tc>
        <w:tc>
          <w:tcPr>
            <w:tcW w:w="1499" w:type="dxa"/>
            <w:hideMark/>
          </w:tcPr>
          <w:p w:rsidR="00720B5E" w:rsidRPr="00A6756D" w:rsidRDefault="00720B5E" w:rsidP="00A6756D">
            <w:pPr>
              <w:rPr>
                <w:rFonts w:eastAsia="Times New Roman"/>
                <w:snapToGrid w:val="0"/>
                <w:kern w:val="16"/>
                <w:sz w:val="20"/>
                <w:szCs w:val="20"/>
                <w:lang w:eastAsia="en-US"/>
              </w:rPr>
            </w:pPr>
            <w:r w:rsidRPr="00A6756D">
              <w:rPr>
                <w:rFonts w:eastAsia="Times New Roman"/>
                <w:snapToGrid w:val="0"/>
                <w:kern w:val="16"/>
                <w:sz w:val="20"/>
                <w:szCs w:val="20"/>
              </w:rPr>
              <w:t>5/12 (41.7%)</w:t>
            </w:r>
          </w:p>
        </w:tc>
        <w:tc>
          <w:tcPr>
            <w:tcW w:w="1336" w:type="dxa"/>
            <w:hideMark/>
          </w:tcPr>
          <w:p w:rsidR="00720B5E" w:rsidRPr="00A6756D" w:rsidRDefault="00720B5E" w:rsidP="00A6756D">
            <w:pPr>
              <w:rPr>
                <w:rFonts w:eastAsia="Times New Roman"/>
                <w:snapToGrid w:val="0"/>
                <w:kern w:val="16"/>
                <w:sz w:val="20"/>
                <w:szCs w:val="20"/>
                <w:lang w:eastAsia="en-US"/>
              </w:rPr>
            </w:pPr>
            <w:r w:rsidRPr="00A6756D">
              <w:rPr>
                <w:rFonts w:eastAsia="Times New Roman"/>
                <w:snapToGrid w:val="0"/>
                <w:kern w:val="16"/>
                <w:sz w:val="20"/>
                <w:szCs w:val="20"/>
              </w:rPr>
              <w:t>4/12 (33.3%)</w:t>
            </w:r>
          </w:p>
        </w:tc>
        <w:tc>
          <w:tcPr>
            <w:tcW w:w="1275" w:type="dxa"/>
            <w:hideMark/>
          </w:tcPr>
          <w:p w:rsidR="00720B5E" w:rsidRPr="00A6756D" w:rsidRDefault="00720B5E" w:rsidP="00A6756D">
            <w:pPr>
              <w:rPr>
                <w:rFonts w:eastAsia="Times New Roman"/>
                <w:snapToGrid w:val="0"/>
                <w:kern w:val="16"/>
                <w:sz w:val="20"/>
                <w:szCs w:val="20"/>
                <w:lang w:eastAsia="en-US"/>
              </w:rPr>
            </w:pPr>
            <w:r w:rsidRPr="00A6756D">
              <w:rPr>
                <w:rFonts w:eastAsia="Times New Roman"/>
                <w:snapToGrid w:val="0"/>
                <w:kern w:val="16"/>
                <w:sz w:val="20"/>
                <w:szCs w:val="20"/>
              </w:rPr>
              <w:t>6/12 (50%)</w:t>
            </w:r>
          </w:p>
        </w:tc>
        <w:tc>
          <w:tcPr>
            <w:tcW w:w="1276" w:type="dxa"/>
            <w:hideMark/>
          </w:tcPr>
          <w:p w:rsidR="00720B5E" w:rsidRPr="00A6756D" w:rsidRDefault="00720B5E" w:rsidP="00A6756D">
            <w:pPr>
              <w:rPr>
                <w:rFonts w:eastAsia="Times New Roman"/>
                <w:snapToGrid w:val="0"/>
                <w:kern w:val="16"/>
                <w:sz w:val="20"/>
                <w:szCs w:val="20"/>
                <w:lang w:eastAsia="en-US"/>
              </w:rPr>
            </w:pPr>
            <w:r w:rsidRPr="00A6756D">
              <w:rPr>
                <w:rFonts w:eastAsia="Times New Roman"/>
                <w:snapToGrid w:val="0"/>
                <w:kern w:val="16"/>
                <w:sz w:val="20"/>
                <w:szCs w:val="20"/>
              </w:rPr>
              <w:t>6/12 (50%)</w:t>
            </w:r>
          </w:p>
        </w:tc>
      </w:tr>
      <w:tr w:rsidR="00720B5E" w:rsidTr="00A6756D">
        <w:tc>
          <w:tcPr>
            <w:tcW w:w="3369" w:type="dxa"/>
            <w:hideMark/>
          </w:tcPr>
          <w:p w:rsidR="00720B5E" w:rsidRPr="00A6756D" w:rsidRDefault="00720B5E" w:rsidP="00A6756D">
            <w:pPr>
              <w:rPr>
                <w:rFonts w:eastAsia="Times New Roman"/>
                <w:snapToGrid w:val="0"/>
                <w:kern w:val="16"/>
                <w:sz w:val="20"/>
                <w:szCs w:val="20"/>
                <w:lang w:eastAsia="en-US"/>
              </w:rPr>
            </w:pPr>
            <w:r w:rsidRPr="00A6756D">
              <w:rPr>
                <w:rFonts w:eastAsia="Times New Roman"/>
                <w:snapToGrid w:val="0"/>
                <w:kern w:val="16"/>
                <w:sz w:val="20"/>
                <w:szCs w:val="20"/>
              </w:rPr>
              <w:t>Stillbirth ratio (and percentage)</w:t>
            </w:r>
          </w:p>
        </w:tc>
        <w:tc>
          <w:tcPr>
            <w:tcW w:w="1499" w:type="dxa"/>
            <w:hideMark/>
          </w:tcPr>
          <w:p w:rsidR="00720B5E" w:rsidRPr="00A6756D" w:rsidRDefault="00720B5E" w:rsidP="00A6756D">
            <w:pPr>
              <w:rPr>
                <w:rFonts w:eastAsia="Times New Roman"/>
                <w:snapToGrid w:val="0"/>
                <w:kern w:val="16"/>
                <w:sz w:val="20"/>
                <w:szCs w:val="20"/>
                <w:lang w:eastAsia="en-US"/>
              </w:rPr>
            </w:pPr>
            <w:r w:rsidRPr="00A6756D">
              <w:rPr>
                <w:rFonts w:eastAsia="Times New Roman"/>
                <w:snapToGrid w:val="0"/>
                <w:kern w:val="16"/>
                <w:sz w:val="20"/>
                <w:szCs w:val="20"/>
              </w:rPr>
              <w:t>2/9 (22.2%)</w:t>
            </w:r>
            <w:r w:rsidRPr="00A6756D">
              <w:rPr>
                <w:rFonts w:eastAsia="Times New Roman"/>
                <w:snapToGrid w:val="0"/>
                <w:kern w:val="16"/>
                <w:sz w:val="20"/>
                <w:szCs w:val="20"/>
                <w:vertAlign w:val="superscript"/>
              </w:rPr>
              <w:t>a</w:t>
            </w:r>
          </w:p>
        </w:tc>
        <w:tc>
          <w:tcPr>
            <w:tcW w:w="1336" w:type="dxa"/>
            <w:hideMark/>
          </w:tcPr>
          <w:p w:rsidR="00720B5E" w:rsidRPr="00A6756D" w:rsidRDefault="00720B5E" w:rsidP="00A6756D">
            <w:pPr>
              <w:rPr>
                <w:rFonts w:eastAsia="Times New Roman"/>
                <w:snapToGrid w:val="0"/>
                <w:kern w:val="16"/>
                <w:sz w:val="20"/>
                <w:szCs w:val="20"/>
                <w:lang w:eastAsia="en-US"/>
              </w:rPr>
            </w:pPr>
            <w:r w:rsidRPr="00A6756D">
              <w:rPr>
                <w:rFonts w:eastAsia="Times New Roman"/>
                <w:snapToGrid w:val="0"/>
                <w:kern w:val="16"/>
                <w:sz w:val="20"/>
                <w:szCs w:val="20"/>
              </w:rPr>
              <w:t>1/9 (11.1%)</w:t>
            </w:r>
          </w:p>
        </w:tc>
        <w:tc>
          <w:tcPr>
            <w:tcW w:w="1275" w:type="dxa"/>
            <w:hideMark/>
          </w:tcPr>
          <w:p w:rsidR="00720B5E" w:rsidRPr="00A6756D" w:rsidRDefault="00720B5E" w:rsidP="00A6756D">
            <w:pPr>
              <w:rPr>
                <w:rFonts w:eastAsia="Times New Roman"/>
                <w:snapToGrid w:val="0"/>
                <w:kern w:val="16"/>
                <w:sz w:val="20"/>
                <w:szCs w:val="20"/>
                <w:lang w:eastAsia="en-US"/>
              </w:rPr>
            </w:pPr>
            <w:r w:rsidRPr="00A6756D">
              <w:rPr>
                <w:rFonts w:eastAsia="Times New Roman"/>
                <w:snapToGrid w:val="0"/>
                <w:kern w:val="16"/>
                <w:sz w:val="20"/>
                <w:szCs w:val="20"/>
              </w:rPr>
              <w:t>2/8 (25%)</w:t>
            </w:r>
          </w:p>
        </w:tc>
        <w:tc>
          <w:tcPr>
            <w:tcW w:w="1276" w:type="dxa"/>
            <w:hideMark/>
          </w:tcPr>
          <w:p w:rsidR="00720B5E" w:rsidRPr="00A6756D" w:rsidRDefault="00720B5E" w:rsidP="00A6756D">
            <w:pPr>
              <w:rPr>
                <w:rFonts w:eastAsia="Times New Roman"/>
                <w:snapToGrid w:val="0"/>
                <w:kern w:val="16"/>
                <w:sz w:val="20"/>
                <w:szCs w:val="20"/>
                <w:lang w:eastAsia="en-US"/>
              </w:rPr>
            </w:pPr>
            <w:r w:rsidRPr="00A6756D">
              <w:rPr>
                <w:rFonts w:eastAsia="Times New Roman"/>
                <w:snapToGrid w:val="0"/>
                <w:kern w:val="16"/>
                <w:sz w:val="20"/>
                <w:szCs w:val="20"/>
              </w:rPr>
              <w:t>3/9 (33.3%)</w:t>
            </w:r>
          </w:p>
        </w:tc>
      </w:tr>
      <w:tr w:rsidR="00720B5E" w:rsidTr="00A6756D">
        <w:tc>
          <w:tcPr>
            <w:tcW w:w="3369" w:type="dxa"/>
            <w:hideMark/>
          </w:tcPr>
          <w:p w:rsidR="00720B5E" w:rsidRPr="00A6756D" w:rsidRDefault="00720B5E" w:rsidP="00A6756D">
            <w:pPr>
              <w:rPr>
                <w:rFonts w:eastAsia="Times New Roman"/>
                <w:snapToGrid w:val="0"/>
                <w:kern w:val="16"/>
                <w:sz w:val="20"/>
                <w:szCs w:val="20"/>
                <w:lang w:eastAsia="en-US"/>
              </w:rPr>
            </w:pPr>
            <w:r w:rsidRPr="00A6756D">
              <w:rPr>
                <w:rFonts w:eastAsia="Times New Roman"/>
                <w:snapToGrid w:val="0"/>
                <w:kern w:val="16"/>
                <w:sz w:val="20"/>
                <w:szCs w:val="20"/>
              </w:rPr>
              <w:t>Neonate deaths post birth</w:t>
            </w:r>
          </w:p>
        </w:tc>
        <w:tc>
          <w:tcPr>
            <w:tcW w:w="1499" w:type="dxa"/>
            <w:hideMark/>
          </w:tcPr>
          <w:p w:rsidR="00720B5E" w:rsidRPr="00A6756D" w:rsidRDefault="00720B5E" w:rsidP="00A6756D">
            <w:pPr>
              <w:rPr>
                <w:rFonts w:eastAsia="Times New Roman"/>
                <w:snapToGrid w:val="0"/>
                <w:kern w:val="16"/>
                <w:sz w:val="20"/>
                <w:szCs w:val="20"/>
                <w:lang w:eastAsia="en-US"/>
              </w:rPr>
            </w:pPr>
            <w:r w:rsidRPr="00A6756D">
              <w:rPr>
                <w:rFonts w:eastAsia="Times New Roman"/>
                <w:snapToGrid w:val="0"/>
                <w:kern w:val="16"/>
                <w:sz w:val="20"/>
                <w:szCs w:val="20"/>
              </w:rPr>
              <w:t>1 (14%)</w:t>
            </w:r>
          </w:p>
        </w:tc>
        <w:tc>
          <w:tcPr>
            <w:tcW w:w="1336" w:type="dxa"/>
            <w:hideMark/>
          </w:tcPr>
          <w:p w:rsidR="00720B5E" w:rsidRPr="00A6756D" w:rsidRDefault="00720B5E" w:rsidP="00A6756D">
            <w:pPr>
              <w:rPr>
                <w:rFonts w:eastAsia="Times New Roman"/>
                <w:snapToGrid w:val="0"/>
                <w:kern w:val="16"/>
                <w:sz w:val="20"/>
                <w:szCs w:val="20"/>
                <w:lang w:eastAsia="en-US"/>
              </w:rPr>
            </w:pPr>
            <w:r w:rsidRPr="00A6756D">
              <w:rPr>
                <w:rFonts w:eastAsia="Times New Roman"/>
                <w:snapToGrid w:val="0"/>
                <w:kern w:val="16"/>
                <w:sz w:val="20"/>
                <w:szCs w:val="20"/>
              </w:rPr>
              <w:t>1 (12%)</w:t>
            </w:r>
          </w:p>
        </w:tc>
        <w:tc>
          <w:tcPr>
            <w:tcW w:w="1275" w:type="dxa"/>
            <w:hideMark/>
          </w:tcPr>
          <w:p w:rsidR="00720B5E" w:rsidRPr="00A6756D" w:rsidRDefault="00720B5E" w:rsidP="00A6756D">
            <w:pPr>
              <w:rPr>
                <w:rFonts w:eastAsia="Times New Roman"/>
                <w:snapToGrid w:val="0"/>
                <w:kern w:val="16"/>
                <w:sz w:val="20"/>
                <w:szCs w:val="20"/>
                <w:lang w:eastAsia="en-US"/>
              </w:rPr>
            </w:pPr>
            <w:r w:rsidRPr="00A6756D">
              <w:rPr>
                <w:rFonts w:eastAsia="Times New Roman"/>
                <w:snapToGrid w:val="0"/>
                <w:kern w:val="16"/>
                <w:sz w:val="20"/>
                <w:szCs w:val="20"/>
              </w:rPr>
              <w:t>1 (14%)</w:t>
            </w:r>
          </w:p>
        </w:tc>
        <w:tc>
          <w:tcPr>
            <w:tcW w:w="1276" w:type="dxa"/>
            <w:hideMark/>
          </w:tcPr>
          <w:p w:rsidR="00720B5E" w:rsidRPr="00A6756D" w:rsidRDefault="00720B5E" w:rsidP="00A6756D">
            <w:pPr>
              <w:rPr>
                <w:rFonts w:eastAsia="Times New Roman"/>
                <w:snapToGrid w:val="0"/>
                <w:kern w:val="16"/>
                <w:sz w:val="20"/>
                <w:szCs w:val="20"/>
                <w:lang w:eastAsia="en-US"/>
              </w:rPr>
            </w:pPr>
            <w:r w:rsidRPr="00A6756D">
              <w:rPr>
                <w:rFonts w:eastAsia="Times New Roman"/>
                <w:snapToGrid w:val="0"/>
                <w:kern w:val="16"/>
                <w:sz w:val="20"/>
                <w:szCs w:val="20"/>
              </w:rPr>
              <w:t>2 (33%)</w:t>
            </w:r>
          </w:p>
        </w:tc>
      </w:tr>
      <w:tr w:rsidR="00720B5E" w:rsidTr="00A6756D">
        <w:tc>
          <w:tcPr>
            <w:tcW w:w="3369" w:type="dxa"/>
            <w:hideMark/>
          </w:tcPr>
          <w:p w:rsidR="00720B5E" w:rsidRPr="00A6756D" w:rsidRDefault="00720B5E" w:rsidP="00A6756D">
            <w:pPr>
              <w:rPr>
                <w:rFonts w:eastAsia="Times New Roman"/>
                <w:snapToGrid w:val="0"/>
                <w:kern w:val="16"/>
                <w:sz w:val="20"/>
                <w:szCs w:val="20"/>
                <w:lang w:eastAsia="en-US"/>
              </w:rPr>
            </w:pPr>
            <w:r w:rsidRPr="00A6756D">
              <w:rPr>
                <w:rFonts w:eastAsia="Times New Roman"/>
                <w:snapToGrid w:val="0"/>
                <w:kern w:val="16"/>
                <w:sz w:val="20"/>
                <w:szCs w:val="20"/>
              </w:rPr>
              <w:lastRenderedPageBreak/>
              <w:t>Infants surviving to BD30-32</w:t>
            </w:r>
          </w:p>
        </w:tc>
        <w:tc>
          <w:tcPr>
            <w:tcW w:w="1499" w:type="dxa"/>
            <w:hideMark/>
          </w:tcPr>
          <w:p w:rsidR="00720B5E" w:rsidRPr="00A6756D" w:rsidRDefault="00720B5E" w:rsidP="00A6756D">
            <w:pPr>
              <w:rPr>
                <w:rFonts w:eastAsia="Times New Roman"/>
                <w:snapToGrid w:val="0"/>
                <w:kern w:val="16"/>
                <w:sz w:val="20"/>
                <w:szCs w:val="20"/>
                <w:lang w:eastAsia="en-US"/>
              </w:rPr>
            </w:pPr>
            <w:r w:rsidRPr="00A6756D">
              <w:rPr>
                <w:rFonts w:eastAsia="Times New Roman"/>
                <w:snapToGrid w:val="0"/>
                <w:kern w:val="16"/>
                <w:sz w:val="20"/>
                <w:szCs w:val="20"/>
              </w:rPr>
              <w:t>6</w:t>
            </w:r>
          </w:p>
        </w:tc>
        <w:tc>
          <w:tcPr>
            <w:tcW w:w="1336" w:type="dxa"/>
            <w:hideMark/>
          </w:tcPr>
          <w:p w:rsidR="00720B5E" w:rsidRPr="00A6756D" w:rsidRDefault="00720B5E" w:rsidP="00A6756D">
            <w:pPr>
              <w:rPr>
                <w:rFonts w:eastAsia="Times New Roman"/>
                <w:snapToGrid w:val="0"/>
                <w:kern w:val="16"/>
                <w:sz w:val="20"/>
                <w:szCs w:val="20"/>
                <w:lang w:eastAsia="en-US"/>
              </w:rPr>
            </w:pPr>
            <w:r w:rsidRPr="00A6756D">
              <w:rPr>
                <w:rFonts w:eastAsia="Times New Roman"/>
                <w:snapToGrid w:val="0"/>
                <w:kern w:val="16"/>
                <w:sz w:val="20"/>
                <w:szCs w:val="20"/>
              </w:rPr>
              <w:t>7</w:t>
            </w:r>
          </w:p>
        </w:tc>
        <w:tc>
          <w:tcPr>
            <w:tcW w:w="1275" w:type="dxa"/>
            <w:hideMark/>
          </w:tcPr>
          <w:p w:rsidR="00720B5E" w:rsidRPr="00A6756D" w:rsidRDefault="00720B5E" w:rsidP="00A6756D">
            <w:pPr>
              <w:rPr>
                <w:rFonts w:eastAsia="Times New Roman"/>
                <w:snapToGrid w:val="0"/>
                <w:kern w:val="16"/>
                <w:sz w:val="20"/>
                <w:szCs w:val="20"/>
                <w:lang w:eastAsia="en-US"/>
              </w:rPr>
            </w:pPr>
            <w:r w:rsidRPr="00A6756D">
              <w:rPr>
                <w:rFonts w:eastAsia="Times New Roman"/>
                <w:snapToGrid w:val="0"/>
                <w:kern w:val="16"/>
                <w:sz w:val="20"/>
                <w:szCs w:val="20"/>
              </w:rPr>
              <w:t>5</w:t>
            </w:r>
          </w:p>
        </w:tc>
        <w:tc>
          <w:tcPr>
            <w:tcW w:w="1276" w:type="dxa"/>
            <w:hideMark/>
          </w:tcPr>
          <w:p w:rsidR="00720B5E" w:rsidRPr="00A6756D" w:rsidRDefault="00720B5E" w:rsidP="00A6756D">
            <w:pPr>
              <w:rPr>
                <w:rFonts w:eastAsia="Times New Roman"/>
                <w:snapToGrid w:val="0"/>
                <w:kern w:val="16"/>
                <w:sz w:val="20"/>
                <w:szCs w:val="20"/>
                <w:lang w:eastAsia="en-US"/>
              </w:rPr>
            </w:pPr>
            <w:r w:rsidRPr="00A6756D">
              <w:rPr>
                <w:rFonts w:eastAsia="Times New Roman"/>
                <w:snapToGrid w:val="0"/>
                <w:kern w:val="16"/>
                <w:sz w:val="20"/>
                <w:szCs w:val="20"/>
              </w:rPr>
              <w:t>4</w:t>
            </w:r>
          </w:p>
        </w:tc>
      </w:tr>
    </w:tbl>
    <w:p w:rsidR="00720B5E" w:rsidRDefault="00720B5E" w:rsidP="00720B5E">
      <w:pPr>
        <w:pStyle w:val="Standard"/>
        <w:rPr>
          <w:kern w:val="2"/>
          <w:sz w:val="17"/>
          <w:szCs w:val="17"/>
        </w:rPr>
      </w:pPr>
      <w:r w:rsidRPr="00A6756D">
        <w:rPr>
          <w:kern w:val="2"/>
          <w:sz w:val="17"/>
          <w:szCs w:val="17"/>
          <w:vertAlign w:val="superscript"/>
        </w:rPr>
        <w:t>a</w:t>
      </w:r>
      <w:r>
        <w:rPr>
          <w:kern w:val="2"/>
          <w:sz w:val="17"/>
          <w:szCs w:val="17"/>
        </w:rPr>
        <w:t xml:space="preserve"> = one animal that received emergency C- section due to dystocia and neonate died on </w:t>
      </w:r>
      <w:r w:rsidR="00A6756D">
        <w:rPr>
          <w:kern w:val="2"/>
          <w:sz w:val="17"/>
          <w:szCs w:val="17"/>
        </w:rPr>
        <w:t>D</w:t>
      </w:r>
      <w:r>
        <w:rPr>
          <w:kern w:val="2"/>
          <w:sz w:val="17"/>
          <w:szCs w:val="17"/>
        </w:rPr>
        <w:t>ay 2 after birth was included in stillbirth</w:t>
      </w:r>
    </w:p>
    <w:p w:rsidR="00720B5E" w:rsidRDefault="00720B5E" w:rsidP="00720B5E">
      <w:r>
        <w:t>The study report stated that:</w:t>
      </w:r>
    </w:p>
    <w:p w:rsidR="00720B5E" w:rsidRDefault="00720B5E" w:rsidP="00720B5E">
      <w:pPr>
        <w:pStyle w:val="ListBullet"/>
      </w:pPr>
      <w:proofErr w:type="gramStart"/>
      <w:r>
        <w:t>the</w:t>
      </w:r>
      <w:proofErr w:type="gramEnd"/>
      <w:r>
        <w:t xml:space="preserve"> stillbirth ratios in the treatment groups were ‘comparable’ to the testing facility’s historical control data (13.6%, ranging from 0 to 33.3%)</w:t>
      </w:r>
      <w:r w:rsidR="000A0A15">
        <w:t>;</w:t>
      </w:r>
    </w:p>
    <w:p w:rsidR="00AA6B20" w:rsidRDefault="00720B5E" w:rsidP="00720B5E">
      <w:pPr>
        <w:pStyle w:val="ListBullet"/>
      </w:pPr>
      <w:r>
        <w:t>monkeys were observed in a breech delivery position in 1/2 of the stillborn in the control group and in 2/3 of the stillborn in the 50 mg/kg/week group</w:t>
      </w:r>
      <w:r w:rsidR="000A0A15">
        <w:t>;</w:t>
      </w:r>
    </w:p>
    <w:p w:rsidR="00720B5E" w:rsidRDefault="00720B5E" w:rsidP="00720B5E">
      <w:pPr>
        <w:pStyle w:val="ListBullet"/>
      </w:pPr>
      <w:r>
        <w:t xml:space="preserve">it has been reported that around 66% of </w:t>
      </w:r>
      <w:r w:rsidR="00A6756D">
        <w:rPr>
          <w:snapToGrid w:val="0"/>
        </w:rPr>
        <w:t xml:space="preserve">cynomolgus </w:t>
      </w:r>
      <w:r>
        <w:t>monkeys in a breech position 1</w:t>
      </w:r>
      <w:r w:rsidR="00DD5BCE">
        <w:t> </w:t>
      </w:r>
      <w:r>
        <w:t>day before parturition deliver stillborn neonates (rate is only 1% if the animals are in the correct cephalic position)</w:t>
      </w:r>
      <w:r w:rsidR="000A0A15">
        <w:t>;</w:t>
      </w:r>
      <w:r>
        <w:t xml:space="preserve"> and therefore</w:t>
      </w:r>
    </w:p>
    <w:p w:rsidR="00720B5E" w:rsidRDefault="00720B5E" w:rsidP="00720B5E">
      <w:pPr>
        <w:pStyle w:val="ListBullet"/>
      </w:pPr>
      <w:r>
        <w:t>‘</w:t>
      </w:r>
      <w:proofErr w:type="gramStart"/>
      <w:r>
        <w:t>naturally</w:t>
      </w:r>
      <w:proofErr w:type="gramEnd"/>
      <w:r>
        <w:t xml:space="preserve"> occurring’ breech deliveries are a major cause of stillbirth in </w:t>
      </w:r>
      <w:r w:rsidR="00A6756D">
        <w:rPr>
          <w:snapToGrid w:val="0"/>
        </w:rPr>
        <w:t>cynomolgus</w:t>
      </w:r>
      <w:r>
        <w:t xml:space="preserve"> monkeys.</w:t>
      </w:r>
    </w:p>
    <w:p w:rsidR="00720B5E" w:rsidRDefault="00720B5E" w:rsidP="00720B5E">
      <w:r>
        <w:t>These arguments, as well as the following facts, may suggest the possibility that the higher stillbirth ratio and total pregnancy loss rates observed in the groups given 50 mg/kg/dose sarilumab could be spontaneous:</w:t>
      </w:r>
    </w:p>
    <w:p w:rsidR="00AA6B20" w:rsidRDefault="00720B5E" w:rsidP="00720B5E">
      <w:pPr>
        <w:pStyle w:val="ListBullet"/>
      </w:pPr>
      <w:r>
        <w:t>differences were not statistically significant</w:t>
      </w:r>
      <w:r w:rsidR="000A0A15">
        <w:t>;</w:t>
      </w:r>
    </w:p>
    <w:p w:rsidR="00AA6B20" w:rsidRDefault="00720B5E" w:rsidP="00720B5E">
      <w:pPr>
        <w:pStyle w:val="ListBullet"/>
      </w:pPr>
      <w:r>
        <w:t>the values were within historical control values</w:t>
      </w:r>
      <w:r w:rsidR="000A0A15">
        <w:t>;</w:t>
      </w:r>
      <w:r>
        <w:t xml:space="preserve"> and</w:t>
      </w:r>
    </w:p>
    <w:p w:rsidR="00AA6B20" w:rsidRDefault="00720B5E" w:rsidP="00720B5E">
      <w:pPr>
        <w:pStyle w:val="ListBullet"/>
      </w:pPr>
      <w:proofErr w:type="gramStart"/>
      <w:r>
        <w:t>the</w:t>
      </w:r>
      <w:proofErr w:type="gramEnd"/>
      <w:r>
        <w:t xml:space="preserve"> findings occurred at high systemic exposure margins (</w:t>
      </w:r>
      <w:r w:rsidR="00DD5BCE">
        <w:t xml:space="preserve">≥ </w:t>
      </w:r>
      <w:r>
        <w:t>26 times that anticipated at the maximum human dose).</w:t>
      </w:r>
    </w:p>
    <w:p w:rsidR="00720B5E" w:rsidRDefault="00720B5E" w:rsidP="00720B5E">
      <w:r>
        <w:t>However, the low number of animals in the study does not provide sufficient assurance regarding the validity of the results to inform the conclusion on reproductive safety of sarilumab. The apparent dose response relationship in some of the findings in this study means that the possibility that these findings were actually related to treatment with sarilumab cannot be dismissed. Also, there is no evidence that the 2/3 breech position animals were not somehow related to dysregulation of the IL-6 pathways since they are important for the maintenance of pregnancy (see below). The mechanism behind the trend suggesting embryo-foetal toxicity is unclear. Nonetheless, there is evidence to suggest that impaired IL-6 activity may affect human reproduction:</w:t>
      </w:r>
    </w:p>
    <w:p w:rsidR="00720B5E" w:rsidRDefault="00720B5E" w:rsidP="00720B5E">
      <w:pPr>
        <w:pStyle w:val="ListBullet"/>
      </w:pPr>
      <w:r>
        <w:t xml:space="preserve">Unlike </w:t>
      </w:r>
      <w:r w:rsidRPr="00A6756D">
        <w:t xml:space="preserve">the </w:t>
      </w:r>
      <w:r w:rsidR="00A6756D" w:rsidRPr="00A6756D">
        <w:t>leuk</w:t>
      </w:r>
      <w:r w:rsidR="00F549B4">
        <w:t>a</w:t>
      </w:r>
      <w:r w:rsidR="00A6756D" w:rsidRPr="00A6756D">
        <w:t>emia inhibitory factor</w:t>
      </w:r>
      <w:r w:rsidR="00A6756D">
        <w:rPr>
          <w:rStyle w:val="st1"/>
          <w:rFonts w:ascii="Arial" w:hAnsi="Arial" w:cs="Arial"/>
          <w:color w:val="545454"/>
        </w:rPr>
        <w:t xml:space="preserve"> (</w:t>
      </w:r>
      <w:r>
        <w:t>LIF</w:t>
      </w:r>
      <w:r w:rsidR="00A6756D">
        <w:t>)</w:t>
      </w:r>
      <w:r>
        <w:t xml:space="preserve"> and IL</w:t>
      </w:r>
      <w:r w:rsidR="000A0A15">
        <w:t>-</w:t>
      </w:r>
      <w:r>
        <w:t xml:space="preserve">11 members of the </w:t>
      </w:r>
      <w:r w:rsidR="007A4EEA">
        <w:t>IL-6</w:t>
      </w:r>
      <w:r>
        <w:t xml:space="preserve"> cytokine family, </w:t>
      </w:r>
      <w:r w:rsidR="007A4EEA">
        <w:t>IL-6</w:t>
      </w:r>
      <w:r>
        <w:t xml:space="preserve"> is not essential for successful pregnancy, but is likely to play a modulating role during embryo implantation and placental development.</w:t>
      </w:r>
    </w:p>
    <w:p w:rsidR="00720B5E" w:rsidRDefault="00720B5E" w:rsidP="00720B5E">
      <w:pPr>
        <w:pStyle w:val="ListBullet"/>
      </w:pPr>
      <w:r>
        <w:t xml:space="preserve">Genetic </w:t>
      </w:r>
      <w:r w:rsidR="007A4EEA">
        <w:t>IL-6</w:t>
      </w:r>
      <w:r>
        <w:t xml:space="preserve"> deficiency is linked with elevated fetal resorption and a delay in parturition in mice.</w:t>
      </w:r>
    </w:p>
    <w:p w:rsidR="00720B5E" w:rsidRDefault="00720B5E" w:rsidP="00720B5E">
      <w:pPr>
        <w:pStyle w:val="ListBullet"/>
      </w:pPr>
      <w:r>
        <w:t xml:space="preserve">Increased </w:t>
      </w:r>
      <w:r w:rsidR="007A4EEA">
        <w:t>IL-6</w:t>
      </w:r>
      <w:r>
        <w:t xml:space="preserve"> trans-signalling is associated with unexplained infertility.</w:t>
      </w:r>
    </w:p>
    <w:p w:rsidR="00720B5E" w:rsidRDefault="00720B5E" w:rsidP="00720B5E">
      <w:pPr>
        <w:pStyle w:val="ListBullet"/>
        <w:rPr>
          <w:rFonts w:asciiTheme="minorHAnsi" w:eastAsiaTheme="minorHAnsi" w:hAnsiTheme="minorHAnsi" w:cstheme="minorBidi"/>
        </w:rPr>
      </w:pPr>
      <w:r>
        <w:t xml:space="preserve">Recurrent miscarriage is accompanied by evidence of increased </w:t>
      </w:r>
      <w:r w:rsidR="007A4EEA">
        <w:t>IL-6</w:t>
      </w:r>
      <w:r>
        <w:t xml:space="preserve"> trans-signalling systemically, but reduced </w:t>
      </w:r>
      <w:r w:rsidR="007A4EEA">
        <w:t>IL-6</w:t>
      </w:r>
      <w:r>
        <w:t xml:space="preserve"> expression in the endometrium.</w:t>
      </w:r>
    </w:p>
    <w:p w:rsidR="00720B5E" w:rsidRDefault="00720B5E" w:rsidP="00720B5E">
      <w:pPr>
        <w:pStyle w:val="ListBullet"/>
        <w:rPr>
          <w:rFonts w:eastAsia="Times New Roman"/>
        </w:rPr>
      </w:pPr>
      <w:r>
        <w:t xml:space="preserve">Preterm birth is associated with elevated maternal serum and amniotic fluid </w:t>
      </w:r>
      <w:r w:rsidR="007A4EEA">
        <w:t>IL-6</w:t>
      </w:r>
      <w:r>
        <w:t xml:space="preserve">, and </w:t>
      </w:r>
      <w:r w:rsidR="007A4EEA">
        <w:t>IL-6</w:t>
      </w:r>
      <w:r>
        <w:t xml:space="preserve"> trans-signalling may also be increased.</w:t>
      </w:r>
    </w:p>
    <w:p w:rsidR="00720B5E" w:rsidRDefault="00720B5E" w:rsidP="00720B5E">
      <w:pPr>
        <w:pStyle w:val="ListBullet"/>
      </w:pPr>
      <w:r>
        <w:t xml:space="preserve">In preeclampsia, maternal serum levels of </w:t>
      </w:r>
      <w:r w:rsidR="007A4EEA">
        <w:t>IL-6</w:t>
      </w:r>
      <w:r>
        <w:t xml:space="preserve"> are often increased, whereas placental </w:t>
      </w:r>
      <w:r w:rsidR="007A4EEA">
        <w:t>IL-6</w:t>
      </w:r>
      <w:r>
        <w:t xml:space="preserve"> production appears decreased</w:t>
      </w:r>
      <w:bookmarkStart w:id="65" w:name="_Ref528164612"/>
      <w:r w:rsidR="000A0A15">
        <w:t>;</w:t>
      </w:r>
      <w:r w:rsidR="0092547B">
        <w:rPr>
          <w:rStyle w:val="FootnoteReference"/>
        </w:rPr>
        <w:footnoteReference w:id="7"/>
      </w:r>
      <w:bookmarkEnd w:id="65"/>
      <w:r>
        <w:t xml:space="preserve"> and</w:t>
      </w:r>
    </w:p>
    <w:p w:rsidR="00720B5E" w:rsidRDefault="00720B5E" w:rsidP="00720B5E">
      <w:pPr>
        <w:pStyle w:val="ListBullet"/>
      </w:pPr>
      <w:r>
        <w:lastRenderedPageBreak/>
        <w:t>IL-6 expression appears to be a determinant of uterine receptivity at embryo implantation</w:t>
      </w:r>
      <w:proofErr w:type="gramStart"/>
      <w:r>
        <w:t>.</w:t>
      </w:r>
      <w:r w:rsidR="0092547B">
        <w:rPr>
          <w:rStyle w:val="FootnoteReference"/>
        </w:rPr>
        <w:footnoteReference w:id="8"/>
      </w:r>
      <w:r w:rsidR="000A0A15">
        <w:rPr>
          <w:vertAlign w:val="superscript"/>
        </w:rPr>
        <w:t>,</w:t>
      </w:r>
      <w:r w:rsidR="0092547B">
        <w:rPr>
          <w:rStyle w:val="FootnoteReference"/>
        </w:rPr>
        <w:footnoteReference w:id="9"/>
      </w:r>
      <w:r w:rsidR="000A0A15">
        <w:rPr>
          <w:vertAlign w:val="superscript"/>
        </w:rPr>
        <w:t>,</w:t>
      </w:r>
      <w:proofErr w:type="gramEnd"/>
      <w:r w:rsidR="0092547B">
        <w:rPr>
          <w:rStyle w:val="FootnoteReference"/>
        </w:rPr>
        <w:footnoteReference w:id="10"/>
      </w:r>
    </w:p>
    <w:p w:rsidR="00720B5E" w:rsidRDefault="00720B5E" w:rsidP="00720B5E">
      <w:r>
        <w:t xml:space="preserve">There is a possible contribution of </w:t>
      </w:r>
      <w:r w:rsidR="007A4EEA">
        <w:t>IL-6</w:t>
      </w:r>
      <w:r>
        <w:t xml:space="preserve"> to infertility and miscarriage, with evidence that both elevated and diminished </w:t>
      </w:r>
      <w:r w:rsidR="007A4EEA">
        <w:t>IL-6</w:t>
      </w:r>
      <w:r>
        <w:t xml:space="preserve"> bioavailability due to altered expression of </w:t>
      </w:r>
      <w:r w:rsidR="007A4EEA">
        <w:t>IL-6</w:t>
      </w:r>
      <w:r>
        <w:t xml:space="preserve"> ligand and/or its signalling regulators might contribute to them, perhaps through acting in both stimulating and inhibitory roles in different cell–cell signalling pathways, and presumably depending on the balance of factors, such as IFN and TLR4 ligands.</w:t>
      </w:r>
      <w:r w:rsidR="0092547B" w:rsidRPr="0092547B">
        <w:rPr>
          <w:vertAlign w:val="superscript"/>
        </w:rPr>
        <w:fldChar w:fldCharType="begin"/>
      </w:r>
      <w:r w:rsidR="0092547B" w:rsidRPr="0092547B">
        <w:rPr>
          <w:vertAlign w:val="superscript"/>
        </w:rPr>
        <w:instrText xml:space="preserve"> NOTEREF _Ref528164612 \h </w:instrText>
      </w:r>
      <w:r w:rsidR="0092547B">
        <w:rPr>
          <w:vertAlign w:val="superscript"/>
        </w:rPr>
        <w:instrText xml:space="preserve"> \* MERGEFORMAT </w:instrText>
      </w:r>
      <w:r w:rsidR="0092547B" w:rsidRPr="0092547B">
        <w:rPr>
          <w:vertAlign w:val="superscript"/>
        </w:rPr>
      </w:r>
      <w:r w:rsidR="0092547B" w:rsidRPr="0092547B">
        <w:rPr>
          <w:vertAlign w:val="superscript"/>
        </w:rPr>
        <w:fldChar w:fldCharType="separate"/>
      </w:r>
      <w:r w:rsidR="0033674E">
        <w:rPr>
          <w:vertAlign w:val="superscript"/>
        </w:rPr>
        <w:t>7</w:t>
      </w:r>
      <w:r w:rsidR="0092547B" w:rsidRPr="0092547B">
        <w:rPr>
          <w:vertAlign w:val="superscript"/>
        </w:rPr>
        <w:fldChar w:fldCharType="end"/>
      </w:r>
      <w:r>
        <w:t xml:space="preserve"> A complex relationship between IL-6 pathways and reproduction exists, and therefore the apparent absence of (statistically significant) effects on fertility (in mice with REGN844) and pre/postnatal development (in monkeys, with sarilumab) may not necessarily be reflected in humans. </w:t>
      </w:r>
      <w:r w:rsidRPr="006609CA">
        <w:t>In vitro</w:t>
      </w:r>
      <w:r>
        <w:t xml:space="preserve"> studies indicated that elevated levels of IL-6 impaired implantation</w:t>
      </w:r>
      <w:r w:rsidR="0092547B">
        <w:rPr>
          <w:rStyle w:val="FootnoteReference"/>
        </w:rPr>
        <w:footnoteReference w:id="11"/>
      </w:r>
      <w:r>
        <w:t xml:space="preserve"> and elevated levels were seen in peritoneal fluid of patients with endometriosis</w:t>
      </w:r>
      <w:r w:rsidR="00160672">
        <w:t>,</w:t>
      </w:r>
      <w:r w:rsidR="0092547B">
        <w:rPr>
          <w:rStyle w:val="FootnoteReference"/>
        </w:rPr>
        <w:footnoteReference w:id="12"/>
      </w:r>
      <w:r>
        <w:t xml:space="preserve"> and implicated in impairment of ciliary beat frequency in the human Fallopian tube.</w:t>
      </w:r>
      <w:r w:rsidR="0092547B">
        <w:rPr>
          <w:rStyle w:val="FootnoteReference"/>
        </w:rPr>
        <w:footnoteReference w:id="13"/>
      </w:r>
      <w:r>
        <w:t xml:space="preserve"> In animal studies, elevated IL-6 led to apoptosis of germ cells from rats.</w:t>
      </w:r>
      <w:r w:rsidR="0092547B">
        <w:rPr>
          <w:rStyle w:val="FootnoteReference"/>
        </w:rPr>
        <w:footnoteReference w:id="14"/>
      </w:r>
      <w:r>
        <w:t xml:space="preserve"> There may also be species differences in the complex effects of IL-6 on the reproductive system.</w:t>
      </w:r>
    </w:p>
    <w:p w:rsidR="00AA6B20" w:rsidRDefault="00F549B4" w:rsidP="00720B5E">
      <w:r>
        <w:t>E</w:t>
      </w:r>
      <w:r w:rsidR="00720B5E" w:rsidRPr="00B7063E">
        <w:t xml:space="preserve">ffects </w:t>
      </w:r>
      <w:r>
        <w:t>of s</w:t>
      </w:r>
      <w:r w:rsidRPr="00B7063E">
        <w:t xml:space="preserve">arilumab </w:t>
      </w:r>
      <w:r w:rsidR="00720B5E" w:rsidRPr="00B7063E">
        <w:t>observed in monkeys are reminiscent of those of tocilizumab, another IL-6R inhibitor. Administration of tocilizumab in an embryofetal development study in monkeys caused a dose related (but statistically non-significant) increase in the incidence of abortion or embryo-foetal deaths, at high (</w:t>
      </w:r>
      <w:r w:rsidR="00DD5BCE">
        <w:t xml:space="preserve">≥ </w:t>
      </w:r>
      <w:r w:rsidR="00720B5E" w:rsidRPr="00B7063E">
        <w:t>35) relative exposures. This effect was described in the P</w:t>
      </w:r>
      <w:r w:rsidR="006609CA" w:rsidRPr="00B7063E">
        <w:t>I</w:t>
      </w:r>
      <w:r w:rsidR="00720B5E" w:rsidRPr="00B7063E">
        <w:t xml:space="preserve"> document of tocilizumab and that drug was given a Pregnancy Category</w:t>
      </w:r>
      <w:r w:rsidR="00720B5E">
        <w:t xml:space="preserve"> of C.</w:t>
      </w:r>
    </w:p>
    <w:p w:rsidR="00AA6B20" w:rsidRDefault="00720B5E" w:rsidP="006609CA">
      <w:r>
        <w:t>In summary, the possibility that due to its pharmacological properties sarilumab causes higher stillbirth ratios and pregnancy loss rates cannot be ruled out. Due to the current uncertainty regarding the causal effects of inhibitors of the IL-6R on stillbirths, embryo</w:t>
      </w:r>
      <w:r w:rsidR="006609CA">
        <w:t>-</w:t>
      </w:r>
      <w:r>
        <w:t>fetal deaths, abortion and/or pregnancy loss observed at high doses, it is envisaged that all drugs of this class will receive a Pregnancy Category of C.</w:t>
      </w:r>
      <w:r w:rsidR="00160672" w:rsidRPr="00DD5BCE">
        <w:rPr>
          <w:vertAlign w:val="superscript"/>
        </w:rPr>
        <w:fldChar w:fldCharType="begin"/>
      </w:r>
      <w:r w:rsidR="00160672" w:rsidRPr="00DD5BCE">
        <w:rPr>
          <w:vertAlign w:val="superscript"/>
        </w:rPr>
        <w:instrText xml:space="preserve"> NOTEREF _Ref528145772 \h </w:instrText>
      </w:r>
      <w:r w:rsidR="00160672">
        <w:rPr>
          <w:vertAlign w:val="superscript"/>
        </w:rPr>
        <w:instrText xml:space="preserve"> \* MERGEFORMAT </w:instrText>
      </w:r>
      <w:r w:rsidR="00160672" w:rsidRPr="00DD5BCE">
        <w:rPr>
          <w:vertAlign w:val="superscript"/>
        </w:rPr>
      </w:r>
      <w:r w:rsidR="00160672" w:rsidRPr="00DD5BCE">
        <w:rPr>
          <w:vertAlign w:val="superscript"/>
        </w:rPr>
        <w:fldChar w:fldCharType="separate"/>
      </w:r>
      <w:r w:rsidR="00160672" w:rsidRPr="00DD5BCE">
        <w:rPr>
          <w:vertAlign w:val="superscript"/>
        </w:rPr>
        <w:t>15</w:t>
      </w:r>
      <w:r w:rsidR="00160672" w:rsidRPr="00DD5BCE">
        <w:rPr>
          <w:vertAlign w:val="superscript"/>
        </w:rPr>
        <w:fldChar w:fldCharType="end"/>
      </w:r>
      <w:r>
        <w:t xml:space="preserve"> This category may be reviewed in the future if sufficient clinical evidence or other mechanistic evidence is available.</w:t>
      </w:r>
    </w:p>
    <w:p w:rsidR="00720B5E" w:rsidRDefault="00720B5E" w:rsidP="00E246F9">
      <w:pPr>
        <w:pStyle w:val="Heading5"/>
      </w:pPr>
      <w:r>
        <w:t>Relative exposure</w:t>
      </w:r>
    </w:p>
    <w:p w:rsidR="00325F5F" w:rsidRPr="00325F5F" w:rsidRDefault="00325F5F" w:rsidP="00325F5F">
      <w:r>
        <w:t xml:space="preserve">The </w:t>
      </w:r>
      <w:proofErr w:type="spellStart"/>
      <w:r>
        <w:t>animal</w:t>
      </w:r>
      <w:proofErr w:type="gramStart"/>
      <w:r>
        <w:t>:human</w:t>
      </w:r>
      <w:proofErr w:type="spellEnd"/>
      <w:proofErr w:type="gramEnd"/>
      <w:r>
        <w:t xml:space="preserve"> relative exposure is summarised in Table 6 below.</w:t>
      </w:r>
    </w:p>
    <w:p w:rsidR="00720B5E" w:rsidRDefault="00720B5E" w:rsidP="004A1A01">
      <w:pPr>
        <w:pStyle w:val="TableTitle"/>
        <w:pageBreakBefore/>
      </w:pPr>
      <w:r>
        <w:lastRenderedPageBreak/>
        <w:t xml:space="preserve">Table </w:t>
      </w:r>
      <w:r w:rsidR="006609CA">
        <w:t>6:</w:t>
      </w:r>
      <w:r>
        <w:t xml:space="preserve"> Relative exposure in reproductive toxicity studies</w:t>
      </w:r>
    </w:p>
    <w:tbl>
      <w:tblPr>
        <w:tblStyle w:val="TableTGAblue"/>
        <w:tblW w:w="5000" w:type="pct"/>
        <w:tblLook w:val="01E0" w:firstRow="1" w:lastRow="1" w:firstColumn="1" w:lastColumn="1" w:noHBand="0" w:noVBand="0"/>
      </w:tblPr>
      <w:tblGrid>
        <w:gridCol w:w="1678"/>
        <w:gridCol w:w="1753"/>
        <w:gridCol w:w="1337"/>
        <w:gridCol w:w="1337"/>
        <w:gridCol w:w="1295"/>
        <w:gridCol w:w="1320"/>
      </w:tblGrid>
      <w:tr w:rsidR="00720B5E" w:rsidTr="006609CA">
        <w:trPr>
          <w:cnfStyle w:val="100000000000" w:firstRow="1" w:lastRow="0" w:firstColumn="0" w:lastColumn="0" w:oddVBand="0" w:evenVBand="0" w:oddHBand="0" w:evenHBand="0" w:firstRowFirstColumn="0" w:firstRowLastColumn="0" w:lastRowFirstColumn="0" w:lastRowLastColumn="0"/>
          <w:cantSplit/>
        </w:trPr>
        <w:tc>
          <w:tcPr>
            <w:tcW w:w="880" w:type="pct"/>
            <w:vMerge w:val="restart"/>
            <w:hideMark/>
          </w:tcPr>
          <w:p w:rsidR="00720B5E" w:rsidRPr="006609CA" w:rsidRDefault="00720B5E" w:rsidP="006609CA">
            <w:pPr>
              <w:rPr>
                <w:sz w:val="20"/>
                <w:szCs w:val="20"/>
                <w:lang w:eastAsia="en-US"/>
              </w:rPr>
            </w:pPr>
            <w:r w:rsidRPr="006609CA">
              <w:rPr>
                <w:sz w:val="20"/>
                <w:szCs w:val="20"/>
              </w:rPr>
              <w:t>Study, duration &amp; route</w:t>
            </w:r>
          </w:p>
        </w:tc>
        <w:tc>
          <w:tcPr>
            <w:tcW w:w="878" w:type="pct"/>
            <w:vMerge w:val="restart"/>
            <w:hideMark/>
          </w:tcPr>
          <w:p w:rsidR="00720B5E" w:rsidRPr="006609CA" w:rsidRDefault="00720B5E" w:rsidP="006609CA">
            <w:pPr>
              <w:rPr>
                <w:sz w:val="20"/>
                <w:szCs w:val="20"/>
                <w:lang w:eastAsia="en-US"/>
              </w:rPr>
            </w:pPr>
            <w:r w:rsidRPr="006609CA">
              <w:rPr>
                <w:sz w:val="20"/>
                <w:szCs w:val="20"/>
              </w:rPr>
              <w:t>Dose mg/kg/wee</w:t>
            </w:r>
            <w:r w:rsidR="006609CA">
              <w:rPr>
                <w:sz w:val="20"/>
                <w:szCs w:val="20"/>
              </w:rPr>
              <w:t>k</w:t>
            </w:r>
          </w:p>
        </w:tc>
        <w:tc>
          <w:tcPr>
            <w:tcW w:w="811" w:type="pct"/>
            <w:vMerge w:val="restart"/>
            <w:hideMark/>
          </w:tcPr>
          <w:p w:rsidR="00720B5E" w:rsidRPr="006609CA" w:rsidRDefault="00720B5E" w:rsidP="006609CA">
            <w:pPr>
              <w:rPr>
                <w:sz w:val="20"/>
                <w:szCs w:val="20"/>
                <w:lang w:eastAsia="en-US"/>
              </w:rPr>
            </w:pPr>
            <w:r w:rsidRPr="006609CA">
              <w:rPr>
                <w:sz w:val="20"/>
                <w:szCs w:val="20"/>
              </w:rPr>
              <w:t>AUC</w:t>
            </w:r>
            <w:r w:rsidRPr="006609CA">
              <w:rPr>
                <w:sz w:val="20"/>
                <w:szCs w:val="20"/>
                <w:vertAlign w:val="subscript"/>
              </w:rPr>
              <w:t>0-168h</w:t>
            </w:r>
            <w:r w:rsidRPr="006609CA">
              <w:rPr>
                <w:sz w:val="20"/>
                <w:szCs w:val="20"/>
              </w:rPr>
              <w:t xml:space="preserve"> µ</w:t>
            </w:r>
            <w:proofErr w:type="spellStart"/>
            <w:r w:rsidRPr="006609CA">
              <w:rPr>
                <w:sz w:val="20"/>
                <w:szCs w:val="20"/>
              </w:rPr>
              <w:t>g.h</w:t>
            </w:r>
            <w:proofErr w:type="spellEnd"/>
            <w:r w:rsidRPr="006609CA">
              <w:rPr>
                <w:sz w:val="20"/>
                <w:szCs w:val="20"/>
              </w:rPr>
              <w:t>/mL</w:t>
            </w:r>
          </w:p>
        </w:tc>
        <w:tc>
          <w:tcPr>
            <w:tcW w:w="811" w:type="pct"/>
            <w:vMerge w:val="restart"/>
            <w:hideMark/>
          </w:tcPr>
          <w:p w:rsidR="00720B5E" w:rsidRPr="006609CA" w:rsidRDefault="00720B5E" w:rsidP="006609CA">
            <w:pPr>
              <w:rPr>
                <w:sz w:val="20"/>
                <w:szCs w:val="20"/>
                <w:lang w:eastAsia="en-US"/>
              </w:rPr>
            </w:pPr>
            <w:r w:rsidRPr="006609CA">
              <w:rPr>
                <w:sz w:val="20"/>
                <w:szCs w:val="20"/>
              </w:rPr>
              <w:t>AUC for 2 weeks µ</w:t>
            </w:r>
            <w:proofErr w:type="spellStart"/>
            <w:r w:rsidRPr="006609CA">
              <w:rPr>
                <w:sz w:val="20"/>
                <w:szCs w:val="20"/>
              </w:rPr>
              <w:t>g.h</w:t>
            </w:r>
            <w:proofErr w:type="spellEnd"/>
            <w:r w:rsidRPr="006609CA">
              <w:rPr>
                <w:sz w:val="20"/>
                <w:szCs w:val="20"/>
              </w:rPr>
              <w:t>/mL</w:t>
            </w:r>
          </w:p>
        </w:tc>
        <w:tc>
          <w:tcPr>
            <w:tcW w:w="1620" w:type="pct"/>
            <w:gridSpan w:val="2"/>
            <w:hideMark/>
          </w:tcPr>
          <w:p w:rsidR="00720B5E" w:rsidRPr="006609CA" w:rsidRDefault="00720B5E" w:rsidP="006609CA">
            <w:pPr>
              <w:rPr>
                <w:sz w:val="20"/>
                <w:szCs w:val="20"/>
                <w:lang w:eastAsia="en-US"/>
              </w:rPr>
            </w:pPr>
            <w:r w:rsidRPr="006609CA">
              <w:rPr>
                <w:sz w:val="20"/>
                <w:szCs w:val="20"/>
              </w:rPr>
              <w:t>Exposure ratio</w:t>
            </w:r>
            <w:r w:rsidRPr="006609CA">
              <w:rPr>
                <w:position w:val="-2"/>
                <w:sz w:val="20"/>
                <w:szCs w:val="20"/>
                <w:vertAlign w:val="superscript"/>
              </w:rPr>
              <w:t>#</w:t>
            </w:r>
            <w:r w:rsidRPr="006609CA">
              <w:rPr>
                <w:sz w:val="20"/>
                <w:szCs w:val="20"/>
              </w:rPr>
              <w:t xml:space="preserve"> (over 2 weeks)</w:t>
            </w:r>
          </w:p>
        </w:tc>
      </w:tr>
      <w:tr w:rsidR="00720B5E" w:rsidTr="006609CA">
        <w:trPr>
          <w:cantSplit/>
        </w:trPr>
        <w:tc>
          <w:tcPr>
            <w:tcW w:w="0" w:type="auto"/>
            <w:vMerge/>
            <w:hideMark/>
          </w:tcPr>
          <w:p w:rsidR="00720B5E" w:rsidRPr="006609CA" w:rsidRDefault="00720B5E" w:rsidP="006609CA">
            <w:pPr>
              <w:rPr>
                <w:sz w:val="20"/>
                <w:szCs w:val="20"/>
                <w:lang w:eastAsia="en-US"/>
              </w:rPr>
            </w:pPr>
          </w:p>
        </w:tc>
        <w:tc>
          <w:tcPr>
            <w:tcW w:w="0" w:type="auto"/>
            <w:vMerge/>
            <w:hideMark/>
          </w:tcPr>
          <w:p w:rsidR="00720B5E" w:rsidRPr="006609CA" w:rsidRDefault="00720B5E" w:rsidP="006609CA">
            <w:pPr>
              <w:rPr>
                <w:sz w:val="20"/>
                <w:szCs w:val="20"/>
                <w:lang w:eastAsia="en-US"/>
              </w:rPr>
            </w:pPr>
          </w:p>
        </w:tc>
        <w:tc>
          <w:tcPr>
            <w:tcW w:w="0" w:type="auto"/>
            <w:vMerge/>
            <w:hideMark/>
          </w:tcPr>
          <w:p w:rsidR="00720B5E" w:rsidRPr="006609CA" w:rsidRDefault="00720B5E" w:rsidP="006609CA">
            <w:pPr>
              <w:rPr>
                <w:sz w:val="20"/>
                <w:szCs w:val="20"/>
                <w:lang w:eastAsia="en-US"/>
              </w:rPr>
            </w:pPr>
          </w:p>
        </w:tc>
        <w:tc>
          <w:tcPr>
            <w:tcW w:w="0" w:type="auto"/>
            <w:vMerge/>
            <w:hideMark/>
          </w:tcPr>
          <w:p w:rsidR="00720B5E" w:rsidRPr="006609CA" w:rsidRDefault="00720B5E" w:rsidP="006609CA">
            <w:pPr>
              <w:rPr>
                <w:sz w:val="20"/>
                <w:szCs w:val="20"/>
                <w:lang w:eastAsia="en-US"/>
              </w:rPr>
            </w:pPr>
          </w:p>
        </w:tc>
        <w:tc>
          <w:tcPr>
            <w:tcW w:w="811" w:type="pct"/>
            <w:hideMark/>
          </w:tcPr>
          <w:p w:rsidR="00720B5E" w:rsidRPr="006609CA" w:rsidRDefault="00720B5E" w:rsidP="006609CA">
            <w:pPr>
              <w:rPr>
                <w:sz w:val="20"/>
                <w:szCs w:val="20"/>
                <w:lang w:eastAsia="en-US"/>
              </w:rPr>
            </w:pPr>
            <w:r w:rsidRPr="006609CA">
              <w:rPr>
                <w:sz w:val="20"/>
                <w:szCs w:val="20"/>
              </w:rPr>
              <w:t>Based on AUC</w:t>
            </w:r>
          </w:p>
        </w:tc>
        <w:tc>
          <w:tcPr>
            <w:tcW w:w="809" w:type="pct"/>
            <w:hideMark/>
          </w:tcPr>
          <w:p w:rsidR="00720B5E" w:rsidRPr="006609CA" w:rsidRDefault="00720B5E" w:rsidP="006609CA">
            <w:pPr>
              <w:rPr>
                <w:sz w:val="20"/>
                <w:szCs w:val="20"/>
                <w:lang w:eastAsia="en-US"/>
              </w:rPr>
            </w:pPr>
            <w:r w:rsidRPr="006609CA">
              <w:rPr>
                <w:sz w:val="20"/>
                <w:szCs w:val="20"/>
              </w:rPr>
              <w:t>Based on dose</w:t>
            </w:r>
          </w:p>
        </w:tc>
      </w:tr>
      <w:tr w:rsidR="00720B5E" w:rsidTr="00720B5E">
        <w:trPr>
          <w:trHeight w:val="227"/>
        </w:trPr>
        <w:tc>
          <w:tcPr>
            <w:tcW w:w="880" w:type="pct"/>
            <w:vMerge w:val="restart"/>
            <w:hideMark/>
          </w:tcPr>
          <w:p w:rsidR="00720B5E" w:rsidRPr="006609CA" w:rsidRDefault="00720B5E" w:rsidP="006609CA">
            <w:pPr>
              <w:rPr>
                <w:rFonts w:eastAsia="Times New Roman"/>
                <w:sz w:val="20"/>
                <w:szCs w:val="20"/>
              </w:rPr>
            </w:pPr>
            <w:r w:rsidRPr="006609CA">
              <w:rPr>
                <w:sz w:val="20"/>
                <w:szCs w:val="20"/>
              </w:rPr>
              <w:t>TX-08030</w:t>
            </w:r>
          </w:p>
          <w:p w:rsidR="00720B5E" w:rsidRPr="006609CA" w:rsidRDefault="00720B5E" w:rsidP="006609CA">
            <w:pPr>
              <w:rPr>
                <w:rFonts w:eastAsia="Times New Roman"/>
                <w:color w:val="7030A0"/>
                <w:sz w:val="20"/>
                <w:szCs w:val="20"/>
                <w:lang w:eastAsia="en-US"/>
              </w:rPr>
            </w:pPr>
            <w:r w:rsidRPr="006609CA">
              <w:rPr>
                <w:sz w:val="20"/>
                <w:szCs w:val="20"/>
              </w:rPr>
              <w:t>Pre-/postnatal development (GD20-GD165) IV</w:t>
            </w:r>
          </w:p>
        </w:tc>
        <w:tc>
          <w:tcPr>
            <w:tcW w:w="878" w:type="pct"/>
            <w:hideMark/>
          </w:tcPr>
          <w:p w:rsidR="00720B5E" w:rsidRPr="006609CA" w:rsidRDefault="00720B5E" w:rsidP="006609CA">
            <w:pPr>
              <w:rPr>
                <w:rFonts w:eastAsia="Times New Roman"/>
                <w:sz w:val="20"/>
                <w:szCs w:val="20"/>
                <w:lang w:eastAsia="en-US"/>
              </w:rPr>
            </w:pPr>
            <w:r w:rsidRPr="006609CA">
              <w:rPr>
                <w:sz w:val="20"/>
                <w:szCs w:val="20"/>
              </w:rPr>
              <w:t>5</w:t>
            </w:r>
          </w:p>
        </w:tc>
        <w:tc>
          <w:tcPr>
            <w:tcW w:w="811" w:type="pct"/>
            <w:hideMark/>
          </w:tcPr>
          <w:p w:rsidR="00720B5E" w:rsidRPr="006609CA" w:rsidRDefault="00720B5E" w:rsidP="006609CA">
            <w:pPr>
              <w:rPr>
                <w:rFonts w:eastAsia="Times New Roman"/>
                <w:sz w:val="20"/>
                <w:szCs w:val="20"/>
                <w:lang w:eastAsia="en-US"/>
              </w:rPr>
            </w:pPr>
            <w:r w:rsidRPr="006609CA">
              <w:rPr>
                <w:sz w:val="20"/>
                <w:szCs w:val="20"/>
              </w:rPr>
              <w:t xml:space="preserve">37260 </w:t>
            </w:r>
          </w:p>
        </w:tc>
        <w:tc>
          <w:tcPr>
            <w:tcW w:w="811" w:type="pct"/>
            <w:hideMark/>
          </w:tcPr>
          <w:p w:rsidR="00720B5E" w:rsidRPr="006609CA" w:rsidRDefault="00720B5E" w:rsidP="006609CA">
            <w:pPr>
              <w:rPr>
                <w:rFonts w:eastAsia="Times New Roman"/>
                <w:sz w:val="20"/>
                <w:szCs w:val="20"/>
                <w:lang w:eastAsia="en-US"/>
              </w:rPr>
            </w:pPr>
            <w:r w:rsidRPr="006609CA">
              <w:rPr>
                <w:sz w:val="20"/>
                <w:szCs w:val="20"/>
              </w:rPr>
              <w:t>74520</w:t>
            </w:r>
          </w:p>
        </w:tc>
        <w:tc>
          <w:tcPr>
            <w:tcW w:w="811" w:type="pct"/>
            <w:hideMark/>
          </w:tcPr>
          <w:p w:rsidR="00720B5E" w:rsidRPr="006609CA" w:rsidRDefault="00720B5E" w:rsidP="006609CA">
            <w:pPr>
              <w:rPr>
                <w:rFonts w:eastAsia="Times New Roman"/>
                <w:sz w:val="20"/>
                <w:szCs w:val="20"/>
                <w:lang w:eastAsia="en-US"/>
              </w:rPr>
            </w:pPr>
            <w:r w:rsidRPr="006609CA">
              <w:rPr>
                <w:sz w:val="20"/>
                <w:szCs w:val="20"/>
              </w:rPr>
              <w:t>8</w:t>
            </w:r>
          </w:p>
        </w:tc>
        <w:tc>
          <w:tcPr>
            <w:tcW w:w="809" w:type="pct"/>
            <w:hideMark/>
          </w:tcPr>
          <w:p w:rsidR="00720B5E" w:rsidRPr="006609CA" w:rsidRDefault="00720B5E" w:rsidP="006609CA">
            <w:pPr>
              <w:rPr>
                <w:rFonts w:eastAsia="Times New Roman"/>
                <w:sz w:val="20"/>
                <w:szCs w:val="20"/>
                <w:lang w:eastAsia="en-US"/>
              </w:rPr>
            </w:pPr>
            <w:r w:rsidRPr="006609CA">
              <w:rPr>
                <w:sz w:val="20"/>
                <w:szCs w:val="20"/>
              </w:rPr>
              <w:t>2.5</w:t>
            </w:r>
          </w:p>
        </w:tc>
      </w:tr>
      <w:tr w:rsidR="00720B5E" w:rsidTr="00720B5E">
        <w:trPr>
          <w:trHeight w:val="227"/>
        </w:trPr>
        <w:tc>
          <w:tcPr>
            <w:tcW w:w="0" w:type="auto"/>
            <w:vMerge/>
            <w:hideMark/>
          </w:tcPr>
          <w:p w:rsidR="00720B5E" w:rsidRPr="006609CA" w:rsidRDefault="00720B5E" w:rsidP="006609CA">
            <w:pPr>
              <w:rPr>
                <w:rFonts w:eastAsia="Times New Roman"/>
                <w:color w:val="7030A0"/>
                <w:sz w:val="20"/>
                <w:szCs w:val="20"/>
                <w:lang w:eastAsia="en-US"/>
              </w:rPr>
            </w:pPr>
          </w:p>
        </w:tc>
        <w:tc>
          <w:tcPr>
            <w:tcW w:w="878" w:type="pct"/>
            <w:hideMark/>
          </w:tcPr>
          <w:p w:rsidR="00720B5E" w:rsidRPr="006609CA" w:rsidRDefault="00720B5E" w:rsidP="006609CA">
            <w:pPr>
              <w:rPr>
                <w:rFonts w:eastAsia="Times New Roman"/>
                <w:sz w:val="20"/>
                <w:szCs w:val="20"/>
                <w:lang w:eastAsia="en-US"/>
              </w:rPr>
            </w:pPr>
            <w:r w:rsidRPr="006609CA">
              <w:rPr>
                <w:sz w:val="20"/>
                <w:szCs w:val="20"/>
              </w:rPr>
              <w:t>15</w:t>
            </w:r>
          </w:p>
        </w:tc>
        <w:tc>
          <w:tcPr>
            <w:tcW w:w="811" w:type="pct"/>
            <w:hideMark/>
          </w:tcPr>
          <w:p w:rsidR="00720B5E" w:rsidRPr="006609CA" w:rsidRDefault="00720B5E" w:rsidP="006609CA">
            <w:pPr>
              <w:rPr>
                <w:rFonts w:eastAsia="Times New Roman"/>
                <w:sz w:val="20"/>
                <w:szCs w:val="20"/>
                <w:lang w:eastAsia="en-US"/>
              </w:rPr>
            </w:pPr>
            <w:r w:rsidRPr="006609CA">
              <w:rPr>
                <w:sz w:val="20"/>
                <w:szCs w:val="20"/>
              </w:rPr>
              <w:t xml:space="preserve">124845 </w:t>
            </w:r>
          </w:p>
        </w:tc>
        <w:tc>
          <w:tcPr>
            <w:tcW w:w="811" w:type="pct"/>
            <w:hideMark/>
          </w:tcPr>
          <w:p w:rsidR="00720B5E" w:rsidRPr="006609CA" w:rsidRDefault="00720B5E" w:rsidP="006609CA">
            <w:pPr>
              <w:rPr>
                <w:rFonts w:eastAsia="Times New Roman"/>
                <w:sz w:val="20"/>
                <w:szCs w:val="20"/>
                <w:lang w:eastAsia="en-US"/>
              </w:rPr>
            </w:pPr>
            <w:r w:rsidRPr="006609CA">
              <w:rPr>
                <w:sz w:val="20"/>
                <w:szCs w:val="20"/>
              </w:rPr>
              <w:t>249690</w:t>
            </w:r>
          </w:p>
        </w:tc>
        <w:tc>
          <w:tcPr>
            <w:tcW w:w="811" w:type="pct"/>
            <w:hideMark/>
          </w:tcPr>
          <w:p w:rsidR="00720B5E" w:rsidRPr="006609CA" w:rsidRDefault="00720B5E" w:rsidP="006609CA">
            <w:pPr>
              <w:rPr>
                <w:rFonts w:eastAsia="Times New Roman"/>
                <w:sz w:val="20"/>
                <w:szCs w:val="20"/>
                <w:lang w:eastAsia="en-US"/>
              </w:rPr>
            </w:pPr>
            <w:r w:rsidRPr="006609CA">
              <w:rPr>
                <w:sz w:val="20"/>
                <w:szCs w:val="20"/>
              </w:rPr>
              <w:t>26</w:t>
            </w:r>
          </w:p>
        </w:tc>
        <w:tc>
          <w:tcPr>
            <w:tcW w:w="809" w:type="pct"/>
            <w:hideMark/>
          </w:tcPr>
          <w:p w:rsidR="00720B5E" w:rsidRPr="006609CA" w:rsidRDefault="00720B5E" w:rsidP="006609CA">
            <w:pPr>
              <w:rPr>
                <w:rFonts w:eastAsia="Times New Roman"/>
                <w:sz w:val="20"/>
                <w:szCs w:val="20"/>
                <w:lang w:eastAsia="en-US"/>
              </w:rPr>
            </w:pPr>
            <w:r w:rsidRPr="006609CA">
              <w:rPr>
                <w:sz w:val="20"/>
                <w:szCs w:val="20"/>
              </w:rPr>
              <w:t>7.5</w:t>
            </w:r>
          </w:p>
        </w:tc>
      </w:tr>
      <w:tr w:rsidR="00720B5E" w:rsidTr="00720B5E">
        <w:trPr>
          <w:trHeight w:val="227"/>
        </w:trPr>
        <w:tc>
          <w:tcPr>
            <w:tcW w:w="0" w:type="auto"/>
            <w:vMerge/>
            <w:hideMark/>
          </w:tcPr>
          <w:p w:rsidR="00720B5E" w:rsidRPr="006609CA" w:rsidRDefault="00720B5E" w:rsidP="006609CA">
            <w:pPr>
              <w:rPr>
                <w:rFonts w:eastAsia="Times New Roman"/>
                <w:color w:val="7030A0"/>
                <w:sz w:val="20"/>
                <w:szCs w:val="20"/>
                <w:lang w:eastAsia="en-US"/>
              </w:rPr>
            </w:pPr>
          </w:p>
        </w:tc>
        <w:tc>
          <w:tcPr>
            <w:tcW w:w="878" w:type="pct"/>
            <w:hideMark/>
          </w:tcPr>
          <w:p w:rsidR="00720B5E" w:rsidRPr="006609CA" w:rsidRDefault="00720B5E" w:rsidP="006609CA">
            <w:pPr>
              <w:rPr>
                <w:rFonts w:eastAsia="Times New Roman"/>
                <w:sz w:val="20"/>
                <w:szCs w:val="20"/>
                <w:lang w:eastAsia="en-US"/>
              </w:rPr>
            </w:pPr>
            <w:r w:rsidRPr="006609CA">
              <w:rPr>
                <w:sz w:val="20"/>
                <w:szCs w:val="20"/>
              </w:rPr>
              <w:t>50</w:t>
            </w:r>
          </w:p>
        </w:tc>
        <w:tc>
          <w:tcPr>
            <w:tcW w:w="811" w:type="pct"/>
            <w:hideMark/>
          </w:tcPr>
          <w:p w:rsidR="00720B5E" w:rsidRPr="006609CA" w:rsidRDefault="00720B5E" w:rsidP="006609CA">
            <w:pPr>
              <w:rPr>
                <w:rFonts w:eastAsia="Times New Roman"/>
                <w:sz w:val="20"/>
                <w:szCs w:val="20"/>
                <w:lang w:eastAsia="en-US"/>
              </w:rPr>
            </w:pPr>
            <w:r w:rsidRPr="006609CA">
              <w:rPr>
                <w:sz w:val="20"/>
                <w:szCs w:val="20"/>
              </w:rPr>
              <w:t xml:space="preserve">396455 </w:t>
            </w:r>
          </w:p>
        </w:tc>
        <w:tc>
          <w:tcPr>
            <w:tcW w:w="811" w:type="pct"/>
            <w:hideMark/>
          </w:tcPr>
          <w:p w:rsidR="00720B5E" w:rsidRPr="006609CA" w:rsidRDefault="00720B5E" w:rsidP="006609CA">
            <w:pPr>
              <w:rPr>
                <w:rFonts w:eastAsia="Times New Roman"/>
                <w:sz w:val="20"/>
                <w:szCs w:val="20"/>
                <w:lang w:eastAsia="en-US"/>
              </w:rPr>
            </w:pPr>
            <w:r w:rsidRPr="006609CA">
              <w:rPr>
                <w:sz w:val="20"/>
                <w:szCs w:val="20"/>
              </w:rPr>
              <w:t>792910</w:t>
            </w:r>
          </w:p>
        </w:tc>
        <w:tc>
          <w:tcPr>
            <w:tcW w:w="811" w:type="pct"/>
            <w:hideMark/>
          </w:tcPr>
          <w:p w:rsidR="00720B5E" w:rsidRPr="006609CA" w:rsidRDefault="00720B5E" w:rsidP="006609CA">
            <w:pPr>
              <w:rPr>
                <w:rFonts w:eastAsia="Times New Roman"/>
                <w:sz w:val="20"/>
                <w:szCs w:val="20"/>
                <w:lang w:eastAsia="en-US"/>
              </w:rPr>
            </w:pPr>
            <w:r w:rsidRPr="006609CA">
              <w:rPr>
                <w:sz w:val="20"/>
                <w:szCs w:val="20"/>
              </w:rPr>
              <w:t>84</w:t>
            </w:r>
          </w:p>
        </w:tc>
        <w:tc>
          <w:tcPr>
            <w:tcW w:w="809" w:type="pct"/>
            <w:hideMark/>
          </w:tcPr>
          <w:p w:rsidR="00720B5E" w:rsidRPr="006609CA" w:rsidRDefault="00720B5E" w:rsidP="006609CA">
            <w:pPr>
              <w:rPr>
                <w:rFonts w:eastAsia="Times New Roman"/>
                <w:sz w:val="20"/>
                <w:szCs w:val="20"/>
                <w:lang w:eastAsia="en-US"/>
              </w:rPr>
            </w:pPr>
            <w:r w:rsidRPr="006609CA">
              <w:rPr>
                <w:sz w:val="20"/>
                <w:szCs w:val="20"/>
              </w:rPr>
              <w:t>25</w:t>
            </w:r>
          </w:p>
        </w:tc>
      </w:tr>
      <w:tr w:rsidR="00720B5E" w:rsidTr="00720B5E">
        <w:trPr>
          <w:trHeight w:val="227"/>
        </w:trPr>
        <w:tc>
          <w:tcPr>
            <w:tcW w:w="880" w:type="pct"/>
            <w:hideMark/>
          </w:tcPr>
          <w:p w:rsidR="00720B5E" w:rsidRPr="006609CA" w:rsidRDefault="00720B5E" w:rsidP="006609CA">
            <w:pPr>
              <w:rPr>
                <w:rFonts w:eastAsia="Times New Roman"/>
                <w:sz w:val="20"/>
                <w:szCs w:val="20"/>
              </w:rPr>
            </w:pPr>
            <w:r w:rsidRPr="006609CA">
              <w:rPr>
                <w:sz w:val="20"/>
                <w:szCs w:val="20"/>
              </w:rPr>
              <w:t>POH0428; (population PK)</w:t>
            </w:r>
          </w:p>
          <w:p w:rsidR="00720B5E" w:rsidRPr="006609CA" w:rsidRDefault="00720B5E" w:rsidP="006609CA">
            <w:pPr>
              <w:rPr>
                <w:rFonts w:eastAsia="Times New Roman"/>
                <w:sz w:val="20"/>
                <w:szCs w:val="20"/>
                <w:lang w:eastAsia="en-US"/>
              </w:rPr>
            </w:pPr>
            <w:r w:rsidRPr="006609CA">
              <w:rPr>
                <w:sz w:val="20"/>
                <w:szCs w:val="20"/>
              </w:rPr>
              <w:t>Rheumatoid arthritis patients</w:t>
            </w:r>
          </w:p>
        </w:tc>
        <w:tc>
          <w:tcPr>
            <w:tcW w:w="878" w:type="pct"/>
            <w:hideMark/>
          </w:tcPr>
          <w:p w:rsidR="00720B5E" w:rsidRPr="006609CA" w:rsidRDefault="00720B5E" w:rsidP="006609CA">
            <w:pPr>
              <w:rPr>
                <w:rFonts w:eastAsia="Times New Roman"/>
                <w:sz w:val="20"/>
                <w:szCs w:val="20"/>
                <w:lang w:eastAsia="en-US"/>
              </w:rPr>
            </w:pPr>
            <w:r w:rsidRPr="006609CA">
              <w:rPr>
                <w:sz w:val="20"/>
                <w:szCs w:val="20"/>
              </w:rPr>
              <w:t>2</w:t>
            </w:r>
            <w:r w:rsidRPr="006609CA">
              <w:rPr>
                <w:b/>
                <w:sz w:val="20"/>
                <w:szCs w:val="20"/>
                <w:vertAlign w:val="superscript"/>
              </w:rPr>
              <w:t>a</w:t>
            </w:r>
          </w:p>
        </w:tc>
        <w:tc>
          <w:tcPr>
            <w:tcW w:w="811" w:type="pct"/>
            <w:hideMark/>
          </w:tcPr>
          <w:p w:rsidR="00720B5E" w:rsidRPr="006609CA" w:rsidRDefault="00720B5E" w:rsidP="006609CA">
            <w:pPr>
              <w:rPr>
                <w:rFonts w:eastAsia="Times New Roman"/>
                <w:sz w:val="20"/>
                <w:szCs w:val="20"/>
                <w:lang w:eastAsia="en-US"/>
              </w:rPr>
            </w:pPr>
            <w:r w:rsidRPr="006609CA">
              <w:rPr>
                <w:sz w:val="20"/>
                <w:szCs w:val="20"/>
              </w:rPr>
              <w:t>-</w:t>
            </w:r>
          </w:p>
        </w:tc>
        <w:tc>
          <w:tcPr>
            <w:tcW w:w="811" w:type="pct"/>
            <w:hideMark/>
          </w:tcPr>
          <w:p w:rsidR="00720B5E" w:rsidRPr="006609CA" w:rsidRDefault="00720B5E" w:rsidP="006609CA">
            <w:pPr>
              <w:rPr>
                <w:rFonts w:eastAsia="Times New Roman"/>
                <w:sz w:val="20"/>
                <w:szCs w:val="20"/>
                <w:lang w:eastAsia="en-US"/>
              </w:rPr>
            </w:pPr>
            <w:r w:rsidRPr="006609CA">
              <w:rPr>
                <w:sz w:val="20"/>
                <w:szCs w:val="20"/>
              </w:rPr>
              <w:t>9480</w:t>
            </w:r>
            <w:r w:rsidRPr="006609CA">
              <w:rPr>
                <w:b/>
                <w:sz w:val="20"/>
                <w:szCs w:val="20"/>
                <w:vertAlign w:val="superscript"/>
              </w:rPr>
              <w:t>b</w:t>
            </w:r>
          </w:p>
        </w:tc>
        <w:tc>
          <w:tcPr>
            <w:tcW w:w="811" w:type="pct"/>
            <w:hideMark/>
          </w:tcPr>
          <w:p w:rsidR="00720B5E" w:rsidRPr="006609CA" w:rsidRDefault="00720B5E" w:rsidP="006609CA">
            <w:pPr>
              <w:rPr>
                <w:rFonts w:eastAsia="Times New Roman"/>
                <w:sz w:val="20"/>
                <w:szCs w:val="20"/>
                <w:lang w:eastAsia="en-US"/>
              </w:rPr>
            </w:pPr>
            <w:r w:rsidRPr="006609CA">
              <w:rPr>
                <w:sz w:val="20"/>
                <w:szCs w:val="20"/>
              </w:rPr>
              <w:t>-</w:t>
            </w:r>
          </w:p>
        </w:tc>
        <w:tc>
          <w:tcPr>
            <w:tcW w:w="809" w:type="pct"/>
            <w:hideMark/>
          </w:tcPr>
          <w:p w:rsidR="00720B5E" w:rsidRPr="006609CA" w:rsidRDefault="00720B5E" w:rsidP="006609CA">
            <w:pPr>
              <w:rPr>
                <w:rFonts w:eastAsia="Times New Roman"/>
                <w:sz w:val="20"/>
                <w:szCs w:val="20"/>
                <w:lang w:eastAsia="en-US"/>
              </w:rPr>
            </w:pPr>
            <w:r w:rsidRPr="006609CA">
              <w:rPr>
                <w:sz w:val="20"/>
                <w:szCs w:val="20"/>
              </w:rPr>
              <w:t>-</w:t>
            </w:r>
          </w:p>
        </w:tc>
      </w:tr>
    </w:tbl>
    <w:p w:rsidR="00720B5E" w:rsidRDefault="00720B5E" w:rsidP="006609CA">
      <w:pPr>
        <w:pStyle w:val="TableDescription"/>
      </w:pPr>
      <w:r>
        <w:t># = animal:</w:t>
      </w:r>
      <w:r w:rsidR="00F549B4">
        <w:t xml:space="preserve"> </w:t>
      </w:r>
      <w:r>
        <w:t xml:space="preserve">human; </w:t>
      </w:r>
      <w:r w:rsidRPr="00DD5BCE">
        <w:t>a:</w:t>
      </w:r>
      <w:r>
        <w:t xml:space="preserve"> 200 mg every 2 weeks to a 50-kg patient</w:t>
      </w:r>
      <w:r w:rsidRPr="00DD5BCE">
        <w:t>; b: AUC</w:t>
      </w:r>
      <w:r w:rsidRPr="00DD5BCE">
        <w:rPr>
          <w:vertAlign w:val="subscript"/>
        </w:rPr>
        <w:t>0–14 days</w:t>
      </w:r>
      <w:r>
        <w:t xml:space="preserve"> of 395 </w:t>
      </w:r>
      <w:proofErr w:type="spellStart"/>
      <w:r>
        <w:t>mg</w:t>
      </w:r>
      <w:r w:rsidR="00DD5BCE">
        <w:t>.</w:t>
      </w:r>
      <w:r>
        <w:t>day</w:t>
      </w:r>
      <w:proofErr w:type="spellEnd"/>
      <w:r>
        <w:t>/L was multiplied by 24 to convert to µ</w:t>
      </w:r>
      <w:proofErr w:type="spellStart"/>
      <w:r>
        <w:t>g</w:t>
      </w:r>
      <w:r w:rsidR="00DD5BCE">
        <w:t>.</w:t>
      </w:r>
      <w:r>
        <w:t>h</w:t>
      </w:r>
      <w:proofErr w:type="spellEnd"/>
      <w:r>
        <w:t>/mL; - : not applicable</w:t>
      </w:r>
    </w:p>
    <w:p w:rsidR="00720B5E" w:rsidRDefault="00720B5E" w:rsidP="006609CA">
      <w:r>
        <w:t>Exposures in pregnant monkeys were very similar to those in monkeys at the same doses (</w:t>
      </w:r>
      <w:r w:rsidR="00325F5F">
        <w:t>genders</w:t>
      </w:r>
      <w:r>
        <w:t xml:space="preserve"> combined) in the repeat-dose toxicity study (26 weeks IV). The relative exposure ratios achieved in cynomolgus monkeys were high. In cynomolgus monkeys, serum sarilumab concentrations were not affected by neutralising antibodies: only 3/12 females at the LD developed anti-sarilumab antibodies, so all animals remained adequately exposed throughout the study.</w:t>
      </w:r>
    </w:p>
    <w:p w:rsidR="00720B5E" w:rsidRDefault="00720B5E" w:rsidP="00E246F9">
      <w:pPr>
        <w:pStyle w:val="Heading4"/>
        <w:rPr>
          <w:szCs w:val="24"/>
        </w:rPr>
      </w:pPr>
      <w:r>
        <w:t>Pregnancy classification</w:t>
      </w:r>
    </w:p>
    <w:p w:rsidR="00AA6B20" w:rsidRDefault="00720B5E" w:rsidP="00720B5E">
      <w:r>
        <w:t>Placental transfer of sarilumab to the foetus was seen in cynomolgus monkeys</w:t>
      </w:r>
      <w:r w:rsidR="006609CA">
        <w:t xml:space="preserve"> and this is</w:t>
      </w:r>
      <w:r>
        <w:t xml:space="preserve"> consistent with the physiological properties of IgG1 antibodies. Although immunoglobulins can be excreted in milk, excretion </w:t>
      </w:r>
      <w:r w:rsidR="00F549B4">
        <w:t xml:space="preserve">of sarilumab </w:t>
      </w:r>
      <w:r>
        <w:t>in milk was not investigated. It is not certain that infants would be exposed during breast feeding because the protein is likely to be metabolised to smaller peptides before absorption in the gut.</w:t>
      </w:r>
    </w:p>
    <w:p w:rsidR="00AA6B20" w:rsidRDefault="00720B5E" w:rsidP="00720B5E">
      <w:r>
        <w:t xml:space="preserve">The sponsor has proposed </w:t>
      </w:r>
      <w:r w:rsidR="006609CA">
        <w:t>P</w:t>
      </w:r>
      <w:r>
        <w:t>regnancy Category C</w:t>
      </w:r>
      <w:bookmarkStart w:id="66" w:name="_Ref528145772"/>
      <w:r w:rsidR="00160672">
        <w:t>,</w:t>
      </w:r>
      <w:r w:rsidR="006609CA">
        <w:rPr>
          <w:rStyle w:val="FootnoteReference"/>
        </w:rPr>
        <w:footnoteReference w:id="15"/>
      </w:r>
      <w:bookmarkEnd w:id="66"/>
      <w:r>
        <w:t xml:space="preserve"> which is consistent with tocilizumab</w:t>
      </w:r>
      <w:r w:rsidR="00325F5F">
        <w:t xml:space="preserve">; </w:t>
      </w:r>
      <w:r>
        <w:t>another drug of the same class. There were no treatment-related adverse findings in foetuses in the cynomolgus monkey infants. Given the long half- life of sarilumab, consideration needs to be given to the newborn if this drug is administered during pregnancy. Although there was no evidence from the monkey study that gestational exposure had an adverse effect on the infants, animal numbers were low.</w:t>
      </w:r>
    </w:p>
    <w:p w:rsidR="00720B5E" w:rsidRDefault="00720B5E" w:rsidP="00720B5E">
      <w:pPr>
        <w:rPr>
          <w:kern w:val="16"/>
          <w:sz w:val="16"/>
          <w:szCs w:val="16"/>
        </w:rPr>
      </w:pPr>
      <w:r>
        <w:t xml:space="preserve">Since it is likely that owing to its pharmacological effects, sarilumab causes harmful effects on the human fetus or neonate without causing malformations, and in line with the pregnancy category of another drug of the same class displaying similar findings, a </w:t>
      </w:r>
      <w:r w:rsidRPr="006609CA">
        <w:t>Pregnancy Category of C</w:t>
      </w:r>
      <w:r>
        <w:t xml:space="preserve"> is appropriate.</w:t>
      </w:r>
    </w:p>
    <w:p w:rsidR="00AA6B20" w:rsidRDefault="00720B5E" w:rsidP="00E246F9">
      <w:pPr>
        <w:pStyle w:val="Heading4"/>
      </w:pPr>
      <w:r>
        <w:lastRenderedPageBreak/>
        <w:t>Local tolerance</w:t>
      </w:r>
    </w:p>
    <w:p w:rsidR="00AA6B20" w:rsidRDefault="00720B5E" w:rsidP="00720B5E">
      <w:r>
        <w:t>The assessment of local tolerance was incorporated in repeat-dose toxicology studies in cynomolgus monkeys by macroscopic and microscopic evaluation of IV infusion and SC injection sites. No findings related to sarilumab administration were observed following IV infusion. In the 3</w:t>
      </w:r>
      <w:r w:rsidR="006609CA">
        <w:t xml:space="preserve"> </w:t>
      </w:r>
      <w:r>
        <w:t xml:space="preserve">month SC monkey toxicology study, minimal to moderate perivascular mixed inflammatory cell infiltrates were observed in the dermis and/or the </w:t>
      </w:r>
      <w:proofErr w:type="spellStart"/>
      <w:r>
        <w:t>subcutis</w:t>
      </w:r>
      <w:proofErr w:type="spellEnd"/>
      <w:r>
        <w:t xml:space="preserve"> of </w:t>
      </w:r>
      <w:proofErr w:type="spellStart"/>
      <w:r>
        <w:t>sarilumab</w:t>
      </w:r>
      <w:proofErr w:type="spellEnd"/>
      <w:r>
        <w:t>-treated monkeys. The findings, with sarilumab concentrations between 50 and 70 mg/mL, were partially reversible following a 12</w:t>
      </w:r>
      <w:r w:rsidR="006609CA">
        <w:t xml:space="preserve"> </w:t>
      </w:r>
      <w:r>
        <w:t>week recovery period, and the incidence and severity were not dose-dependent.</w:t>
      </w:r>
    </w:p>
    <w:p w:rsidR="00720B5E" w:rsidRDefault="00720B5E" w:rsidP="00720B5E">
      <w:r>
        <w:t xml:space="preserve">These findings most likely represent a local reaction to the SC injection of concentrated protein rather than a specific adverse effect of sarilumab </w:t>
      </w:r>
      <w:r w:rsidR="006609CA">
        <w:t>as such</w:t>
      </w:r>
      <w:r>
        <w:rPr>
          <w:i/>
        </w:rPr>
        <w:t>.</w:t>
      </w:r>
    </w:p>
    <w:p w:rsidR="00AA6B20" w:rsidRDefault="00720B5E" w:rsidP="00720B5E">
      <w:r>
        <w:t xml:space="preserve">In mice, REGN844 caused only a slight increase in the incidence and severity of mixed inflammatory cell infiltrates at the injection site at </w:t>
      </w:r>
      <w:r w:rsidR="00DD5BCE">
        <w:t xml:space="preserve">≥ </w:t>
      </w:r>
      <w:r>
        <w:t>50 mg/kg/week SC. There were no REGN844-related injection site findings at 10 mg/kg/week SC or 25 mg/kg/week IV.</w:t>
      </w:r>
    </w:p>
    <w:p w:rsidR="00720B5E" w:rsidRDefault="00720B5E" w:rsidP="00E246F9">
      <w:pPr>
        <w:pStyle w:val="Heading4"/>
        <w:rPr>
          <w:kern w:val="16"/>
        </w:rPr>
      </w:pPr>
      <w:r>
        <w:t>Paediatric use</w:t>
      </w:r>
    </w:p>
    <w:p w:rsidR="00C9747E" w:rsidRDefault="00720B5E" w:rsidP="00720B5E">
      <w:r>
        <w:t>Sarilumab is not proposed for paediatric use and no specific studies using sarilumab in juvenile animals were submitted. In a study in mice using a murine surrogate of sarilumab (REGN844), administration of up to 200 mg/kg/week SC to 8</w:t>
      </w:r>
      <w:r w:rsidR="00BA7426">
        <w:t xml:space="preserve"> to </w:t>
      </w:r>
      <w:r>
        <w:t>10</w:t>
      </w:r>
      <w:r w:rsidR="00BA7426">
        <w:t xml:space="preserve"> </w:t>
      </w:r>
      <w:r>
        <w:t>week old mice for 4</w:t>
      </w:r>
      <w:r w:rsidR="00DD5BCE">
        <w:t> </w:t>
      </w:r>
      <w:r>
        <w:t xml:space="preserve">weeks did not cause any observable adverse effect. In juvenile mice treated with REGN844 up to 200 mg/kg/week from PND 14 to sexual maturity (for 9 weeks), there were no observable adverse effects apart from reversible effects associated with the injection of proteinaceous material and/or self-trauma secondary to minor inflammation at the injection site. The </w:t>
      </w:r>
      <w:r w:rsidR="00160672">
        <w:t xml:space="preserve">no </w:t>
      </w:r>
      <w:r w:rsidR="006609CA">
        <w:t>observable adverse effect level (</w:t>
      </w:r>
      <w:r>
        <w:t>NOAEL</w:t>
      </w:r>
      <w:r w:rsidR="006609CA">
        <w:t>)</w:t>
      </w:r>
      <w:r>
        <w:t xml:space="preserve"> in both murine studies was therefore 200 mg/kg REGN844/week.</w:t>
      </w:r>
    </w:p>
    <w:p w:rsidR="00AA6B20" w:rsidRDefault="008E7846" w:rsidP="008E7846">
      <w:pPr>
        <w:pStyle w:val="Heading3"/>
      </w:pPr>
      <w:bookmarkStart w:id="67" w:name="_Toc247691515"/>
      <w:bookmarkStart w:id="68" w:name="_Toc314842499"/>
      <w:bookmarkStart w:id="69" w:name="_Toc12272147"/>
      <w:r>
        <w:t>Nonclinical summary</w:t>
      </w:r>
      <w:bookmarkEnd w:id="67"/>
      <w:bookmarkEnd w:id="68"/>
      <w:bookmarkEnd w:id="69"/>
    </w:p>
    <w:p w:rsidR="00AA6B20" w:rsidRDefault="00720B5E" w:rsidP="00F2151A">
      <w:pPr>
        <w:pStyle w:val="ListBullet"/>
      </w:pPr>
      <w:r>
        <w:t>An acceptable package of nonclinical studies was submitted, with pivotal toxicology studies conducted in compliance with GLP regulations and with studies broadly in accordance with relevant guidelines.</w:t>
      </w:r>
    </w:p>
    <w:p w:rsidR="00AA6B20" w:rsidRDefault="00720B5E" w:rsidP="00F2151A">
      <w:pPr>
        <w:pStyle w:val="ListBullet"/>
      </w:pPr>
      <w:r>
        <w:t>Sarilumab (and its murine surrogate) blocked the interaction of IL-6Rα with IL-6, and therefore blocked IL-6-induced receptor signalling. The sarilumab K</w:t>
      </w:r>
      <w:r>
        <w:rPr>
          <w:vertAlign w:val="subscript"/>
        </w:rPr>
        <w:t>D</w:t>
      </w:r>
      <w:r>
        <w:t xml:space="preserve"> for human and monkey IL-6Rα was 54 and 123 </w:t>
      </w:r>
      <w:proofErr w:type="spellStart"/>
      <w:r>
        <w:t>pM</w:t>
      </w:r>
      <w:proofErr w:type="spellEnd"/>
      <w:r>
        <w:t xml:space="preserve"> respectively, whereas the dissociation constant of REGN844 (a mouse surrogate IL-6Rα antibody created to support studies in wild type (WT) mice since sarilumab does not bind to mouse IL-6Rα) for mouse IL-6Rα was 193pM.</w:t>
      </w:r>
    </w:p>
    <w:p w:rsidR="00720B5E" w:rsidRDefault="00720B5E" w:rsidP="00F2151A">
      <w:pPr>
        <w:pStyle w:val="ListBullet"/>
      </w:pPr>
      <w:r>
        <w:t>Sarilumab blocked IL-6 dependent activities by blocking membrane bound and soluble IL-6Rα, and did not have any Fc effector function as assessed with ADCC and CDC assays.</w:t>
      </w:r>
    </w:p>
    <w:p w:rsidR="00720B5E" w:rsidRDefault="00720B5E" w:rsidP="00F2151A">
      <w:pPr>
        <w:pStyle w:val="ListBullet"/>
      </w:pPr>
      <w:r>
        <w:t>Sarilumab (in IL-6/IL-6Rα humanised mice) and REGN844 (in wild type mice) inhibited the elevation of an inflammation biomarker (turpentine-induced elevation of SAA). REGN844 mitigated inflammation and bone erosion in WT mice with (collagen-induced) arthritis. No monkey models of inflammation were evaluated. Increased concentrations of IL-6 were observed in mice and monkeys, supporting the argument that circulating IL-6 cannot bind the receptors since they are blocked by the antibody. REGN844 inhibited the binding</w:t>
      </w:r>
      <w:r w:rsidR="006609CA">
        <w:t xml:space="preserve"> of human IL-6 to mouse IL-6Rα (</w:t>
      </w:r>
      <w:r>
        <w:t xml:space="preserve">IC50: 4 </w:t>
      </w:r>
      <w:proofErr w:type="spellStart"/>
      <w:r>
        <w:t>nM</w:t>
      </w:r>
      <w:proofErr w:type="spellEnd"/>
      <w:r>
        <w:t xml:space="preserve">) and the (IL-6 induced) proliferation of a mouse B cell hybridoma cell line (IC50: 110 </w:t>
      </w:r>
      <w:proofErr w:type="spellStart"/>
      <w:r>
        <w:t>pM</w:t>
      </w:r>
      <w:proofErr w:type="spellEnd"/>
      <w:r>
        <w:t>). Sarilumab/sIL-6R complexes were not biologically active. Dissociation of IL-6 and sIL-6R from their preformed complex in vitro due to sarilumab was not investigated.</w:t>
      </w:r>
    </w:p>
    <w:p w:rsidR="00720B5E" w:rsidRDefault="00720B5E" w:rsidP="00F2151A">
      <w:pPr>
        <w:pStyle w:val="ListBullet"/>
      </w:pPr>
      <w:r>
        <w:lastRenderedPageBreak/>
        <w:t>The cynomolgus monkey showed adequate specific cross-reactivity with sarilumab in a panel of normal tissues in tissue binding studies. Based on the binding activity, the cynomolgus monkey was appropriately chosen as the main species for toxicity testing.</w:t>
      </w:r>
    </w:p>
    <w:p w:rsidR="00AA6B20" w:rsidRDefault="00720B5E" w:rsidP="00F2151A">
      <w:pPr>
        <w:pStyle w:val="ListBullet"/>
      </w:pPr>
      <w:r>
        <w:t>Safety pharmacology studies were incorporated with the repeat-dose toxicity studies in monkeys. No adverse effects were seen on neurobehavioral parameters, body temperature, or cardiovascular or respiratory effects (including ECG) in monkeys after repeated dosing for up to 26 weeks.</w:t>
      </w:r>
    </w:p>
    <w:p w:rsidR="00720B5E" w:rsidRDefault="00720B5E" w:rsidP="00F2151A">
      <w:pPr>
        <w:pStyle w:val="ListBullet"/>
      </w:pPr>
      <w:r>
        <w:t>An acceptable range of pivotal toxicity studies with sarilumab was conducted in one species</w:t>
      </w:r>
      <w:r w:rsidR="00E870E6">
        <w:t>,</w:t>
      </w:r>
      <w:r>
        <w:t xml:space="preserve"> the cynomolgus monkey</w:t>
      </w:r>
      <w:r w:rsidR="00E870E6">
        <w:t>,</w:t>
      </w:r>
      <w:r>
        <w:t xml:space="preserve"> which was adequately confirmed as a relevant human model in terms of both pharmacodynamic response to sarilumab and pharmacokinetics. The formulations used in Phase </w:t>
      </w:r>
      <w:r w:rsidR="00E870E6">
        <w:t>I</w:t>
      </w:r>
      <w:r>
        <w:t xml:space="preserve"> clinical trials, with excipient profile similar or identical to that proposed for registration were used for all nonclinical studies. No differences in pharmacokinetics or toxicity were observed in monkeys when </w:t>
      </w:r>
      <w:proofErr w:type="gramStart"/>
      <w:r>
        <w:t>Phase</w:t>
      </w:r>
      <w:proofErr w:type="gramEnd"/>
      <w:r>
        <w:t xml:space="preserve"> </w:t>
      </w:r>
      <w:r w:rsidR="00E870E6">
        <w:t>I</w:t>
      </w:r>
      <w:r>
        <w:t xml:space="preserve"> and </w:t>
      </w:r>
      <w:r w:rsidR="001470FB">
        <w:t>Phase III</w:t>
      </w:r>
      <w:r>
        <w:t xml:space="preserve"> formulations were compared.</w:t>
      </w:r>
    </w:p>
    <w:p w:rsidR="00720B5E" w:rsidRDefault="00720B5E" w:rsidP="00F2151A">
      <w:pPr>
        <w:pStyle w:val="ListBullet"/>
      </w:pPr>
      <w:r>
        <w:t xml:space="preserve">Serum pharmacokinetics after IV administration of sarilumab were adequately characterised in cynomolgus monkeys. After a single IV dose in monkeys, sarilumab showed limited distribution, slow clearance and a long terminal </w:t>
      </w:r>
      <w:r w:rsidR="00160672">
        <w:t>T</w:t>
      </w:r>
      <w:r w:rsidR="00160672" w:rsidRPr="00E870E6">
        <w:rPr>
          <w:vertAlign w:val="subscript"/>
        </w:rPr>
        <w:t>1</w:t>
      </w:r>
      <w:r w:rsidR="00E870E6" w:rsidRPr="00E870E6">
        <w:rPr>
          <w:vertAlign w:val="subscript"/>
        </w:rPr>
        <w:t>/2</w:t>
      </w:r>
      <w:r>
        <w:t xml:space="preserve">. There were no </w:t>
      </w:r>
      <w:r w:rsidR="00E870E6">
        <w:t>gender</w:t>
      </w:r>
      <w:r>
        <w:t xml:space="preserve"> differences. Accumulation with repeated (weekly) dosing was consistent with the drug’s long </w:t>
      </w:r>
      <w:r w:rsidR="00160672">
        <w:t>T</w:t>
      </w:r>
      <w:r w:rsidR="00160672" w:rsidRPr="00E870E6">
        <w:rPr>
          <w:vertAlign w:val="subscript"/>
        </w:rPr>
        <w:t>1</w:t>
      </w:r>
      <w:r w:rsidR="00E870E6" w:rsidRPr="00E870E6">
        <w:rPr>
          <w:vertAlign w:val="subscript"/>
        </w:rPr>
        <w:t>/2</w:t>
      </w:r>
      <w:r>
        <w:t>. Conventional studies of the distribution, metabolism and excretion of sarilumab were not conducted in animals, which is acceptable. There were no non-clinical drug interaction studies. Sarilumab crosses the placenta and is expected to be excreted into milk. Bioavailability after SC dosing was 78% in monkeys after single dosing.</w:t>
      </w:r>
    </w:p>
    <w:p w:rsidR="00AA6B20" w:rsidRDefault="00720B5E" w:rsidP="00F2151A">
      <w:pPr>
        <w:pStyle w:val="ListBullet"/>
      </w:pPr>
      <w:r>
        <w:t>Anti-sarilumab antibodies were observed in most monkeys receiving 0.5 to 2</w:t>
      </w:r>
      <w:r w:rsidR="00160672">
        <w:t> </w:t>
      </w:r>
      <w:r>
        <w:t xml:space="preserve">mg/kg/week, but generally not in animals receiving </w:t>
      </w:r>
      <w:r w:rsidR="00DD5BCE">
        <w:t xml:space="preserve">≥ </w:t>
      </w:r>
      <w:r>
        <w:t xml:space="preserve">15 mg/kg/week. Exposure to sarilumab in monkeys was adequate to ascertain its potential toxicity. The draft </w:t>
      </w:r>
      <w:r w:rsidR="00E870E6">
        <w:t>PI</w:t>
      </w:r>
      <w:r>
        <w:t xml:space="preserve"> notes the presence of anti-sarilumab antibodies responses, including neutralising antibodies, in 7</w:t>
      </w:r>
      <w:r w:rsidR="00BA7426">
        <w:t xml:space="preserve"> to </w:t>
      </w:r>
      <w:r>
        <w:t>9% of patients.</w:t>
      </w:r>
    </w:p>
    <w:p w:rsidR="00720B5E" w:rsidRDefault="00720B5E" w:rsidP="00F2151A">
      <w:pPr>
        <w:pStyle w:val="ListBullet"/>
      </w:pPr>
      <w:bookmarkStart w:id="70" w:name="OLE_LINK21"/>
      <w:bookmarkStart w:id="71" w:name="OLE_LINK20"/>
      <w:r>
        <w:t>There was no indication from the repeat-dose toxicity studies of any target organ toxicity. Even at the highest doses tested in monkeys, sarilumab was well tolerated. In monkeys, the maximum doses used in the SC and IV toxicity studies were up to 25 (based on dose) to 80 (based on AUC) times the exposure in patients. The only effects observed were due to the predictable pharmacological activity of sarilumab as an IL-6Rα inhibitor: moderate and (at least partially) reversible decreases in neutrophil levels, lower primary and secondary IgG responses following an antigen (KLH) challenge, moderate and (at least partially) reversible decreases in serum fibrinogen and serum CRP levels, and reversible increases in circulating IL-6.</w:t>
      </w:r>
    </w:p>
    <w:p w:rsidR="00720B5E" w:rsidRDefault="00720B5E" w:rsidP="00F2151A">
      <w:pPr>
        <w:pStyle w:val="ListBullet"/>
      </w:pPr>
      <w:r>
        <w:t xml:space="preserve">There were no nonclinical studies with sarilumab in combination with other drugs, including </w:t>
      </w:r>
      <w:r w:rsidR="00DD2390">
        <w:t>MTX</w:t>
      </w:r>
      <w:r>
        <w:t>.</w:t>
      </w:r>
    </w:p>
    <w:p w:rsidR="00AA6B20" w:rsidRDefault="00720B5E" w:rsidP="00F2151A">
      <w:pPr>
        <w:pStyle w:val="ListBullet"/>
      </w:pPr>
      <w:r>
        <w:t>The range and type of genotoxicity studies routinely conducted for small molecule pharmaceuticals are not applicable to biotechnology-derived products</w:t>
      </w:r>
      <w:r w:rsidR="00E870E6" w:rsidRPr="00E870E6">
        <w:rPr>
          <w:vertAlign w:val="superscript"/>
        </w:rPr>
        <w:fldChar w:fldCharType="begin"/>
      </w:r>
      <w:r w:rsidR="00E870E6" w:rsidRPr="00E870E6">
        <w:rPr>
          <w:vertAlign w:val="superscript"/>
        </w:rPr>
        <w:instrText xml:space="preserve"> NOTEREF _Ref528066336 \h </w:instrText>
      </w:r>
      <w:r w:rsidR="00E870E6">
        <w:rPr>
          <w:vertAlign w:val="superscript"/>
        </w:rPr>
        <w:instrText xml:space="preserve"> \* MERGEFORMAT </w:instrText>
      </w:r>
      <w:r w:rsidR="00E870E6" w:rsidRPr="00E870E6">
        <w:rPr>
          <w:vertAlign w:val="superscript"/>
        </w:rPr>
      </w:r>
      <w:r w:rsidR="00E870E6" w:rsidRPr="00E870E6">
        <w:rPr>
          <w:vertAlign w:val="superscript"/>
        </w:rPr>
        <w:fldChar w:fldCharType="separate"/>
      </w:r>
      <w:r w:rsidR="0033674E">
        <w:rPr>
          <w:vertAlign w:val="superscript"/>
        </w:rPr>
        <w:t>1</w:t>
      </w:r>
      <w:r w:rsidR="00E870E6" w:rsidRPr="00E870E6">
        <w:rPr>
          <w:vertAlign w:val="superscript"/>
        </w:rPr>
        <w:fldChar w:fldCharType="end"/>
      </w:r>
      <w:r>
        <w:t xml:space="preserve"> and therefore, a full battery of tests was not conducted. It is not expected that a monoclonal antibody such as sarilumab would interact directly with DNA or other chromosomal material.</w:t>
      </w:r>
    </w:p>
    <w:p w:rsidR="00720B5E" w:rsidRDefault="00720B5E" w:rsidP="00F2151A">
      <w:pPr>
        <w:pStyle w:val="ListBullet"/>
      </w:pPr>
      <w:r>
        <w:t xml:space="preserve">Nonclinical studies investigating genotoxicity or carcinogenicity were not conducted with sarilumab. Sarilumab was not pharmacologically active in mice or rats. Sarilumab dose dependently inhibited IL-6-induced proliferation of a human B-cell line, and </w:t>
      </w:r>
      <w:r w:rsidRPr="00E870E6">
        <w:t xml:space="preserve">in vivo it inhibited the growth of human prostate and lung tumour xenografts in </w:t>
      </w:r>
      <w:r>
        <w:t xml:space="preserve">immunocompromised mice. The inhibition of growth in the prostate cancer xenografts was associated with increased cleaved caspase-3 (marker of apoptosis) immunostaining. It is therefore possible that sarilumab treatment may exert an </w:t>
      </w:r>
      <w:r>
        <w:lastRenderedPageBreak/>
        <w:t>inhibitory effect on the growth of some tumours. No preneoplastic lesions were observed in cynomolgus monkeys administered sarilumab for up to 26 weeks. The mechanism of action of sarilumab is not expected to be carcinogenic.</w:t>
      </w:r>
    </w:p>
    <w:p w:rsidR="00AA6B20" w:rsidRDefault="00720B5E" w:rsidP="00F2151A">
      <w:pPr>
        <w:pStyle w:val="ListBullet"/>
      </w:pPr>
      <w:r>
        <w:t>The effects of sarilumab on male or female fertility, including implantation, were not investigated (there was no evidence for adverse histopathology in reproductive tissues assessed in the 26</w:t>
      </w:r>
      <w:r w:rsidR="00E870E6">
        <w:t xml:space="preserve"> </w:t>
      </w:r>
      <w:r>
        <w:t>week repeat dose toxicity studies, although sarilumab cross-reacted with some reproductive tissues</w:t>
      </w:r>
      <w:r w:rsidR="00E870E6">
        <w:t xml:space="preserve"> (</w:t>
      </w:r>
      <w:r>
        <w:t>to cytoplasm and/or cytoplasmic granules</w:t>
      </w:r>
      <w:r w:rsidR="00E870E6">
        <w:t>)</w:t>
      </w:r>
      <w:r>
        <w:t xml:space="preserve"> in tissue cross-reactivity studies). However, no effects on fertility were observed when IL-6Rα block was investigated using the surrogate antibody REGN844 in mice.</w:t>
      </w:r>
    </w:p>
    <w:p w:rsidR="00720B5E" w:rsidRDefault="00720B5E" w:rsidP="00F2151A">
      <w:pPr>
        <w:pStyle w:val="ListBullet"/>
        <w:rPr>
          <w:sz w:val="18"/>
          <w:szCs w:val="18"/>
        </w:rPr>
      </w:pPr>
      <w:r>
        <w:t>A pre/post-natal development study was performed in pregnant cynomolgus monkeys given IV sarilumab at 5, 15 or 50 mg/kg/week from early organogenesis (GD 20) until natural delivery (GD</w:t>
      </w:r>
      <w:r w:rsidR="00BA7426">
        <w:t xml:space="preserve"> </w:t>
      </w:r>
      <w:r>
        <w:t>165). There was evidence that sarilumab induced stillbirths and pregnancy loss in cynomolgus monkeys when administered during the period of organogenesis (</w:t>
      </w:r>
      <w:r w:rsidR="00E870E6">
        <w:t>GD</w:t>
      </w:r>
      <w:r>
        <w:t xml:space="preserve"> an AUC basis). While this finding was inconclusive, it could not be ruled out, and has been noted in the draft PI. Treatment with sarilumab had no effect on in-life maternal parameters and no evidence of teratogenicity at doses up to 50 mg/kg/week IV. No adverse effects were observed in dams or infants (the latter were observed for only 30 days after birth). Sarilumab crossed the placenta (expected for an IgG1 antibody) and remained detectable in infant serum until </w:t>
      </w:r>
      <w:r w:rsidR="00E870E6">
        <w:t>PND</w:t>
      </w:r>
      <w:r>
        <w:t xml:space="preserve"> 30 (last measurement day). Excretion into milk was not investigated.</w:t>
      </w:r>
      <w:bookmarkEnd w:id="70"/>
      <w:bookmarkEnd w:id="71"/>
    </w:p>
    <w:p w:rsidR="00720B5E" w:rsidRDefault="00720B5E" w:rsidP="00F2151A">
      <w:pPr>
        <w:pStyle w:val="ListBullet"/>
        <w:rPr>
          <w:sz w:val="18"/>
          <w:szCs w:val="18"/>
        </w:rPr>
      </w:pPr>
      <w:r>
        <w:t>Studies where REGN844 was administered to juvenile WT mice did not identify particular toxicity related to block of IL-6R in growing animals. Sarilumab is only indicated in adults.</w:t>
      </w:r>
    </w:p>
    <w:p w:rsidR="00720B5E" w:rsidRPr="00624646" w:rsidRDefault="00F2151A" w:rsidP="00624646">
      <w:pPr>
        <w:pStyle w:val="Heading3"/>
      </w:pPr>
      <w:bookmarkStart w:id="72" w:name="_Toc507484929"/>
      <w:bookmarkStart w:id="73" w:name="_Toc295290862"/>
      <w:bookmarkStart w:id="74" w:name="_Toc294861479"/>
      <w:bookmarkStart w:id="75" w:name="_Toc12272148"/>
      <w:r>
        <w:t>Nonclinical conclusions and recommendation</w:t>
      </w:r>
      <w:bookmarkEnd w:id="72"/>
      <w:bookmarkEnd w:id="73"/>
      <w:bookmarkEnd w:id="74"/>
      <w:bookmarkEnd w:id="75"/>
    </w:p>
    <w:p w:rsidR="00720B5E" w:rsidRDefault="00720B5E" w:rsidP="00F2151A">
      <w:pPr>
        <w:pStyle w:val="ListBullet"/>
      </w:pPr>
      <w:r>
        <w:t xml:space="preserve">The pharmacology, pharmacokinetics and toxicology of sarilumab were adequately investigated in the submission using appropriate </w:t>
      </w:r>
      <w:r w:rsidRPr="00E870E6">
        <w:t>in vitro and in vivo</w:t>
      </w:r>
      <w:r>
        <w:t xml:space="preserve"> nonclinical models.</w:t>
      </w:r>
    </w:p>
    <w:p w:rsidR="00720B5E" w:rsidRDefault="00720B5E" w:rsidP="00F2151A">
      <w:pPr>
        <w:pStyle w:val="ListBullet"/>
      </w:pPr>
      <w:r>
        <w:t>The primary pharmacology studies support the drug’s mechanism of action.</w:t>
      </w:r>
    </w:p>
    <w:p w:rsidR="00720B5E" w:rsidRDefault="00720B5E" w:rsidP="00F2151A">
      <w:pPr>
        <w:pStyle w:val="ListBullet"/>
      </w:pPr>
      <w:r>
        <w:t xml:space="preserve">The activity of sarilumab in animal models of </w:t>
      </w:r>
      <w:r w:rsidR="00E870E6">
        <w:t>RA</w:t>
      </w:r>
      <w:r>
        <w:t xml:space="preserve"> was not investigated. Demonstration of efficacy for the proposed indication will therefore rely on clinical data.</w:t>
      </w:r>
    </w:p>
    <w:p w:rsidR="00720B5E" w:rsidRDefault="00720B5E" w:rsidP="00F2151A">
      <w:pPr>
        <w:pStyle w:val="ListBullet"/>
      </w:pPr>
      <w:r>
        <w:t>Haematological effects were the main toxicologically significant findings in cynomolgus monkeys. These were consistent with an exaggerated pharmacological effect arising from IL-6</w:t>
      </w:r>
      <w:r w:rsidR="00E870E6">
        <w:t xml:space="preserve"> receptor</w:t>
      </w:r>
      <w:r>
        <w:t xml:space="preserve"> blockade. These effects were observed at doses significantly greater than the maximum anticipated human dose.</w:t>
      </w:r>
    </w:p>
    <w:p w:rsidR="00720B5E" w:rsidRDefault="00720B5E" w:rsidP="00F2151A">
      <w:pPr>
        <w:pStyle w:val="ListBullet"/>
      </w:pPr>
      <w:r>
        <w:t>No target organs of toxicity were identified. Sarilumab is not considered to pose a genotoxic or carcinogenic hazard and is not teratogenic.</w:t>
      </w:r>
    </w:p>
    <w:p w:rsidR="00720B5E" w:rsidRDefault="00720B5E" w:rsidP="00F2151A">
      <w:pPr>
        <w:pStyle w:val="ListBullet"/>
        <w:rPr>
          <w:sz w:val="18"/>
          <w:szCs w:val="18"/>
        </w:rPr>
      </w:pPr>
      <w:r>
        <w:t xml:space="preserve">Sarilumab should be classified as Pregnancy Category C (as proposed by the </w:t>
      </w:r>
      <w:r w:rsidR="00E870E6">
        <w:t>s</w:t>
      </w:r>
      <w:r>
        <w:t>ponsor), consistent with that of the currently registered IL-6 blocker, tocilizumab.</w:t>
      </w:r>
      <w:r w:rsidR="003E7288">
        <w:t xml:space="preserve"> </w:t>
      </w:r>
      <w:r>
        <w:t xml:space="preserve">A trend for increasing adverse outcomes in monkey pregnancies has been observed for both tocilizumab (abortions and/or embryo-foetal deaths) and sarilumab (stillbirths and pregnancy loss), albeit at high relative exposures for both drugs. Given these findings and the current lack of full understanding of the complexities of </w:t>
      </w:r>
      <w:r w:rsidR="00E870E6">
        <w:t xml:space="preserve">the role of </w:t>
      </w:r>
      <w:r>
        <w:t xml:space="preserve">IL-6 role in pregnancy, a Pregnancy Category C and a statement of the animal pregnancy findings in the </w:t>
      </w:r>
      <w:r w:rsidR="00E870E6">
        <w:t>PI</w:t>
      </w:r>
      <w:r>
        <w:t xml:space="preserve"> is appropriate.</w:t>
      </w:r>
    </w:p>
    <w:p w:rsidR="00720B5E" w:rsidRDefault="00720B5E" w:rsidP="00F2151A">
      <w:pPr>
        <w:pStyle w:val="ListBullet"/>
      </w:pPr>
      <w:r>
        <w:t xml:space="preserve">No nonclinical data were submitted to support the use of sarilumab in combination with </w:t>
      </w:r>
      <w:r w:rsidR="00DD2390">
        <w:t>MTX</w:t>
      </w:r>
      <w:r>
        <w:t xml:space="preserve"> and/or other DMARDs. The safety of the use of sarilumab in combination with DMARDs will therefore rely on clinical data.</w:t>
      </w:r>
    </w:p>
    <w:p w:rsidR="00720B5E" w:rsidRPr="00720B5E" w:rsidRDefault="00720B5E" w:rsidP="00F2151A">
      <w:pPr>
        <w:pStyle w:val="ListBullet"/>
      </w:pPr>
      <w:r>
        <w:lastRenderedPageBreak/>
        <w:t>There are no nonclinical objections to registration.</w:t>
      </w:r>
      <w:r w:rsidR="00BA7426">
        <w:t xml:space="preserve"> </w:t>
      </w:r>
      <w:r w:rsidR="00E870E6">
        <w:t xml:space="preserve">Amendments to the </w:t>
      </w:r>
      <w:r>
        <w:t>draft P</w:t>
      </w:r>
      <w:r w:rsidR="00E870E6">
        <w:t>I were recommende</w:t>
      </w:r>
      <w:r w:rsidR="00F549B4">
        <w:t>d</w:t>
      </w:r>
      <w:r w:rsidR="00E870E6">
        <w:t xml:space="preserve"> but these are beyond the scope of this AusPAR.</w:t>
      </w:r>
    </w:p>
    <w:p w:rsidR="008E7846" w:rsidRPr="00254787" w:rsidRDefault="008E7846" w:rsidP="008E7846">
      <w:pPr>
        <w:pStyle w:val="Heading2"/>
      </w:pPr>
      <w:bookmarkStart w:id="76" w:name="_Toc196046462"/>
      <w:bookmarkStart w:id="77" w:name="_Toc247691516"/>
      <w:bookmarkStart w:id="78" w:name="_Toc314842500"/>
      <w:bookmarkStart w:id="79" w:name="_Toc163441353"/>
      <w:bookmarkStart w:id="80" w:name="_Toc163441348"/>
      <w:bookmarkStart w:id="81" w:name="_Toc12272149"/>
      <w:r>
        <w:t xml:space="preserve">V. </w:t>
      </w:r>
      <w:r w:rsidRPr="00254787">
        <w:t>Clinical</w:t>
      </w:r>
      <w:bookmarkEnd w:id="76"/>
      <w:r>
        <w:t xml:space="preserve"> </w:t>
      </w:r>
      <w:r w:rsidR="003A7F6C">
        <w:t>f</w:t>
      </w:r>
      <w:r>
        <w:t>indings</w:t>
      </w:r>
      <w:bookmarkEnd w:id="77"/>
      <w:bookmarkEnd w:id="78"/>
      <w:bookmarkEnd w:id="81"/>
    </w:p>
    <w:p w:rsidR="00C80137" w:rsidRDefault="00C80137" w:rsidP="00D425BB">
      <w:bookmarkStart w:id="82" w:name="_Toc196046463"/>
      <w:r>
        <w:t xml:space="preserve">A summary of the </w:t>
      </w:r>
      <w:r w:rsidRPr="00FD70B8">
        <w:t>clinical findings is presented in this section.</w:t>
      </w:r>
    </w:p>
    <w:p w:rsidR="008E7846" w:rsidRDefault="008E7846" w:rsidP="008E7846">
      <w:pPr>
        <w:pStyle w:val="Heading3"/>
      </w:pPr>
      <w:bookmarkStart w:id="83" w:name="_Toc247691517"/>
      <w:bookmarkStart w:id="84" w:name="_Toc314842501"/>
      <w:bookmarkStart w:id="85" w:name="_Toc12272150"/>
      <w:r w:rsidRPr="00254787">
        <w:t>Introduction</w:t>
      </w:r>
      <w:bookmarkEnd w:id="82"/>
      <w:bookmarkEnd w:id="83"/>
      <w:bookmarkEnd w:id="84"/>
      <w:bookmarkEnd w:id="85"/>
    </w:p>
    <w:p w:rsidR="00AA6B20" w:rsidRDefault="0059662C" w:rsidP="0059662C">
      <w:pPr>
        <w:pStyle w:val="Default"/>
        <w:spacing w:before="120" w:after="120" w:line="240" w:lineRule="atLeast"/>
        <w:rPr>
          <w:rFonts w:asciiTheme="minorHAnsi" w:hAnsiTheme="minorHAnsi"/>
          <w:sz w:val="22"/>
          <w:szCs w:val="22"/>
          <w:lang w:eastAsia="ja-JP"/>
        </w:rPr>
      </w:pPr>
      <w:r w:rsidRPr="00DD231A">
        <w:rPr>
          <w:rFonts w:asciiTheme="minorHAnsi" w:hAnsiTheme="minorHAnsi"/>
          <w:sz w:val="22"/>
          <w:szCs w:val="22"/>
          <w:lang w:eastAsia="ja-JP"/>
        </w:rPr>
        <w:t>The approach to the evaluation of the current submission has been to fully evaluate the new clinical data (</w:t>
      </w:r>
      <w:r w:rsidR="001470FB">
        <w:rPr>
          <w:rFonts w:asciiTheme="minorHAnsi" w:hAnsiTheme="minorHAnsi"/>
          <w:sz w:val="22"/>
          <w:szCs w:val="22"/>
          <w:lang w:eastAsia="ja-JP"/>
        </w:rPr>
        <w:t>Phase III</w:t>
      </w:r>
      <w:r>
        <w:rPr>
          <w:rFonts w:asciiTheme="minorHAnsi" w:hAnsiTheme="minorHAnsi"/>
          <w:sz w:val="22"/>
          <w:szCs w:val="22"/>
          <w:lang w:eastAsia="ja-JP"/>
        </w:rPr>
        <w:t xml:space="preserve"> </w:t>
      </w:r>
      <w:r w:rsidR="00894642">
        <w:rPr>
          <w:rFonts w:asciiTheme="minorHAnsi" w:hAnsiTheme="minorHAnsi"/>
          <w:sz w:val="22"/>
          <w:szCs w:val="22"/>
          <w:lang w:eastAsia="ja-JP"/>
        </w:rPr>
        <w:t>Study EFC</w:t>
      </w:r>
      <w:r w:rsidRPr="00DD231A">
        <w:rPr>
          <w:rFonts w:asciiTheme="minorHAnsi" w:hAnsiTheme="minorHAnsi"/>
          <w:sz w:val="22"/>
          <w:szCs w:val="22"/>
          <w:lang w:eastAsia="ja-JP"/>
        </w:rPr>
        <w:t>14092</w:t>
      </w:r>
      <w:r>
        <w:rPr>
          <w:rFonts w:asciiTheme="minorHAnsi" w:hAnsiTheme="minorHAnsi"/>
          <w:sz w:val="22"/>
          <w:szCs w:val="22"/>
          <w:lang w:eastAsia="ja-JP"/>
        </w:rPr>
        <w:t xml:space="preserve"> </w:t>
      </w:r>
      <w:r w:rsidR="00160672">
        <w:rPr>
          <w:rFonts w:asciiTheme="minorHAnsi" w:hAnsiTheme="minorHAnsi"/>
          <w:sz w:val="22"/>
          <w:szCs w:val="22"/>
          <w:lang w:eastAsia="ja-JP"/>
        </w:rPr>
        <w:t xml:space="preserve">(the </w:t>
      </w:r>
      <w:r>
        <w:rPr>
          <w:rFonts w:asciiTheme="minorHAnsi" w:hAnsiTheme="minorHAnsi"/>
          <w:sz w:val="22"/>
          <w:szCs w:val="22"/>
          <w:lang w:eastAsia="ja-JP"/>
        </w:rPr>
        <w:t>MONARCH</w:t>
      </w:r>
      <w:r w:rsidR="00160672">
        <w:rPr>
          <w:rFonts w:asciiTheme="minorHAnsi" w:hAnsiTheme="minorHAnsi"/>
          <w:sz w:val="22"/>
          <w:szCs w:val="22"/>
          <w:lang w:eastAsia="ja-JP"/>
        </w:rPr>
        <w:t xml:space="preserve"> trial)</w:t>
      </w:r>
      <w:r>
        <w:rPr>
          <w:rFonts w:asciiTheme="minorHAnsi" w:hAnsiTheme="minorHAnsi"/>
          <w:sz w:val="22"/>
          <w:szCs w:val="22"/>
          <w:lang w:eastAsia="ja-JP"/>
        </w:rPr>
        <w:t>;</w:t>
      </w:r>
      <w:r w:rsidR="00160672">
        <w:rPr>
          <w:rFonts w:asciiTheme="minorHAnsi" w:hAnsiTheme="minorHAnsi"/>
          <w:sz w:val="22"/>
          <w:szCs w:val="22"/>
          <w:lang w:eastAsia="ja-JP"/>
        </w:rPr>
        <w:t xml:space="preserve"> and</w:t>
      </w:r>
      <w:r>
        <w:rPr>
          <w:rFonts w:asciiTheme="minorHAnsi" w:hAnsiTheme="minorHAnsi"/>
          <w:sz w:val="22"/>
          <w:szCs w:val="22"/>
          <w:lang w:eastAsia="ja-JP"/>
        </w:rPr>
        <w:t xml:space="preserve"> </w:t>
      </w:r>
      <w:r w:rsidR="00160672">
        <w:rPr>
          <w:rFonts w:asciiTheme="minorHAnsi" w:hAnsiTheme="minorHAnsi"/>
          <w:sz w:val="22"/>
          <w:szCs w:val="22"/>
          <w:lang w:eastAsia="ja-JP"/>
        </w:rPr>
        <w:t xml:space="preserve">the </w:t>
      </w:r>
      <w:r w:rsidR="00A81730">
        <w:rPr>
          <w:rFonts w:asciiTheme="minorHAnsi" w:hAnsiTheme="minorHAnsi"/>
          <w:sz w:val="22"/>
          <w:szCs w:val="22"/>
          <w:lang w:eastAsia="ja-JP"/>
        </w:rPr>
        <w:t>Phase I</w:t>
      </w:r>
      <w:r>
        <w:rPr>
          <w:rFonts w:asciiTheme="minorHAnsi" w:hAnsiTheme="minorHAnsi"/>
          <w:sz w:val="22"/>
          <w:szCs w:val="22"/>
          <w:lang w:eastAsia="ja-JP"/>
        </w:rPr>
        <w:t xml:space="preserve"> </w:t>
      </w:r>
      <w:r w:rsidR="00894642">
        <w:rPr>
          <w:rFonts w:asciiTheme="minorHAnsi" w:hAnsiTheme="minorHAnsi"/>
          <w:sz w:val="22"/>
          <w:szCs w:val="22"/>
          <w:lang w:eastAsia="ja-JP"/>
        </w:rPr>
        <w:t>Study</w:t>
      </w:r>
      <w:r w:rsidR="00160672">
        <w:rPr>
          <w:rFonts w:asciiTheme="minorHAnsi" w:hAnsiTheme="minorHAnsi"/>
          <w:sz w:val="22"/>
          <w:szCs w:val="22"/>
          <w:lang w:eastAsia="ja-JP"/>
        </w:rPr>
        <w:t> </w:t>
      </w:r>
      <w:r w:rsidR="00894642">
        <w:rPr>
          <w:rFonts w:asciiTheme="minorHAnsi" w:hAnsiTheme="minorHAnsi"/>
          <w:sz w:val="22"/>
          <w:szCs w:val="22"/>
          <w:lang w:eastAsia="ja-JP"/>
        </w:rPr>
        <w:t>MSC</w:t>
      </w:r>
      <w:r w:rsidRPr="00DD231A">
        <w:rPr>
          <w:rFonts w:asciiTheme="minorHAnsi" w:hAnsiTheme="minorHAnsi"/>
          <w:sz w:val="22"/>
          <w:szCs w:val="22"/>
          <w:lang w:eastAsia="ja-JP"/>
        </w:rPr>
        <w:t xml:space="preserve">12655), </w:t>
      </w:r>
      <w:r>
        <w:rPr>
          <w:rFonts w:asciiTheme="minorHAnsi" w:hAnsiTheme="minorHAnsi"/>
          <w:sz w:val="22"/>
          <w:szCs w:val="22"/>
          <w:lang w:eastAsia="ja-JP"/>
        </w:rPr>
        <w:t xml:space="preserve">summarise the previously submitted key clinical pharmacology, </w:t>
      </w:r>
      <w:r w:rsidRPr="00DD231A">
        <w:rPr>
          <w:rFonts w:asciiTheme="minorHAnsi" w:hAnsiTheme="minorHAnsi"/>
          <w:sz w:val="22"/>
          <w:szCs w:val="22"/>
          <w:lang w:eastAsia="ja-JP"/>
        </w:rPr>
        <w:t xml:space="preserve">efficacy and safety data, and prepare an integrated clinical evaluation report </w:t>
      </w:r>
      <w:r>
        <w:rPr>
          <w:rFonts w:asciiTheme="minorHAnsi" w:hAnsiTheme="minorHAnsi"/>
          <w:sz w:val="22"/>
          <w:szCs w:val="22"/>
          <w:lang w:eastAsia="ja-JP"/>
        </w:rPr>
        <w:t xml:space="preserve">(CER) </w:t>
      </w:r>
      <w:r w:rsidRPr="00DD231A">
        <w:rPr>
          <w:rFonts w:asciiTheme="minorHAnsi" w:hAnsiTheme="minorHAnsi"/>
          <w:sz w:val="22"/>
          <w:szCs w:val="22"/>
          <w:lang w:eastAsia="ja-JP"/>
        </w:rPr>
        <w:t xml:space="preserve">based on </w:t>
      </w:r>
      <w:r>
        <w:rPr>
          <w:rFonts w:asciiTheme="minorHAnsi" w:hAnsiTheme="minorHAnsi"/>
          <w:sz w:val="22"/>
          <w:szCs w:val="22"/>
          <w:lang w:eastAsia="ja-JP"/>
        </w:rPr>
        <w:t xml:space="preserve">the relevant data from the initial submission and the re-submission. The </w:t>
      </w:r>
      <w:r w:rsidR="00A81730">
        <w:rPr>
          <w:rFonts w:asciiTheme="minorHAnsi" w:hAnsiTheme="minorHAnsi"/>
          <w:sz w:val="22"/>
          <w:szCs w:val="22"/>
          <w:lang w:eastAsia="ja-JP"/>
        </w:rPr>
        <w:t>clinical evaluation</w:t>
      </w:r>
      <w:r>
        <w:rPr>
          <w:rFonts w:asciiTheme="minorHAnsi" w:hAnsiTheme="minorHAnsi"/>
          <w:sz w:val="22"/>
          <w:szCs w:val="22"/>
          <w:lang w:eastAsia="ja-JP"/>
        </w:rPr>
        <w:t xml:space="preserve"> also includes a detailed integrated first-round benefit-risk assessment based on the new and old data (</w:t>
      </w:r>
      <w:r w:rsidR="00A81730">
        <w:rPr>
          <w:rFonts w:asciiTheme="minorHAnsi" w:hAnsiTheme="minorHAnsi"/>
          <w:sz w:val="22"/>
          <w:szCs w:val="22"/>
          <w:lang w:eastAsia="ja-JP"/>
        </w:rPr>
        <w:t>see below</w:t>
      </w:r>
      <w:r>
        <w:rPr>
          <w:rFonts w:asciiTheme="minorHAnsi" w:hAnsiTheme="minorHAnsi"/>
          <w:sz w:val="22"/>
          <w:szCs w:val="22"/>
          <w:lang w:eastAsia="ja-JP"/>
        </w:rPr>
        <w:t>). It is considered that inclusion of a detailed first-round benefit-risk assessment was the most appropriate way to review and evaluate the totality of the efficacy and safety data provided in the initial submission and the re-submission.</w:t>
      </w:r>
    </w:p>
    <w:p w:rsidR="00605AD4" w:rsidRDefault="00605AD4" w:rsidP="00605AD4">
      <w:pPr>
        <w:pStyle w:val="Heading4"/>
      </w:pPr>
      <w:bookmarkStart w:id="86" w:name="_Toc196046464"/>
      <w:bookmarkStart w:id="87" w:name="_Toc247691518"/>
      <w:bookmarkStart w:id="88" w:name="_Toc314842502"/>
      <w:r w:rsidRPr="00605AD4">
        <w:t xml:space="preserve">Clinical </w:t>
      </w:r>
      <w:r w:rsidR="00EF59DC">
        <w:t>r</w:t>
      </w:r>
      <w:r w:rsidRPr="00605AD4">
        <w:t>ationale</w:t>
      </w:r>
    </w:p>
    <w:p w:rsidR="00AA6B20" w:rsidRDefault="002928AB" w:rsidP="002928AB">
      <w:r w:rsidRPr="00AA0565">
        <w:t xml:space="preserve">In the re-submission covering letter </w:t>
      </w:r>
      <w:r>
        <w:t xml:space="preserve">of August 2017 </w:t>
      </w:r>
      <w:r w:rsidRPr="00AA0565">
        <w:t>the sponsor reviews the current treatment options for RA and concludes that there remains an unmet need for therapies that provide sustained be</w:t>
      </w:r>
      <w:r>
        <w:t xml:space="preserve">nefit over long periods of time, </w:t>
      </w:r>
      <w:r w:rsidRPr="00AA0565">
        <w:t xml:space="preserve">and for patients who respond inadequately to DMARDs or TNF antagonists or who are intolerant to </w:t>
      </w:r>
      <w:r>
        <w:t>TNF antagonists.</w:t>
      </w:r>
    </w:p>
    <w:p w:rsidR="002928AB" w:rsidRPr="00AA0565" w:rsidRDefault="002928AB" w:rsidP="002928AB">
      <w:r w:rsidRPr="00AA0565">
        <w:t xml:space="preserve">In addition, as part of its </w:t>
      </w:r>
      <w:r w:rsidRPr="00485E22">
        <w:rPr>
          <w:i/>
        </w:rPr>
        <w:t>Note to Evaluator</w:t>
      </w:r>
      <w:r w:rsidRPr="00AA0565">
        <w:t xml:space="preserve">, dated 29 August 2017, the sponsor provided a </w:t>
      </w:r>
      <w:r w:rsidR="001470FB">
        <w:t>‘</w:t>
      </w:r>
      <w:r w:rsidRPr="00AA0565">
        <w:t>clinical consensus</w:t>
      </w:r>
      <w:r w:rsidR="001470FB">
        <w:t>’</w:t>
      </w:r>
      <w:r w:rsidRPr="00AA0565">
        <w:t xml:space="preserve"> statement endorsed by 7 Australian rheumatologists outlining current best Australian clinical practice for the treatment of RA. The </w:t>
      </w:r>
      <w:r w:rsidR="001470FB">
        <w:t>‘</w:t>
      </w:r>
      <w:r w:rsidRPr="00AA0565">
        <w:t>clinical consensus</w:t>
      </w:r>
      <w:r w:rsidR="001470FB">
        <w:t>’</w:t>
      </w:r>
      <w:r w:rsidRPr="00AA0565">
        <w:t xml:space="preserve"> states that </w:t>
      </w:r>
      <w:r w:rsidR="001470FB">
        <w:t>‘</w:t>
      </w:r>
      <w:r w:rsidRPr="00A81730">
        <w:rPr>
          <w:i/>
        </w:rPr>
        <w:t>best clinical practice in Australia is to treat [RA] aggressively and early with the same treat to target approach used in Europe and the USA. This is done in order to prevent irreversible joint damage, and optimise disease control</w:t>
      </w:r>
      <w:r w:rsidR="001470FB" w:rsidRPr="00A81730">
        <w:rPr>
          <w:i/>
        </w:rPr>
        <w:t>’</w:t>
      </w:r>
      <w:r>
        <w:t>.</w:t>
      </w:r>
    </w:p>
    <w:p w:rsidR="00AA6B20" w:rsidRDefault="002928AB" w:rsidP="002928AB">
      <w:r w:rsidRPr="00AA0565">
        <w:t>The consensus refers</w:t>
      </w:r>
      <w:r>
        <w:t xml:space="preserve"> to the use of tocilizumab and </w:t>
      </w:r>
      <w:r w:rsidRPr="00AA0565">
        <w:t xml:space="preserve">states that </w:t>
      </w:r>
      <w:r w:rsidR="001470FB">
        <w:t>‘</w:t>
      </w:r>
      <w:r w:rsidRPr="00A81730">
        <w:rPr>
          <w:i/>
        </w:rPr>
        <w:t>in Australia, tocilizumab is accessible at two different doses for its intravenous (IV) formulation (8 mg/kg or 4 mg/kg) and two doses frequency for its subcutaneous (SC) formulation (weekly or fortnightly). Australian rheumatologists start patients on 8 mg/kg IV or weekly SC to maximize the chance of controlling active disease</w:t>
      </w:r>
      <w:r w:rsidR="001470FB">
        <w:t>’</w:t>
      </w:r>
      <w:r w:rsidRPr="00AA0565">
        <w:t xml:space="preserve">. Therefore, it is inferred that </w:t>
      </w:r>
      <w:r w:rsidR="001470FB">
        <w:t>‘</w:t>
      </w:r>
      <w:r w:rsidRPr="00A81730">
        <w:rPr>
          <w:i/>
        </w:rPr>
        <w:t>sarilumab would also be started at the highest available dose (200 mg) as it is the most effective dose to avoid joint damage based on the clinical data</w:t>
      </w:r>
      <w:r w:rsidR="001470FB" w:rsidRPr="00A81730">
        <w:rPr>
          <w:i/>
        </w:rPr>
        <w:t>’</w:t>
      </w:r>
      <w:r w:rsidRPr="00A81730">
        <w:rPr>
          <w:i/>
        </w:rPr>
        <w:t>.</w:t>
      </w:r>
    </w:p>
    <w:p w:rsidR="00AA6B20" w:rsidRDefault="002928AB" w:rsidP="002928AB">
      <w:r w:rsidRPr="00AA0565">
        <w:t>The Australian PI for tocilizumab for adult patients with RA recommends 8 mg/kg IV every 4 weeks</w:t>
      </w:r>
      <w:r>
        <w:t xml:space="preserve"> or 162 mg SC once every week</w:t>
      </w:r>
      <w:r w:rsidR="00DD2390">
        <w:t xml:space="preserve"> (</w:t>
      </w:r>
      <w:proofErr w:type="spellStart"/>
      <w:r w:rsidR="00DD2390">
        <w:t>qw</w:t>
      </w:r>
      <w:proofErr w:type="spellEnd"/>
      <w:r w:rsidR="00DD2390">
        <w:t>)</w:t>
      </w:r>
      <w:r>
        <w:t xml:space="preserve">. </w:t>
      </w:r>
      <w:r w:rsidRPr="00AA0565">
        <w:t xml:space="preserve">In the USA </w:t>
      </w:r>
      <w:r>
        <w:t xml:space="preserve">prescribing information </w:t>
      </w:r>
      <w:r w:rsidRPr="00AA0565">
        <w:t xml:space="preserve">for tocilizumab, the recommended starting dose is 4 mg/kg IV every 4 weeks followed by an increase to 8 mg/kg IV every 4 weeks based on clinical response, or 162 mg SC every other week followed by an increase to every week based on clinical response for patients </w:t>
      </w:r>
      <w:r w:rsidR="007F1BEB">
        <w:t>&lt; </w:t>
      </w:r>
      <w:r w:rsidRPr="00AA0565">
        <w:t>100</w:t>
      </w:r>
      <w:r w:rsidR="006A009A">
        <w:t> </w:t>
      </w:r>
      <w:r w:rsidRPr="00AA0565">
        <w:t xml:space="preserve">kg in weight and 162 mg SC every week for patients </w:t>
      </w:r>
      <w:r w:rsidR="00DD5BCE">
        <w:t xml:space="preserve">≥ </w:t>
      </w:r>
      <w:r w:rsidRPr="00AA0565">
        <w:t>100 kg.</w:t>
      </w:r>
    </w:p>
    <w:p w:rsidR="00AA6B20" w:rsidRDefault="002928AB" w:rsidP="002928AB">
      <w:r w:rsidRPr="00AA0565">
        <w:t>As regards neutro</w:t>
      </w:r>
      <w:r w:rsidR="001E2D44">
        <w:t>paenia</w:t>
      </w:r>
      <w:r>
        <w:t xml:space="preserve">, the consensus states that </w:t>
      </w:r>
      <w:r w:rsidRPr="00AA0565">
        <w:t xml:space="preserve">patients on sarilumab will be managed in the same </w:t>
      </w:r>
      <w:r>
        <w:t xml:space="preserve">way </w:t>
      </w:r>
      <w:r w:rsidRPr="00AA0565">
        <w:t>as patients receiving other RA treat</w:t>
      </w:r>
      <w:r w:rsidR="00A81730">
        <w:t xml:space="preserve">ments (that is, </w:t>
      </w:r>
      <w:r w:rsidRPr="00AA0565">
        <w:t>laboratory monitoring, patient education,</w:t>
      </w:r>
      <w:r w:rsidR="00A81730">
        <w:t xml:space="preserve"> general practitioner (</w:t>
      </w:r>
      <w:r w:rsidRPr="00AA0565">
        <w:t>GP</w:t>
      </w:r>
      <w:r w:rsidR="00A81730">
        <w:t>)</w:t>
      </w:r>
      <w:r w:rsidRPr="00AA0565">
        <w:t xml:space="preserve"> education). In particular, the consensus notes that monitoring for neutro</w:t>
      </w:r>
      <w:r w:rsidR="001E2D44">
        <w:t>paenia</w:t>
      </w:r>
      <w:r w:rsidRPr="00AA0565">
        <w:t xml:space="preserve"> in patients on sarilumab in remote regions will not differ from current practice for patients on other RA treatments, and will not require additional monitoring from current best practice for the management of neutro</w:t>
      </w:r>
      <w:r w:rsidR="001E2D44">
        <w:t>paenia</w:t>
      </w:r>
      <w:r w:rsidRPr="00AA0565">
        <w:t xml:space="preserve"> and serious infections.</w:t>
      </w:r>
    </w:p>
    <w:p w:rsidR="00AA6B20" w:rsidRDefault="002928AB" w:rsidP="002928AB">
      <w:r w:rsidRPr="00AA0565">
        <w:lastRenderedPageBreak/>
        <w:t xml:space="preserve">The consensus concludes by </w:t>
      </w:r>
      <w:r>
        <w:t>stating</w:t>
      </w:r>
      <w:r w:rsidRPr="00AA0565">
        <w:t xml:space="preserve"> that </w:t>
      </w:r>
      <w:r w:rsidR="001470FB">
        <w:t>‘</w:t>
      </w:r>
      <w:r w:rsidRPr="00A81730">
        <w:rPr>
          <w:i/>
        </w:rPr>
        <w:t xml:space="preserve">despite the availability of a range of treatment options for RA, not all patients achieve a target of remission or low disease activity. The availability of [a] new potent </w:t>
      </w:r>
      <w:r w:rsidR="007A4EEA">
        <w:rPr>
          <w:i/>
        </w:rPr>
        <w:t>IL-6</w:t>
      </w:r>
      <w:r w:rsidRPr="00A81730">
        <w:rPr>
          <w:i/>
        </w:rPr>
        <w:t>R inhibitor would be of great benefit for this patient population</w:t>
      </w:r>
      <w:r w:rsidR="001470FB" w:rsidRPr="00A81730">
        <w:rPr>
          <w:i/>
        </w:rPr>
        <w:t>’</w:t>
      </w:r>
      <w:r w:rsidRPr="00AA0565">
        <w:t>.</w:t>
      </w:r>
    </w:p>
    <w:p w:rsidR="00AA6B20" w:rsidRDefault="002928AB" w:rsidP="00E246F9">
      <w:r>
        <w:t xml:space="preserve">The clinical rationale for the submission seeking approval of </w:t>
      </w:r>
      <w:r w:rsidRPr="00AA0565">
        <w:t xml:space="preserve">sarilumab for the treatment of RA is acceptable. </w:t>
      </w:r>
      <w:r>
        <w:t xml:space="preserve">However, while the consensus statement is of interest the recommendation relating to the </w:t>
      </w:r>
      <w:r w:rsidRPr="00AA0565">
        <w:t xml:space="preserve">most appropriate starting dose </w:t>
      </w:r>
      <w:r>
        <w:t>will be made based on the totality of the submitted clinical data.</w:t>
      </w:r>
    </w:p>
    <w:p w:rsidR="00605AD4" w:rsidRDefault="00605AD4" w:rsidP="00605AD4">
      <w:pPr>
        <w:pStyle w:val="Heading4"/>
      </w:pPr>
      <w:r w:rsidRPr="00605AD4">
        <w:t>Guidance</w:t>
      </w:r>
    </w:p>
    <w:p w:rsidR="00AA6B20" w:rsidRDefault="00622898" w:rsidP="002928AB">
      <w:pPr>
        <w:rPr>
          <w:lang w:eastAsia="ja-JP"/>
        </w:rPr>
      </w:pPr>
      <w:r w:rsidRPr="00622898">
        <w:rPr>
          <w:lang w:eastAsia="ja-JP"/>
        </w:rPr>
        <w:t>In a pre-submission meeting with the TGA</w:t>
      </w:r>
      <w:r w:rsidR="006A009A">
        <w:rPr>
          <w:lang w:eastAsia="ja-JP"/>
        </w:rPr>
        <w:t>,</w:t>
      </w:r>
      <w:r w:rsidRPr="00622898">
        <w:rPr>
          <w:rStyle w:val="FootnoteReference"/>
          <w:lang w:eastAsia="ja-JP"/>
        </w:rPr>
        <w:footnoteReference w:id="16"/>
      </w:r>
      <w:r w:rsidRPr="00622898">
        <w:rPr>
          <w:lang w:eastAsia="ja-JP"/>
        </w:rPr>
        <w:t xml:space="preserve"> the sponsor agreed </w:t>
      </w:r>
      <w:r w:rsidR="002928AB" w:rsidRPr="00622898">
        <w:rPr>
          <w:lang w:eastAsia="ja-JP"/>
        </w:rPr>
        <w:t xml:space="preserve">that the re-submission </w:t>
      </w:r>
      <w:r w:rsidRPr="00622898">
        <w:rPr>
          <w:lang w:eastAsia="ja-JP"/>
        </w:rPr>
        <w:t xml:space="preserve">of this application </w:t>
      </w:r>
      <w:r w:rsidR="002928AB" w:rsidRPr="00622898">
        <w:rPr>
          <w:lang w:eastAsia="ja-JP"/>
        </w:rPr>
        <w:t xml:space="preserve">would include a </w:t>
      </w:r>
      <w:r w:rsidR="002928AB" w:rsidRPr="00622898">
        <w:rPr>
          <w:i/>
          <w:lang w:eastAsia="ja-JP"/>
        </w:rPr>
        <w:t>Note to Evaluator</w:t>
      </w:r>
      <w:r w:rsidR="002928AB" w:rsidRPr="00622898">
        <w:rPr>
          <w:lang w:eastAsia="ja-JP"/>
        </w:rPr>
        <w:t xml:space="preserve"> identifying the key data and rationale supporting the 200 mg q2w dosing regimen and the management of risks associated with neutro</w:t>
      </w:r>
      <w:r w:rsidR="001E2D44" w:rsidRPr="00622898">
        <w:rPr>
          <w:lang w:eastAsia="ja-JP"/>
        </w:rPr>
        <w:t>paenia</w:t>
      </w:r>
      <w:r w:rsidRPr="00622898">
        <w:rPr>
          <w:lang w:eastAsia="ja-JP"/>
        </w:rPr>
        <w:t>. The</w:t>
      </w:r>
      <w:r w:rsidR="002928AB" w:rsidRPr="00622898">
        <w:rPr>
          <w:lang w:eastAsia="ja-JP"/>
        </w:rPr>
        <w:t xml:space="preserve"> re-submission would include a Clinical Consensus Statement from experienced rheumatologists across Australia relating to current clinical practice supporting initial aggressive management of RA to protect patients from irreversible joint damage. The consensus statement would also address the practical aspects of the management of remote patients with RA aimed at mitigating the risks of neutro</w:t>
      </w:r>
      <w:r w:rsidR="001E2D44" w:rsidRPr="00622898">
        <w:rPr>
          <w:lang w:eastAsia="ja-JP"/>
        </w:rPr>
        <w:t>paenia</w:t>
      </w:r>
      <w:r w:rsidR="002928AB" w:rsidRPr="00622898">
        <w:rPr>
          <w:lang w:eastAsia="ja-JP"/>
        </w:rPr>
        <w:t xml:space="preserve"> and other potential adverse events associated with sarilumab treatment. The agreed information was provided in the re-submission.</w:t>
      </w:r>
    </w:p>
    <w:p w:rsidR="00A81730" w:rsidRDefault="002928AB" w:rsidP="002928AB">
      <w:pPr>
        <w:rPr>
          <w:lang w:eastAsia="ja-JP"/>
        </w:rPr>
      </w:pPr>
      <w:r>
        <w:rPr>
          <w:lang w:eastAsia="ja-JP"/>
        </w:rPr>
        <w:t>There is a TGA approved EU guideline relating to the treatment of RA, namely</w:t>
      </w:r>
      <w:r w:rsidR="00A81730">
        <w:rPr>
          <w:lang w:eastAsia="ja-JP"/>
        </w:rPr>
        <w:t>:</w:t>
      </w:r>
    </w:p>
    <w:p w:rsidR="00500337" w:rsidRPr="00500337" w:rsidRDefault="002928AB" w:rsidP="00A81730">
      <w:pPr>
        <w:pStyle w:val="ListBullet"/>
      </w:pPr>
      <w:r w:rsidRPr="00432C24">
        <w:rPr>
          <w:lang w:eastAsia="ja-JP"/>
        </w:rPr>
        <w:t xml:space="preserve">Points to Consider on Clinical Investigation of Medicinal Products </w:t>
      </w:r>
      <w:r w:rsidR="006A009A">
        <w:rPr>
          <w:lang w:eastAsia="ja-JP"/>
        </w:rPr>
        <w:t>o</w:t>
      </w:r>
      <w:r w:rsidR="006A009A" w:rsidRPr="00432C24">
        <w:rPr>
          <w:lang w:eastAsia="ja-JP"/>
        </w:rPr>
        <w:t xml:space="preserve">ther </w:t>
      </w:r>
      <w:r w:rsidR="006A009A">
        <w:rPr>
          <w:lang w:eastAsia="ja-JP"/>
        </w:rPr>
        <w:t>t</w:t>
      </w:r>
      <w:r w:rsidR="006A009A" w:rsidRPr="00432C24">
        <w:rPr>
          <w:lang w:eastAsia="ja-JP"/>
        </w:rPr>
        <w:t xml:space="preserve">han </w:t>
      </w:r>
      <w:r w:rsidRPr="00432C24">
        <w:rPr>
          <w:lang w:eastAsia="ja-JP"/>
        </w:rPr>
        <w:t>NSAIDs for Treatment of Rheumatoid Arthritis CPMP/EWP/556/95 rev1/Final; London, 17 December 2003.</w:t>
      </w:r>
    </w:p>
    <w:p w:rsidR="00605AD4" w:rsidRDefault="00605AD4" w:rsidP="00605AD4">
      <w:pPr>
        <w:pStyle w:val="Heading4"/>
      </w:pPr>
      <w:r w:rsidRPr="00605AD4">
        <w:t>Contents of the clinical dossier</w:t>
      </w:r>
    </w:p>
    <w:p w:rsidR="002928AB" w:rsidRPr="00094C41" w:rsidRDefault="002928AB" w:rsidP="00E246F9">
      <w:pPr>
        <w:pStyle w:val="Heading5"/>
      </w:pPr>
      <w:bookmarkStart w:id="89" w:name="_Toc514682518"/>
      <w:r>
        <w:t>Scope of the clinical dossier</w:t>
      </w:r>
      <w:bookmarkEnd w:id="89"/>
    </w:p>
    <w:p w:rsidR="00AA6B20" w:rsidRDefault="00A81730" w:rsidP="002928AB">
      <w:pPr>
        <w:rPr>
          <w:lang w:eastAsia="ja-JP"/>
        </w:rPr>
      </w:pPr>
      <w:r>
        <w:rPr>
          <w:lang w:eastAsia="ja-JP"/>
        </w:rPr>
        <w:t xml:space="preserve">The submission included </w:t>
      </w:r>
      <w:r w:rsidR="002928AB">
        <w:rPr>
          <w:lang w:eastAsia="ja-JP"/>
        </w:rPr>
        <w:t>the clinical studies provided in the initial submission and the new clinical studies provided for evaluation. The new clinical data for evaluation are summarised below:</w:t>
      </w:r>
    </w:p>
    <w:p w:rsidR="002928AB" w:rsidRPr="00E246F9" w:rsidRDefault="00A81730" w:rsidP="00E246F9">
      <w:pPr>
        <w:pStyle w:val="ListBullet"/>
      </w:pPr>
      <w:r>
        <w:t xml:space="preserve">Study </w:t>
      </w:r>
      <w:r w:rsidR="002928AB" w:rsidRPr="00E246F9">
        <w:t xml:space="preserve">EFC14092 </w:t>
      </w:r>
      <w:r w:rsidR="006A009A">
        <w:t>(</w:t>
      </w:r>
      <w:r w:rsidR="002928AB" w:rsidRPr="00E246F9">
        <w:t xml:space="preserve">MONARCH </w:t>
      </w:r>
      <w:r w:rsidR="006A009A">
        <w:t xml:space="preserve">trial): a </w:t>
      </w:r>
      <w:r w:rsidR="001470FB">
        <w:t>Phase III</w:t>
      </w:r>
      <w:r w:rsidR="002928AB" w:rsidRPr="00E246F9">
        <w:t xml:space="preserve"> study assessing the efficacy and safety of sarilumab monotherapy versus adalimumab monotherapy in patients with rheumatoid arthritis. The submitted report covered the 24-week randomised period of the study. The Clinical Study Report (CSR) was dated 17 May 2016 (subsequent to the date of the initial submission).</w:t>
      </w:r>
    </w:p>
    <w:p w:rsidR="00AA6B20" w:rsidRDefault="00A81730" w:rsidP="00E246F9">
      <w:pPr>
        <w:pStyle w:val="ListBullet"/>
        <w:rPr>
          <w:lang w:eastAsia="ja-JP"/>
        </w:rPr>
      </w:pPr>
      <w:r>
        <w:t xml:space="preserve">Study </w:t>
      </w:r>
      <w:r w:rsidR="002928AB" w:rsidRPr="00E246F9">
        <w:t>MSC12655</w:t>
      </w:r>
      <w:r w:rsidR="006A009A">
        <w:t>: a</w:t>
      </w:r>
      <w:r w:rsidR="002928AB" w:rsidRPr="00E246F9">
        <w:t xml:space="preserve"> </w:t>
      </w:r>
      <w:r w:rsidR="001470FB">
        <w:t>Phase III</w:t>
      </w:r>
      <w:r w:rsidR="002928AB" w:rsidRPr="00E246F9">
        <w:t xml:space="preserve"> study assessing the usability of the </w:t>
      </w:r>
      <w:proofErr w:type="spellStart"/>
      <w:r w:rsidR="002928AB" w:rsidRPr="00E246F9">
        <w:t>sarilumab</w:t>
      </w:r>
      <w:proofErr w:type="spellEnd"/>
      <w:r w:rsidR="002928AB" w:rsidRPr="00E246F9">
        <w:t xml:space="preserve"> </w:t>
      </w:r>
      <w:proofErr w:type="spellStart"/>
      <w:r w:rsidR="002928AB" w:rsidRPr="00E246F9">
        <w:t>autoinjector</w:t>
      </w:r>
      <w:proofErr w:type="spellEnd"/>
      <w:r w:rsidR="002928AB" w:rsidRPr="00E246F9">
        <w:t xml:space="preserve"> device and the pre-filled syringe in patients with moderate to severe RA. The study included a 12</w:t>
      </w:r>
      <w:r>
        <w:t xml:space="preserve"> </w:t>
      </w:r>
      <w:r w:rsidR="002928AB" w:rsidRPr="00E246F9">
        <w:t xml:space="preserve">week </w:t>
      </w:r>
      <w:proofErr w:type="spellStart"/>
      <w:r w:rsidR="002928AB" w:rsidRPr="00E246F9">
        <w:t>autoinjector</w:t>
      </w:r>
      <w:proofErr w:type="spellEnd"/>
      <w:r w:rsidR="002928AB" w:rsidRPr="00E246F9">
        <w:t xml:space="preserve"> assessment phase. The CSR was dated 31</w:t>
      </w:r>
      <w:r w:rsidR="006A009A">
        <w:t> </w:t>
      </w:r>
      <w:r w:rsidR="002928AB" w:rsidRPr="00E246F9">
        <w:t>July 2015. The study was included in the original submission but was not evaluated because at that time registration of</w:t>
      </w:r>
      <w:r w:rsidR="002928AB">
        <w:rPr>
          <w:lang w:eastAsia="ja-JP"/>
        </w:rPr>
        <w:t xml:space="preserve"> the pre-filled pen (</w:t>
      </w:r>
      <w:proofErr w:type="spellStart"/>
      <w:r w:rsidR="002928AB">
        <w:rPr>
          <w:lang w:eastAsia="ja-JP"/>
        </w:rPr>
        <w:t>autoinjector</w:t>
      </w:r>
      <w:proofErr w:type="spellEnd"/>
      <w:r w:rsidR="002928AB">
        <w:rPr>
          <w:lang w:eastAsia="ja-JP"/>
        </w:rPr>
        <w:t>) was not requested by the sponsor.</w:t>
      </w:r>
    </w:p>
    <w:p w:rsidR="00605AD4" w:rsidRDefault="00605AD4" w:rsidP="00605AD4">
      <w:pPr>
        <w:pStyle w:val="Heading4"/>
      </w:pPr>
      <w:r w:rsidRPr="00605AD4">
        <w:t>Paediatric data</w:t>
      </w:r>
    </w:p>
    <w:p w:rsidR="002928AB" w:rsidRDefault="002928AB" w:rsidP="002928AB">
      <w:pPr>
        <w:rPr>
          <w:rFonts w:asciiTheme="minorHAnsi" w:hAnsiTheme="minorHAnsi"/>
          <w:lang w:eastAsia="ja-JP"/>
        </w:rPr>
      </w:pPr>
      <w:r w:rsidRPr="0001207A">
        <w:rPr>
          <w:rFonts w:asciiTheme="minorHAnsi" w:hAnsiTheme="minorHAnsi"/>
          <w:lang w:eastAsia="ja-JP"/>
        </w:rPr>
        <w:t>No paediatric data w</w:t>
      </w:r>
      <w:r>
        <w:rPr>
          <w:rFonts w:asciiTheme="minorHAnsi" w:hAnsiTheme="minorHAnsi"/>
          <w:lang w:eastAsia="ja-JP"/>
        </w:rPr>
        <w:t>ere included in the submission.</w:t>
      </w:r>
    </w:p>
    <w:p w:rsidR="00AA6B20" w:rsidRDefault="002928AB" w:rsidP="002928AB">
      <w:pPr>
        <w:rPr>
          <w:rFonts w:asciiTheme="minorHAnsi" w:hAnsiTheme="minorHAnsi"/>
          <w:lang w:eastAsia="ja-JP"/>
        </w:rPr>
      </w:pPr>
      <w:r w:rsidRPr="0001207A">
        <w:rPr>
          <w:rFonts w:asciiTheme="minorHAnsi" w:hAnsiTheme="minorHAnsi"/>
          <w:lang w:eastAsia="ja-JP"/>
        </w:rPr>
        <w:t>The sponsor states that it has not submitted paediat</w:t>
      </w:r>
      <w:r>
        <w:rPr>
          <w:rFonts w:asciiTheme="minorHAnsi" w:hAnsiTheme="minorHAnsi"/>
          <w:lang w:eastAsia="ja-JP"/>
        </w:rPr>
        <w:t xml:space="preserve">ric data to the EU, but has an </w:t>
      </w:r>
      <w:r w:rsidRPr="0001207A">
        <w:rPr>
          <w:rFonts w:asciiTheme="minorHAnsi" w:hAnsiTheme="minorHAnsi"/>
          <w:lang w:eastAsia="ja-JP"/>
        </w:rPr>
        <w:t xml:space="preserve">agreed European Paediatric Investigation Plan (PIP). The sponsor indicates that as part of the PIP </w:t>
      </w:r>
      <w:r w:rsidRPr="0001207A">
        <w:rPr>
          <w:rFonts w:asciiTheme="minorHAnsi" w:hAnsiTheme="minorHAnsi"/>
          <w:lang w:eastAsia="ja-JP"/>
        </w:rPr>
        <w:lastRenderedPageBreak/>
        <w:t xml:space="preserve">it is required to submit an appropriate study </w:t>
      </w:r>
      <w:r>
        <w:rPr>
          <w:rFonts w:asciiTheme="minorHAnsi" w:hAnsiTheme="minorHAnsi"/>
          <w:lang w:eastAsia="ja-JP"/>
        </w:rPr>
        <w:t>to the E</w:t>
      </w:r>
      <w:r w:rsidR="00A81730">
        <w:rPr>
          <w:rFonts w:asciiTheme="minorHAnsi" w:hAnsiTheme="minorHAnsi"/>
          <w:lang w:eastAsia="ja-JP"/>
        </w:rPr>
        <w:t>uropean Medicines Agency (E</w:t>
      </w:r>
      <w:r>
        <w:rPr>
          <w:rFonts w:asciiTheme="minorHAnsi" w:hAnsiTheme="minorHAnsi"/>
          <w:lang w:eastAsia="ja-JP"/>
        </w:rPr>
        <w:t>MA</w:t>
      </w:r>
      <w:r w:rsidR="00A81730">
        <w:rPr>
          <w:rFonts w:asciiTheme="minorHAnsi" w:hAnsiTheme="minorHAnsi"/>
          <w:lang w:eastAsia="ja-JP"/>
        </w:rPr>
        <w:t>)</w:t>
      </w:r>
      <w:r>
        <w:rPr>
          <w:rFonts w:asciiTheme="minorHAnsi" w:hAnsiTheme="minorHAnsi"/>
          <w:lang w:eastAsia="ja-JP"/>
        </w:rPr>
        <w:t xml:space="preserve"> </w:t>
      </w:r>
      <w:r w:rsidRPr="0001207A">
        <w:rPr>
          <w:rFonts w:asciiTheme="minorHAnsi" w:hAnsiTheme="minorHAnsi"/>
          <w:lang w:eastAsia="ja-JP"/>
        </w:rPr>
        <w:t>by June 2022.</w:t>
      </w:r>
    </w:p>
    <w:p w:rsidR="00AA6B20" w:rsidRDefault="002928AB" w:rsidP="002928AB">
      <w:pPr>
        <w:rPr>
          <w:rFonts w:asciiTheme="minorHAnsi" w:hAnsiTheme="minorHAnsi" w:cs="Arial"/>
        </w:rPr>
      </w:pPr>
      <w:r w:rsidRPr="0001207A">
        <w:rPr>
          <w:rFonts w:asciiTheme="minorHAnsi" w:hAnsiTheme="minorHAnsi"/>
          <w:lang w:eastAsia="ja-JP"/>
        </w:rPr>
        <w:t xml:space="preserve">The sponsor states that </w:t>
      </w:r>
      <w:r w:rsidRPr="0001207A">
        <w:rPr>
          <w:rFonts w:asciiTheme="minorHAnsi" w:hAnsiTheme="minorHAnsi" w:cs="Arial"/>
        </w:rPr>
        <w:t>a final PIP Opinion was granted in 26 March 2013 (P/0067/2013 EMA/113206/2013) as follows:</w:t>
      </w:r>
    </w:p>
    <w:p w:rsidR="00AA6B20" w:rsidRPr="00485E22" w:rsidRDefault="002928AB" w:rsidP="00485E22">
      <w:pPr>
        <w:pStyle w:val="ListBullet"/>
        <w:rPr>
          <w:i/>
        </w:rPr>
      </w:pPr>
      <w:r w:rsidRPr="00485E22">
        <w:rPr>
          <w:i/>
        </w:rPr>
        <w:t>PIP granted for paediatric populations for treatment of; (1) polyarticular course juvenile idiopathic arthritis (</w:t>
      </w:r>
      <w:proofErr w:type="spellStart"/>
      <w:r w:rsidRPr="00485E22">
        <w:rPr>
          <w:i/>
        </w:rPr>
        <w:t>pJIA</w:t>
      </w:r>
      <w:proofErr w:type="spellEnd"/>
      <w:r w:rsidRPr="00485E22">
        <w:rPr>
          <w:i/>
        </w:rPr>
        <w:t>) in children 2 to less than 18 years and; (2) systemic juvenile idiopathic arthritis (</w:t>
      </w:r>
      <w:proofErr w:type="spellStart"/>
      <w:r w:rsidRPr="00485E22">
        <w:rPr>
          <w:i/>
        </w:rPr>
        <w:t>sJIA</w:t>
      </w:r>
      <w:proofErr w:type="spellEnd"/>
      <w:r w:rsidRPr="00485E22">
        <w:rPr>
          <w:i/>
        </w:rPr>
        <w:t>) in children 1 to less than 18 years.</w:t>
      </w:r>
    </w:p>
    <w:p w:rsidR="002928AB" w:rsidRPr="00485E22" w:rsidRDefault="002928AB" w:rsidP="00485E22">
      <w:pPr>
        <w:pStyle w:val="ListBullet"/>
        <w:rPr>
          <w:i/>
        </w:rPr>
      </w:pPr>
      <w:r w:rsidRPr="00485E22">
        <w:rPr>
          <w:i/>
        </w:rPr>
        <w:t xml:space="preserve">Waiver granted for paediatric population (birth - 1 year) for treatment of chronic idiopathic arthritis (including rheumatoid arthritis, </w:t>
      </w:r>
      <w:proofErr w:type="spellStart"/>
      <w:r w:rsidRPr="00485E22">
        <w:rPr>
          <w:i/>
        </w:rPr>
        <w:t>spondyloarthritis</w:t>
      </w:r>
      <w:proofErr w:type="spellEnd"/>
      <w:r w:rsidRPr="00485E22">
        <w:rPr>
          <w:i/>
        </w:rPr>
        <w:t>, psoriatic arthritis and juvenile idiopathic arthritis) on the grounds that disease does not occur in these specified paediatric subsets.</w:t>
      </w:r>
    </w:p>
    <w:p w:rsidR="002928AB" w:rsidRDefault="002928AB" w:rsidP="002928AB">
      <w:r>
        <w:t>The sponsor states that no paediatric data have been submitted to the US FDA, but that it is required to submit a paediatric assessment by June 2023. The sponsor states that it has been granted a partial waiver by the US FDA from having to submit paediatric studies in (1) patients from birth to 24 months for polyarticular idiopathic arthritis (</w:t>
      </w:r>
      <w:proofErr w:type="spellStart"/>
      <w:r>
        <w:t>pJIA</w:t>
      </w:r>
      <w:proofErr w:type="spellEnd"/>
      <w:r>
        <w:t>)</w:t>
      </w:r>
      <w:r w:rsidR="006A009A">
        <w:t>;</w:t>
      </w:r>
      <w:r>
        <w:t xml:space="preserve"> and (2)</w:t>
      </w:r>
      <w:r w:rsidR="006A009A">
        <w:t> </w:t>
      </w:r>
      <w:r>
        <w:t>patients from birth to 12 months for systemic juvenile idiopathic arthritis (</w:t>
      </w:r>
      <w:proofErr w:type="spellStart"/>
      <w:r>
        <w:t>sJIA</w:t>
      </w:r>
      <w:proofErr w:type="spellEnd"/>
      <w:r>
        <w:t xml:space="preserve">) </w:t>
      </w:r>
      <w:r w:rsidR="001470FB">
        <w:t>‘</w:t>
      </w:r>
      <w:r w:rsidRPr="00A81730">
        <w:rPr>
          <w:i/>
        </w:rPr>
        <w:t>on the grounds that the disease does not occur in these paediatric subsets</w:t>
      </w:r>
      <w:r w:rsidR="001470FB" w:rsidRPr="00A81730">
        <w:rPr>
          <w:i/>
        </w:rPr>
        <w:t>’</w:t>
      </w:r>
      <w:r>
        <w:t>.</w:t>
      </w:r>
    </w:p>
    <w:p w:rsidR="00AA6B20" w:rsidRDefault="002928AB" w:rsidP="00E246F9">
      <w:r w:rsidRPr="0001207A">
        <w:t>The failure to</w:t>
      </w:r>
      <w:r>
        <w:t xml:space="preserve"> include paediatric data in the </w:t>
      </w:r>
      <w:r w:rsidRPr="0001207A">
        <w:t xml:space="preserve">submission is acceptable. However, it is recommended that the sponsor should submit the proposed paediatric studies to the TGA at the same time </w:t>
      </w:r>
      <w:r>
        <w:t xml:space="preserve">as </w:t>
      </w:r>
      <w:r w:rsidRPr="0001207A">
        <w:t xml:space="preserve">the studies are submitted to the EMA and/or the US FDA. </w:t>
      </w:r>
      <w:r>
        <w:t>It is considered that provision of these studies should be a condition of registration of Kevzara.</w:t>
      </w:r>
    </w:p>
    <w:p w:rsidR="00605AD4" w:rsidRDefault="00605AD4" w:rsidP="00605AD4">
      <w:pPr>
        <w:pStyle w:val="Heading4"/>
      </w:pPr>
      <w:r w:rsidRPr="00605AD4">
        <w:t>Good clinical practice</w:t>
      </w:r>
    </w:p>
    <w:p w:rsidR="00AA6B20" w:rsidRDefault="002928AB" w:rsidP="002928AB">
      <w:pPr>
        <w:rPr>
          <w:rFonts w:asciiTheme="minorHAnsi" w:hAnsiTheme="minorHAnsi"/>
        </w:rPr>
      </w:pPr>
      <w:r w:rsidRPr="00E126B0">
        <w:rPr>
          <w:rFonts w:asciiTheme="minorHAnsi" w:hAnsiTheme="minorHAnsi"/>
        </w:rPr>
        <w:t xml:space="preserve">The sponsor </w:t>
      </w:r>
      <w:r>
        <w:rPr>
          <w:rFonts w:asciiTheme="minorHAnsi" w:hAnsiTheme="minorHAnsi"/>
        </w:rPr>
        <w:t>stated</w:t>
      </w:r>
      <w:r w:rsidRPr="00E126B0">
        <w:rPr>
          <w:rFonts w:asciiTheme="minorHAnsi" w:hAnsiTheme="minorHAnsi"/>
        </w:rPr>
        <w:t xml:space="preserve"> that the submitted studies have been conducted in accordance with the principles of good clinical practice.</w:t>
      </w:r>
    </w:p>
    <w:p w:rsidR="008E7846" w:rsidRDefault="008E7846" w:rsidP="00605AD4">
      <w:pPr>
        <w:pStyle w:val="Heading3"/>
      </w:pPr>
      <w:bookmarkStart w:id="90" w:name="_Toc12272151"/>
      <w:r w:rsidRPr="00254787">
        <w:t>Pharmacokinetics</w:t>
      </w:r>
      <w:bookmarkEnd w:id="79"/>
      <w:bookmarkEnd w:id="86"/>
      <w:bookmarkEnd w:id="87"/>
      <w:bookmarkEnd w:id="88"/>
      <w:bookmarkEnd w:id="90"/>
    </w:p>
    <w:p w:rsidR="00605AD4" w:rsidRDefault="00605AD4" w:rsidP="00E246F9">
      <w:pPr>
        <w:pStyle w:val="Heading4"/>
      </w:pPr>
      <w:r>
        <w:t>Studies</w:t>
      </w:r>
      <w:r w:rsidR="00500337">
        <w:t xml:space="preserve"> providing pharmacokinetic data</w:t>
      </w:r>
    </w:p>
    <w:p w:rsidR="00AA6B20" w:rsidRDefault="002928AB" w:rsidP="00E246F9">
      <w:pPr>
        <w:pStyle w:val="Heading5"/>
      </w:pPr>
      <w:r>
        <w:t>Previously submitted PK data</w:t>
      </w:r>
    </w:p>
    <w:p w:rsidR="00AA6B20" w:rsidRPr="00B817F6" w:rsidRDefault="002928AB" w:rsidP="002928AB">
      <w:pPr>
        <w:rPr>
          <w:rFonts w:asciiTheme="minorHAnsi" w:eastAsia="Times New Roman" w:hAnsiTheme="minorHAnsi"/>
          <w:kern w:val="16"/>
          <w:szCs w:val="24"/>
          <w:lang w:eastAsia="en-AU"/>
        </w:rPr>
      </w:pPr>
      <w:r w:rsidRPr="00B11343">
        <w:rPr>
          <w:rFonts w:asciiTheme="minorHAnsi" w:hAnsiTheme="minorHAnsi"/>
          <w:lang w:eastAsia="ja-JP"/>
        </w:rPr>
        <w:t xml:space="preserve">The initial </w:t>
      </w:r>
      <w:r>
        <w:rPr>
          <w:rFonts w:asciiTheme="minorHAnsi" w:hAnsiTheme="minorHAnsi"/>
          <w:lang w:eastAsia="ja-JP"/>
        </w:rPr>
        <w:t>CER</w:t>
      </w:r>
      <w:r w:rsidRPr="00B11343">
        <w:rPr>
          <w:rFonts w:asciiTheme="minorHAnsi" w:hAnsiTheme="minorHAnsi"/>
          <w:lang w:eastAsia="ja-JP"/>
        </w:rPr>
        <w:t xml:space="preserve"> included </w:t>
      </w:r>
      <w:r>
        <w:rPr>
          <w:rFonts w:asciiTheme="minorHAnsi" w:hAnsiTheme="minorHAnsi"/>
          <w:lang w:eastAsia="ja-JP"/>
        </w:rPr>
        <w:t xml:space="preserve">evaluation of </w:t>
      </w:r>
      <w:r w:rsidRPr="00B11343">
        <w:rPr>
          <w:rFonts w:asciiTheme="minorHAnsi" w:hAnsiTheme="minorHAnsi"/>
          <w:lang w:eastAsia="ja-JP"/>
        </w:rPr>
        <w:t>PK data for sarilumab in healthy subjects and adult patients with RA.</w:t>
      </w:r>
      <w:r>
        <w:rPr>
          <w:rFonts w:asciiTheme="minorHAnsi" w:hAnsiTheme="minorHAnsi"/>
          <w:lang w:eastAsia="ja-JP"/>
        </w:rPr>
        <w:t xml:space="preserve"> It was reported in the initial CER that the </w:t>
      </w:r>
      <w:r w:rsidRPr="00B11343">
        <w:rPr>
          <w:rFonts w:asciiTheme="minorHAnsi" w:hAnsiTheme="minorHAnsi"/>
          <w:lang w:eastAsia="ja-JP"/>
        </w:rPr>
        <w:t xml:space="preserve">PK of sarilumab </w:t>
      </w:r>
      <w:r>
        <w:rPr>
          <w:rFonts w:asciiTheme="minorHAnsi" w:hAnsiTheme="minorHAnsi"/>
          <w:lang w:eastAsia="ja-JP"/>
        </w:rPr>
        <w:t xml:space="preserve">had been </w:t>
      </w:r>
      <w:r w:rsidRPr="00B11343">
        <w:rPr>
          <w:rFonts w:asciiTheme="minorHAnsi" w:hAnsiTheme="minorHAnsi"/>
          <w:lang w:eastAsia="ja-JP"/>
        </w:rPr>
        <w:t xml:space="preserve">well </w:t>
      </w:r>
      <w:r w:rsidRPr="00B11343">
        <w:rPr>
          <w:rFonts w:asciiTheme="minorHAnsi" w:eastAsia="Times New Roman" w:hAnsiTheme="minorHAnsi"/>
          <w:kern w:val="16"/>
          <w:szCs w:val="24"/>
          <w:lang w:eastAsia="en-AU"/>
        </w:rPr>
        <w:t>characterised from the PK data collected from 53 healthy subje</w:t>
      </w:r>
      <w:r>
        <w:rPr>
          <w:rFonts w:asciiTheme="minorHAnsi" w:eastAsia="Times New Roman" w:hAnsiTheme="minorHAnsi"/>
          <w:kern w:val="16"/>
          <w:szCs w:val="24"/>
          <w:lang w:eastAsia="en-AU"/>
        </w:rPr>
        <w:t xml:space="preserve">cts involved in 1 </w:t>
      </w:r>
      <w:r w:rsidR="00A81730">
        <w:rPr>
          <w:rFonts w:asciiTheme="minorHAnsi" w:eastAsia="Times New Roman" w:hAnsiTheme="minorHAnsi"/>
          <w:kern w:val="16"/>
          <w:szCs w:val="24"/>
          <w:lang w:eastAsia="en-AU"/>
        </w:rPr>
        <w:t>Phase I</w:t>
      </w:r>
      <w:r>
        <w:rPr>
          <w:rFonts w:asciiTheme="minorHAnsi" w:eastAsia="Times New Roman" w:hAnsiTheme="minorHAnsi"/>
          <w:kern w:val="16"/>
          <w:szCs w:val="24"/>
          <w:lang w:eastAsia="en-AU"/>
        </w:rPr>
        <w:t xml:space="preserve"> study,</w:t>
      </w:r>
      <w:r w:rsidRPr="00B11343">
        <w:rPr>
          <w:rFonts w:asciiTheme="minorHAnsi" w:eastAsia="Times New Roman" w:hAnsiTheme="minorHAnsi"/>
          <w:kern w:val="16"/>
          <w:szCs w:val="24"/>
          <w:lang w:eastAsia="en-AU"/>
        </w:rPr>
        <w:t xml:space="preserve"> 241 adult patients with RA enrolled in 8 </w:t>
      </w:r>
      <w:r w:rsidR="00A81730">
        <w:rPr>
          <w:rFonts w:asciiTheme="minorHAnsi" w:eastAsia="Times New Roman" w:hAnsiTheme="minorHAnsi"/>
          <w:kern w:val="16"/>
          <w:szCs w:val="24"/>
          <w:lang w:eastAsia="en-AU"/>
        </w:rPr>
        <w:t>Phase I</w:t>
      </w:r>
      <w:r w:rsidRPr="00B11343">
        <w:rPr>
          <w:rFonts w:asciiTheme="minorHAnsi" w:eastAsia="Times New Roman" w:hAnsiTheme="minorHAnsi"/>
          <w:kern w:val="16"/>
          <w:szCs w:val="24"/>
          <w:lang w:eastAsia="en-AU"/>
        </w:rPr>
        <w:t xml:space="preserve"> studies and 2671 patients with RA involved in 7 </w:t>
      </w:r>
      <w:r w:rsidR="001470FB">
        <w:rPr>
          <w:rFonts w:asciiTheme="minorHAnsi" w:eastAsia="Times New Roman" w:hAnsiTheme="minorHAnsi"/>
          <w:kern w:val="16"/>
          <w:szCs w:val="24"/>
          <w:lang w:eastAsia="en-AU"/>
        </w:rPr>
        <w:t>Phase II</w:t>
      </w:r>
      <w:r w:rsidRPr="00B11343">
        <w:rPr>
          <w:rFonts w:asciiTheme="minorHAnsi" w:eastAsia="Times New Roman" w:hAnsiTheme="minorHAnsi"/>
          <w:kern w:val="16"/>
          <w:szCs w:val="24"/>
          <w:lang w:eastAsia="en-AU"/>
        </w:rPr>
        <w:t>/</w:t>
      </w:r>
      <w:r w:rsidR="00A81730">
        <w:rPr>
          <w:rFonts w:asciiTheme="minorHAnsi" w:eastAsia="Times New Roman" w:hAnsiTheme="minorHAnsi"/>
          <w:kern w:val="16"/>
          <w:szCs w:val="24"/>
          <w:lang w:eastAsia="en-AU"/>
        </w:rPr>
        <w:t>III</w:t>
      </w:r>
      <w:r w:rsidRPr="00B11343">
        <w:rPr>
          <w:rFonts w:asciiTheme="minorHAnsi" w:eastAsia="Times New Roman" w:hAnsiTheme="minorHAnsi"/>
          <w:kern w:val="16"/>
          <w:szCs w:val="24"/>
          <w:lang w:eastAsia="en-AU"/>
        </w:rPr>
        <w:t xml:space="preserve"> studies of </w:t>
      </w:r>
      <w:r>
        <w:rPr>
          <w:rFonts w:asciiTheme="minorHAnsi" w:eastAsia="Times New Roman" w:hAnsiTheme="minorHAnsi"/>
          <w:kern w:val="16"/>
          <w:szCs w:val="24"/>
          <w:lang w:eastAsia="en-AU"/>
        </w:rPr>
        <w:t>sarilumab treatment</w:t>
      </w:r>
      <w:r w:rsidRPr="00B11343">
        <w:rPr>
          <w:rFonts w:asciiTheme="minorHAnsi" w:eastAsia="Times New Roman" w:hAnsiTheme="minorHAnsi"/>
          <w:kern w:val="16"/>
          <w:szCs w:val="24"/>
          <w:lang w:eastAsia="en-AU"/>
        </w:rPr>
        <w:t xml:space="preserve">. The clinical pharmacology </w:t>
      </w:r>
      <w:r w:rsidRPr="00B817F6">
        <w:rPr>
          <w:rFonts w:asciiTheme="minorHAnsi" w:eastAsia="Times New Roman" w:hAnsiTheme="minorHAnsi"/>
          <w:kern w:val="16"/>
          <w:szCs w:val="24"/>
          <w:lang w:eastAsia="en-AU"/>
        </w:rPr>
        <w:t xml:space="preserve">studies (PK and PD) are summarised in Table </w:t>
      </w:r>
      <w:r w:rsidR="00B817F6" w:rsidRPr="00B817F6">
        <w:rPr>
          <w:rFonts w:asciiTheme="minorHAnsi" w:eastAsia="Times New Roman" w:hAnsiTheme="minorHAnsi"/>
          <w:kern w:val="16"/>
          <w:szCs w:val="24"/>
          <w:lang w:eastAsia="en-AU"/>
        </w:rPr>
        <w:t>7</w:t>
      </w:r>
      <w:r w:rsidRPr="00B817F6">
        <w:rPr>
          <w:rFonts w:asciiTheme="minorHAnsi" w:eastAsia="Times New Roman" w:hAnsiTheme="minorHAnsi"/>
          <w:kern w:val="16"/>
          <w:szCs w:val="24"/>
          <w:lang w:eastAsia="en-AU"/>
        </w:rPr>
        <w:t>.</w:t>
      </w:r>
    </w:p>
    <w:p w:rsidR="00AA6B20" w:rsidRDefault="002928AB" w:rsidP="002928A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rPr>
          <w:rFonts w:asciiTheme="minorHAnsi" w:eastAsia="Times New Roman" w:hAnsiTheme="minorHAnsi"/>
          <w:kern w:val="16"/>
          <w:szCs w:val="24"/>
          <w:lang w:eastAsia="en-AU"/>
        </w:rPr>
      </w:pPr>
      <w:r w:rsidRPr="00B817F6">
        <w:rPr>
          <w:rFonts w:asciiTheme="minorHAnsi" w:eastAsia="Times New Roman" w:hAnsiTheme="minorHAnsi"/>
          <w:kern w:val="16"/>
          <w:szCs w:val="24"/>
          <w:lang w:eastAsia="en-AU"/>
        </w:rPr>
        <w:t xml:space="preserve">The initial CER stated that the sponsor also conducted 4 pre-specified population PK and population PK/PD analyses using pooled data from </w:t>
      </w:r>
      <w:r w:rsidR="00A81730" w:rsidRPr="00B817F6">
        <w:rPr>
          <w:rFonts w:asciiTheme="minorHAnsi" w:eastAsia="Times New Roman" w:hAnsiTheme="minorHAnsi"/>
          <w:kern w:val="16"/>
          <w:szCs w:val="24"/>
          <w:lang w:eastAsia="en-AU"/>
        </w:rPr>
        <w:t>Phase I</w:t>
      </w:r>
      <w:r w:rsidRPr="00B817F6">
        <w:rPr>
          <w:rFonts w:asciiTheme="minorHAnsi" w:eastAsia="Times New Roman" w:hAnsiTheme="minorHAnsi"/>
          <w:kern w:val="16"/>
          <w:szCs w:val="24"/>
          <w:lang w:eastAsia="en-AU"/>
        </w:rPr>
        <w:t xml:space="preserve">, </w:t>
      </w:r>
      <w:r w:rsidR="00A81730" w:rsidRPr="00B817F6">
        <w:rPr>
          <w:rFonts w:asciiTheme="minorHAnsi" w:eastAsia="Times New Roman" w:hAnsiTheme="minorHAnsi"/>
          <w:kern w:val="16"/>
          <w:szCs w:val="24"/>
          <w:lang w:eastAsia="en-AU"/>
        </w:rPr>
        <w:t>II</w:t>
      </w:r>
      <w:r w:rsidRPr="00B817F6">
        <w:rPr>
          <w:rFonts w:asciiTheme="minorHAnsi" w:eastAsia="Times New Roman" w:hAnsiTheme="minorHAnsi"/>
          <w:kern w:val="16"/>
          <w:szCs w:val="24"/>
          <w:lang w:eastAsia="en-AU"/>
        </w:rPr>
        <w:t xml:space="preserve"> and </w:t>
      </w:r>
      <w:r w:rsidR="00A81730" w:rsidRPr="00B817F6">
        <w:rPr>
          <w:rFonts w:asciiTheme="minorHAnsi" w:eastAsia="Times New Roman" w:hAnsiTheme="minorHAnsi"/>
          <w:kern w:val="16"/>
          <w:szCs w:val="24"/>
          <w:lang w:eastAsia="en-AU"/>
        </w:rPr>
        <w:t>III</w:t>
      </w:r>
      <w:r w:rsidRPr="00B817F6">
        <w:rPr>
          <w:rFonts w:asciiTheme="minorHAnsi" w:eastAsia="Times New Roman" w:hAnsiTheme="minorHAnsi"/>
          <w:kern w:val="16"/>
          <w:szCs w:val="24"/>
          <w:lang w:eastAsia="en-AU"/>
        </w:rPr>
        <w:t xml:space="preserve"> studies. These studies are summarised in Table</w:t>
      </w:r>
      <w:r w:rsidR="00B817F6" w:rsidRPr="00B817F6">
        <w:rPr>
          <w:rFonts w:asciiTheme="minorHAnsi" w:eastAsia="Times New Roman" w:hAnsiTheme="minorHAnsi"/>
          <w:kern w:val="16"/>
          <w:szCs w:val="24"/>
          <w:lang w:eastAsia="en-AU"/>
        </w:rPr>
        <w:t xml:space="preserve"> 8</w:t>
      </w:r>
      <w:r w:rsidRPr="00B817F6">
        <w:rPr>
          <w:rFonts w:asciiTheme="minorHAnsi" w:eastAsia="Times New Roman" w:hAnsiTheme="minorHAnsi"/>
          <w:kern w:val="16"/>
          <w:szCs w:val="24"/>
          <w:lang w:eastAsia="en-AU"/>
        </w:rPr>
        <w:t>. It was stated in the initial CER that</w:t>
      </w:r>
      <w:r>
        <w:rPr>
          <w:rFonts w:asciiTheme="minorHAnsi" w:eastAsia="Times New Roman" w:hAnsiTheme="minorHAnsi"/>
          <w:kern w:val="16"/>
          <w:szCs w:val="24"/>
          <w:lang w:eastAsia="en-AU"/>
        </w:rPr>
        <w:t xml:space="preserve"> none</w:t>
      </w:r>
      <w:r w:rsidRPr="00B11343">
        <w:rPr>
          <w:rFonts w:asciiTheme="minorHAnsi" w:eastAsia="Times New Roman" w:hAnsiTheme="minorHAnsi"/>
          <w:kern w:val="16"/>
          <w:szCs w:val="24"/>
          <w:lang w:eastAsia="en-AU"/>
        </w:rPr>
        <w:t xml:space="preserve"> of the population PK/PD analyses had deficiencies that excluded t</w:t>
      </w:r>
      <w:r>
        <w:rPr>
          <w:rFonts w:asciiTheme="minorHAnsi" w:eastAsia="Times New Roman" w:hAnsiTheme="minorHAnsi"/>
          <w:kern w:val="16"/>
          <w:szCs w:val="24"/>
          <w:lang w:eastAsia="en-AU"/>
        </w:rPr>
        <w:t>heir results from consideration</w:t>
      </w:r>
      <w:r w:rsidRPr="00B11343">
        <w:rPr>
          <w:rFonts w:asciiTheme="minorHAnsi" w:eastAsia="Times New Roman" w:hAnsiTheme="minorHAnsi"/>
          <w:kern w:val="16"/>
          <w:szCs w:val="24"/>
          <w:lang w:eastAsia="en-AU"/>
        </w:rPr>
        <w:t>.</w:t>
      </w:r>
    </w:p>
    <w:p w:rsidR="00F3393B" w:rsidRDefault="00F3393B" w:rsidP="00B817F6">
      <w:pPr>
        <w:pStyle w:val="Tabletitle0"/>
      </w:pPr>
      <w:r>
        <w:lastRenderedPageBreak/>
        <w:t xml:space="preserve">Table </w:t>
      </w:r>
      <w:r w:rsidR="00B817F6">
        <w:t xml:space="preserve">7: </w:t>
      </w:r>
      <w:r>
        <w:t xml:space="preserve">Summary of submitted </w:t>
      </w:r>
      <w:r w:rsidR="006A009A">
        <w:t xml:space="preserve">clinical pharmacology studies </w:t>
      </w:r>
      <w:r>
        <w:t xml:space="preserve">(PK and PD) with </w:t>
      </w:r>
      <w:r w:rsidR="00B817F6">
        <w:t>s</w:t>
      </w:r>
      <w:r>
        <w:t>arilumab</w:t>
      </w:r>
    </w:p>
    <w:p w:rsidR="00F3393B" w:rsidRDefault="00B817F6" w:rsidP="00F3393B">
      <w:r>
        <w:rPr>
          <w:noProof/>
          <w:lang w:eastAsia="en-AU"/>
        </w:rPr>
        <w:drawing>
          <wp:inline distT="0" distB="0" distL="0" distR="0" wp14:anchorId="3C720BED" wp14:editId="7E4067B9">
            <wp:extent cx="4817703" cy="6986016"/>
            <wp:effectExtent l="0" t="0" r="2540" b="5715"/>
            <wp:docPr id="911" name="Picture 911" descr=": Summary of submitted Clinical Pharmacology Studies (PK and PD) with Sarilumab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BEBA8EAE-BF5A-486C-A8C5-ECC9F3942E4B}">
                          <a14:imgProps xmlns:a14="http://schemas.microsoft.com/office/drawing/2010/main">
                            <a14:imgLayer r:embed="rId20">
                              <a14:imgEffect>
                                <a14:sharpenSoften amount="50000"/>
                              </a14:imgEffect>
                            </a14:imgLayer>
                          </a14:imgProps>
                        </a:ext>
                      </a:extLst>
                    </a:blip>
                    <a:srcRect l="2324"/>
                    <a:stretch/>
                  </pic:blipFill>
                  <pic:spPr bwMode="auto">
                    <a:xfrm>
                      <a:off x="0" y="0"/>
                      <a:ext cx="4824491" cy="6995859"/>
                    </a:xfrm>
                    <a:prstGeom prst="rect">
                      <a:avLst/>
                    </a:prstGeom>
                    <a:ln>
                      <a:noFill/>
                    </a:ln>
                    <a:extLst>
                      <a:ext uri="{53640926-AAD7-44D8-BBD7-CCE9431645EC}">
                        <a14:shadowObscured xmlns:a14="http://schemas.microsoft.com/office/drawing/2010/main"/>
                      </a:ext>
                    </a:extLst>
                  </pic:spPr>
                </pic:pic>
              </a:graphicData>
            </a:graphic>
          </wp:inline>
        </w:drawing>
      </w:r>
    </w:p>
    <w:p w:rsidR="00F3393B" w:rsidRDefault="00F3393B" w:rsidP="00B817F6">
      <w:pPr>
        <w:pStyle w:val="TableDescription"/>
      </w:pPr>
      <w:proofErr w:type="gramStart"/>
      <w:r>
        <w:t xml:space="preserve">Abbreviations and explanation footnotes as per Table </w:t>
      </w:r>
      <w:r w:rsidR="00B817F6">
        <w:t>8 below.</w:t>
      </w:r>
      <w:proofErr w:type="gramEnd"/>
    </w:p>
    <w:p w:rsidR="00F3393B" w:rsidRDefault="00F3393B" w:rsidP="00B817F6">
      <w:pPr>
        <w:pStyle w:val="Tabletitle0"/>
      </w:pPr>
      <w:r>
        <w:lastRenderedPageBreak/>
        <w:t xml:space="preserve">Table </w:t>
      </w:r>
      <w:r w:rsidR="00B817F6">
        <w:t>8:</w:t>
      </w:r>
      <w:r>
        <w:t xml:space="preserve"> Summary of submitted Population PK/PD Studies with </w:t>
      </w:r>
      <w:r w:rsidR="00B817F6">
        <w:t>s</w:t>
      </w:r>
      <w:r>
        <w:t>arilumab</w:t>
      </w:r>
    </w:p>
    <w:p w:rsidR="00F3393B" w:rsidRPr="00F3393B" w:rsidRDefault="00F3393B" w:rsidP="00F3393B">
      <w:r>
        <w:rPr>
          <w:noProof/>
          <w:lang w:eastAsia="en-AU"/>
        </w:rPr>
        <w:drawing>
          <wp:inline distT="0" distB="0" distL="0" distR="0" wp14:anchorId="07D8223D" wp14:editId="09A64592">
            <wp:extent cx="5313225" cy="4257447"/>
            <wp:effectExtent l="0" t="0" r="1905" b="0"/>
            <wp:docPr id="898" name="Picture 898" descr="Summary of submitted Population PK/PD Studies with Sarilumab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13157" cy="4257392"/>
                    </a:xfrm>
                    <a:prstGeom prst="rect">
                      <a:avLst/>
                    </a:prstGeom>
                    <a:noFill/>
                    <a:ln>
                      <a:noFill/>
                    </a:ln>
                  </pic:spPr>
                </pic:pic>
              </a:graphicData>
            </a:graphic>
          </wp:inline>
        </w:drawing>
      </w:r>
    </w:p>
    <w:p w:rsidR="00AA6B20" w:rsidRDefault="002928AB" w:rsidP="002928AB">
      <w:pPr>
        <w:rPr>
          <w:rFonts w:asciiTheme="minorHAnsi" w:eastAsia="Times New Roman" w:hAnsiTheme="minorHAnsi"/>
          <w:kern w:val="16"/>
          <w:szCs w:val="24"/>
          <w:lang w:eastAsia="en-AU"/>
        </w:rPr>
      </w:pPr>
      <w:r>
        <w:rPr>
          <w:rFonts w:asciiTheme="minorHAnsi" w:eastAsia="Times New Roman" w:hAnsiTheme="minorHAnsi"/>
          <w:kern w:val="16"/>
          <w:szCs w:val="24"/>
          <w:lang w:eastAsia="en-AU"/>
        </w:rPr>
        <w:t xml:space="preserve">The following summary of the </w:t>
      </w:r>
      <w:r w:rsidRPr="00B11343">
        <w:rPr>
          <w:rFonts w:asciiTheme="minorHAnsi" w:eastAsia="Times New Roman" w:hAnsiTheme="minorHAnsi"/>
          <w:kern w:val="16"/>
          <w:szCs w:val="24"/>
          <w:lang w:eastAsia="en-AU"/>
        </w:rPr>
        <w:t xml:space="preserve">PK of sarilumab is from </w:t>
      </w:r>
      <w:r>
        <w:rPr>
          <w:rFonts w:asciiTheme="minorHAnsi" w:eastAsia="Times New Roman" w:hAnsiTheme="minorHAnsi"/>
          <w:kern w:val="16"/>
          <w:szCs w:val="24"/>
          <w:lang w:eastAsia="en-AU"/>
        </w:rPr>
        <w:t xml:space="preserve">data provided in </w:t>
      </w:r>
      <w:r w:rsidRPr="00B11343">
        <w:rPr>
          <w:rFonts w:asciiTheme="minorHAnsi" w:eastAsia="Times New Roman" w:hAnsiTheme="minorHAnsi"/>
          <w:kern w:val="16"/>
          <w:szCs w:val="24"/>
          <w:lang w:eastAsia="en-AU"/>
        </w:rPr>
        <w:t xml:space="preserve">the initial </w:t>
      </w:r>
      <w:r>
        <w:rPr>
          <w:rFonts w:asciiTheme="minorHAnsi" w:eastAsia="Times New Roman" w:hAnsiTheme="minorHAnsi"/>
          <w:kern w:val="16"/>
          <w:szCs w:val="24"/>
          <w:lang w:eastAsia="en-AU"/>
        </w:rPr>
        <w:t>CER.</w:t>
      </w:r>
    </w:p>
    <w:p w:rsidR="00AA6B20" w:rsidRDefault="002928AB" w:rsidP="00E246F9">
      <w:pPr>
        <w:pStyle w:val="ListBullet"/>
      </w:pPr>
      <w:r>
        <w:rPr>
          <w:kern w:val="16"/>
          <w:szCs w:val="24"/>
          <w:lang w:eastAsia="en-AU"/>
        </w:rPr>
        <w:t xml:space="preserve">Sarilumab </w:t>
      </w:r>
      <w:r w:rsidRPr="00B11343">
        <w:rPr>
          <w:lang w:eastAsia="en-AU"/>
        </w:rPr>
        <w:t xml:space="preserve">is well absorbed after a single SC dose in patients with RA, with the maximum serum concentration of functional </w:t>
      </w:r>
      <w:r>
        <w:rPr>
          <w:kern w:val="16"/>
          <w:szCs w:val="24"/>
          <w:lang w:eastAsia="en-AU"/>
        </w:rPr>
        <w:t xml:space="preserve">sarilumab </w:t>
      </w:r>
      <w:r w:rsidRPr="00B11343">
        <w:rPr>
          <w:lang w:eastAsia="en-AU"/>
        </w:rPr>
        <w:t>being achieved at a median</w:t>
      </w:r>
      <w:r w:rsidRPr="00B11343">
        <w:t xml:space="preserve"> </w:t>
      </w:r>
      <w:proofErr w:type="spellStart"/>
      <w:r w:rsidRPr="00B11343">
        <w:t>T</w:t>
      </w:r>
      <w:r w:rsidRPr="00B11343">
        <w:rPr>
          <w:sz w:val="18"/>
          <w:szCs w:val="18"/>
        </w:rPr>
        <w:t>max</w:t>
      </w:r>
      <w:proofErr w:type="spellEnd"/>
      <w:r w:rsidRPr="00B11343">
        <w:rPr>
          <w:lang w:eastAsia="en-AU"/>
        </w:rPr>
        <w:t xml:space="preserve"> of 2</w:t>
      </w:r>
      <w:r w:rsidR="00912D65">
        <w:rPr>
          <w:lang w:eastAsia="en-AU"/>
        </w:rPr>
        <w:t xml:space="preserve"> to </w:t>
      </w:r>
      <w:r w:rsidRPr="00B11343">
        <w:rPr>
          <w:lang w:eastAsia="en-AU"/>
        </w:rPr>
        <w:t xml:space="preserve">4 days, with no apparent dose effect. </w:t>
      </w:r>
      <w:r w:rsidRPr="00B11343">
        <w:t xml:space="preserve">The bioavailability </w:t>
      </w:r>
      <w:r>
        <w:t xml:space="preserve">of </w:t>
      </w:r>
      <w:r>
        <w:rPr>
          <w:kern w:val="16"/>
          <w:szCs w:val="24"/>
          <w:lang w:eastAsia="en-AU"/>
        </w:rPr>
        <w:t>sarilumab</w:t>
      </w:r>
      <w:r w:rsidRPr="00B11343">
        <w:t xml:space="preserve"> after SC injection is estimated to be 80% using data from the </w:t>
      </w:r>
      <w:r w:rsidR="00912D65">
        <w:t xml:space="preserve">Population </w:t>
      </w:r>
      <w:r>
        <w:t xml:space="preserve">PK </w:t>
      </w:r>
      <w:r w:rsidR="00A81730">
        <w:t>S</w:t>
      </w:r>
      <w:r w:rsidRPr="00B11343">
        <w:t>tudy</w:t>
      </w:r>
      <w:r w:rsidR="00912D65">
        <w:t> </w:t>
      </w:r>
      <w:r w:rsidRPr="00B11343">
        <w:t>POH0428.</w:t>
      </w:r>
    </w:p>
    <w:p w:rsidR="00AA6B20" w:rsidRPr="00B817F6" w:rsidRDefault="002928AB" w:rsidP="00E246F9">
      <w:pPr>
        <w:pStyle w:val="ListBullet"/>
        <w:rPr>
          <w:lang w:eastAsia="en-AU"/>
        </w:rPr>
      </w:pPr>
      <w:r w:rsidRPr="00B11343">
        <w:t xml:space="preserve">Functional </w:t>
      </w:r>
      <w:r>
        <w:rPr>
          <w:kern w:val="16"/>
          <w:szCs w:val="24"/>
          <w:lang w:eastAsia="en-AU"/>
        </w:rPr>
        <w:t>sarilumab</w:t>
      </w:r>
      <w:r w:rsidRPr="00B11343">
        <w:t xml:space="preserve"> exposure increases in a greater than dose proportional manner in patients with RA, due to an appreciable contribution by non-linear clearance to the total drug clearance in the therapeutic dose </w:t>
      </w:r>
      <w:r w:rsidRPr="00B817F6">
        <w:t xml:space="preserve">range. The PK parameters of </w:t>
      </w:r>
      <w:r w:rsidRPr="00B817F6">
        <w:rPr>
          <w:kern w:val="16"/>
          <w:szCs w:val="24"/>
          <w:lang w:eastAsia="en-AU"/>
        </w:rPr>
        <w:t>sarilumab</w:t>
      </w:r>
      <w:r w:rsidRPr="00B817F6">
        <w:t xml:space="preserve"> after single SC dose administration are summarised in Table </w:t>
      </w:r>
      <w:r w:rsidR="00B817F6" w:rsidRPr="00B817F6">
        <w:t>9</w:t>
      </w:r>
      <w:r w:rsidRPr="00B817F6">
        <w:t xml:space="preserve">. </w:t>
      </w:r>
      <w:r w:rsidRPr="00B817F6">
        <w:rPr>
          <w:lang w:eastAsia="en-AU"/>
        </w:rPr>
        <w:t xml:space="preserve">After repeated SC doses of </w:t>
      </w:r>
      <w:r w:rsidRPr="00B817F6">
        <w:rPr>
          <w:kern w:val="16"/>
          <w:szCs w:val="24"/>
          <w:lang w:eastAsia="en-AU"/>
        </w:rPr>
        <w:t>sarilumab</w:t>
      </w:r>
      <w:r w:rsidRPr="00B817F6">
        <w:rPr>
          <w:lang w:eastAsia="en-AU"/>
        </w:rPr>
        <w:t xml:space="preserve"> in the </w:t>
      </w:r>
      <w:r w:rsidR="001470FB" w:rsidRPr="00B817F6">
        <w:rPr>
          <w:lang w:eastAsia="en-AU"/>
        </w:rPr>
        <w:t>Phase II</w:t>
      </w:r>
      <w:r w:rsidR="00912D65">
        <w:rPr>
          <w:lang w:eastAsia="en-AU"/>
        </w:rPr>
        <w:t>/</w:t>
      </w:r>
      <w:r w:rsidR="00103B86">
        <w:rPr>
          <w:lang w:eastAsia="en-AU"/>
        </w:rPr>
        <w:t>III</w:t>
      </w:r>
      <w:r w:rsidRPr="00B817F6">
        <w:rPr>
          <w:lang w:eastAsia="en-AU"/>
        </w:rPr>
        <w:t xml:space="preserve"> studies, the mean steady state trough serum concentrations </w:t>
      </w:r>
      <w:r w:rsidRPr="00B817F6">
        <w:t>(</w:t>
      </w:r>
      <w:proofErr w:type="spellStart"/>
      <w:r w:rsidRPr="00B817F6">
        <w:t>C</w:t>
      </w:r>
      <w:r w:rsidRPr="00B817F6">
        <w:rPr>
          <w:sz w:val="18"/>
          <w:szCs w:val="18"/>
        </w:rPr>
        <w:t>trough</w:t>
      </w:r>
      <w:proofErr w:type="spellEnd"/>
      <w:r w:rsidRPr="00B817F6">
        <w:rPr>
          <w:lang w:eastAsia="en-AU"/>
        </w:rPr>
        <w:t xml:space="preserve">) of </w:t>
      </w:r>
      <w:proofErr w:type="spellStart"/>
      <w:r w:rsidRPr="00B817F6">
        <w:rPr>
          <w:kern w:val="16"/>
          <w:szCs w:val="24"/>
          <w:lang w:eastAsia="en-AU"/>
        </w:rPr>
        <w:t>sarilumab</w:t>
      </w:r>
      <w:proofErr w:type="spellEnd"/>
      <w:r w:rsidRPr="00B817F6">
        <w:rPr>
          <w:lang w:eastAsia="en-AU"/>
        </w:rPr>
        <w:t xml:space="preserve"> increased by 2.1</w:t>
      </w:r>
      <w:r w:rsidR="00912D65">
        <w:rPr>
          <w:lang w:eastAsia="en-AU"/>
        </w:rPr>
        <w:t xml:space="preserve"> to </w:t>
      </w:r>
      <w:r w:rsidRPr="00B817F6">
        <w:rPr>
          <w:lang w:eastAsia="en-AU"/>
        </w:rPr>
        <w:t xml:space="preserve">3.1 fold and </w:t>
      </w:r>
      <w:r w:rsidRPr="00B817F6">
        <w:t>AUC</w:t>
      </w:r>
      <w:r w:rsidRPr="00B817F6">
        <w:rPr>
          <w:sz w:val="18"/>
          <w:szCs w:val="18"/>
        </w:rPr>
        <w:t>0-14 days</w:t>
      </w:r>
      <w:r w:rsidRPr="00B817F6">
        <w:rPr>
          <w:sz w:val="18"/>
          <w:szCs w:val="18"/>
          <w:vertAlign w:val="subscript"/>
          <w:lang w:eastAsia="en-AU"/>
        </w:rPr>
        <w:t xml:space="preserve"> </w:t>
      </w:r>
      <w:r w:rsidRPr="00B817F6">
        <w:rPr>
          <w:lang w:eastAsia="en-AU"/>
        </w:rPr>
        <w:t xml:space="preserve">increased by 2.0-fold with only a 1.33-fold increase in </w:t>
      </w:r>
      <w:r w:rsidRPr="00B817F6">
        <w:rPr>
          <w:kern w:val="16"/>
          <w:szCs w:val="24"/>
          <w:lang w:eastAsia="en-AU"/>
        </w:rPr>
        <w:t>sarilumab</w:t>
      </w:r>
      <w:r w:rsidRPr="00B817F6">
        <w:rPr>
          <w:lang w:eastAsia="en-AU"/>
        </w:rPr>
        <w:t xml:space="preserve"> dose from 150 to 200</w:t>
      </w:r>
      <w:r w:rsidR="00912D65">
        <w:rPr>
          <w:lang w:eastAsia="en-AU"/>
        </w:rPr>
        <w:t> </w:t>
      </w:r>
      <w:r w:rsidRPr="00B817F6">
        <w:rPr>
          <w:lang w:eastAsia="en-AU"/>
        </w:rPr>
        <w:t xml:space="preserve">mg q2w. The PK parameters of </w:t>
      </w:r>
      <w:r w:rsidRPr="00B817F6">
        <w:rPr>
          <w:kern w:val="16"/>
          <w:szCs w:val="24"/>
          <w:lang w:eastAsia="en-AU"/>
        </w:rPr>
        <w:t>sarilumab</w:t>
      </w:r>
      <w:r w:rsidRPr="00B817F6">
        <w:rPr>
          <w:lang w:eastAsia="en-AU"/>
        </w:rPr>
        <w:t xml:space="preserve"> after repeat SC dose administration are summarised in Table </w:t>
      </w:r>
      <w:r w:rsidR="00B817F6" w:rsidRPr="00B817F6">
        <w:rPr>
          <w:lang w:eastAsia="en-AU"/>
        </w:rPr>
        <w:t>10</w:t>
      </w:r>
      <w:r w:rsidRPr="00B817F6">
        <w:rPr>
          <w:lang w:eastAsia="en-AU"/>
        </w:rPr>
        <w:t>.</w:t>
      </w:r>
    </w:p>
    <w:p w:rsidR="00F3393B" w:rsidRDefault="00F3393B" w:rsidP="00B817F6">
      <w:pPr>
        <w:pStyle w:val="Tabletitle0"/>
      </w:pPr>
      <w:r>
        <w:lastRenderedPageBreak/>
        <w:t>Table</w:t>
      </w:r>
      <w:r w:rsidR="00B817F6">
        <w:t xml:space="preserve"> 9: </w:t>
      </w:r>
      <w:r>
        <w:t xml:space="preserve">Pharmacokinetic </w:t>
      </w:r>
      <w:r w:rsidR="00912D65">
        <w:t>parameters of serum functional SAR after a single SC dose</w:t>
      </w:r>
    </w:p>
    <w:p w:rsidR="00F3393B" w:rsidRDefault="00F3393B" w:rsidP="00B817F6">
      <w:r>
        <w:rPr>
          <w:noProof/>
          <w:lang w:eastAsia="en-AU"/>
        </w:rPr>
        <w:drawing>
          <wp:inline distT="0" distB="0" distL="0" distR="0" wp14:anchorId="4AC7A97C" wp14:editId="68BDE3C5">
            <wp:extent cx="5176458" cy="5749747"/>
            <wp:effectExtent l="0" t="0" r="5715" b="3810"/>
            <wp:docPr id="899" name="Picture 899" descr="Pharmacokinetic Parameters of Serum Functional SAR after a Single SC Do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79563" cy="5753196"/>
                    </a:xfrm>
                    <a:prstGeom prst="rect">
                      <a:avLst/>
                    </a:prstGeom>
                    <a:noFill/>
                    <a:ln>
                      <a:noFill/>
                    </a:ln>
                  </pic:spPr>
                </pic:pic>
              </a:graphicData>
            </a:graphic>
          </wp:inline>
        </w:drawing>
      </w:r>
    </w:p>
    <w:p w:rsidR="00F3393B" w:rsidRDefault="00F3393B" w:rsidP="00B817F6">
      <w:pPr>
        <w:pStyle w:val="Tabletitle0"/>
      </w:pPr>
      <w:r>
        <w:lastRenderedPageBreak/>
        <w:t xml:space="preserve">Table </w:t>
      </w:r>
      <w:r w:rsidR="00B817F6">
        <w:t>10:</w:t>
      </w:r>
      <w:r>
        <w:t xml:space="preserve"> Pharmacokinetic </w:t>
      </w:r>
      <w:r w:rsidR="00912D65">
        <w:t>parameters of serum functional SAR after repeat SC doses</w:t>
      </w:r>
    </w:p>
    <w:p w:rsidR="00F3393B" w:rsidRPr="00135E7A" w:rsidRDefault="00F3393B" w:rsidP="00B817F6">
      <w:r>
        <w:rPr>
          <w:noProof/>
          <w:lang w:eastAsia="en-AU"/>
        </w:rPr>
        <w:drawing>
          <wp:inline distT="0" distB="0" distL="0" distR="0" wp14:anchorId="57D7E1B8" wp14:editId="0FFB31EE">
            <wp:extent cx="5119371" cy="5325465"/>
            <wp:effectExtent l="0" t="0" r="5080" b="8890"/>
            <wp:docPr id="900" name="Picture 900" descr="Pharmacokinetic Parameters of Serum Functional SAR after Repeat SC D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20259" cy="5326389"/>
                    </a:xfrm>
                    <a:prstGeom prst="rect">
                      <a:avLst/>
                    </a:prstGeom>
                    <a:noFill/>
                    <a:ln>
                      <a:noFill/>
                    </a:ln>
                  </pic:spPr>
                </pic:pic>
              </a:graphicData>
            </a:graphic>
          </wp:inline>
        </w:drawing>
      </w:r>
    </w:p>
    <w:p w:rsidR="002928AB" w:rsidRPr="00B11343" w:rsidRDefault="002928AB" w:rsidP="00E246F9">
      <w:pPr>
        <w:pStyle w:val="ListBullet"/>
        <w:rPr>
          <w:lang w:eastAsia="en-AU"/>
        </w:rPr>
      </w:pPr>
      <w:r>
        <w:rPr>
          <w:lang w:eastAsia="en-AU"/>
        </w:rPr>
        <w:t xml:space="preserve">The population PK </w:t>
      </w:r>
      <w:r w:rsidR="00894642">
        <w:rPr>
          <w:lang w:eastAsia="en-AU"/>
        </w:rPr>
        <w:t>Study POH</w:t>
      </w:r>
      <w:r w:rsidRPr="00B11343">
        <w:rPr>
          <w:lang w:eastAsia="en-AU"/>
        </w:rPr>
        <w:t xml:space="preserve">0428 estimated the total volume of distribution of </w:t>
      </w:r>
      <w:r>
        <w:rPr>
          <w:kern w:val="16"/>
          <w:szCs w:val="24"/>
          <w:lang w:eastAsia="en-AU"/>
        </w:rPr>
        <w:t>sarilumab</w:t>
      </w:r>
      <w:r w:rsidRPr="00B11343">
        <w:rPr>
          <w:lang w:eastAsia="en-AU"/>
        </w:rPr>
        <w:t xml:space="preserve"> </w:t>
      </w:r>
      <w:r>
        <w:rPr>
          <w:lang w:eastAsia="en-AU"/>
        </w:rPr>
        <w:t xml:space="preserve">to be </w:t>
      </w:r>
      <w:r w:rsidRPr="00B11343">
        <w:rPr>
          <w:lang w:eastAsia="en-AU"/>
        </w:rPr>
        <w:t xml:space="preserve">7.31 L. This low value suggests that the distribution of </w:t>
      </w:r>
      <w:r>
        <w:rPr>
          <w:kern w:val="16"/>
          <w:szCs w:val="24"/>
          <w:lang w:eastAsia="en-AU"/>
        </w:rPr>
        <w:t>sarilumab</w:t>
      </w:r>
      <w:r w:rsidRPr="00B11343">
        <w:rPr>
          <w:lang w:eastAsia="en-AU"/>
        </w:rPr>
        <w:t xml:space="preserve"> is primarily limited to the circulatory system, which is a characteristic finding in monoclonal antibodies.</w:t>
      </w:r>
    </w:p>
    <w:p w:rsidR="00AA6B20" w:rsidRDefault="002928AB" w:rsidP="00E246F9">
      <w:pPr>
        <w:pStyle w:val="ListBullet"/>
        <w:rPr>
          <w:lang w:eastAsia="en-AU"/>
        </w:rPr>
      </w:pPr>
      <w:r w:rsidRPr="00B11343">
        <w:rPr>
          <w:lang w:eastAsia="en-AU"/>
        </w:rPr>
        <w:t xml:space="preserve">No specific </w:t>
      </w:r>
      <w:r w:rsidRPr="00A81730">
        <w:rPr>
          <w:lang w:eastAsia="en-AU"/>
        </w:rPr>
        <w:t>in vitro or in vivo</w:t>
      </w:r>
      <w:r w:rsidRPr="00B11343">
        <w:rPr>
          <w:lang w:eastAsia="en-AU"/>
        </w:rPr>
        <w:t xml:space="preserve"> metabolism studies have been conducted with </w:t>
      </w:r>
      <w:r>
        <w:rPr>
          <w:kern w:val="16"/>
          <w:szCs w:val="24"/>
          <w:lang w:eastAsia="en-AU"/>
        </w:rPr>
        <w:t>sarilumab</w:t>
      </w:r>
      <w:r w:rsidRPr="00B11343">
        <w:rPr>
          <w:lang w:eastAsia="en-AU"/>
        </w:rPr>
        <w:t xml:space="preserve">. As a therapeutic protein, </w:t>
      </w:r>
      <w:r>
        <w:rPr>
          <w:kern w:val="16"/>
          <w:szCs w:val="24"/>
          <w:lang w:eastAsia="en-AU"/>
        </w:rPr>
        <w:t>sarilumab</w:t>
      </w:r>
      <w:r w:rsidRPr="00B11343">
        <w:rPr>
          <w:lang w:eastAsia="en-AU"/>
        </w:rPr>
        <w:t xml:space="preserve"> is considered to be metabolised by the same catabolic pathways as endogenous proteins, which are typically broken down into small peptides and amino acids via proteolysis.</w:t>
      </w:r>
    </w:p>
    <w:p w:rsidR="002928AB" w:rsidRPr="00B11343" w:rsidRDefault="002928AB" w:rsidP="00E246F9">
      <w:pPr>
        <w:pStyle w:val="ListBullet"/>
        <w:rPr>
          <w:lang w:eastAsia="en-AU"/>
        </w:rPr>
      </w:pPr>
      <w:r w:rsidRPr="00B11343">
        <w:rPr>
          <w:lang w:eastAsia="en-AU"/>
        </w:rPr>
        <w:t xml:space="preserve">Overall, </w:t>
      </w:r>
      <w:r>
        <w:rPr>
          <w:kern w:val="16"/>
          <w:szCs w:val="24"/>
          <w:lang w:eastAsia="en-AU"/>
        </w:rPr>
        <w:t>sarilumab</w:t>
      </w:r>
      <w:r w:rsidRPr="00B11343">
        <w:rPr>
          <w:lang w:eastAsia="en-AU"/>
        </w:rPr>
        <w:t xml:space="preserve"> exhibits non-linear PK characteristics with 2 distinct processes for elimination. There is a slow, linear and non-saturable elimination phase at higher serum concentrations, when target binding is at or near saturation, and a fast, non</w:t>
      </w:r>
      <w:r>
        <w:rPr>
          <w:lang w:eastAsia="en-AU"/>
        </w:rPr>
        <w:t>-</w:t>
      </w:r>
      <w:r w:rsidRPr="00B11343">
        <w:rPr>
          <w:lang w:eastAsia="en-AU"/>
        </w:rPr>
        <w:t xml:space="preserve">linear, target mediated elimination phase at lower serum concentrations. The fast elimination process is presumably a result of internalisation via endocytosis of target-bound </w:t>
      </w:r>
      <w:r>
        <w:rPr>
          <w:kern w:val="16"/>
          <w:szCs w:val="24"/>
          <w:lang w:eastAsia="en-AU"/>
        </w:rPr>
        <w:t>sarilumab</w:t>
      </w:r>
      <w:r w:rsidRPr="00B11343">
        <w:rPr>
          <w:lang w:eastAsia="en-AU"/>
        </w:rPr>
        <w:t>.</w:t>
      </w:r>
    </w:p>
    <w:p w:rsidR="00AA6B20" w:rsidRDefault="002928AB" w:rsidP="00E246F9">
      <w:pPr>
        <w:pStyle w:val="ListBullet"/>
      </w:pPr>
      <w:r w:rsidRPr="00B11343">
        <w:t xml:space="preserve">The </w:t>
      </w:r>
      <w:r>
        <w:t xml:space="preserve">population PK analyses support </w:t>
      </w:r>
      <w:r w:rsidRPr="00B11343">
        <w:t xml:space="preserve">biphasic elimination of </w:t>
      </w:r>
      <w:r>
        <w:rPr>
          <w:kern w:val="16"/>
          <w:szCs w:val="24"/>
          <w:lang w:eastAsia="en-AU"/>
        </w:rPr>
        <w:t>sarilumab</w:t>
      </w:r>
      <w:r w:rsidRPr="00B11343">
        <w:t xml:space="preserve"> estimating a</w:t>
      </w:r>
      <w:r>
        <w:t xml:space="preserve">n initial elimination </w:t>
      </w:r>
      <w:r w:rsidR="00912D65">
        <w:t>T</w:t>
      </w:r>
      <w:r w:rsidR="00912D65">
        <w:rPr>
          <w:vertAlign w:val="subscript"/>
        </w:rPr>
        <w:t>1</w:t>
      </w:r>
      <w:r w:rsidR="00894642">
        <w:rPr>
          <w:vertAlign w:val="subscript"/>
        </w:rPr>
        <w:t>/2</w:t>
      </w:r>
      <w:r w:rsidR="00894642" w:rsidRPr="00DD5BCE">
        <w:t xml:space="preserve"> </w:t>
      </w:r>
      <w:r w:rsidRPr="00B11343">
        <w:t>of 8</w:t>
      </w:r>
      <w:r w:rsidR="00103B86">
        <w:t xml:space="preserve"> to </w:t>
      </w:r>
      <w:r w:rsidRPr="00B11343">
        <w:t xml:space="preserve">10 days and a terminal </w:t>
      </w:r>
      <w:r w:rsidR="00912D65">
        <w:t>T</w:t>
      </w:r>
      <w:r w:rsidR="00912D65">
        <w:rPr>
          <w:vertAlign w:val="subscript"/>
        </w:rPr>
        <w:t>1</w:t>
      </w:r>
      <w:r w:rsidR="00894642">
        <w:rPr>
          <w:vertAlign w:val="subscript"/>
        </w:rPr>
        <w:t>/2</w:t>
      </w:r>
      <w:r w:rsidR="00DD5BCE" w:rsidRPr="00DD5BCE">
        <w:t xml:space="preserve"> </w:t>
      </w:r>
      <w:r w:rsidRPr="00B11343">
        <w:t>of 2</w:t>
      </w:r>
      <w:r w:rsidR="00103B86">
        <w:t xml:space="preserve"> to </w:t>
      </w:r>
      <w:r w:rsidRPr="00B11343">
        <w:t>4 days at steady state aft</w:t>
      </w:r>
      <w:r>
        <w:t>er 150 or 200 mg q2w SC doses (</w:t>
      </w:r>
      <w:r w:rsidR="00894642">
        <w:t>S</w:t>
      </w:r>
      <w:r>
        <w:t xml:space="preserve">tudy POH0428). </w:t>
      </w:r>
      <w:r w:rsidRPr="00B11343">
        <w:t xml:space="preserve">Serum </w:t>
      </w:r>
      <w:r>
        <w:rPr>
          <w:kern w:val="16"/>
          <w:szCs w:val="24"/>
          <w:lang w:eastAsia="en-AU"/>
        </w:rPr>
        <w:t>sarilumab</w:t>
      </w:r>
      <w:r w:rsidRPr="00B11343">
        <w:t xml:space="preserve"> concentrations </w:t>
      </w:r>
      <w:r w:rsidRPr="00B11343">
        <w:lastRenderedPageBreak/>
        <w:t>after the last steady state dose were measurable up to a median time of 28 days for the 150 mg dose and up to 43 days after the 200 mg q2w dose.</w:t>
      </w:r>
      <w:r w:rsidRPr="00F82F33">
        <w:rPr>
          <w:lang w:eastAsia="en-AU"/>
        </w:rPr>
        <w:t xml:space="preserve"> </w:t>
      </w:r>
      <w:r w:rsidRPr="00B11343">
        <w:rPr>
          <w:lang w:eastAsia="en-AU"/>
        </w:rPr>
        <w:t xml:space="preserve">Based on </w:t>
      </w:r>
      <w:r w:rsidR="00894642">
        <w:rPr>
          <w:lang w:eastAsia="en-AU"/>
        </w:rPr>
        <w:t>Study POH</w:t>
      </w:r>
      <w:r w:rsidRPr="00B11343">
        <w:rPr>
          <w:lang w:eastAsia="en-AU"/>
        </w:rPr>
        <w:t>0428, target mediated clearance represents a large portion of total clearance, while linear clearance represents only 7</w:t>
      </w:r>
      <w:r w:rsidR="00103B86">
        <w:rPr>
          <w:lang w:eastAsia="en-AU"/>
        </w:rPr>
        <w:t xml:space="preserve"> to </w:t>
      </w:r>
      <w:r w:rsidRPr="00B11343">
        <w:rPr>
          <w:lang w:eastAsia="en-AU"/>
        </w:rPr>
        <w:t xml:space="preserve">26% of total drug clearance at </w:t>
      </w:r>
      <w:r>
        <w:rPr>
          <w:lang w:eastAsia="en-AU"/>
        </w:rPr>
        <w:t xml:space="preserve">the </w:t>
      </w:r>
      <w:r w:rsidRPr="00B11343">
        <w:rPr>
          <w:lang w:eastAsia="en-AU"/>
        </w:rPr>
        <w:t>150 mg q2w dose and 22</w:t>
      </w:r>
      <w:r w:rsidR="00912D65">
        <w:rPr>
          <w:lang w:eastAsia="en-AU"/>
        </w:rPr>
        <w:t xml:space="preserve"> to </w:t>
      </w:r>
      <w:r w:rsidRPr="00B11343">
        <w:rPr>
          <w:lang w:eastAsia="en-AU"/>
        </w:rPr>
        <w:t>40% of total clearance at the 200 mg q2w dose.</w:t>
      </w:r>
    </w:p>
    <w:p w:rsidR="00AA6B20" w:rsidRDefault="002928AB" w:rsidP="00E246F9">
      <w:pPr>
        <w:pStyle w:val="ListBullet"/>
      </w:pPr>
      <w:r w:rsidRPr="00B11343">
        <w:t xml:space="preserve">The time to steady state in a typical patient, estimated from population PK </w:t>
      </w:r>
      <w:r w:rsidR="00894642">
        <w:t>Study</w:t>
      </w:r>
      <w:r w:rsidR="00912D65">
        <w:t> </w:t>
      </w:r>
      <w:r w:rsidR="00894642">
        <w:t>POH</w:t>
      </w:r>
      <w:r w:rsidRPr="00B11343">
        <w:t>0428 was 14</w:t>
      </w:r>
      <w:r w:rsidR="00103B86">
        <w:t xml:space="preserve"> to </w:t>
      </w:r>
      <w:r w:rsidRPr="00B11343">
        <w:t>16 weeks for AUC</w:t>
      </w:r>
      <w:r w:rsidRPr="00485E22">
        <w:rPr>
          <w:sz w:val="18"/>
          <w:szCs w:val="18"/>
          <w:vertAlign w:val="subscript"/>
        </w:rPr>
        <w:t>0-14</w:t>
      </w:r>
      <w:r w:rsidRPr="00B11343">
        <w:rPr>
          <w:sz w:val="18"/>
          <w:szCs w:val="18"/>
        </w:rPr>
        <w:t xml:space="preserve"> </w:t>
      </w:r>
      <w:r w:rsidRPr="00485E22">
        <w:rPr>
          <w:sz w:val="18"/>
          <w:szCs w:val="18"/>
          <w:vertAlign w:val="subscript"/>
        </w:rPr>
        <w:t>days</w:t>
      </w:r>
      <w:r w:rsidRPr="00B11343">
        <w:rPr>
          <w:sz w:val="18"/>
          <w:szCs w:val="18"/>
        </w:rPr>
        <w:t xml:space="preserve"> </w:t>
      </w:r>
      <w:r w:rsidRPr="00B11343">
        <w:t>and 18</w:t>
      </w:r>
      <w:r w:rsidR="00912D65">
        <w:t xml:space="preserve"> to </w:t>
      </w:r>
      <w:r w:rsidRPr="00B11343">
        <w:t xml:space="preserve">20 weeks for </w:t>
      </w:r>
      <w:proofErr w:type="spellStart"/>
      <w:r w:rsidRPr="00B11343">
        <w:t>C</w:t>
      </w:r>
      <w:r w:rsidRPr="00485E22">
        <w:rPr>
          <w:vertAlign w:val="subscript"/>
        </w:rPr>
        <w:t>trough</w:t>
      </w:r>
      <w:proofErr w:type="spellEnd"/>
      <w:r w:rsidRPr="00B11343">
        <w:t>. The accumulation ratios were determined to be 2.3 and 2.5 for AUC</w:t>
      </w:r>
      <w:r w:rsidRPr="00485E22">
        <w:rPr>
          <w:sz w:val="18"/>
          <w:szCs w:val="18"/>
          <w:vertAlign w:val="subscript"/>
        </w:rPr>
        <w:t xml:space="preserve">0-14 </w:t>
      </w:r>
      <w:r w:rsidRPr="00485E22">
        <w:rPr>
          <w:vertAlign w:val="subscript"/>
        </w:rPr>
        <w:t>days</w:t>
      </w:r>
      <w:r w:rsidRPr="00B11343">
        <w:rPr>
          <w:sz w:val="18"/>
          <w:szCs w:val="18"/>
        </w:rPr>
        <w:t xml:space="preserve"> </w:t>
      </w:r>
      <w:r w:rsidRPr="00B11343">
        <w:t xml:space="preserve">and 2.6 and 3.0 for </w:t>
      </w:r>
      <w:proofErr w:type="spellStart"/>
      <w:r w:rsidRPr="00B11343">
        <w:t>C</w:t>
      </w:r>
      <w:r w:rsidRPr="00485E22">
        <w:rPr>
          <w:vertAlign w:val="subscript"/>
        </w:rPr>
        <w:t>trough</w:t>
      </w:r>
      <w:proofErr w:type="spellEnd"/>
      <w:r w:rsidRPr="00B11343">
        <w:t xml:space="preserve"> after </w:t>
      </w:r>
      <w:proofErr w:type="spellStart"/>
      <w:r>
        <w:rPr>
          <w:kern w:val="16"/>
          <w:szCs w:val="24"/>
          <w:lang w:eastAsia="en-AU"/>
        </w:rPr>
        <w:t>sarilumab</w:t>
      </w:r>
      <w:proofErr w:type="spellEnd"/>
      <w:r w:rsidRPr="00B11343">
        <w:t xml:space="preserve"> 150 mg q2w and 200 mg q2w dosing regimens,</w:t>
      </w:r>
      <w:r>
        <w:t xml:space="preserve"> respectively.</w:t>
      </w:r>
    </w:p>
    <w:p w:rsidR="002928AB" w:rsidRPr="00B11343" w:rsidRDefault="002928AB" w:rsidP="00E246F9">
      <w:pPr>
        <w:pStyle w:val="ListBullet"/>
        <w:rPr>
          <w:lang w:eastAsia="en-AU"/>
        </w:rPr>
      </w:pPr>
      <w:r>
        <w:rPr>
          <w:kern w:val="16"/>
          <w:szCs w:val="24"/>
          <w:lang w:eastAsia="en-AU"/>
        </w:rPr>
        <w:t>Sarilumab</w:t>
      </w:r>
      <w:r w:rsidRPr="00B11343">
        <w:t xml:space="preserve"> exhibits moderate to high PK variability in patients with RA. The potential effects of several intrinsic and extrinsic sources of variability on the PK of functional </w:t>
      </w:r>
      <w:r>
        <w:rPr>
          <w:kern w:val="16"/>
          <w:szCs w:val="24"/>
          <w:lang w:eastAsia="en-AU"/>
        </w:rPr>
        <w:t>sarilumab</w:t>
      </w:r>
      <w:r w:rsidRPr="00B11343">
        <w:t xml:space="preserve"> were evaluated via population PK analysis and/or cross study com</w:t>
      </w:r>
      <w:r>
        <w:t xml:space="preserve">parisons. The assessed </w:t>
      </w:r>
      <w:r w:rsidRPr="00B11343">
        <w:t xml:space="preserve">covariate factors failed to explain the majority of </w:t>
      </w:r>
      <w:r>
        <w:t>the PK variability of sarilumab.</w:t>
      </w:r>
    </w:p>
    <w:p w:rsidR="002928AB" w:rsidRPr="00B11343" w:rsidRDefault="002928AB" w:rsidP="00E246F9">
      <w:pPr>
        <w:pStyle w:val="ListBullet"/>
        <w:rPr>
          <w:rFonts w:eastAsiaTheme="minorHAnsi"/>
          <w:sz w:val="24"/>
          <w:szCs w:val="24"/>
        </w:rPr>
      </w:pPr>
      <w:r>
        <w:rPr>
          <w:rFonts w:eastAsiaTheme="minorHAnsi"/>
        </w:rPr>
        <w:t xml:space="preserve">No formal studies were </w:t>
      </w:r>
      <w:r w:rsidRPr="00B11343">
        <w:rPr>
          <w:rFonts w:eastAsiaTheme="minorHAnsi"/>
        </w:rPr>
        <w:t>conducted in</w:t>
      </w:r>
      <w:r>
        <w:rPr>
          <w:rFonts w:eastAsiaTheme="minorHAnsi"/>
        </w:rPr>
        <w:t xml:space="preserve"> special populations involving </w:t>
      </w:r>
      <w:r w:rsidRPr="00B11343">
        <w:rPr>
          <w:rFonts w:eastAsiaTheme="minorHAnsi"/>
        </w:rPr>
        <w:t>patients with renal or hepatic impairmen</w:t>
      </w:r>
      <w:r>
        <w:rPr>
          <w:rFonts w:eastAsiaTheme="minorHAnsi"/>
        </w:rPr>
        <w:t>t. However, t</w:t>
      </w:r>
      <w:r w:rsidRPr="00B11343">
        <w:rPr>
          <w:rFonts w:eastAsiaTheme="minorHAnsi"/>
        </w:rPr>
        <w:t xml:space="preserve">he disposition of sarilumab is not expected to be influenced by </w:t>
      </w:r>
      <w:r>
        <w:rPr>
          <w:rFonts w:eastAsiaTheme="minorHAnsi"/>
        </w:rPr>
        <w:t xml:space="preserve">impaired </w:t>
      </w:r>
      <w:r w:rsidRPr="00B11343">
        <w:rPr>
          <w:rFonts w:eastAsiaTheme="minorHAnsi"/>
        </w:rPr>
        <w:t>renal or hepatic function.</w:t>
      </w:r>
      <w:r>
        <w:rPr>
          <w:rFonts w:eastAsiaTheme="minorHAnsi"/>
        </w:rPr>
        <w:t xml:space="preserve"> </w:t>
      </w:r>
      <w:r w:rsidRPr="00B11343">
        <w:rPr>
          <w:rFonts w:eastAsiaTheme="minorHAnsi"/>
        </w:rPr>
        <w:t xml:space="preserve">The population PK </w:t>
      </w:r>
      <w:r w:rsidR="00894642">
        <w:rPr>
          <w:rFonts w:eastAsiaTheme="minorHAnsi"/>
        </w:rPr>
        <w:t>Study POH</w:t>
      </w:r>
      <w:r w:rsidRPr="00B11343">
        <w:rPr>
          <w:lang w:eastAsia="en-AU"/>
        </w:rPr>
        <w:t xml:space="preserve">0428 did not identify any correlation between serum </w:t>
      </w:r>
      <w:r>
        <w:rPr>
          <w:kern w:val="16"/>
          <w:szCs w:val="24"/>
          <w:lang w:eastAsia="en-AU"/>
        </w:rPr>
        <w:t>sarilumab</w:t>
      </w:r>
      <w:r w:rsidRPr="00B11343">
        <w:rPr>
          <w:lang w:eastAsia="en-AU"/>
        </w:rPr>
        <w:t xml:space="preserve"> concentration and liver function test values (serum </w:t>
      </w:r>
      <w:r w:rsidR="00894642">
        <w:rPr>
          <w:lang w:eastAsia="en-AU"/>
        </w:rPr>
        <w:t>aspartate aminotransferase (</w:t>
      </w:r>
      <w:r w:rsidRPr="00B11343">
        <w:rPr>
          <w:lang w:eastAsia="en-AU"/>
        </w:rPr>
        <w:t>AST</w:t>
      </w:r>
      <w:r w:rsidR="00894642">
        <w:rPr>
          <w:lang w:eastAsia="en-AU"/>
        </w:rPr>
        <w:t>)</w:t>
      </w:r>
      <w:r w:rsidRPr="00B11343">
        <w:rPr>
          <w:lang w:eastAsia="en-AU"/>
        </w:rPr>
        <w:t xml:space="preserve">, </w:t>
      </w:r>
      <w:r w:rsidR="00894642">
        <w:rPr>
          <w:lang w:eastAsia="en-AU"/>
        </w:rPr>
        <w:t>alanine aminotransferase (</w:t>
      </w:r>
      <w:r>
        <w:rPr>
          <w:lang w:eastAsia="en-AU"/>
        </w:rPr>
        <w:t>ALT</w:t>
      </w:r>
      <w:r w:rsidR="00894642">
        <w:rPr>
          <w:lang w:eastAsia="en-AU"/>
        </w:rPr>
        <w:t>)</w:t>
      </w:r>
      <w:r>
        <w:rPr>
          <w:lang w:eastAsia="en-AU"/>
        </w:rPr>
        <w:t xml:space="preserve"> or total bilirubin levels). </w:t>
      </w:r>
      <w:r w:rsidRPr="00B11343">
        <w:rPr>
          <w:lang w:eastAsia="en-AU"/>
        </w:rPr>
        <w:t>The majority of patients with RA in the population PK dataset had either normal renal function or mild renal impairment</w:t>
      </w:r>
      <w:r>
        <w:rPr>
          <w:lang w:eastAsia="en-AU"/>
        </w:rPr>
        <w:t xml:space="preserve"> at baseline, while severe renal impairment at baseline was an exclusion criterion.</w:t>
      </w:r>
      <w:r>
        <w:t xml:space="preserve"> </w:t>
      </w:r>
      <w:r w:rsidRPr="00B11343">
        <w:t>Although creatinine clear</w:t>
      </w:r>
      <w:r>
        <w:t>ance (</w:t>
      </w:r>
      <w:proofErr w:type="spellStart"/>
      <w:r>
        <w:t>CrCL</w:t>
      </w:r>
      <w:proofErr w:type="spellEnd"/>
      <w:r>
        <w:t xml:space="preserve">) </w:t>
      </w:r>
      <w:r w:rsidRPr="00B11343">
        <w:t xml:space="preserve">was a statistically significant covariate for clearance in the population PK analysis, the impact of </w:t>
      </w:r>
      <w:proofErr w:type="spellStart"/>
      <w:r w:rsidRPr="00B11343">
        <w:t>CrCL</w:t>
      </w:r>
      <w:proofErr w:type="spellEnd"/>
      <w:r w:rsidRPr="00B11343">
        <w:t xml:space="preserve"> on clearance did not translate into an appreciable effect on functional </w:t>
      </w:r>
      <w:r>
        <w:rPr>
          <w:kern w:val="16"/>
          <w:szCs w:val="24"/>
          <w:lang w:eastAsia="en-AU"/>
        </w:rPr>
        <w:t>sarilumab</w:t>
      </w:r>
      <w:r w:rsidRPr="00B11343">
        <w:t xml:space="preserve"> exposure (</w:t>
      </w:r>
      <w:r w:rsidRPr="00912D65">
        <w:t>AUC</w:t>
      </w:r>
      <w:r w:rsidRPr="00485E22">
        <w:rPr>
          <w:vertAlign w:val="subscript"/>
        </w:rPr>
        <w:t>0-14 days</w:t>
      </w:r>
      <w:r w:rsidRPr="00B11343">
        <w:t>) at steady state.</w:t>
      </w:r>
    </w:p>
    <w:p w:rsidR="002928AB" w:rsidRDefault="002928AB" w:rsidP="00E246F9">
      <w:pPr>
        <w:pStyle w:val="ListBullet"/>
        <w:rPr>
          <w:lang w:eastAsia="en-AU"/>
        </w:rPr>
      </w:pPr>
      <w:r w:rsidRPr="00AF09FC">
        <w:t>No re</w:t>
      </w:r>
      <w:r>
        <w:t>lationship</w:t>
      </w:r>
      <w:r w:rsidRPr="00AF09FC">
        <w:t xml:space="preserve"> </w:t>
      </w:r>
      <w:r>
        <w:t>between</w:t>
      </w:r>
      <w:r w:rsidRPr="00AF09FC">
        <w:t xml:space="preserve"> functional </w:t>
      </w:r>
      <w:r>
        <w:rPr>
          <w:kern w:val="16"/>
          <w:szCs w:val="24"/>
          <w:lang w:eastAsia="en-AU"/>
        </w:rPr>
        <w:t>sarilumab</w:t>
      </w:r>
      <w:r w:rsidRPr="00AF09FC">
        <w:t xml:space="preserve"> exposure </w:t>
      </w:r>
      <w:r>
        <w:t>and</w:t>
      </w:r>
      <w:r w:rsidRPr="00AF09FC">
        <w:t xml:space="preserve"> age was observed in patients with RA in</w:t>
      </w:r>
      <w:r>
        <w:t xml:space="preserve"> the </w:t>
      </w:r>
      <w:r w:rsidRPr="00AF09FC">
        <w:t>clinical studies.</w:t>
      </w:r>
      <w:r>
        <w:t xml:space="preserve"> Ethnicity w</w:t>
      </w:r>
      <w:r w:rsidRPr="00617037">
        <w:t>a</w:t>
      </w:r>
      <w:r>
        <w:t xml:space="preserve">s </w:t>
      </w:r>
      <w:r w:rsidRPr="00617037">
        <w:t>no</w:t>
      </w:r>
      <w:r>
        <w:t>t</w:t>
      </w:r>
      <w:r w:rsidRPr="00617037">
        <w:t xml:space="preserve"> a</w:t>
      </w:r>
      <w:r>
        <w:t xml:space="preserve"> </w:t>
      </w:r>
      <w:r w:rsidRPr="00617037">
        <w:t xml:space="preserve">significant covariate influencing functional </w:t>
      </w:r>
      <w:r>
        <w:rPr>
          <w:kern w:val="16"/>
          <w:szCs w:val="24"/>
          <w:lang w:eastAsia="en-AU"/>
        </w:rPr>
        <w:t>sarilumab</w:t>
      </w:r>
      <w:r w:rsidRPr="00617037">
        <w:t xml:space="preserve"> PK.</w:t>
      </w:r>
      <w:r>
        <w:t xml:space="preserve"> </w:t>
      </w:r>
      <w:r w:rsidRPr="0083329D">
        <w:t>Individual studies suggested a trend toward</w:t>
      </w:r>
      <w:r>
        <w:t xml:space="preserve"> lower</w:t>
      </w:r>
      <w:r w:rsidRPr="0083329D">
        <w:t xml:space="preserve"> functional s</w:t>
      </w:r>
      <w:r>
        <w:t>e</w:t>
      </w:r>
      <w:r w:rsidRPr="0083329D">
        <w:t>rum</w:t>
      </w:r>
      <w:r>
        <w:t xml:space="preserve"> </w:t>
      </w:r>
      <w:r>
        <w:rPr>
          <w:kern w:val="16"/>
          <w:szCs w:val="24"/>
          <w:lang w:eastAsia="en-AU"/>
        </w:rPr>
        <w:t>sarilumab</w:t>
      </w:r>
      <w:r w:rsidRPr="0083329D">
        <w:t xml:space="preserve"> concentration</w:t>
      </w:r>
      <w:r>
        <w:t>s</w:t>
      </w:r>
      <w:r w:rsidRPr="0083329D">
        <w:t xml:space="preserve"> i</w:t>
      </w:r>
      <w:r>
        <w:t>n subjects</w:t>
      </w:r>
      <w:r w:rsidRPr="0083329D">
        <w:t xml:space="preserve"> </w:t>
      </w:r>
      <w:r>
        <w:t xml:space="preserve">with a </w:t>
      </w:r>
      <w:r w:rsidRPr="0083329D">
        <w:t>body weight</w:t>
      </w:r>
      <w:r>
        <w:t xml:space="preserve"> </w:t>
      </w:r>
      <w:r w:rsidR="00DD5BCE">
        <w:t xml:space="preserve">≥ </w:t>
      </w:r>
      <w:r>
        <w:t>90</w:t>
      </w:r>
      <w:r w:rsidR="00894642">
        <w:t xml:space="preserve"> to </w:t>
      </w:r>
      <w:r>
        <w:t>100 kg</w:t>
      </w:r>
      <w:r w:rsidRPr="0083329D">
        <w:t>.</w:t>
      </w:r>
      <w:r>
        <w:t xml:space="preserve"> </w:t>
      </w:r>
      <w:r w:rsidRPr="0083329D">
        <w:t xml:space="preserve">In agreement with the observed data, </w:t>
      </w:r>
      <w:r>
        <w:t xml:space="preserve">the </w:t>
      </w:r>
      <w:r w:rsidRPr="0083329D">
        <w:t>population PK</w:t>
      </w:r>
      <w:r>
        <w:t xml:space="preserve"> </w:t>
      </w:r>
      <w:r w:rsidR="00894642">
        <w:t>Study POH</w:t>
      </w:r>
      <w:r w:rsidRPr="0083329D">
        <w:t>0428</w:t>
      </w:r>
      <w:r>
        <w:t xml:space="preserve"> </w:t>
      </w:r>
      <w:r w:rsidRPr="0083329D">
        <w:t xml:space="preserve">identified body weight as </w:t>
      </w:r>
      <w:r>
        <w:t xml:space="preserve">a </w:t>
      </w:r>
      <w:r w:rsidRPr="0083329D">
        <w:t xml:space="preserve">significant covariate influencing apparent linear </w:t>
      </w:r>
      <w:r>
        <w:t xml:space="preserve">and </w:t>
      </w:r>
      <w:r w:rsidRPr="00B817F6">
        <w:t>non-linear drug clearance, with reduced drug exposure (AUC</w:t>
      </w:r>
      <w:r w:rsidRPr="00485E22">
        <w:rPr>
          <w:vertAlign w:val="subscript"/>
        </w:rPr>
        <w:t>0-14 days</w:t>
      </w:r>
      <w:r w:rsidRPr="00B817F6">
        <w:t xml:space="preserve">) in individuals with higher body weights. PK data relating to steady state exposure based on body weight are summarised in Table </w:t>
      </w:r>
      <w:r w:rsidR="00B817F6" w:rsidRPr="00B817F6">
        <w:t>11</w:t>
      </w:r>
      <w:r w:rsidRPr="00B817F6">
        <w:t>. The population PK study identified gender as a potentially significant covariate impacting upon apparent linear drug clearance. However, the effect of gender was minimal and translated into 12</w:t>
      </w:r>
      <w:r w:rsidRPr="008F7216">
        <w:t xml:space="preserve">% and 14% lower </w:t>
      </w:r>
      <w:r>
        <w:rPr>
          <w:kern w:val="16"/>
          <w:szCs w:val="24"/>
          <w:lang w:eastAsia="en-AU"/>
        </w:rPr>
        <w:t>sarilumab</w:t>
      </w:r>
      <w:r w:rsidRPr="008F7216">
        <w:t xml:space="preserve"> steady state exposures (</w:t>
      </w:r>
      <w:r w:rsidRPr="00B11343">
        <w:t>AUC</w:t>
      </w:r>
      <w:r w:rsidRPr="00485E22">
        <w:rPr>
          <w:vertAlign w:val="subscript"/>
        </w:rPr>
        <w:t>0-14 days</w:t>
      </w:r>
      <w:r w:rsidRPr="008F7216">
        <w:t>) after repeated 150 and</w:t>
      </w:r>
      <w:r>
        <w:t xml:space="preserve"> 200 mg q2w administration</w:t>
      </w:r>
      <w:r w:rsidRPr="008F7216">
        <w:t>, respective</w:t>
      </w:r>
      <w:r>
        <w:t xml:space="preserve">ly, for a typical male patient </w:t>
      </w:r>
      <w:r w:rsidRPr="008F7216">
        <w:t>as</w:t>
      </w:r>
      <w:r>
        <w:t xml:space="preserve"> </w:t>
      </w:r>
      <w:r w:rsidRPr="008F7216">
        <w:t>compared to a typical</w:t>
      </w:r>
      <w:r>
        <w:t xml:space="preserve"> </w:t>
      </w:r>
      <w:r w:rsidRPr="008F7216">
        <w:t>female patient.</w:t>
      </w:r>
    </w:p>
    <w:p w:rsidR="00F3393B" w:rsidRPr="00425E41" w:rsidRDefault="00F3393B" w:rsidP="00B817F6">
      <w:pPr>
        <w:pStyle w:val="Tabletitle0"/>
      </w:pPr>
      <w:r>
        <w:rPr>
          <w:rFonts w:cs="TimesNewRomanPSMT"/>
        </w:rPr>
        <w:lastRenderedPageBreak/>
        <w:t xml:space="preserve">Table </w:t>
      </w:r>
      <w:r w:rsidR="00B817F6">
        <w:rPr>
          <w:rFonts w:cs="TimesNewRomanPSMT"/>
        </w:rPr>
        <w:t>11:</w:t>
      </w:r>
      <w:r>
        <w:t xml:space="preserve"> </w:t>
      </w:r>
      <w:r w:rsidRPr="00425E41">
        <w:t xml:space="preserve">Functional </w:t>
      </w:r>
      <w:r w:rsidR="00B817F6">
        <w:t>s</w:t>
      </w:r>
      <w:r w:rsidRPr="00425E41">
        <w:t>arilumab steady state exposure by body weight category in Study POH0428</w:t>
      </w:r>
    </w:p>
    <w:p w:rsidR="00F3393B" w:rsidRDefault="00F3393B" w:rsidP="00B817F6">
      <w:r>
        <w:rPr>
          <w:noProof/>
          <w:lang w:eastAsia="en-AU"/>
        </w:rPr>
        <w:drawing>
          <wp:inline distT="0" distB="0" distL="0" distR="0" wp14:anchorId="32B72205" wp14:editId="36A0FA40">
            <wp:extent cx="5091380" cy="1915407"/>
            <wp:effectExtent l="0" t="0" r="0" b="8890"/>
            <wp:docPr id="902" name="Picture 902" descr="Functional sarilumab steady state exposure by body weight category in Study POH0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90725" cy="1915161"/>
                    </a:xfrm>
                    <a:prstGeom prst="rect">
                      <a:avLst/>
                    </a:prstGeom>
                    <a:noFill/>
                    <a:ln>
                      <a:noFill/>
                    </a:ln>
                  </pic:spPr>
                </pic:pic>
              </a:graphicData>
            </a:graphic>
          </wp:inline>
        </w:drawing>
      </w:r>
    </w:p>
    <w:p w:rsidR="002928AB" w:rsidRDefault="002928AB" w:rsidP="00E246F9">
      <w:pPr>
        <w:pStyle w:val="ListBullet"/>
      </w:pPr>
      <w:r>
        <w:rPr>
          <w:kern w:val="16"/>
          <w:szCs w:val="24"/>
          <w:lang w:eastAsia="en-AU"/>
        </w:rPr>
        <w:t xml:space="preserve">There was one clinical drug-drug interaction study between sarilumab and simvastatin (a sensitive </w:t>
      </w:r>
      <w:r w:rsidR="00894642">
        <w:rPr>
          <w:kern w:val="16"/>
          <w:szCs w:val="24"/>
          <w:lang w:eastAsia="en-AU"/>
        </w:rPr>
        <w:t xml:space="preserve">cytochrome P450 (CYP) isozyme </w:t>
      </w:r>
      <w:r>
        <w:rPr>
          <w:kern w:val="16"/>
          <w:szCs w:val="24"/>
          <w:lang w:eastAsia="en-AU"/>
        </w:rPr>
        <w:t xml:space="preserve">CYP3A4 substrate). Co-administration of the two drugs resulted in a 45% reduction in exposure to simvastatin, which is reported in the initial CER as being </w:t>
      </w:r>
      <w:r>
        <w:t xml:space="preserve">similar to the 57% reduction in exposure in simvastatin when tocilizumab is co-administered with simvastatin. The initial CER stated that the results showed that the known inhibitory effect of IL-6 on CYP3A is reversed by </w:t>
      </w:r>
      <w:r>
        <w:rPr>
          <w:kern w:val="16"/>
          <w:szCs w:val="24"/>
          <w:lang w:eastAsia="en-AU"/>
        </w:rPr>
        <w:t>sarilumab</w:t>
      </w:r>
      <w:r>
        <w:t xml:space="preserve">, leading to increased metabolism of drugs that are CYP3A4 substrates when co-administered with </w:t>
      </w:r>
      <w:r>
        <w:rPr>
          <w:kern w:val="16"/>
          <w:szCs w:val="24"/>
          <w:lang w:eastAsia="en-AU"/>
        </w:rPr>
        <w:t>sarilumab</w:t>
      </w:r>
      <w:r>
        <w:t xml:space="preserve">. </w:t>
      </w:r>
      <w:r w:rsidRPr="003444FB">
        <w:t>The</w:t>
      </w:r>
      <w:r>
        <w:t xml:space="preserve"> initial CER stated that the </w:t>
      </w:r>
      <w:r w:rsidRPr="003444FB">
        <w:t xml:space="preserve">effect of </w:t>
      </w:r>
      <w:r>
        <w:rPr>
          <w:kern w:val="16"/>
          <w:szCs w:val="24"/>
          <w:lang w:eastAsia="en-AU"/>
        </w:rPr>
        <w:t>sarilumab</w:t>
      </w:r>
      <w:r>
        <w:t xml:space="preserve"> </w:t>
      </w:r>
      <w:r w:rsidRPr="003444FB">
        <w:t>on CYP</w:t>
      </w:r>
      <w:r w:rsidR="00894642">
        <w:t xml:space="preserve"> iso</w:t>
      </w:r>
      <w:r w:rsidRPr="003444FB">
        <w:t>zymes may be clinically relevant for a CYP substrate with a narrow therapeutic index</w:t>
      </w:r>
      <w:r>
        <w:t>.</w:t>
      </w:r>
    </w:p>
    <w:p w:rsidR="00AA6B20" w:rsidRDefault="002928AB" w:rsidP="00E246F9">
      <w:pPr>
        <w:pStyle w:val="ListBullet"/>
        <w:rPr>
          <w:lang w:eastAsia="en-AU"/>
        </w:rPr>
      </w:pPr>
      <w:r>
        <w:t xml:space="preserve">The immunogenicity of </w:t>
      </w:r>
      <w:r>
        <w:rPr>
          <w:kern w:val="16"/>
          <w:szCs w:val="24"/>
          <w:lang w:eastAsia="en-AU"/>
        </w:rPr>
        <w:t>sarilumab</w:t>
      </w:r>
      <w:r>
        <w:t xml:space="preserve"> was reviewed in the initial CER. It was stated that positive </w:t>
      </w:r>
      <w:r w:rsidR="007A4EEA">
        <w:rPr>
          <w:rFonts w:eastAsia="TimesNewRoman"/>
        </w:rPr>
        <w:t>a</w:t>
      </w:r>
      <w:r w:rsidR="007A4EEA" w:rsidRPr="00FC3594">
        <w:rPr>
          <w:rFonts w:eastAsia="TimesNewRoman"/>
        </w:rPr>
        <w:t>nti-drug antibodies</w:t>
      </w:r>
      <w:r w:rsidR="007A4EEA">
        <w:t xml:space="preserve"> (</w:t>
      </w:r>
      <w:r>
        <w:t>ADA</w:t>
      </w:r>
      <w:r w:rsidR="007A4EEA">
        <w:t>)</w:t>
      </w:r>
      <w:r>
        <w:t xml:space="preserve"> status has </w:t>
      </w:r>
      <w:r w:rsidRPr="00F34434">
        <w:t>a</w:t>
      </w:r>
      <w:r>
        <w:t xml:space="preserve"> significant</w:t>
      </w:r>
      <w:r w:rsidRPr="00F34434">
        <w:t xml:space="preserve"> impact on </w:t>
      </w:r>
      <w:r>
        <w:t xml:space="preserve">the </w:t>
      </w:r>
      <w:r w:rsidRPr="00F34434">
        <w:t xml:space="preserve">PK </w:t>
      </w:r>
      <w:r>
        <w:t xml:space="preserve">of </w:t>
      </w:r>
      <w:r>
        <w:rPr>
          <w:kern w:val="16"/>
          <w:szCs w:val="24"/>
          <w:lang w:eastAsia="en-AU"/>
        </w:rPr>
        <w:t>sarilumab</w:t>
      </w:r>
      <w:r>
        <w:t xml:space="preserve"> resulting in </w:t>
      </w:r>
      <w:r w:rsidRPr="00F34434">
        <w:t>a 24</w:t>
      </w:r>
      <w:r w:rsidR="00912D65">
        <w:t xml:space="preserve"> to </w:t>
      </w:r>
      <w:r>
        <w:t>2</w:t>
      </w:r>
      <w:r w:rsidRPr="00F34434">
        <w:t xml:space="preserve">8% lower </w:t>
      </w:r>
      <w:r>
        <w:t>drug exposure when compared with</w:t>
      </w:r>
      <w:r w:rsidRPr="00F34434">
        <w:t xml:space="preserve"> ADA</w:t>
      </w:r>
      <w:r>
        <w:t xml:space="preserve"> </w:t>
      </w:r>
      <w:r w:rsidRPr="00F34434">
        <w:t>negative patients</w:t>
      </w:r>
      <w:r>
        <w:t>. If patients exhibit a</w:t>
      </w:r>
      <w:r w:rsidRPr="00F34434">
        <w:t xml:space="preserve"> persistent</w:t>
      </w:r>
      <w:r>
        <w:t xml:space="preserve">ly positive </w:t>
      </w:r>
      <w:r w:rsidRPr="00F34434">
        <w:t xml:space="preserve">response </w:t>
      </w:r>
      <w:r>
        <w:t xml:space="preserve">to ADA then exposure to </w:t>
      </w:r>
      <w:r>
        <w:rPr>
          <w:kern w:val="16"/>
          <w:szCs w:val="24"/>
          <w:lang w:eastAsia="en-AU"/>
        </w:rPr>
        <w:t>sarilumab</w:t>
      </w:r>
      <w:r>
        <w:t xml:space="preserve"> is even </w:t>
      </w:r>
      <w:r w:rsidRPr="00F34434">
        <w:t xml:space="preserve">lower </w:t>
      </w:r>
      <w:r>
        <w:t>(</w:t>
      </w:r>
      <w:r w:rsidRPr="00F34434">
        <w:t>by 32</w:t>
      </w:r>
      <w:r w:rsidR="00103B86">
        <w:t xml:space="preserve"> to </w:t>
      </w:r>
      <w:r w:rsidRPr="00F34434">
        <w:t xml:space="preserve">41%) than in patients with </w:t>
      </w:r>
      <w:r>
        <w:t xml:space="preserve">a </w:t>
      </w:r>
      <w:r w:rsidRPr="00F34434">
        <w:t xml:space="preserve">transient </w:t>
      </w:r>
      <w:r>
        <w:t xml:space="preserve">positive ADA </w:t>
      </w:r>
      <w:r w:rsidRPr="00F34434">
        <w:t>response</w:t>
      </w:r>
      <w:r>
        <w:t>. In addition,</w:t>
      </w:r>
      <w:r w:rsidRPr="00D75DE9">
        <w:t xml:space="preserve"> </w:t>
      </w:r>
      <w:proofErr w:type="spellStart"/>
      <w:r>
        <w:rPr>
          <w:kern w:val="16"/>
          <w:szCs w:val="24"/>
          <w:lang w:eastAsia="en-AU"/>
        </w:rPr>
        <w:t>sarilumab</w:t>
      </w:r>
      <w:proofErr w:type="spellEnd"/>
      <w:r w:rsidRPr="00D75DE9">
        <w:t xml:space="preserve"> exposure in</w:t>
      </w:r>
      <w:r>
        <w:t xml:space="preserve"> </w:t>
      </w:r>
      <w:proofErr w:type="spellStart"/>
      <w:r w:rsidR="007A4EEA">
        <w:t>NAb</w:t>
      </w:r>
      <w:proofErr w:type="spellEnd"/>
      <w:r w:rsidRPr="00D75DE9">
        <w:t xml:space="preserve"> positive patients was lower than in </w:t>
      </w:r>
      <w:proofErr w:type="spellStart"/>
      <w:r w:rsidR="007A4EEA">
        <w:t>NAb</w:t>
      </w:r>
      <w:proofErr w:type="spellEnd"/>
      <w:r w:rsidRPr="00F34434">
        <w:t xml:space="preserve"> </w:t>
      </w:r>
      <w:r w:rsidRPr="00D75DE9">
        <w:t>negative patients (by 49</w:t>
      </w:r>
      <w:r w:rsidR="00103B86">
        <w:t xml:space="preserve"> to </w:t>
      </w:r>
      <w:r w:rsidRPr="00D75DE9">
        <w:t>59%</w:t>
      </w:r>
      <w:r>
        <w:t xml:space="preserve">). </w:t>
      </w:r>
      <w:r>
        <w:rPr>
          <w:lang w:eastAsia="en-AU"/>
        </w:rPr>
        <w:t>N</w:t>
      </w:r>
      <w:r w:rsidRPr="00F82F33">
        <w:rPr>
          <w:lang w:eastAsia="en-AU"/>
        </w:rPr>
        <w:t xml:space="preserve">o clear impact on the rate of </w:t>
      </w:r>
      <w:r>
        <w:rPr>
          <w:kern w:val="16"/>
          <w:szCs w:val="24"/>
          <w:lang w:eastAsia="en-AU"/>
        </w:rPr>
        <w:t>sarilumab</w:t>
      </w:r>
      <w:r w:rsidRPr="00F82F33">
        <w:rPr>
          <w:lang w:eastAsia="en-AU"/>
        </w:rPr>
        <w:t xml:space="preserve"> treatment discontinuation due to a lack or loss of efficacy was observed in </w:t>
      </w:r>
      <w:r>
        <w:rPr>
          <w:lang w:eastAsia="en-AU"/>
        </w:rPr>
        <w:t xml:space="preserve">patients who were ADA positive, based on </w:t>
      </w:r>
      <w:r w:rsidRPr="00F82F33">
        <w:rPr>
          <w:lang w:eastAsia="en-AU"/>
        </w:rPr>
        <w:t xml:space="preserve">the </w:t>
      </w:r>
      <w:r>
        <w:rPr>
          <w:lang w:eastAsia="en-AU"/>
        </w:rPr>
        <w:t xml:space="preserve">integrated </w:t>
      </w:r>
      <w:r w:rsidR="001470FB">
        <w:rPr>
          <w:lang w:eastAsia="en-AU"/>
        </w:rPr>
        <w:t>Phase III</w:t>
      </w:r>
      <w:r>
        <w:rPr>
          <w:lang w:eastAsia="en-AU"/>
        </w:rPr>
        <w:t xml:space="preserve"> studies dataset</w:t>
      </w:r>
      <w:r w:rsidRPr="00F82F33">
        <w:rPr>
          <w:lang w:eastAsia="en-AU"/>
        </w:rPr>
        <w:t>.</w:t>
      </w:r>
    </w:p>
    <w:p w:rsidR="002928AB" w:rsidRPr="00E246F9" w:rsidRDefault="002928AB" w:rsidP="00E246F9">
      <w:pPr>
        <w:pStyle w:val="Heading4"/>
      </w:pPr>
      <w:r>
        <w:t>New</w:t>
      </w:r>
      <w:r w:rsidR="00E246F9">
        <w:t xml:space="preserve"> PK data from the re-submission</w:t>
      </w:r>
    </w:p>
    <w:p w:rsidR="002928AB" w:rsidRPr="00C4759F" w:rsidRDefault="002928AB" w:rsidP="002928AB">
      <w:pPr>
        <w:rPr>
          <w:lang w:eastAsia="ja-JP"/>
        </w:rPr>
      </w:pPr>
      <w:r>
        <w:rPr>
          <w:lang w:eastAsia="ja-JP"/>
        </w:rPr>
        <w:t xml:space="preserve">The re-submission included two studies providing new PK information, namely, the pivotal </w:t>
      </w:r>
      <w:r w:rsidR="001470FB">
        <w:rPr>
          <w:lang w:eastAsia="ja-JP"/>
        </w:rPr>
        <w:t>Phase III</w:t>
      </w:r>
      <w:r>
        <w:rPr>
          <w:lang w:eastAsia="ja-JP"/>
        </w:rPr>
        <w:t xml:space="preserve"> monotherapy </w:t>
      </w:r>
      <w:r w:rsidR="00894642">
        <w:rPr>
          <w:lang w:eastAsia="ja-JP"/>
        </w:rPr>
        <w:t>Study EFC</w:t>
      </w:r>
      <w:r>
        <w:rPr>
          <w:lang w:eastAsia="ja-JP"/>
        </w:rPr>
        <w:t>14092</w:t>
      </w:r>
      <w:r w:rsidR="00912D65">
        <w:rPr>
          <w:lang w:eastAsia="ja-JP"/>
        </w:rPr>
        <w:t>/</w:t>
      </w:r>
      <w:r>
        <w:rPr>
          <w:lang w:eastAsia="ja-JP"/>
        </w:rPr>
        <w:t xml:space="preserve">MONARCH </w:t>
      </w:r>
      <w:r w:rsidR="00912D65">
        <w:rPr>
          <w:lang w:eastAsia="ja-JP"/>
        </w:rPr>
        <w:t xml:space="preserve">trial </w:t>
      </w:r>
      <w:r>
        <w:rPr>
          <w:lang w:eastAsia="ja-JP"/>
        </w:rPr>
        <w:t xml:space="preserve">which compared sarilumab with adalimumab, and the </w:t>
      </w:r>
      <w:r w:rsidR="001470FB">
        <w:rPr>
          <w:lang w:eastAsia="ja-JP"/>
        </w:rPr>
        <w:t>Phase III</w:t>
      </w:r>
      <w:r>
        <w:rPr>
          <w:lang w:eastAsia="ja-JP"/>
        </w:rPr>
        <w:t xml:space="preserve"> usability </w:t>
      </w:r>
      <w:r w:rsidR="00894642">
        <w:rPr>
          <w:lang w:eastAsia="ja-JP"/>
        </w:rPr>
        <w:t>Study MSC</w:t>
      </w:r>
      <w:r>
        <w:rPr>
          <w:lang w:eastAsia="ja-JP"/>
        </w:rPr>
        <w:t xml:space="preserve">12665 which compared treatment with sarilumab administered by an </w:t>
      </w:r>
      <w:proofErr w:type="spellStart"/>
      <w:r>
        <w:rPr>
          <w:lang w:eastAsia="ja-JP"/>
        </w:rPr>
        <w:t>autoinjector</w:t>
      </w:r>
      <w:proofErr w:type="spellEnd"/>
      <w:r>
        <w:rPr>
          <w:lang w:eastAsia="ja-JP"/>
        </w:rPr>
        <w:t xml:space="preserve"> (AI) device with sarilumab administered via a PFS. The PK information from both studies has been evaluated below.</w:t>
      </w:r>
    </w:p>
    <w:p w:rsidR="002928AB" w:rsidRDefault="00894642" w:rsidP="002928AB">
      <w:pPr>
        <w:pStyle w:val="Heading5"/>
      </w:pPr>
      <w:r>
        <w:t xml:space="preserve">Study </w:t>
      </w:r>
      <w:r w:rsidR="00E246F9">
        <w:t>EFC14092</w:t>
      </w:r>
      <w:r w:rsidR="00912D65">
        <w:t>/</w:t>
      </w:r>
      <w:r w:rsidR="00E246F9">
        <w:t>MONARCH</w:t>
      </w:r>
      <w:r w:rsidR="00912D65">
        <w:t xml:space="preserve"> trial</w:t>
      </w:r>
    </w:p>
    <w:p w:rsidR="002928AB" w:rsidRPr="000374D6" w:rsidRDefault="002928AB" w:rsidP="002928AB">
      <w:pPr>
        <w:autoSpaceDE w:val="0"/>
        <w:autoSpaceDN w:val="0"/>
        <w:adjustRightInd w:val="0"/>
        <w:rPr>
          <w:rFonts w:asciiTheme="minorHAnsi" w:eastAsiaTheme="minorHAnsi" w:hAnsiTheme="minorHAnsi" w:cs="TimesNewRomanPSMT"/>
        </w:rPr>
      </w:pPr>
      <w:r w:rsidRPr="000374D6">
        <w:rPr>
          <w:rFonts w:asciiTheme="minorHAnsi" w:hAnsiTheme="minorHAnsi"/>
          <w:lang w:eastAsia="ja-JP"/>
        </w:rPr>
        <w:t xml:space="preserve">The pivotal </w:t>
      </w:r>
      <w:r w:rsidR="001470FB">
        <w:rPr>
          <w:rFonts w:asciiTheme="minorHAnsi" w:hAnsiTheme="minorHAnsi"/>
          <w:lang w:eastAsia="ja-JP"/>
        </w:rPr>
        <w:t>Phase III</w:t>
      </w:r>
      <w:r w:rsidRPr="000374D6">
        <w:rPr>
          <w:rFonts w:asciiTheme="minorHAnsi" w:hAnsiTheme="minorHAnsi"/>
          <w:lang w:eastAsia="ja-JP"/>
        </w:rPr>
        <w:t xml:space="preserve"> monotherapy study (</w:t>
      </w:r>
      <w:r w:rsidR="00912D65">
        <w:rPr>
          <w:rFonts w:asciiTheme="minorHAnsi" w:hAnsiTheme="minorHAnsi"/>
          <w:lang w:eastAsia="ja-JP"/>
        </w:rPr>
        <w:t xml:space="preserve">Study </w:t>
      </w:r>
      <w:r w:rsidRPr="000374D6">
        <w:rPr>
          <w:rFonts w:asciiTheme="minorHAnsi" w:hAnsiTheme="minorHAnsi"/>
          <w:lang w:eastAsia="ja-JP"/>
        </w:rPr>
        <w:t>EFC14092/MONARCH</w:t>
      </w:r>
      <w:r w:rsidR="00912D65">
        <w:rPr>
          <w:rFonts w:asciiTheme="minorHAnsi" w:hAnsiTheme="minorHAnsi"/>
          <w:lang w:eastAsia="ja-JP"/>
        </w:rPr>
        <w:t xml:space="preserve"> trial</w:t>
      </w:r>
      <w:r w:rsidRPr="000374D6">
        <w:rPr>
          <w:rFonts w:asciiTheme="minorHAnsi" w:hAnsiTheme="minorHAnsi"/>
          <w:lang w:eastAsia="ja-JP"/>
        </w:rPr>
        <w:t xml:space="preserve">) included serum sarilumab PK data </w:t>
      </w:r>
      <w:r>
        <w:rPr>
          <w:rFonts w:asciiTheme="minorHAnsi" w:hAnsiTheme="minorHAnsi"/>
          <w:lang w:eastAsia="ja-JP"/>
        </w:rPr>
        <w:t>from</w:t>
      </w:r>
      <w:r w:rsidRPr="000374D6">
        <w:rPr>
          <w:rFonts w:asciiTheme="minorHAnsi" w:hAnsiTheme="minorHAnsi"/>
          <w:lang w:eastAsia="ja-JP"/>
        </w:rPr>
        <w:t xml:space="preserve"> </w:t>
      </w:r>
      <w:r w:rsidRPr="000374D6">
        <w:rPr>
          <w:rFonts w:asciiTheme="minorHAnsi" w:eastAsiaTheme="minorHAnsi" w:hAnsiTheme="minorHAnsi" w:cs="TimesNewRomanPSMT"/>
        </w:rPr>
        <w:t>patients treated with sarilumab 200 mg q2w</w:t>
      </w:r>
      <w:r w:rsidRPr="000374D6">
        <w:rPr>
          <w:rFonts w:asciiTheme="minorHAnsi" w:hAnsiTheme="minorHAnsi"/>
          <w:lang w:eastAsia="ja-JP"/>
        </w:rPr>
        <w:t xml:space="preserve"> </w:t>
      </w:r>
      <w:r>
        <w:rPr>
          <w:rFonts w:asciiTheme="minorHAnsi" w:hAnsiTheme="minorHAnsi"/>
          <w:lang w:eastAsia="ja-JP"/>
        </w:rPr>
        <w:t xml:space="preserve">in </w:t>
      </w:r>
      <w:r w:rsidRPr="000374D6">
        <w:rPr>
          <w:rFonts w:asciiTheme="minorHAnsi" w:hAnsiTheme="minorHAnsi"/>
          <w:lang w:eastAsia="ja-JP"/>
        </w:rPr>
        <w:t>the 24</w:t>
      </w:r>
      <w:r w:rsidR="00894642">
        <w:rPr>
          <w:rFonts w:asciiTheme="minorHAnsi" w:hAnsiTheme="minorHAnsi"/>
          <w:lang w:eastAsia="ja-JP"/>
        </w:rPr>
        <w:t xml:space="preserve"> </w:t>
      </w:r>
      <w:r w:rsidRPr="000374D6">
        <w:rPr>
          <w:rFonts w:asciiTheme="minorHAnsi" w:hAnsiTheme="minorHAnsi"/>
          <w:lang w:eastAsia="ja-JP"/>
        </w:rPr>
        <w:t xml:space="preserve">week randomised period at </w:t>
      </w:r>
      <w:r w:rsidRPr="000374D6">
        <w:rPr>
          <w:rFonts w:asciiTheme="minorHAnsi" w:eastAsiaTheme="minorHAnsi" w:hAnsiTheme="minorHAnsi" w:cs="TimesNewRomanPSMT"/>
        </w:rPr>
        <w:t xml:space="preserve">pre-dose Week 0 and trough at Weeks 2, 4, 12, 16, 20, and 24 or at early termination visit. The PK population included all 184 patients who were randomised to sarilumab. Serum </w:t>
      </w:r>
      <w:r w:rsidRPr="00894642">
        <w:t xml:space="preserve">samples were analysed for functional sarilumab concentrations (sarilumab with 1 or 2 available binding sites for IL-6Rɑ) using a validated </w:t>
      </w:r>
      <w:r w:rsidR="00894642" w:rsidRPr="00894642">
        <w:t>enzyme-linked immunosorbent assay (</w:t>
      </w:r>
      <w:r w:rsidRPr="00894642">
        <w:t>ELISA</w:t>
      </w:r>
      <w:r w:rsidR="00894642" w:rsidRPr="00894642">
        <w:t>)</w:t>
      </w:r>
      <w:r w:rsidRPr="00894642">
        <w:t xml:space="preserve"> method</w:t>
      </w:r>
      <w:r w:rsidRPr="000374D6">
        <w:rPr>
          <w:rFonts w:asciiTheme="minorHAnsi" w:eastAsiaTheme="minorHAnsi" w:hAnsiTheme="minorHAnsi" w:cs="TimesNewRomanPSMT"/>
        </w:rPr>
        <w:t xml:space="preserve"> with a lower limit of quantification (LLOQ) of 312.5 ng/</w:t>
      </w:r>
      <w:proofErr w:type="spellStart"/>
      <w:r w:rsidRPr="000374D6">
        <w:rPr>
          <w:rFonts w:asciiTheme="minorHAnsi" w:eastAsiaTheme="minorHAnsi" w:hAnsiTheme="minorHAnsi" w:cs="TimesNewRomanPSMT"/>
        </w:rPr>
        <w:t>mL.</w:t>
      </w:r>
      <w:proofErr w:type="spellEnd"/>
    </w:p>
    <w:p w:rsidR="00AA6B20" w:rsidRDefault="002928AB" w:rsidP="002928AB">
      <w:pPr>
        <w:autoSpaceDE w:val="0"/>
        <w:autoSpaceDN w:val="0"/>
        <w:adjustRightInd w:val="0"/>
        <w:rPr>
          <w:rFonts w:asciiTheme="minorHAnsi" w:eastAsiaTheme="minorHAnsi" w:hAnsiTheme="minorHAnsi" w:cs="TimesNewRomanPSMT"/>
        </w:rPr>
      </w:pPr>
      <w:r w:rsidRPr="000374D6">
        <w:rPr>
          <w:rFonts w:asciiTheme="minorHAnsi" w:eastAsiaTheme="minorHAnsi" w:hAnsiTheme="minorHAnsi" w:cs="TimesNewRomanPSMT"/>
        </w:rPr>
        <w:t xml:space="preserve">All pre-dose </w:t>
      </w:r>
      <w:r w:rsidRPr="000374D6">
        <w:rPr>
          <w:rFonts w:asciiTheme="minorHAnsi" w:eastAsiaTheme="minorHAnsi" w:hAnsiTheme="minorHAnsi" w:cs="TimesNewRomanPSMT"/>
          <w:color w:val="000000"/>
        </w:rPr>
        <w:t xml:space="preserve">concentrations of functional sarilumab in serum at Week 0 were below the LLOQ. Trough sarilumab concentrations assessed in serum throughout the study are </w:t>
      </w:r>
      <w:r w:rsidRPr="000374D6">
        <w:rPr>
          <w:rFonts w:asciiTheme="minorHAnsi" w:eastAsiaTheme="minorHAnsi" w:hAnsiTheme="minorHAnsi" w:cs="TimesNewRomanPSMT"/>
          <w:color w:val="000000"/>
        </w:rPr>
        <w:lastRenderedPageBreak/>
        <w:t xml:space="preserve">presented below in Figure </w:t>
      </w:r>
      <w:r w:rsidR="00894642">
        <w:rPr>
          <w:rFonts w:asciiTheme="minorHAnsi" w:eastAsiaTheme="minorHAnsi" w:hAnsiTheme="minorHAnsi" w:cs="TimesNewRomanPSMT"/>
          <w:color w:val="000000"/>
        </w:rPr>
        <w:t>2</w:t>
      </w:r>
      <w:r w:rsidRPr="000374D6">
        <w:rPr>
          <w:rFonts w:asciiTheme="minorHAnsi" w:eastAsiaTheme="minorHAnsi" w:hAnsiTheme="minorHAnsi" w:cs="TimesNewRomanPSMT"/>
          <w:color w:val="000000"/>
        </w:rPr>
        <w:t>.</w:t>
      </w:r>
      <w:r>
        <w:rPr>
          <w:rFonts w:asciiTheme="minorHAnsi" w:eastAsiaTheme="minorHAnsi" w:hAnsiTheme="minorHAnsi" w:cs="TimesNewRomanPSMT"/>
          <w:color w:val="000000"/>
        </w:rPr>
        <w:t xml:space="preserve"> </w:t>
      </w:r>
      <w:r w:rsidRPr="000374D6">
        <w:rPr>
          <w:rFonts w:asciiTheme="minorHAnsi" w:eastAsiaTheme="minorHAnsi" w:hAnsiTheme="minorHAnsi" w:cs="TimesNewRomanPSMT"/>
        </w:rPr>
        <w:t>After multiple SC administrations of sarilumab, the observed</w:t>
      </w:r>
      <w:r>
        <w:rPr>
          <w:rFonts w:asciiTheme="minorHAnsi" w:eastAsiaTheme="minorHAnsi" w:hAnsiTheme="minorHAnsi" w:cs="TimesNewRomanPSMT"/>
        </w:rPr>
        <w:t xml:space="preserve"> serum</w:t>
      </w:r>
      <w:r w:rsidRPr="000374D6">
        <w:rPr>
          <w:rFonts w:asciiTheme="minorHAnsi" w:eastAsiaTheme="minorHAnsi" w:hAnsiTheme="minorHAnsi" w:cs="TimesNewRomanPSMT"/>
        </w:rPr>
        <w:t xml:space="preserve"> trough concentrations of functional sarilumab </w:t>
      </w:r>
      <w:r>
        <w:rPr>
          <w:rFonts w:asciiTheme="minorHAnsi" w:eastAsiaTheme="minorHAnsi" w:hAnsiTheme="minorHAnsi" w:cs="TimesNewRomanPSMT"/>
        </w:rPr>
        <w:t xml:space="preserve">showed </w:t>
      </w:r>
      <w:r w:rsidRPr="000374D6">
        <w:rPr>
          <w:rFonts w:asciiTheme="minorHAnsi" w:eastAsiaTheme="minorHAnsi" w:hAnsiTheme="minorHAnsi" w:cs="TimesNewRomanPSMT"/>
        </w:rPr>
        <w:t xml:space="preserve">that steady state was reached between Week 12 and the next sampling time at Week 16. Mean (SD) </w:t>
      </w:r>
      <w:proofErr w:type="spellStart"/>
      <w:r w:rsidRPr="000374D6">
        <w:rPr>
          <w:rFonts w:asciiTheme="minorHAnsi" w:eastAsiaTheme="minorHAnsi" w:hAnsiTheme="minorHAnsi" w:cs="TimesNewRomanPSMT"/>
        </w:rPr>
        <w:t>C</w:t>
      </w:r>
      <w:r w:rsidRPr="00485E22">
        <w:rPr>
          <w:vertAlign w:val="subscript"/>
        </w:rPr>
        <w:t>trough</w:t>
      </w:r>
      <w:proofErr w:type="spellEnd"/>
      <w:r w:rsidRPr="00485E22">
        <w:t xml:space="preserve"> </w:t>
      </w:r>
      <w:r w:rsidRPr="000374D6">
        <w:rPr>
          <w:rFonts w:asciiTheme="minorHAnsi" w:eastAsiaTheme="minorHAnsi" w:hAnsiTheme="minorHAnsi" w:cs="TimesNewRomanPSMT"/>
        </w:rPr>
        <w:t xml:space="preserve">of functional </w:t>
      </w:r>
      <w:proofErr w:type="spellStart"/>
      <w:r w:rsidRPr="000374D6">
        <w:rPr>
          <w:rFonts w:asciiTheme="minorHAnsi" w:eastAsiaTheme="minorHAnsi" w:hAnsiTheme="minorHAnsi" w:cs="TimesNewRomanPSMT"/>
        </w:rPr>
        <w:t>sarilumab</w:t>
      </w:r>
      <w:proofErr w:type="spellEnd"/>
      <w:r w:rsidRPr="000374D6">
        <w:rPr>
          <w:rFonts w:asciiTheme="minorHAnsi" w:eastAsiaTheme="minorHAnsi" w:hAnsiTheme="minorHAnsi" w:cs="TimesNewRomanPSMT"/>
        </w:rPr>
        <w:t xml:space="preserve"> at Week 24 was 24</w:t>
      </w:r>
      <w:r>
        <w:rPr>
          <w:rFonts w:asciiTheme="minorHAnsi" w:eastAsiaTheme="minorHAnsi" w:hAnsiTheme="minorHAnsi" w:cs="TimesNewRomanPSMT"/>
        </w:rPr>
        <w:t>,200 (17,</w:t>
      </w:r>
      <w:r w:rsidRPr="000374D6">
        <w:rPr>
          <w:rFonts w:asciiTheme="minorHAnsi" w:eastAsiaTheme="minorHAnsi" w:hAnsiTheme="minorHAnsi" w:cs="TimesNewRomanPSMT"/>
        </w:rPr>
        <w:t xml:space="preserve">600) ng/mL for patients in the sarilumab 200 mg q2w group. </w:t>
      </w:r>
      <w:r>
        <w:rPr>
          <w:rFonts w:asciiTheme="minorHAnsi" w:eastAsiaTheme="minorHAnsi" w:hAnsiTheme="minorHAnsi" w:cs="TimesNewRomanPSMT"/>
        </w:rPr>
        <w:t>H</w:t>
      </w:r>
      <w:r w:rsidRPr="000374D6">
        <w:rPr>
          <w:rFonts w:asciiTheme="minorHAnsi" w:eastAsiaTheme="minorHAnsi" w:hAnsiTheme="minorHAnsi" w:cs="TimesNewRomanPSMT"/>
        </w:rPr>
        <w:t xml:space="preserve">igh </w:t>
      </w:r>
      <w:r>
        <w:rPr>
          <w:rFonts w:asciiTheme="minorHAnsi" w:eastAsiaTheme="minorHAnsi" w:hAnsiTheme="minorHAnsi" w:cs="TimesNewRomanPSMT"/>
        </w:rPr>
        <w:t xml:space="preserve">inter-subject variability </w:t>
      </w:r>
      <w:r w:rsidRPr="000374D6">
        <w:rPr>
          <w:rFonts w:asciiTheme="minorHAnsi" w:eastAsiaTheme="minorHAnsi" w:hAnsiTheme="minorHAnsi" w:cs="TimesNewRomanPSMT"/>
        </w:rPr>
        <w:t xml:space="preserve">in </w:t>
      </w:r>
      <w:r>
        <w:rPr>
          <w:rFonts w:asciiTheme="minorHAnsi" w:eastAsiaTheme="minorHAnsi" w:hAnsiTheme="minorHAnsi" w:cs="TimesNewRomanPSMT"/>
        </w:rPr>
        <w:t>s</w:t>
      </w:r>
      <w:r w:rsidRPr="000374D6">
        <w:rPr>
          <w:rFonts w:asciiTheme="minorHAnsi" w:eastAsiaTheme="minorHAnsi" w:hAnsiTheme="minorHAnsi" w:cs="TimesNewRomanPSMT"/>
        </w:rPr>
        <w:t>teady state trough concentr</w:t>
      </w:r>
      <w:r>
        <w:rPr>
          <w:rFonts w:asciiTheme="minorHAnsi" w:eastAsiaTheme="minorHAnsi" w:hAnsiTheme="minorHAnsi" w:cs="TimesNewRomanPSMT"/>
        </w:rPr>
        <w:t xml:space="preserve">ations of functional sarilumab were observed (CV% </w:t>
      </w:r>
      <w:r w:rsidRPr="000374D6">
        <w:rPr>
          <w:rFonts w:asciiTheme="minorHAnsi" w:eastAsiaTheme="minorHAnsi" w:hAnsiTheme="minorHAnsi" w:cs="TimesNewRomanPSMT"/>
        </w:rPr>
        <w:t>ranged from 68.6% to 72.5%)</w:t>
      </w:r>
      <w:r>
        <w:rPr>
          <w:rFonts w:asciiTheme="minorHAnsi" w:eastAsiaTheme="minorHAnsi" w:hAnsiTheme="minorHAnsi" w:cs="TimesNewRomanPSMT"/>
        </w:rPr>
        <w:t>. A</w:t>
      </w:r>
      <w:r w:rsidRPr="000374D6">
        <w:rPr>
          <w:rFonts w:asciiTheme="minorHAnsi" w:eastAsiaTheme="minorHAnsi" w:hAnsiTheme="minorHAnsi" w:cs="TimesNewRomanPSMT"/>
        </w:rPr>
        <w:t xml:space="preserve">ccumulation </w:t>
      </w:r>
      <w:r>
        <w:rPr>
          <w:rFonts w:asciiTheme="minorHAnsi" w:eastAsiaTheme="minorHAnsi" w:hAnsiTheme="minorHAnsi" w:cs="TimesNewRomanPSMT"/>
        </w:rPr>
        <w:t xml:space="preserve">occurred following SC administration </w:t>
      </w:r>
      <w:r w:rsidRPr="000374D6">
        <w:rPr>
          <w:rFonts w:asciiTheme="minorHAnsi" w:eastAsiaTheme="minorHAnsi" w:hAnsiTheme="minorHAnsi" w:cs="TimesNewRomanPSMT"/>
        </w:rPr>
        <w:t>of</w:t>
      </w:r>
      <w:r>
        <w:rPr>
          <w:rFonts w:asciiTheme="minorHAnsi" w:eastAsiaTheme="minorHAnsi" w:hAnsiTheme="minorHAnsi" w:cs="TimesNewRomanPSMT"/>
        </w:rPr>
        <w:t xml:space="preserve"> sarilumab 200 mg q2w, with an </w:t>
      </w:r>
      <w:r w:rsidRPr="000374D6">
        <w:rPr>
          <w:rFonts w:asciiTheme="minorHAnsi" w:eastAsiaTheme="minorHAnsi" w:hAnsiTheme="minorHAnsi" w:cs="TimesNewRomanPSMT"/>
        </w:rPr>
        <w:t>accumulation ratio of approximately 4</w:t>
      </w:r>
      <w:r w:rsidR="00894642">
        <w:rPr>
          <w:rFonts w:asciiTheme="minorHAnsi" w:eastAsiaTheme="minorHAnsi" w:hAnsiTheme="minorHAnsi" w:cs="TimesNewRomanPSMT"/>
        </w:rPr>
        <w:t xml:space="preserve"> </w:t>
      </w:r>
      <w:r w:rsidRPr="000374D6">
        <w:rPr>
          <w:rFonts w:asciiTheme="minorHAnsi" w:eastAsiaTheme="minorHAnsi" w:hAnsiTheme="minorHAnsi" w:cs="TimesNewRomanPSMT"/>
        </w:rPr>
        <w:t xml:space="preserve">fold </w:t>
      </w:r>
      <w:r>
        <w:rPr>
          <w:rFonts w:asciiTheme="minorHAnsi" w:eastAsiaTheme="minorHAnsi" w:hAnsiTheme="minorHAnsi" w:cs="TimesNewRomanPSMT"/>
        </w:rPr>
        <w:t>from Week 2 (single</w:t>
      </w:r>
      <w:r w:rsidR="00894642">
        <w:rPr>
          <w:rFonts w:asciiTheme="minorHAnsi" w:eastAsiaTheme="minorHAnsi" w:hAnsiTheme="minorHAnsi" w:cs="TimesNewRomanPSMT"/>
        </w:rPr>
        <w:t xml:space="preserve"> </w:t>
      </w:r>
      <w:r>
        <w:rPr>
          <w:rFonts w:asciiTheme="minorHAnsi" w:eastAsiaTheme="minorHAnsi" w:hAnsiTheme="minorHAnsi" w:cs="TimesNewRomanPSMT"/>
        </w:rPr>
        <w:t xml:space="preserve">dose) to Week 16 (steady state) </w:t>
      </w:r>
      <w:r w:rsidRPr="000374D6">
        <w:rPr>
          <w:rFonts w:asciiTheme="minorHAnsi" w:eastAsiaTheme="minorHAnsi" w:hAnsiTheme="minorHAnsi" w:cs="TimesNewRomanPSMT"/>
        </w:rPr>
        <w:t>based on</w:t>
      </w:r>
      <w:r>
        <w:rPr>
          <w:rFonts w:asciiTheme="minorHAnsi" w:eastAsiaTheme="minorHAnsi" w:hAnsiTheme="minorHAnsi" w:cs="TimesNewRomanPSMT"/>
        </w:rPr>
        <w:t xml:space="preserve"> the mean trough concentrations.</w:t>
      </w:r>
    </w:p>
    <w:p w:rsidR="002928AB" w:rsidRPr="000374D6" w:rsidRDefault="002928AB" w:rsidP="00E246F9">
      <w:pPr>
        <w:pStyle w:val="FigureTitle"/>
      </w:pPr>
      <w:bookmarkStart w:id="91" w:name="_Toc514682692"/>
      <w:r>
        <w:t xml:space="preserve">Figure </w:t>
      </w:r>
      <w:r w:rsidR="00894642">
        <w:t>2</w:t>
      </w:r>
      <w:r>
        <w:t xml:space="preserve">: </w:t>
      </w:r>
      <w:r w:rsidR="00912D65">
        <w:t xml:space="preserve">Study </w:t>
      </w:r>
      <w:r w:rsidRPr="000374D6">
        <w:t>EFC14092</w:t>
      </w:r>
      <w:r w:rsidR="00912D65">
        <w:t>/MONARCH trial</w:t>
      </w:r>
      <w:r w:rsidRPr="000374D6">
        <w:t xml:space="preserve"> Mean (SD) functional serum sarilumab trough concentration at each visit</w:t>
      </w:r>
      <w:r w:rsidR="00912D65">
        <w:t>;</w:t>
      </w:r>
      <w:r w:rsidRPr="000374D6">
        <w:t xml:space="preserve"> PK population</w:t>
      </w:r>
      <w:bookmarkEnd w:id="91"/>
    </w:p>
    <w:p w:rsidR="002928AB" w:rsidRDefault="002928AB" w:rsidP="002928AB">
      <w:pPr>
        <w:autoSpaceDE w:val="0"/>
        <w:autoSpaceDN w:val="0"/>
        <w:adjustRightInd w:val="0"/>
        <w:spacing w:before="0" w:after="0" w:line="240" w:lineRule="auto"/>
        <w:rPr>
          <w:rFonts w:ascii="TimesNewRomanPSMT" w:eastAsiaTheme="minorHAnsi" w:hAnsi="TimesNewRomanPSMT" w:cs="TimesNewRomanPSMT"/>
          <w:color w:val="000000"/>
          <w:sz w:val="24"/>
          <w:szCs w:val="24"/>
        </w:rPr>
      </w:pPr>
      <w:r>
        <w:rPr>
          <w:rFonts w:ascii="TimesNewRomanPSMT" w:eastAsiaTheme="minorHAnsi" w:hAnsi="TimesNewRomanPSMT" w:cs="TimesNewRomanPSMT"/>
          <w:noProof/>
          <w:color w:val="000000"/>
          <w:sz w:val="24"/>
          <w:szCs w:val="24"/>
          <w:lang w:eastAsia="en-AU"/>
        </w:rPr>
        <mc:AlternateContent>
          <mc:Choice Requires="wpc">
            <w:drawing>
              <wp:inline distT="0" distB="0" distL="0" distR="0" wp14:anchorId="58AD3A52" wp14:editId="08A34A2A">
                <wp:extent cx="3493367" cy="2510109"/>
                <wp:effectExtent l="0" t="0" r="0" b="5080"/>
                <wp:docPr id="914" name="Canvas 91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912" name="Picture 5" descr="EFC14092 Mean (SD) functional serum sarilumab trough concentration at each visit, PK population"/>
                          <pic:cNvPicPr preferRelativeResize="0">
                            <a:picLocks noChangeAspect="1" noChangeArrowheads="1"/>
                          </pic:cNvPicPr>
                        </pic:nvPicPr>
                        <pic:blipFill>
                          <a:blip r:embed="rId25">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1"/>
                            <a:ext cx="3441600" cy="24741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id="Canvas 914" o:spid="_x0000_s1026" editas="canvas" style="width:275.05pt;height:197.65pt;mso-position-horizontal-relative:char;mso-position-vertical-relative:line" coordsize="34931,250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34931;height:25095;visibility:visible;mso-wrap-style:square">
                  <v:fill o:detectmouseclick="t"/>
                  <v:path o:connecttype="none"/>
                </v:shape>
                <v:shape id="Picture 5" o:spid="_x0000_s1028" type="#_x0000_t75" alt="EFC14092 Mean (SD) functional serum sarilumab trough concentration at each visit, PK population" style="position:absolute;width:34416;height:24741;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0bB/GAAAA3AAAAA8AAABkcnMvZG93bnJldi54bWxEj0FrAjEUhO8F/0N4BS9Fs1oodTWKtLR4&#10;EKXWg8fH5pms3bxsN9Fd/70RCj0OM/MNM1t0rhIXakLpWcFomIEgLrwu2SjYf38MXkGEiKyx8kwK&#10;rhRgMe89zDDXvuUvuuyiEQnCIUcFNsY6lzIUlhyGoa+Jk3f0jcOYZGOkbrBNcFfJcZa9SIclpwWL&#10;Nb1ZKn52Z6fg+fq5CevWaLs6GXfYP23t7/tWqf5jt5yCiNTF//Bfe6UVTEZjuJ9JR0DO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vRsH8YAAADcAAAADwAAAAAAAAAAAAAA&#10;AACfAgAAZHJzL2Rvd25yZXYueG1sUEsFBgAAAAAEAAQA9wAAAJIDAAAAAA==&#10;">
                  <v:imagedata r:id="rId28" o:title="EFC14092 Mean (SD) functional serum sarilumab trough concentration at each visit, PK population"/>
                </v:shape>
                <w10:anchorlock/>
              </v:group>
            </w:pict>
          </mc:Fallback>
        </mc:AlternateContent>
      </w:r>
    </w:p>
    <w:p w:rsidR="002928AB" w:rsidRDefault="002928AB" w:rsidP="002928AB">
      <w:r>
        <w:t xml:space="preserve">The incidence of ADA in the sarilumab 200 mg q2w group was 7.1% (13/184), with 2.7% (5/184) persistent ADA response. None of the patients exhibited neutralising ADAs. Although the mean functional sarilumab serum concentrations in ADA positive patients were lower than in ADA negative patients there was overlap in concentrations between ADA positive and ADA negative patients (see Figure </w:t>
      </w:r>
      <w:r w:rsidR="00894642">
        <w:t>3</w:t>
      </w:r>
      <w:r>
        <w:t xml:space="preserve"> below).</w:t>
      </w:r>
    </w:p>
    <w:p w:rsidR="002928AB" w:rsidRDefault="002928AB" w:rsidP="00E246F9">
      <w:pPr>
        <w:pStyle w:val="FigureTitle"/>
      </w:pPr>
      <w:bookmarkStart w:id="92" w:name="_Toc514682693"/>
      <w:r>
        <w:lastRenderedPageBreak/>
        <w:t>Figure</w:t>
      </w:r>
      <w:r w:rsidR="00894642">
        <w:t xml:space="preserve"> 3</w:t>
      </w:r>
      <w:r>
        <w:t xml:space="preserve">: </w:t>
      </w:r>
      <w:r w:rsidR="00912D65">
        <w:t xml:space="preserve">Study </w:t>
      </w:r>
      <w:r>
        <w:t>E</w:t>
      </w:r>
      <w:r w:rsidRPr="00B32BD7">
        <w:t>FC14092</w:t>
      </w:r>
      <w:r w:rsidR="00912D65">
        <w:t>/Monarch trial</w:t>
      </w:r>
      <w:r w:rsidRPr="00B32BD7">
        <w:t xml:space="preserve"> Serum functional sarilumab trough concentration in the sarilumab 200 mg q2w group</w:t>
      </w:r>
      <w:r>
        <w:t xml:space="preserve"> at each visit by patient ADA status</w:t>
      </w:r>
      <w:r w:rsidR="00912D65">
        <w:t xml:space="preserve">; </w:t>
      </w:r>
      <w:r>
        <w:t>PK population</w:t>
      </w:r>
      <w:bookmarkEnd w:id="92"/>
    </w:p>
    <w:p w:rsidR="002928AB" w:rsidRDefault="00175F9B" w:rsidP="00175F9B">
      <w:r w:rsidRPr="00175F9B">
        <w:rPr>
          <w:noProof/>
          <w:lang w:eastAsia="en-AU"/>
        </w:rPr>
        <w:drawing>
          <wp:inline distT="0" distB="0" distL="0" distR="0" wp14:anchorId="28249460" wp14:editId="1E5CFBFF">
            <wp:extent cx="5191125" cy="3752850"/>
            <wp:effectExtent l="0" t="0" r="9525" b="0"/>
            <wp:docPr id="897" name="Picture 897" descr="Study EFC14092/Monarch trial Serum functional sarilumab trough concentration in the sarilumab 200 mg q2w group at each visit by patient ADA status; PK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191125" cy="3752850"/>
                    </a:xfrm>
                    <a:prstGeom prst="rect">
                      <a:avLst/>
                    </a:prstGeom>
                  </pic:spPr>
                </pic:pic>
              </a:graphicData>
            </a:graphic>
          </wp:inline>
        </w:drawing>
      </w:r>
    </w:p>
    <w:p w:rsidR="00605AD4" w:rsidRDefault="00605AD4" w:rsidP="00605AD4">
      <w:pPr>
        <w:pStyle w:val="Heading4"/>
      </w:pPr>
      <w:r>
        <w:t>Evaluator’s conclusions on pharmacokinetics</w:t>
      </w:r>
    </w:p>
    <w:p w:rsidR="002928AB" w:rsidRPr="00CE282C" w:rsidRDefault="002928AB" w:rsidP="002928AB">
      <w:r w:rsidRPr="00894642">
        <w:t xml:space="preserve">In </w:t>
      </w:r>
      <w:r w:rsidR="005A2C47">
        <w:rPr>
          <w:rFonts w:asciiTheme="minorHAnsi" w:hAnsiTheme="minorHAnsi"/>
          <w:lang w:val="en-US"/>
        </w:rPr>
        <w:t>Study EFC14092</w:t>
      </w:r>
      <w:r w:rsidR="00912D65">
        <w:rPr>
          <w:rFonts w:asciiTheme="minorHAnsi" w:hAnsiTheme="minorHAnsi"/>
          <w:lang w:val="en-US"/>
        </w:rPr>
        <w:t>/</w:t>
      </w:r>
      <w:r w:rsidRPr="00894642">
        <w:t>MONARCH</w:t>
      </w:r>
      <w:r w:rsidR="00912D65">
        <w:t xml:space="preserve"> trial</w:t>
      </w:r>
      <w:r w:rsidRPr="00894642">
        <w:t xml:space="preserve">, </w:t>
      </w:r>
      <w:r w:rsidRPr="00CE282C">
        <w:t>after multiple SC administrations of sarilumab 200</w:t>
      </w:r>
      <w:r w:rsidR="00912D65">
        <w:t> </w:t>
      </w:r>
      <w:r w:rsidRPr="00CE282C">
        <w:t>mg q2w, the observed trough concentrations of sarilumab indicated that steady state was reached between Week 12 and the next sampling time at Week 16, with about 4</w:t>
      </w:r>
      <w:r w:rsidR="00894642">
        <w:t xml:space="preserve"> </w:t>
      </w:r>
      <w:r w:rsidRPr="00CE282C">
        <w:t>fold accumulation. Although the mean serum functional sarilumab concentration in ADA positive patients were lower than in ADA negative patients, there was overlap in concentrations between ADA positive and ADA negative patients.</w:t>
      </w:r>
    </w:p>
    <w:p w:rsidR="002928AB" w:rsidRPr="00CE282C" w:rsidRDefault="002928AB" w:rsidP="002928AB">
      <w:pPr>
        <w:rPr>
          <w:rFonts w:cs="Times"/>
          <w:lang w:val="en-US"/>
        </w:rPr>
      </w:pPr>
      <w:r w:rsidRPr="00CE282C">
        <w:t xml:space="preserve">In </w:t>
      </w:r>
      <w:r w:rsidR="00E246F9" w:rsidRPr="00894642">
        <w:t>S</w:t>
      </w:r>
      <w:r w:rsidRPr="00894642">
        <w:t>tudy MSC12665</w:t>
      </w:r>
      <w:r w:rsidRPr="00CE282C">
        <w:t>, in the AI assessment phase (</w:t>
      </w:r>
      <w:r w:rsidR="00912D65">
        <w:t xml:space="preserve">Baseline </w:t>
      </w:r>
      <w:r>
        <w:t xml:space="preserve">to Week 12) </w:t>
      </w:r>
      <w:r w:rsidRPr="00CE282C">
        <w:rPr>
          <w:lang w:val="en-US"/>
        </w:rPr>
        <w:t>there were no validated AI</w:t>
      </w:r>
      <w:r w:rsidR="00103B86">
        <w:rPr>
          <w:lang w:val="en-US"/>
        </w:rPr>
        <w:t xml:space="preserve"> </w:t>
      </w:r>
      <w:r w:rsidRPr="00CE282C">
        <w:rPr>
          <w:lang w:val="en-US"/>
        </w:rPr>
        <w:t>associated product technical failures reported among 600 injections. All injections were completed successfully using the AI. The 1 reported product technical complaint with the AI was verified to be due to user error and not due to a device failure. After 12 weeks of treatment, most patients (98%) were satisfied to very satisfied</w:t>
      </w:r>
      <w:r w:rsidR="00DD5BCE">
        <w:rPr>
          <w:lang w:val="en-US"/>
        </w:rPr>
        <w:t>,</w:t>
      </w:r>
      <w:r w:rsidRPr="00CE282C">
        <w:rPr>
          <w:lang w:val="en-US"/>
        </w:rPr>
        <w:t xml:space="preserve"> with the AI, 88% of patients thought</w:t>
      </w:r>
      <w:r w:rsidR="00DD5BCE">
        <w:rPr>
          <w:lang w:val="en-US"/>
        </w:rPr>
        <w:t xml:space="preserve"> that</w:t>
      </w:r>
      <w:r w:rsidRPr="00CE282C">
        <w:rPr>
          <w:lang w:val="en-US"/>
        </w:rPr>
        <w:t xml:space="preserve"> the AI was very easy to use, 98% thought the injection time was normal, short, or very short and 91% were very confident to extremely confident </w:t>
      </w:r>
      <w:r>
        <w:rPr>
          <w:lang w:val="en-US"/>
        </w:rPr>
        <w:t>about using</w:t>
      </w:r>
      <w:r w:rsidRPr="00CE282C">
        <w:rPr>
          <w:lang w:val="en-US"/>
        </w:rPr>
        <w:t xml:space="preserve"> the same AI for self-injection in the future.</w:t>
      </w:r>
    </w:p>
    <w:p w:rsidR="00AA6B20" w:rsidRDefault="002928AB" w:rsidP="002928AB">
      <w:pPr>
        <w:rPr>
          <w:lang w:val="en-US"/>
        </w:rPr>
      </w:pPr>
      <w:r w:rsidRPr="00CE282C">
        <w:t xml:space="preserve">In </w:t>
      </w:r>
      <w:r w:rsidR="00E246F9" w:rsidRPr="00894642">
        <w:t>S</w:t>
      </w:r>
      <w:r w:rsidRPr="00894642">
        <w:t>tudy MSC12665</w:t>
      </w:r>
      <w:r w:rsidRPr="00CE282C">
        <w:t xml:space="preserve">, </w:t>
      </w:r>
      <w:r w:rsidRPr="00CE282C">
        <w:rPr>
          <w:lang w:val="en-US"/>
        </w:rPr>
        <w:t>the AI 150 mg q2w and PFS 150 mg q2w treatments were bioequivalent at Week</w:t>
      </w:r>
      <w:r>
        <w:rPr>
          <w:lang w:val="en-US"/>
        </w:rPr>
        <w:t>s</w:t>
      </w:r>
      <w:r w:rsidRPr="00CE282C">
        <w:rPr>
          <w:lang w:val="en-US"/>
        </w:rPr>
        <w:t xml:space="preserve"> </w:t>
      </w:r>
      <w:r>
        <w:rPr>
          <w:lang w:val="en-US"/>
        </w:rPr>
        <w:t>1</w:t>
      </w:r>
      <w:r w:rsidRPr="00CE282C">
        <w:rPr>
          <w:lang w:val="en-US"/>
        </w:rPr>
        <w:t>0</w:t>
      </w:r>
      <w:r w:rsidR="00DD5BCE">
        <w:rPr>
          <w:lang w:val="en-US"/>
        </w:rPr>
        <w:t xml:space="preserve"> to </w:t>
      </w:r>
      <w:r w:rsidRPr="00CE282C">
        <w:rPr>
          <w:lang w:val="en-US"/>
        </w:rPr>
        <w:t>12 based on the AUC</w:t>
      </w:r>
      <w:r w:rsidRPr="00CE282C">
        <w:rPr>
          <w:sz w:val="18"/>
          <w:szCs w:val="18"/>
          <w:lang w:val="en-US"/>
        </w:rPr>
        <w:t xml:space="preserve">0-τ </w:t>
      </w:r>
      <w:r w:rsidRPr="00CE282C">
        <w:rPr>
          <w:lang w:val="en-US"/>
        </w:rPr>
        <w:t xml:space="preserve">values using standard </w:t>
      </w:r>
      <w:r>
        <w:rPr>
          <w:lang w:val="en-US"/>
        </w:rPr>
        <w:t xml:space="preserve">criteria. No other comparisons for the </w:t>
      </w:r>
      <w:proofErr w:type="spellStart"/>
      <w:r w:rsidR="00027A8C">
        <w:t>C</w:t>
      </w:r>
      <w:r w:rsidR="00027A8C" w:rsidRPr="00027A8C">
        <w:rPr>
          <w:vertAlign w:val="subscript"/>
        </w:rPr>
        <w:t>max</w:t>
      </w:r>
      <w:proofErr w:type="spellEnd"/>
      <w:r w:rsidRPr="00D63A46">
        <w:rPr>
          <w:sz w:val="18"/>
          <w:szCs w:val="18"/>
          <w:lang w:val="en-US"/>
        </w:rPr>
        <w:t xml:space="preserve"> </w:t>
      </w:r>
      <w:r>
        <w:rPr>
          <w:lang w:val="en-US"/>
        </w:rPr>
        <w:t xml:space="preserve">or </w:t>
      </w:r>
      <w:r w:rsidRPr="00CE282C">
        <w:rPr>
          <w:lang w:val="en-US"/>
        </w:rPr>
        <w:t>AUC</w:t>
      </w:r>
      <w:r w:rsidRPr="00103B86">
        <w:rPr>
          <w:sz w:val="18"/>
          <w:szCs w:val="18"/>
          <w:vertAlign w:val="subscript"/>
          <w:lang w:val="en-US"/>
        </w:rPr>
        <w:t>0-τ</w:t>
      </w:r>
      <w:r w:rsidRPr="00CE282C">
        <w:rPr>
          <w:sz w:val="18"/>
          <w:szCs w:val="18"/>
          <w:lang w:val="en-US"/>
        </w:rPr>
        <w:t xml:space="preserve"> </w:t>
      </w:r>
      <w:r>
        <w:rPr>
          <w:lang w:val="en-US"/>
        </w:rPr>
        <w:t>between the AI and PFS at Weeks 0</w:t>
      </w:r>
      <w:r w:rsidR="00912D65">
        <w:rPr>
          <w:lang w:val="en-US"/>
        </w:rPr>
        <w:t xml:space="preserve"> to </w:t>
      </w:r>
      <w:r>
        <w:rPr>
          <w:lang w:val="en-US"/>
        </w:rPr>
        <w:t>2 or Weeks</w:t>
      </w:r>
      <w:r w:rsidR="00DD5BCE">
        <w:rPr>
          <w:lang w:val="en-US"/>
        </w:rPr>
        <w:t> </w:t>
      </w:r>
      <w:r>
        <w:rPr>
          <w:lang w:val="en-US"/>
        </w:rPr>
        <w:t>10</w:t>
      </w:r>
      <w:r w:rsidR="00912D65">
        <w:rPr>
          <w:lang w:val="en-US"/>
        </w:rPr>
        <w:t xml:space="preserve"> to </w:t>
      </w:r>
      <w:r>
        <w:rPr>
          <w:lang w:val="en-US"/>
        </w:rPr>
        <w:t xml:space="preserve">12 were bioequivalent. </w:t>
      </w:r>
      <w:r w:rsidRPr="00CE282C">
        <w:rPr>
          <w:lang w:val="en-US"/>
        </w:rPr>
        <w:t>However, the study was not powered to demonstrate bioequivalence</w:t>
      </w:r>
      <w:r>
        <w:rPr>
          <w:lang w:val="en-US"/>
        </w:rPr>
        <w:t xml:space="preserve"> between the AI and PFS at the 150 mg and 200 mg q2w doses</w:t>
      </w:r>
      <w:r w:rsidRPr="00CE282C">
        <w:rPr>
          <w:lang w:val="en-US"/>
        </w:rPr>
        <w:t xml:space="preserve">. The totality of the PK data suggests that the observed PK differences between the AI and PFS presentations at the 150 mg q2w and 200 mg q2w doses are unlikely </w:t>
      </w:r>
      <w:r>
        <w:rPr>
          <w:lang w:val="en-US"/>
        </w:rPr>
        <w:t xml:space="preserve">to </w:t>
      </w:r>
      <w:r w:rsidRPr="00CE282C">
        <w:rPr>
          <w:lang w:val="en-US"/>
        </w:rPr>
        <w:t>result in significant clinical differences between the two presentations.</w:t>
      </w:r>
    </w:p>
    <w:p w:rsidR="008E7846" w:rsidRDefault="008E7846" w:rsidP="008E7846">
      <w:pPr>
        <w:pStyle w:val="Heading3"/>
      </w:pPr>
      <w:bookmarkStart w:id="93" w:name="_Toc196046481"/>
      <w:bookmarkStart w:id="94" w:name="_Toc247691520"/>
      <w:bookmarkStart w:id="95" w:name="_Toc314842503"/>
      <w:bookmarkStart w:id="96" w:name="_Toc12272152"/>
      <w:r w:rsidRPr="00254787">
        <w:lastRenderedPageBreak/>
        <w:t>Pharmacodynamics</w:t>
      </w:r>
      <w:bookmarkEnd w:id="80"/>
      <w:bookmarkEnd w:id="93"/>
      <w:bookmarkEnd w:id="94"/>
      <w:bookmarkEnd w:id="95"/>
      <w:bookmarkEnd w:id="96"/>
    </w:p>
    <w:p w:rsidR="00605AD4" w:rsidRDefault="00605AD4" w:rsidP="00605AD4">
      <w:pPr>
        <w:pStyle w:val="Heading4"/>
      </w:pPr>
      <w:r>
        <w:t>Studies providing pharmacodynamic data</w:t>
      </w:r>
    </w:p>
    <w:p w:rsidR="00AA6B20" w:rsidRDefault="002928AB" w:rsidP="00E246F9">
      <w:pPr>
        <w:pStyle w:val="Heading5"/>
        <w:rPr>
          <w:rFonts w:eastAsiaTheme="minorHAnsi"/>
        </w:rPr>
      </w:pPr>
      <w:bookmarkStart w:id="97" w:name="_Toc514682526"/>
      <w:r>
        <w:rPr>
          <w:rFonts w:eastAsiaTheme="minorHAnsi"/>
        </w:rPr>
        <w:t>Previously submitted studies providing pharmacodynamic information</w:t>
      </w:r>
      <w:bookmarkEnd w:id="97"/>
    </w:p>
    <w:p w:rsidR="00AA6B20" w:rsidRDefault="002928AB" w:rsidP="002928AB">
      <w:r>
        <w:rPr>
          <w:rFonts w:cs="Cambria"/>
          <w:color w:val="000000"/>
        </w:rPr>
        <w:t xml:space="preserve">The initial CER evaluated the </w:t>
      </w:r>
      <w:r w:rsidRPr="00732FEB">
        <w:rPr>
          <w:rFonts w:cs="Cambria"/>
          <w:color w:val="000000"/>
        </w:rPr>
        <w:t xml:space="preserve">PD of </w:t>
      </w:r>
      <w:r>
        <w:rPr>
          <w:rFonts w:cs="Cambria"/>
          <w:color w:val="000000"/>
        </w:rPr>
        <w:t xml:space="preserve">sarilumab </w:t>
      </w:r>
      <w:r w:rsidRPr="00732FEB">
        <w:rPr>
          <w:rFonts w:cs="Cambria"/>
          <w:color w:val="000000"/>
        </w:rPr>
        <w:t xml:space="preserve">in </w:t>
      </w:r>
      <w:r>
        <w:rPr>
          <w:rFonts w:cs="Cambria"/>
          <w:color w:val="000000"/>
        </w:rPr>
        <w:t xml:space="preserve">adult </w:t>
      </w:r>
      <w:r w:rsidRPr="00732FEB">
        <w:rPr>
          <w:rFonts w:cs="Cambria"/>
          <w:color w:val="000000"/>
        </w:rPr>
        <w:t xml:space="preserve">patients aged </w:t>
      </w:r>
      <w:r w:rsidR="00DD5BCE">
        <w:rPr>
          <w:rFonts w:cs="Cambria"/>
          <w:color w:val="000000"/>
        </w:rPr>
        <w:t xml:space="preserve">&gt; </w:t>
      </w:r>
      <w:r>
        <w:rPr>
          <w:rFonts w:cs="Cambria"/>
          <w:color w:val="000000"/>
        </w:rPr>
        <w:t>18</w:t>
      </w:r>
      <w:r w:rsidRPr="00732FEB">
        <w:rPr>
          <w:rFonts w:cs="Cambria"/>
          <w:color w:val="000000"/>
        </w:rPr>
        <w:t xml:space="preserve"> years with active </w:t>
      </w:r>
      <w:r>
        <w:rPr>
          <w:rFonts w:cs="Cambria"/>
          <w:color w:val="000000"/>
        </w:rPr>
        <w:t>R</w:t>
      </w:r>
      <w:r w:rsidRPr="00732FEB">
        <w:rPr>
          <w:rFonts w:cs="Cambria"/>
          <w:color w:val="000000"/>
        </w:rPr>
        <w:t xml:space="preserve">A from data collected </w:t>
      </w:r>
      <w:r>
        <w:rPr>
          <w:rFonts w:cs="Cambria"/>
          <w:color w:val="000000"/>
        </w:rPr>
        <w:t xml:space="preserve">from 5 </w:t>
      </w:r>
      <w:r w:rsidR="00A81730">
        <w:rPr>
          <w:rFonts w:cs="Cambria"/>
          <w:color w:val="000000"/>
        </w:rPr>
        <w:t>Phase I</w:t>
      </w:r>
      <w:r>
        <w:rPr>
          <w:rFonts w:cs="Cambria"/>
          <w:color w:val="000000"/>
        </w:rPr>
        <w:t xml:space="preserve"> studies, 3 </w:t>
      </w:r>
      <w:r w:rsidR="001470FB">
        <w:rPr>
          <w:rFonts w:cs="Cambria"/>
          <w:color w:val="000000"/>
        </w:rPr>
        <w:t>Phase II</w:t>
      </w:r>
      <w:r w:rsidR="00912D65">
        <w:rPr>
          <w:rFonts w:cs="Cambria"/>
          <w:color w:val="000000"/>
        </w:rPr>
        <w:t>/</w:t>
      </w:r>
      <w:r w:rsidR="00684391">
        <w:rPr>
          <w:rFonts w:cs="Cambria"/>
          <w:color w:val="000000"/>
        </w:rPr>
        <w:t>III</w:t>
      </w:r>
      <w:r>
        <w:rPr>
          <w:rFonts w:cs="Cambria"/>
          <w:color w:val="000000"/>
        </w:rPr>
        <w:t xml:space="preserve"> trials and 3 population PK/PD analyses. T</w:t>
      </w:r>
      <w:r w:rsidRPr="00732FEB">
        <w:rPr>
          <w:rFonts w:cs="Cambria"/>
          <w:color w:val="000000"/>
        </w:rPr>
        <w:t xml:space="preserve">he </w:t>
      </w:r>
      <w:r>
        <w:rPr>
          <w:rFonts w:cs="Cambria"/>
          <w:color w:val="000000"/>
        </w:rPr>
        <w:t>s</w:t>
      </w:r>
      <w:r w:rsidRPr="00732FEB">
        <w:rPr>
          <w:rFonts w:cs="Cambria"/>
          <w:color w:val="000000"/>
        </w:rPr>
        <w:t>tud</w:t>
      </w:r>
      <w:r>
        <w:rPr>
          <w:rFonts w:cs="Cambria"/>
          <w:color w:val="000000"/>
        </w:rPr>
        <w:t>ies</w:t>
      </w:r>
      <w:r w:rsidRPr="00732FEB">
        <w:rPr>
          <w:rFonts w:cs="Cambria"/>
          <w:color w:val="000000"/>
        </w:rPr>
        <w:t xml:space="preserve"> involv</w:t>
      </w:r>
      <w:r>
        <w:rPr>
          <w:rFonts w:cs="Cambria"/>
          <w:color w:val="000000"/>
        </w:rPr>
        <w:t xml:space="preserve">ed </w:t>
      </w:r>
      <w:r w:rsidR="00DD5BCE">
        <w:t xml:space="preserve">&gt; </w:t>
      </w:r>
      <w:r>
        <w:rPr>
          <w:rFonts w:cs="Cambria"/>
          <w:color w:val="000000"/>
        </w:rPr>
        <w:t>2000</w:t>
      </w:r>
      <w:r w:rsidRPr="00732FEB">
        <w:rPr>
          <w:rFonts w:cs="Cambria"/>
          <w:color w:val="000000"/>
        </w:rPr>
        <w:t xml:space="preserve"> patients who received </w:t>
      </w:r>
      <w:r>
        <w:rPr>
          <w:rFonts w:cs="Cambria"/>
          <w:color w:val="000000"/>
        </w:rPr>
        <w:t xml:space="preserve">sarilumab by SC injection across a broad dose range </w:t>
      </w:r>
      <w:r w:rsidRPr="00732FEB">
        <w:rPr>
          <w:rFonts w:cs="Cambria"/>
          <w:color w:val="000000"/>
        </w:rPr>
        <w:t>(</w:t>
      </w:r>
      <w:r>
        <w:rPr>
          <w:rFonts w:cs="Cambria"/>
          <w:color w:val="000000"/>
        </w:rPr>
        <w:t>f</w:t>
      </w:r>
      <w:r w:rsidRPr="00732FEB">
        <w:rPr>
          <w:rFonts w:cs="Cambria"/>
          <w:color w:val="000000"/>
        </w:rPr>
        <w:t>r</w:t>
      </w:r>
      <w:r>
        <w:rPr>
          <w:rFonts w:cs="Cambria"/>
          <w:color w:val="000000"/>
        </w:rPr>
        <w:t>om a single dose of 5</w:t>
      </w:r>
      <w:r w:rsidRPr="00732FEB">
        <w:rPr>
          <w:rFonts w:cs="Cambria"/>
          <w:color w:val="000000"/>
        </w:rPr>
        <w:t>0 mg</w:t>
      </w:r>
      <w:r>
        <w:rPr>
          <w:rFonts w:cs="Cambria"/>
          <w:color w:val="000000"/>
        </w:rPr>
        <w:t xml:space="preserve"> to 150 mg </w:t>
      </w:r>
      <w:proofErr w:type="spellStart"/>
      <w:r w:rsidR="00DD2390">
        <w:rPr>
          <w:rFonts w:cs="Cambria"/>
          <w:color w:val="000000"/>
        </w:rPr>
        <w:t>q</w:t>
      </w:r>
      <w:r>
        <w:rPr>
          <w:rFonts w:cs="Cambria"/>
          <w:color w:val="000000"/>
        </w:rPr>
        <w:t>w</w:t>
      </w:r>
      <w:proofErr w:type="spellEnd"/>
      <w:r w:rsidRPr="00732FEB">
        <w:rPr>
          <w:rFonts w:cs="Cambria"/>
          <w:color w:val="000000"/>
        </w:rPr>
        <w:t>)</w:t>
      </w:r>
      <w:r>
        <w:rPr>
          <w:rFonts w:cs="Cambria"/>
          <w:color w:val="000000"/>
        </w:rPr>
        <w:t>.</w:t>
      </w:r>
      <w:r w:rsidRPr="00F82F33">
        <w:t xml:space="preserve"> </w:t>
      </w:r>
      <w:r>
        <w:t xml:space="preserve">The initial CER stated that none of the PD studies had </w:t>
      </w:r>
      <w:r w:rsidRPr="00B817F6">
        <w:t xml:space="preserve">deficiencies that excluded their results from consideration. The studies providing PD data are summarised in Table </w:t>
      </w:r>
      <w:r w:rsidR="00B817F6" w:rsidRPr="00B817F6">
        <w:t>7</w:t>
      </w:r>
      <w:r w:rsidRPr="00B817F6">
        <w:t xml:space="preserve"> and the studies providing population PK/PD data are summarised in Table </w:t>
      </w:r>
      <w:r w:rsidR="00B817F6" w:rsidRPr="00B817F6">
        <w:t>8</w:t>
      </w:r>
      <w:r w:rsidRPr="00B817F6">
        <w:t>.</w:t>
      </w:r>
    </w:p>
    <w:p w:rsidR="00AA6B20" w:rsidRDefault="002928AB" w:rsidP="002928AB">
      <w:pPr>
        <w:rPr>
          <w:rFonts w:asciiTheme="minorHAnsi" w:eastAsia="Times New Roman" w:hAnsiTheme="minorHAnsi"/>
          <w:kern w:val="16"/>
          <w:szCs w:val="24"/>
          <w:lang w:eastAsia="en-AU"/>
        </w:rPr>
      </w:pPr>
      <w:r>
        <w:rPr>
          <w:rFonts w:asciiTheme="minorHAnsi" w:eastAsia="Times New Roman" w:hAnsiTheme="minorHAnsi"/>
          <w:kern w:val="16"/>
          <w:szCs w:val="24"/>
          <w:lang w:eastAsia="en-AU"/>
        </w:rPr>
        <w:t xml:space="preserve">The following summary of the PD of sarilumab </w:t>
      </w:r>
      <w:r w:rsidRPr="00B11343">
        <w:rPr>
          <w:rFonts w:asciiTheme="minorHAnsi" w:eastAsia="Times New Roman" w:hAnsiTheme="minorHAnsi"/>
          <w:kern w:val="16"/>
          <w:szCs w:val="24"/>
          <w:lang w:eastAsia="en-AU"/>
        </w:rPr>
        <w:t xml:space="preserve">is from </w:t>
      </w:r>
      <w:r>
        <w:rPr>
          <w:rFonts w:asciiTheme="minorHAnsi" w:eastAsia="Times New Roman" w:hAnsiTheme="minorHAnsi"/>
          <w:kern w:val="16"/>
          <w:szCs w:val="24"/>
          <w:lang w:eastAsia="en-AU"/>
        </w:rPr>
        <w:t xml:space="preserve">data provided in </w:t>
      </w:r>
      <w:r w:rsidRPr="00B11343">
        <w:rPr>
          <w:rFonts w:asciiTheme="minorHAnsi" w:eastAsia="Times New Roman" w:hAnsiTheme="minorHAnsi"/>
          <w:kern w:val="16"/>
          <w:szCs w:val="24"/>
          <w:lang w:eastAsia="en-AU"/>
        </w:rPr>
        <w:t xml:space="preserve">the initial </w:t>
      </w:r>
      <w:r>
        <w:rPr>
          <w:rFonts w:asciiTheme="minorHAnsi" w:eastAsia="Times New Roman" w:hAnsiTheme="minorHAnsi"/>
          <w:kern w:val="16"/>
          <w:szCs w:val="24"/>
          <w:lang w:eastAsia="en-AU"/>
        </w:rPr>
        <w:t>CER.</w:t>
      </w:r>
    </w:p>
    <w:p w:rsidR="002928AB" w:rsidRPr="008948C4" w:rsidRDefault="002928AB" w:rsidP="00E246F9">
      <w:pPr>
        <w:pStyle w:val="ListBullet"/>
      </w:pPr>
      <w:r w:rsidRPr="00732FEB">
        <w:t xml:space="preserve">The </w:t>
      </w:r>
      <w:r>
        <w:t xml:space="preserve">initial CER notes that the </w:t>
      </w:r>
      <w:r w:rsidRPr="00732FEB">
        <w:t xml:space="preserve">sponsor appropriately nominated mean changes in serum </w:t>
      </w:r>
      <w:r>
        <w:t xml:space="preserve">total </w:t>
      </w:r>
      <w:r w:rsidRPr="00732FEB">
        <w:t xml:space="preserve">IL-6R and sIL-6R levels as the primary PD markers of interest for </w:t>
      </w:r>
      <w:r>
        <w:t>sarilumab.</w:t>
      </w:r>
      <w:r w:rsidRPr="00F60B0C">
        <w:t xml:space="preserve"> </w:t>
      </w:r>
      <w:r w:rsidRPr="00732FEB">
        <w:t xml:space="preserve">Mean </w:t>
      </w:r>
      <w:r>
        <w:t xml:space="preserve">or median </w:t>
      </w:r>
      <w:r w:rsidRPr="00732FEB">
        <w:t>serum changes in serum inflammatory markers (</w:t>
      </w:r>
      <w:r w:rsidR="00912D65">
        <w:t xml:space="preserve">CRP, </w:t>
      </w:r>
      <w:r>
        <w:t xml:space="preserve">serum amyloid A </w:t>
      </w:r>
      <w:r w:rsidR="00912D65">
        <w:t>(</w:t>
      </w:r>
      <w:r>
        <w:t>SAA</w:t>
      </w:r>
      <w:r w:rsidR="00912D65">
        <w:t>)</w:t>
      </w:r>
      <w:r>
        <w:t xml:space="preserve">, fibrinogen and erythrocyte sedimentation rate </w:t>
      </w:r>
      <w:r w:rsidR="00912D65">
        <w:t>(</w:t>
      </w:r>
      <w:r>
        <w:t>ESR</w:t>
      </w:r>
      <w:r w:rsidR="00912D65">
        <w:t>)</w:t>
      </w:r>
      <w:r w:rsidRPr="00732FEB">
        <w:t xml:space="preserve">) were evaluated as the secondary </w:t>
      </w:r>
      <w:r w:rsidRPr="008948C4">
        <w:t>PD biomarkers of relevance</w:t>
      </w:r>
    </w:p>
    <w:p w:rsidR="00AA6B20" w:rsidRPr="008948C4" w:rsidRDefault="002928AB" w:rsidP="00E246F9">
      <w:pPr>
        <w:pStyle w:val="ListBullet"/>
      </w:pPr>
      <w:r w:rsidRPr="008948C4">
        <w:rPr>
          <w:rFonts w:asciiTheme="minorHAnsi" w:hAnsiTheme="minorHAnsi"/>
        </w:rPr>
        <w:t xml:space="preserve">The initial CER stated that </w:t>
      </w:r>
      <w:r w:rsidRPr="008948C4">
        <w:rPr>
          <w:rFonts w:asciiTheme="minorHAnsi" w:eastAsia="Times New Roman" w:hAnsiTheme="minorHAnsi"/>
          <w:kern w:val="16"/>
          <w:lang w:eastAsia="en-AU"/>
        </w:rPr>
        <w:t xml:space="preserve">total sIL-6R can be regarded as a biomarker for sarilumab and is indicative of target engagement. Total sIL-6R is defined as free IL-6R plus IL-6R complexed with sarilumab after drug exposure. Free sIL-6R represents the amount of target that is pharmacologically available. </w:t>
      </w:r>
      <w:r w:rsidRPr="008948C4">
        <w:rPr>
          <w:rFonts w:asciiTheme="minorHAnsi" w:hAnsiTheme="minorHAnsi"/>
        </w:rPr>
        <w:t xml:space="preserve">The PD data confirmed that, following repeat dosing, sarilumab reduced the mean concentration of free sIL-6R, with the reductions relative to placebo being similar following </w:t>
      </w:r>
      <w:proofErr w:type="spellStart"/>
      <w:r w:rsidRPr="008948C4">
        <w:rPr>
          <w:rFonts w:asciiTheme="minorHAnsi" w:hAnsiTheme="minorHAnsi"/>
        </w:rPr>
        <w:t>sarilumab</w:t>
      </w:r>
      <w:proofErr w:type="spellEnd"/>
      <w:r w:rsidRPr="008948C4">
        <w:rPr>
          <w:rFonts w:asciiTheme="minorHAnsi" w:hAnsiTheme="minorHAnsi"/>
        </w:rPr>
        <w:t xml:space="preserve"> 100 mg </w:t>
      </w:r>
      <w:proofErr w:type="spellStart"/>
      <w:r w:rsidRPr="008948C4">
        <w:rPr>
          <w:rFonts w:asciiTheme="minorHAnsi" w:hAnsiTheme="minorHAnsi"/>
        </w:rPr>
        <w:t>qw</w:t>
      </w:r>
      <w:proofErr w:type="spellEnd"/>
      <w:r w:rsidRPr="008948C4">
        <w:rPr>
          <w:rFonts w:asciiTheme="minorHAnsi" w:hAnsiTheme="minorHAnsi"/>
        </w:rPr>
        <w:t>, 150</w:t>
      </w:r>
      <w:r w:rsidR="00DD5BCE">
        <w:rPr>
          <w:rFonts w:asciiTheme="minorHAnsi" w:hAnsiTheme="minorHAnsi"/>
        </w:rPr>
        <w:t> </w:t>
      </w:r>
      <w:r w:rsidRPr="008948C4">
        <w:rPr>
          <w:rFonts w:asciiTheme="minorHAnsi" w:hAnsiTheme="minorHAnsi"/>
        </w:rPr>
        <w:t>mg</w:t>
      </w:r>
      <w:r w:rsidR="00DD5BCE">
        <w:rPr>
          <w:rFonts w:asciiTheme="minorHAnsi" w:hAnsiTheme="minorHAnsi"/>
        </w:rPr>
        <w:t> </w:t>
      </w:r>
      <w:proofErr w:type="spellStart"/>
      <w:r w:rsidRPr="008948C4">
        <w:rPr>
          <w:rFonts w:asciiTheme="minorHAnsi" w:hAnsiTheme="minorHAnsi"/>
        </w:rPr>
        <w:t>qw</w:t>
      </w:r>
      <w:proofErr w:type="spellEnd"/>
      <w:r w:rsidRPr="008948C4">
        <w:rPr>
          <w:rFonts w:asciiTheme="minorHAnsi" w:hAnsiTheme="minorHAnsi"/>
        </w:rPr>
        <w:t xml:space="preserve"> and 200 mg q2w. </w:t>
      </w:r>
      <w:r w:rsidRPr="008948C4">
        <w:rPr>
          <w:rFonts w:asciiTheme="minorHAnsi" w:eastAsiaTheme="minorHAnsi" w:hAnsiTheme="minorHAnsi" w:cs="TimesNewRomanPSMT"/>
        </w:rPr>
        <w:t>Although the largest decrease in free sIL-6R was observed at 150</w:t>
      </w:r>
      <w:r w:rsidR="00912D65">
        <w:rPr>
          <w:rFonts w:asciiTheme="minorHAnsi" w:eastAsiaTheme="minorHAnsi" w:hAnsiTheme="minorHAnsi" w:cs="TimesNewRomanPSMT"/>
        </w:rPr>
        <w:t> </w:t>
      </w:r>
      <w:r w:rsidRPr="008948C4">
        <w:rPr>
          <w:rFonts w:asciiTheme="minorHAnsi" w:eastAsiaTheme="minorHAnsi" w:hAnsiTheme="minorHAnsi" w:cs="TimesNewRomanPSMT"/>
        </w:rPr>
        <w:t xml:space="preserve">mg </w:t>
      </w:r>
      <w:proofErr w:type="spellStart"/>
      <w:r w:rsidRPr="008948C4">
        <w:rPr>
          <w:rFonts w:asciiTheme="minorHAnsi" w:eastAsiaTheme="minorHAnsi" w:hAnsiTheme="minorHAnsi" w:cs="TimesNewRomanPSMT"/>
        </w:rPr>
        <w:t>qw</w:t>
      </w:r>
      <w:proofErr w:type="spellEnd"/>
      <w:r w:rsidRPr="008948C4">
        <w:rPr>
          <w:rFonts w:asciiTheme="minorHAnsi" w:eastAsiaTheme="minorHAnsi" w:hAnsiTheme="minorHAnsi" w:cs="TimesNewRomanPSMT"/>
        </w:rPr>
        <w:t xml:space="preserve">, the difference from the 200 mg q2w or the 100 mg </w:t>
      </w:r>
      <w:proofErr w:type="spellStart"/>
      <w:r w:rsidRPr="008948C4">
        <w:rPr>
          <w:rFonts w:asciiTheme="minorHAnsi" w:eastAsiaTheme="minorHAnsi" w:hAnsiTheme="minorHAnsi" w:cs="TimesNewRomanPSMT"/>
        </w:rPr>
        <w:t>qw</w:t>
      </w:r>
      <w:proofErr w:type="spellEnd"/>
      <w:r w:rsidRPr="008948C4">
        <w:rPr>
          <w:rFonts w:asciiTheme="minorHAnsi" w:eastAsiaTheme="minorHAnsi" w:hAnsiTheme="minorHAnsi" w:cs="TimesNewRomanPSMT"/>
        </w:rPr>
        <w:t xml:space="preserve"> doses was only marginal. The decrease in free sIL-6R appears to plateau at these three doses, presumably because of target saturation. </w:t>
      </w:r>
      <w:r w:rsidRPr="008948C4">
        <w:rPr>
          <w:rFonts w:asciiTheme="minorHAnsi" w:hAnsiTheme="minorHAnsi"/>
        </w:rPr>
        <w:t xml:space="preserve">The results are summarised in Figure </w:t>
      </w:r>
      <w:r w:rsidR="008948C4" w:rsidRPr="008948C4">
        <w:rPr>
          <w:rFonts w:asciiTheme="minorHAnsi" w:hAnsiTheme="minorHAnsi"/>
        </w:rPr>
        <w:t>4 below</w:t>
      </w:r>
      <w:r w:rsidRPr="008948C4">
        <w:rPr>
          <w:rFonts w:asciiTheme="minorHAnsi" w:hAnsiTheme="minorHAnsi"/>
        </w:rPr>
        <w:t>.</w:t>
      </w:r>
    </w:p>
    <w:p w:rsidR="00F3393B" w:rsidRDefault="008948C4" w:rsidP="008948C4">
      <w:pPr>
        <w:pStyle w:val="FigureTitle"/>
      </w:pPr>
      <w:r>
        <w:t xml:space="preserve">Figure 4: </w:t>
      </w:r>
      <w:r w:rsidR="00912D65">
        <w:t xml:space="preserve">Study EFC11072 (Part A) </w:t>
      </w:r>
      <w:r w:rsidR="00F3393B">
        <w:t xml:space="preserve">Serum </w:t>
      </w:r>
      <w:r w:rsidR="00912D65">
        <w:t xml:space="preserve">concentrations of free </w:t>
      </w:r>
      <w:r w:rsidR="00F3393B">
        <w:t xml:space="preserve">sIL-6R following </w:t>
      </w:r>
      <w:r w:rsidR="00912D65">
        <w:t xml:space="preserve">repeat </w:t>
      </w:r>
      <w:r w:rsidR="00F3393B">
        <w:t xml:space="preserve">SAR </w:t>
      </w:r>
      <w:r w:rsidR="00912D65">
        <w:t>d</w:t>
      </w:r>
      <w:r w:rsidR="00F3393B">
        <w:t>osing</w:t>
      </w:r>
    </w:p>
    <w:p w:rsidR="00F3393B" w:rsidRDefault="00F3393B" w:rsidP="00103B86">
      <w:r>
        <w:rPr>
          <w:noProof/>
          <w:lang w:eastAsia="en-AU"/>
        </w:rPr>
        <w:drawing>
          <wp:inline distT="0" distB="0" distL="0" distR="0" wp14:anchorId="4AA3E761" wp14:editId="0CF0411E">
            <wp:extent cx="4028536" cy="3002320"/>
            <wp:effectExtent l="0" t="0" r="0" b="7620"/>
            <wp:docPr id="909" name="Picture 909" descr="Serum Concentrations of Free sIL-6R following Repeat SAR Dosing in Part A of Study EFC1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027248" cy="3001360"/>
                    </a:xfrm>
                    <a:prstGeom prst="rect">
                      <a:avLst/>
                    </a:prstGeom>
                    <a:noFill/>
                    <a:ln>
                      <a:noFill/>
                    </a:ln>
                  </pic:spPr>
                </pic:pic>
              </a:graphicData>
            </a:graphic>
          </wp:inline>
        </w:drawing>
      </w:r>
    </w:p>
    <w:p w:rsidR="002928AB" w:rsidRPr="00F60B0C" w:rsidRDefault="002928AB" w:rsidP="00F3393B">
      <w:pPr>
        <w:pStyle w:val="ListBullet"/>
        <w:numPr>
          <w:ilvl w:val="0"/>
          <w:numId w:val="0"/>
        </w:numPr>
        <w:rPr>
          <w:rFonts w:asciiTheme="minorHAnsi" w:eastAsia="Times New Roman" w:hAnsiTheme="minorHAnsi"/>
          <w:kern w:val="16"/>
          <w:lang w:eastAsia="en-AU"/>
        </w:rPr>
      </w:pPr>
      <w:r w:rsidRPr="00F60B0C">
        <w:rPr>
          <w:rFonts w:asciiTheme="minorHAnsi" w:hAnsiTheme="minorHAnsi"/>
        </w:rPr>
        <w:t xml:space="preserve">The decrease in free sIL-6R was reported to be accompanied by a corresponding increase in total sIL-6R, the vast majority being in the form of the biologically inert bound complex. </w:t>
      </w:r>
      <w:r w:rsidRPr="00F60B0C">
        <w:rPr>
          <w:rFonts w:asciiTheme="minorHAnsi" w:eastAsiaTheme="minorHAnsi" w:hAnsiTheme="minorHAnsi" w:cs="TimesNewRomanPSMT"/>
        </w:rPr>
        <w:lastRenderedPageBreak/>
        <w:t>When sarilumab is in excess of fre</w:t>
      </w:r>
      <w:r>
        <w:rPr>
          <w:rFonts w:asciiTheme="minorHAnsi" w:eastAsiaTheme="minorHAnsi" w:hAnsiTheme="minorHAnsi" w:cs="TimesNewRomanPSMT"/>
        </w:rPr>
        <w:t xml:space="preserve">e IL-6 the target is saturated </w:t>
      </w:r>
      <w:r w:rsidRPr="00F60B0C">
        <w:rPr>
          <w:rFonts w:asciiTheme="minorHAnsi" w:eastAsiaTheme="minorHAnsi" w:hAnsiTheme="minorHAnsi" w:cs="TimesNewRomanPSMT"/>
        </w:rPr>
        <w:t>and any newly formed IL</w:t>
      </w:r>
      <w:r w:rsidR="00DD5BCE">
        <w:rPr>
          <w:rFonts w:asciiTheme="minorHAnsi" w:eastAsiaTheme="minorHAnsi" w:hAnsiTheme="minorHAnsi" w:cs="TimesNewRomanPSMT"/>
        </w:rPr>
        <w:noBreakHyphen/>
      </w:r>
      <w:r w:rsidRPr="00F60B0C">
        <w:rPr>
          <w:rFonts w:asciiTheme="minorHAnsi" w:eastAsiaTheme="minorHAnsi" w:hAnsiTheme="minorHAnsi" w:cs="TimesNewRomanPSMT"/>
        </w:rPr>
        <w:t>6R is expected to be immediately complexed. With the elimination of the IL</w:t>
      </w:r>
      <w:r w:rsidR="00DD5BCE">
        <w:rPr>
          <w:rFonts w:asciiTheme="minorHAnsi" w:eastAsiaTheme="minorHAnsi" w:hAnsiTheme="minorHAnsi" w:cs="TimesNewRomanPSMT"/>
        </w:rPr>
        <w:noBreakHyphen/>
      </w:r>
      <w:r w:rsidRPr="00F60B0C">
        <w:rPr>
          <w:rFonts w:asciiTheme="minorHAnsi" w:eastAsiaTheme="minorHAnsi" w:hAnsiTheme="minorHAnsi" w:cs="TimesNewRomanPSMT"/>
        </w:rPr>
        <w:t>6R</w:t>
      </w:r>
      <w:r w:rsidR="00DD5BCE">
        <w:rPr>
          <w:rFonts w:asciiTheme="minorHAnsi" w:eastAsiaTheme="minorHAnsi" w:hAnsiTheme="minorHAnsi" w:cs="TimesNewRomanPSMT"/>
        </w:rPr>
        <w:noBreakHyphen/>
      </w:r>
      <w:r w:rsidRPr="00F60B0C">
        <w:rPr>
          <w:rFonts w:asciiTheme="minorHAnsi" w:eastAsiaTheme="minorHAnsi" w:hAnsiTheme="minorHAnsi" w:cs="TimesNewRomanPSMT"/>
        </w:rPr>
        <w:t>sarilumab complex being slower than its formation, the concentration of total IL-6R is expected to plateau. Thus, measurement of total sIL-6R serves as a direct and useful marker of target saturation. Consistent with observatio</w:t>
      </w:r>
      <w:r>
        <w:rPr>
          <w:rFonts w:asciiTheme="minorHAnsi" w:eastAsiaTheme="minorHAnsi" w:hAnsiTheme="minorHAnsi" w:cs="TimesNewRomanPSMT"/>
        </w:rPr>
        <w:t xml:space="preserve">ns of free sIL-6R, measurement </w:t>
      </w:r>
      <w:r w:rsidRPr="00F60B0C">
        <w:rPr>
          <w:rFonts w:asciiTheme="minorHAnsi" w:eastAsiaTheme="minorHAnsi" w:hAnsiTheme="minorHAnsi" w:cs="TimesNewRomanPSMT"/>
        </w:rPr>
        <w:t xml:space="preserve">of total sIL-6R indicated that target was near saturation after repeated administration of 200 mg q2w. In addition, when the sarilumab dose increased from 150 to 200 mg q2w, the increase in the concentrations of bound sarilumab </w:t>
      </w:r>
      <w:r w:rsidRPr="00F60B0C">
        <w:rPr>
          <w:rFonts w:asciiTheme="minorHAnsi" w:eastAsiaTheme="minorHAnsi" w:hAnsiTheme="minorHAnsi" w:cs="TimesNewRomanPSMT"/>
          <w:color w:val="000000"/>
        </w:rPr>
        <w:t xml:space="preserve">(completely bound plus partially bound drug) was almost in proportion to dose, while functional sarilumab (completely free plus partially free drug) continued to increase in a greater than dose proportional manner, which further pointed toward a near saturation of the target by the 200 mg q2w dose. </w:t>
      </w:r>
      <w:r w:rsidRPr="00F60B0C">
        <w:rPr>
          <w:rFonts w:asciiTheme="minorHAnsi" w:eastAsia="Times New Roman" w:hAnsiTheme="minorHAnsi"/>
          <w:kern w:val="16"/>
          <w:lang w:eastAsia="en-AU"/>
        </w:rPr>
        <w:t xml:space="preserve">The </w:t>
      </w:r>
      <w:r>
        <w:rPr>
          <w:rFonts w:asciiTheme="minorHAnsi" w:eastAsia="Times New Roman" w:hAnsiTheme="minorHAnsi"/>
          <w:kern w:val="16"/>
          <w:lang w:eastAsia="en-AU"/>
        </w:rPr>
        <w:t xml:space="preserve">initial clinical evaluator notes that the </w:t>
      </w:r>
      <w:r w:rsidRPr="00F60B0C">
        <w:rPr>
          <w:rFonts w:asciiTheme="minorHAnsi" w:eastAsia="Times New Roman" w:hAnsiTheme="minorHAnsi"/>
          <w:kern w:val="16"/>
          <w:lang w:eastAsia="en-AU"/>
        </w:rPr>
        <w:t xml:space="preserve">sponsor asserts that these observations support the selection of the 150 and 200 mg q2w dose regimens for the </w:t>
      </w:r>
      <w:r w:rsidR="001470FB">
        <w:rPr>
          <w:rFonts w:asciiTheme="minorHAnsi" w:eastAsia="Times New Roman" w:hAnsiTheme="minorHAnsi"/>
          <w:kern w:val="16"/>
          <w:lang w:eastAsia="en-AU"/>
        </w:rPr>
        <w:t>Phase III</w:t>
      </w:r>
      <w:r w:rsidRPr="00F60B0C">
        <w:rPr>
          <w:rFonts w:asciiTheme="minorHAnsi" w:eastAsia="Times New Roman" w:hAnsiTheme="minorHAnsi"/>
          <w:kern w:val="16"/>
          <w:lang w:eastAsia="en-AU"/>
        </w:rPr>
        <w:t xml:space="preserve"> studies, and justify the proposed commercial posology of 200 mg q2w as the most effective dose.</w:t>
      </w:r>
    </w:p>
    <w:p w:rsidR="00AA6B20" w:rsidRPr="008948C4" w:rsidRDefault="002928AB" w:rsidP="00E246F9">
      <w:pPr>
        <w:pStyle w:val="ListBullet"/>
        <w:rPr>
          <w:rFonts w:cs="Cambria"/>
          <w:color w:val="000000"/>
        </w:rPr>
      </w:pPr>
      <w:r>
        <w:t xml:space="preserve">The initial CER stated that reductions in free sIL-6R, CRP and other PD biomarkers are correlated with sarilumab exposure and were accompanied by efficacy improvements. In addition, it was stated that </w:t>
      </w:r>
      <w:r w:rsidRPr="00866399">
        <w:rPr>
          <w:rFonts w:cs="Cambria"/>
          <w:color w:val="000000"/>
        </w:rPr>
        <w:t>PK/PD analyses supported the conclusion from the dose-response relationships</w:t>
      </w:r>
      <w:r>
        <w:rPr>
          <w:rFonts w:cs="Cambria"/>
          <w:color w:val="000000"/>
        </w:rPr>
        <w:t xml:space="preserve"> </w:t>
      </w:r>
      <w:r w:rsidRPr="00866399">
        <w:rPr>
          <w:rFonts w:cs="Cambria"/>
          <w:color w:val="000000"/>
        </w:rPr>
        <w:t xml:space="preserve">that the 150 and 200 mg q2w doses were appropriate for the </w:t>
      </w:r>
      <w:r w:rsidR="001470FB">
        <w:rPr>
          <w:rFonts w:cs="Cambria"/>
          <w:color w:val="000000"/>
        </w:rPr>
        <w:t>Phase III</w:t>
      </w:r>
      <w:r w:rsidRPr="00866399">
        <w:rPr>
          <w:rFonts w:cs="Cambria"/>
          <w:color w:val="000000"/>
        </w:rPr>
        <w:t xml:space="preserve"> program</w:t>
      </w:r>
      <w:r>
        <w:rPr>
          <w:rFonts w:cs="Cambria"/>
          <w:color w:val="000000"/>
        </w:rPr>
        <w:t xml:space="preserve">. </w:t>
      </w:r>
      <w:r w:rsidRPr="00866399">
        <w:rPr>
          <w:rFonts w:cs="Cambria"/>
          <w:color w:val="000000"/>
        </w:rPr>
        <w:t>The PK/PD relationships for safety endpoints (</w:t>
      </w:r>
      <w:r>
        <w:rPr>
          <w:rFonts w:cs="Cambria"/>
          <w:color w:val="000000"/>
        </w:rPr>
        <w:t>neutro</w:t>
      </w:r>
      <w:r w:rsidR="001E2D44">
        <w:rPr>
          <w:rFonts w:cs="Cambria"/>
          <w:color w:val="000000"/>
        </w:rPr>
        <w:t>paenia</w:t>
      </w:r>
      <w:r>
        <w:rPr>
          <w:rFonts w:cs="Cambria"/>
          <w:color w:val="000000"/>
        </w:rPr>
        <w:t xml:space="preserve">, elevated serum </w:t>
      </w:r>
      <w:r w:rsidRPr="00866399">
        <w:rPr>
          <w:rFonts w:cs="Cambria"/>
          <w:color w:val="000000"/>
        </w:rPr>
        <w:t xml:space="preserve">ALT </w:t>
      </w:r>
      <w:r>
        <w:rPr>
          <w:rFonts w:cs="Cambria"/>
          <w:color w:val="000000"/>
        </w:rPr>
        <w:t xml:space="preserve">values </w:t>
      </w:r>
      <w:r w:rsidRPr="00866399">
        <w:rPr>
          <w:rFonts w:cs="Cambria"/>
          <w:color w:val="000000"/>
        </w:rPr>
        <w:t xml:space="preserve">and </w:t>
      </w:r>
      <w:r>
        <w:rPr>
          <w:rFonts w:cs="Cambria"/>
          <w:color w:val="000000"/>
        </w:rPr>
        <w:t xml:space="preserve">raised </w:t>
      </w:r>
      <w:r w:rsidR="00684391">
        <w:rPr>
          <w:rFonts w:cs="Cambria"/>
          <w:color w:val="000000"/>
        </w:rPr>
        <w:t xml:space="preserve">low density </w:t>
      </w:r>
      <w:r w:rsidR="00F549B4">
        <w:rPr>
          <w:rFonts w:cs="Cambria"/>
          <w:color w:val="000000"/>
        </w:rPr>
        <w:t>lipoprotein (</w:t>
      </w:r>
      <w:r w:rsidRPr="00866399">
        <w:rPr>
          <w:rFonts w:cs="Cambria"/>
          <w:color w:val="000000"/>
        </w:rPr>
        <w:t>LDL</w:t>
      </w:r>
      <w:r w:rsidR="00684391">
        <w:rPr>
          <w:rFonts w:cs="Cambria"/>
          <w:color w:val="000000"/>
        </w:rPr>
        <w:t>)</w:t>
      </w:r>
      <w:r w:rsidRPr="00866399">
        <w:rPr>
          <w:rFonts w:cs="Cambria"/>
          <w:color w:val="000000"/>
        </w:rPr>
        <w:t xml:space="preserve"> levels) showed a higher r</w:t>
      </w:r>
      <w:r>
        <w:rPr>
          <w:rFonts w:cs="Cambria"/>
          <w:color w:val="000000"/>
        </w:rPr>
        <w:t xml:space="preserve">ate of adverse </w:t>
      </w:r>
      <w:r w:rsidRPr="00866399">
        <w:rPr>
          <w:rFonts w:cs="Cambria"/>
          <w:color w:val="000000"/>
        </w:rPr>
        <w:t>e</w:t>
      </w:r>
      <w:r>
        <w:rPr>
          <w:rFonts w:cs="Cambria"/>
          <w:color w:val="000000"/>
        </w:rPr>
        <w:t>ffect</w:t>
      </w:r>
      <w:r w:rsidRPr="00866399">
        <w:rPr>
          <w:rFonts w:cs="Cambria"/>
          <w:color w:val="000000"/>
        </w:rPr>
        <w:t>s with an increasi</w:t>
      </w:r>
      <w:r>
        <w:rPr>
          <w:rFonts w:cs="Cambria"/>
          <w:color w:val="000000"/>
        </w:rPr>
        <w:t>ng</w:t>
      </w:r>
      <w:r w:rsidRPr="00866399">
        <w:rPr>
          <w:rFonts w:cs="Cambria"/>
          <w:color w:val="000000"/>
        </w:rPr>
        <w:t xml:space="preserve"> </w:t>
      </w:r>
      <w:r>
        <w:rPr>
          <w:rFonts w:cs="Cambria"/>
          <w:color w:val="000000"/>
        </w:rPr>
        <w:t xml:space="preserve">sarilumab </w:t>
      </w:r>
      <w:r w:rsidRPr="008948C4">
        <w:rPr>
          <w:rFonts w:cs="Cambria"/>
          <w:color w:val="000000"/>
        </w:rPr>
        <w:t>concentration, but the effect reached a plateau at the lower concentration range observed with sarilumab 150 mg q2w therapy, apart from neutro</w:t>
      </w:r>
      <w:r w:rsidR="001E2D44" w:rsidRPr="008948C4">
        <w:rPr>
          <w:rFonts w:cs="Cambria"/>
          <w:color w:val="000000"/>
        </w:rPr>
        <w:t>paenia</w:t>
      </w:r>
      <w:r w:rsidRPr="008948C4">
        <w:rPr>
          <w:rFonts w:cs="Cambria"/>
          <w:color w:val="000000"/>
        </w:rPr>
        <w:t xml:space="preserve">. The relationship between mean absolute neutrophil count </w:t>
      </w:r>
      <w:r w:rsidR="00FA0825" w:rsidRPr="008948C4">
        <w:rPr>
          <w:rFonts w:cs="Cambria"/>
          <w:color w:val="000000"/>
        </w:rPr>
        <w:t xml:space="preserve">(ANC) </w:t>
      </w:r>
      <w:r w:rsidRPr="008948C4">
        <w:rPr>
          <w:rFonts w:cs="Cambria"/>
          <w:color w:val="000000"/>
        </w:rPr>
        <w:t xml:space="preserve">and sarilumab serum trough concentration is summarised in Figure </w:t>
      </w:r>
      <w:r w:rsidR="008948C4" w:rsidRPr="008948C4">
        <w:rPr>
          <w:rFonts w:cs="Cambria"/>
          <w:color w:val="000000"/>
        </w:rPr>
        <w:t>5</w:t>
      </w:r>
      <w:r w:rsidRPr="008948C4">
        <w:rPr>
          <w:rFonts w:cs="Cambria"/>
          <w:color w:val="000000"/>
        </w:rPr>
        <w:t>.</w:t>
      </w:r>
    </w:p>
    <w:p w:rsidR="00F3393B" w:rsidRDefault="00F3393B" w:rsidP="008948C4">
      <w:pPr>
        <w:pStyle w:val="FigureTitle"/>
      </w:pPr>
      <w:r>
        <w:t xml:space="preserve">Figure </w:t>
      </w:r>
      <w:r w:rsidR="008948C4">
        <w:t xml:space="preserve">5: </w:t>
      </w:r>
      <w:r w:rsidR="00912D65">
        <w:t xml:space="preserve">Study EFC11072 (Part A) </w:t>
      </w:r>
      <w:r>
        <w:t xml:space="preserve">Neutrophil </w:t>
      </w:r>
      <w:r w:rsidR="00912D65">
        <w:t xml:space="preserve">count versus serum trough </w:t>
      </w:r>
      <w:r>
        <w:t xml:space="preserve">SAR </w:t>
      </w:r>
      <w:r w:rsidR="00912D65">
        <w:t xml:space="preserve">concentration </w:t>
      </w:r>
      <w:r>
        <w:t>at Week 12</w:t>
      </w:r>
    </w:p>
    <w:p w:rsidR="00F3393B" w:rsidRDefault="00F3393B" w:rsidP="002A0433">
      <w:r>
        <w:rPr>
          <w:noProof/>
          <w:lang w:eastAsia="en-AU"/>
        </w:rPr>
        <w:drawing>
          <wp:inline distT="0" distB="0" distL="0" distR="0" wp14:anchorId="77FEDD4F" wp14:editId="077D0F7F">
            <wp:extent cx="5475083" cy="3196742"/>
            <wp:effectExtent l="0" t="0" r="0" b="3810"/>
            <wp:docPr id="910" name="Picture 910" descr="Neutrophil Count versus Serum Trough SAR Concentration at Week 12 in Part A of Study EFC1107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479200" cy="3199146"/>
                    </a:xfrm>
                    <a:prstGeom prst="rect">
                      <a:avLst/>
                    </a:prstGeom>
                    <a:noFill/>
                    <a:ln>
                      <a:noFill/>
                    </a:ln>
                  </pic:spPr>
                </pic:pic>
              </a:graphicData>
            </a:graphic>
          </wp:inline>
        </w:drawing>
      </w:r>
    </w:p>
    <w:p w:rsidR="00AA6B20" w:rsidRDefault="002928AB" w:rsidP="00E246F9">
      <w:pPr>
        <w:pStyle w:val="ListBullet"/>
      </w:pPr>
      <w:r>
        <w:rPr>
          <w:rFonts w:cs="Cambria"/>
          <w:color w:val="000000"/>
        </w:rPr>
        <w:t xml:space="preserve">The initial CER stated that in the </w:t>
      </w:r>
      <w:r>
        <w:t xml:space="preserve">pivotal </w:t>
      </w:r>
      <w:r w:rsidR="001470FB">
        <w:t>Phase III</w:t>
      </w:r>
      <w:r w:rsidRPr="0049468C">
        <w:t xml:space="preserve"> </w:t>
      </w:r>
      <w:r>
        <w:t>stu</w:t>
      </w:r>
      <w:r w:rsidRPr="0049468C">
        <w:t>d</w:t>
      </w:r>
      <w:r>
        <w:t>i</w:t>
      </w:r>
      <w:r w:rsidRPr="0049468C">
        <w:t>e</w:t>
      </w:r>
      <w:r>
        <w:t xml:space="preserve">s, </w:t>
      </w:r>
      <w:r w:rsidRPr="0049468C">
        <w:t xml:space="preserve">CRP levels decreased to within </w:t>
      </w:r>
      <w:r>
        <w:t xml:space="preserve">the </w:t>
      </w:r>
      <w:r w:rsidRPr="0049468C">
        <w:t>normal range</w:t>
      </w:r>
      <w:r>
        <w:t xml:space="preserve"> </w:t>
      </w:r>
      <w:r w:rsidRPr="0049468C">
        <w:t>(&lt;</w:t>
      </w:r>
      <w:r w:rsidR="00DD5BCE">
        <w:t xml:space="preserve"> </w:t>
      </w:r>
      <w:r w:rsidRPr="0049468C">
        <w:t xml:space="preserve">10 mg/L) </w:t>
      </w:r>
      <w:r>
        <w:t>and SAA levels were &lt;</w:t>
      </w:r>
      <w:r w:rsidR="00DD5BCE">
        <w:t xml:space="preserve"> </w:t>
      </w:r>
      <w:r>
        <w:t xml:space="preserve">20 mg/L </w:t>
      </w:r>
      <w:r w:rsidRPr="0049468C">
        <w:t xml:space="preserve">when </w:t>
      </w:r>
      <w:r>
        <w:t>the</w:t>
      </w:r>
      <w:r w:rsidRPr="0049468C">
        <w:t xml:space="preserve"> trough concentration</w:t>
      </w:r>
      <w:r>
        <w:t xml:space="preserve"> of sarilumab </w:t>
      </w:r>
      <w:r w:rsidRPr="0049468C">
        <w:t>w</w:t>
      </w:r>
      <w:r>
        <w:t>as</w:t>
      </w:r>
      <w:r w:rsidRPr="0049468C">
        <w:t xml:space="preserve"> above 1 mg/L.</w:t>
      </w:r>
      <w:r w:rsidRPr="00F60B0C">
        <w:t xml:space="preserve"> </w:t>
      </w:r>
      <w:r>
        <w:t xml:space="preserve">The combined </w:t>
      </w:r>
      <w:r w:rsidR="001470FB">
        <w:t>Phase III</w:t>
      </w:r>
      <w:r>
        <w:t xml:space="preserve"> trial dataset showed that a higher percentage of</w:t>
      </w:r>
      <w:r w:rsidRPr="0049468C">
        <w:t xml:space="preserve"> patients</w:t>
      </w:r>
      <w:r>
        <w:t xml:space="preserve"> </w:t>
      </w:r>
      <w:r w:rsidRPr="0049468C">
        <w:t xml:space="preserve">treated with </w:t>
      </w:r>
      <w:r>
        <w:t xml:space="preserve">SC sarilumab </w:t>
      </w:r>
      <w:r w:rsidRPr="0049468C">
        <w:t xml:space="preserve">200 mg q2w had </w:t>
      </w:r>
      <w:r>
        <w:t xml:space="preserve">sarilumab </w:t>
      </w:r>
      <w:r w:rsidRPr="0049468C">
        <w:t>trough concentrations above 1 mg/L by</w:t>
      </w:r>
      <w:r>
        <w:t xml:space="preserve"> w</w:t>
      </w:r>
      <w:r w:rsidRPr="0049468C">
        <w:t xml:space="preserve">eek 24 (86%) than patients </w:t>
      </w:r>
      <w:r w:rsidRPr="0049468C">
        <w:lastRenderedPageBreak/>
        <w:t xml:space="preserve">treated with </w:t>
      </w:r>
      <w:r>
        <w:t xml:space="preserve">SC sarilumab </w:t>
      </w:r>
      <w:r w:rsidRPr="0049468C">
        <w:t>150 mg q2w (61%).</w:t>
      </w:r>
      <w:r>
        <w:t xml:space="preserve"> The sponsor considers this finding to be a pivotal piece of evidence justifying the proposed posology of 200 mg q2w.</w:t>
      </w:r>
    </w:p>
    <w:p w:rsidR="00605AD4" w:rsidRDefault="00605AD4" w:rsidP="00605AD4">
      <w:pPr>
        <w:pStyle w:val="Heading4"/>
      </w:pPr>
      <w:r>
        <w:t>Evaluator’s conclusions on pharmacodynamics</w:t>
      </w:r>
    </w:p>
    <w:p w:rsidR="002928AB" w:rsidRPr="00AD61EC" w:rsidRDefault="002928AB" w:rsidP="002928AB">
      <w:pPr>
        <w:widowControl w:val="0"/>
        <w:autoSpaceDE w:val="0"/>
        <w:autoSpaceDN w:val="0"/>
        <w:adjustRightInd w:val="0"/>
        <w:rPr>
          <w:rFonts w:asciiTheme="minorHAnsi" w:hAnsiTheme="minorHAnsi"/>
          <w:lang w:val="en-US"/>
        </w:rPr>
      </w:pPr>
      <w:r w:rsidRPr="00AD61EC">
        <w:rPr>
          <w:rFonts w:asciiTheme="minorHAnsi" w:hAnsiTheme="minorHAnsi"/>
          <w:lang w:val="en-US"/>
        </w:rPr>
        <w:t>The PD data relating to neutrophil kinetics and function following sarilumab suggest that:</w:t>
      </w:r>
    </w:p>
    <w:p w:rsidR="00AA6B20" w:rsidRDefault="002928AB" w:rsidP="00E246F9">
      <w:pPr>
        <w:pStyle w:val="ListBullet"/>
        <w:rPr>
          <w:lang w:val="en-US"/>
        </w:rPr>
      </w:pPr>
      <w:r w:rsidRPr="00AD61EC">
        <w:rPr>
          <w:lang w:val="en-US"/>
        </w:rPr>
        <w:t>ANC levels dropped and rebounded quickly following single-dose sarilumab (</w:t>
      </w:r>
      <w:r w:rsidR="00684391">
        <w:rPr>
          <w:lang w:val="en-US"/>
        </w:rPr>
        <w:t>S</w:t>
      </w:r>
      <w:r w:rsidRPr="00AD61EC">
        <w:rPr>
          <w:lang w:val="en-US"/>
        </w:rPr>
        <w:t>tudy</w:t>
      </w:r>
      <w:r w:rsidR="00912D65">
        <w:rPr>
          <w:lang w:val="en-US"/>
        </w:rPr>
        <w:t> </w:t>
      </w:r>
      <w:r w:rsidRPr="00AD61EC">
        <w:rPr>
          <w:lang w:val="en-US"/>
        </w:rPr>
        <w:t xml:space="preserve">6R88-RA-1309) but there were no data from the study assessing ANC levels after repeat-dose sarilumab. </w:t>
      </w:r>
      <w:r>
        <w:rPr>
          <w:lang w:val="en-US"/>
        </w:rPr>
        <w:t>However, t</w:t>
      </w:r>
      <w:r w:rsidRPr="00AD61EC">
        <w:rPr>
          <w:lang w:val="en-US"/>
        </w:rPr>
        <w:t xml:space="preserve">here are repeat-dose data from the pivotal </w:t>
      </w:r>
      <w:r w:rsidR="001470FB">
        <w:rPr>
          <w:lang w:val="en-US"/>
        </w:rPr>
        <w:t>Phase III</w:t>
      </w:r>
      <w:r w:rsidRPr="00AD61EC">
        <w:rPr>
          <w:lang w:val="en-US"/>
        </w:rPr>
        <w:t xml:space="preserve"> monotherapy </w:t>
      </w:r>
      <w:r w:rsidR="00894642">
        <w:rPr>
          <w:lang w:val="en-US"/>
        </w:rPr>
        <w:t>Study EFC</w:t>
      </w:r>
      <w:r w:rsidRPr="00AD61EC">
        <w:rPr>
          <w:lang w:val="en-US"/>
        </w:rPr>
        <w:t>14092</w:t>
      </w:r>
      <w:r w:rsidR="00912D65">
        <w:rPr>
          <w:lang w:val="en-US"/>
        </w:rPr>
        <w:t>/</w:t>
      </w:r>
      <w:r w:rsidRPr="00AD61EC">
        <w:rPr>
          <w:lang w:val="en-US"/>
        </w:rPr>
        <w:t>MONARCH</w:t>
      </w:r>
      <w:r w:rsidR="00912D65">
        <w:rPr>
          <w:lang w:val="en-US"/>
        </w:rPr>
        <w:t xml:space="preserve"> trial</w:t>
      </w:r>
      <w:r w:rsidRPr="00AD61EC">
        <w:rPr>
          <w:lang w:val="en-US"/>
        </w:rPr>
        <w:t xml:space="preserve"> showing that mean neutrophil count</w:t>
      </w:r>
      <w:r>
        <w:rPr>
          <w:lang w:val="en-US"/>
        </w:rPr>
        <w:t xml:space="preserve">s rapidly decline </w:t>
      </w:r>
      <w:r w:rsidRPr="00AD61EC">
        <w:rPr>
          <w:lang w:val="en-US"/>
        </w:rPr>
        <w:t>following sarilumab 200 mg q2w</w:t>
      </w:r>
      <w:r>
        <w:rPr>
          <w:lang w:val="en-US"/>
        </w:rPr>
        <w:t xml:space="preserve">, </w:t>
      </w:r>
      <w:r w:rsidRPr="00AD61EC">
        <w:rPr>
          <w:lang w:val="en-US"/>
        </w:rPr>
        <w:t xml:space="preserve">reaching a </w:t>
      </w:r>
      <w:r w:rsidR="00684391">
        <w:rPr>
          <w:lang w:val="en-US"/>
        </w:rPr>
        <w:t>lowest point (</w:t>
      </w:r>
      <w:r w:rsidRPr="00AD61EC">
        <w:rPr>
          <w:lang w:val="en-US"/>
        </w:rPr>
        <w:t>nadir</w:t>
      </w:r>
      <w:r w:rsidR="00684391">
        <w:rPr>
          <w:lang w:val="en-US"/>
        </w:rPr>
        <w:t>)</w:t>
      </w:r>
      <w:r w:rsidRPr="00AD61EC">
        <w:rPr>
          <w:lang w:val="en-US"/>
        </w:rPr>
        <w:t xml:space="preserve"> at Week 4 </w:t>
      </w:r>
      <w:r>
        <w:rPr>
          <w:lang w:val="en-US"/>
        </w:rPr>
        <w:t xml:space="preserve">and </w:t>
      </w:r>
      <w:r w:rsidRPr="00AD61EC">
        <w:rPr>
          <w:lang w:val="en-US"/>
        </w:rPr>
        <w:t xml:space="preserve">then stabilising through to Week 24 (see Figure </w:t>
      </w:r>
      <w:r w:rsidR="008948C4">
        <w:rPr>
          <w:lang w:val="en-US"/>
        </w:rPr>
        <w:t>6</w:t>
      </w:r>
      <w:r w:rsidRPr="00AD61EC">
        <w:rPr>
          <w:lang w:val="en-US"/>
        </w:rPr>
        <w:t xml:space="preserve">, below). In the sarilumab </w:t>
      </w:r>
      <w:r>
        <w:rPr>
          <w:lang w:val="en-US"/>
        </w:rPr>
        <w:t xml:space="preserve">200 mg q2w </w:t>
      </w:r>
      <w:r w:rsidRPr="00AD61EC">
        <w:rPr>
          <w:lang w:val="en-US"/>
        </w:rPr>
        <w:t xml:space="preserve">group, </w:t>
      </w:r>
      <w:r>
        <w:rPr>
          <w:lang w:val="en-US"/>
        </w:rPr>
        <w:t xml:space="preserve">the </w:t>
      </w:r>
      <w:r w:rsidRPr="00AD61EC">
        <w:rPr>
          <w:lang w:val="en-US"/>
        </w:rPr>
        <w:t xml:space="preserve">percent reduction from baseline to </w:t>
      </w:r>
      <w:r w:rsidR="00684391">
        <w:rPr>
          <w:lang w:val="en-US"/>
        </w:rPr>
        <w:t>W</w:t>
      </w:r>
      <w:r w:rsidRPr="00AD61EC">
        <w:rPr>
          <w:lang w:val="en-US"/>
        </w:rPr>
        <w:t xml:space="preserve">eek 24 in the mean neutrophil count was approximately 39%, however, the mean </w:t>
      </w:r>
      <w:r>
        <w:rPr>
          <w:lang w:val="en-US"/>
        </w:rPr>
        <w:t xml:space="preserve">ANC </w:t>
      </w:r>
      <w:r w:rsidRPr="00AD61EC">
        <w:rPr>
          <w:lang w:val="en-US"/>
        </w:rPr>
        <w:t>level at each visit remained within n</w:t>
      </w:r>
      <w:r>
        <w:rPr>
          <w:lang w:val="en-US"/>
        </w:rPr>
        <w:t xml:space="preserve">ormal limits for the study </w:t>
      </w:r>
      <w:proofErr w:type="gramStart"/>
      <w:r>
        <w:rPr>
          <w:lang w:val="en-US"/>
        </w:rPr>
        <w:t>(</w:t>
      </w:r>
      <w:r w:rsidRPr="00AD61EC">
        <w:rPr>
          <w:lang w:val="en-US"/>
        </w:rPr>
        <w:t>1.96 to 7.23 Giga/L)</w:t>
      </w:r>
      <w:proofErr w:type="gramEnd"/>
      <w:r w:rsidRPr="00AD61EC">
        <w:rPr>
          <w:lang w:val="en-US"/>
        </w:rPr>
        <w:t>.</w:t>
      </w:r>
      <w:r>
        <w:rPr>
          <w:lang w:val="en-US"/>
        </w:rPr>
        <w:t xml:space="preserve"> The majority of patients treated with sarilumab 200 mg q2w in whom ANC was </w:t>
      </w:r>
      <w:r w:rsidR="007F1BEB">
        <w:t>&lt; </w:t>
      </w:r>
      <w:r>
        <w:rPr>
          <w:lang w:val="en-US"/>
        </w:rPr>
        <w:t>1.0</w:t>
      </w:r>
      <w:r w:rsidR="00912D65">
        <w:rPr>
          <w:lang w:val="en-US"/>
        </w:rPr>
        <w:t> </w:t>
      </w:r>
      <w:r>
        <w:rPr>
          <w:lang w:val="en-US"/>
        </w:rPr>
        <w:t>Giga/L were able to continue treatment with sarilumab 150 mg q2w following treatment interruption</w:t>
      </w:r>
      <w:r w:rsidRPr="00702D38">
        <w:rPr>
          <w:lang w:val="en-US"/>
        </w:rPr>
        <w:t>.</w:t>
      </w:r>
    </w:p>
    <w:p w:rsidR="002928AB" w:rsidRPr="00AD61EC" w:rsidRDefault="002928AB" w:rsidP="00E246F9">
      <w:pPr>
        <w:pStyle w:val="FigureTitle"/>
        <w:rPr>
          <w:lang w:val="en-US"/>
        </w:rPr>
      </w:pPr>
      <w:bookmarkStart w:id="98" w:name="_Toc514682697"/>
      <w:r>
        <w:t xml:space="preserve">Figure </w:t>
      </w:r>
      <w:r w:rsidR="008948C4">
        <w:t>6</w:t>
      </w:r>
      <w:r>
        <w:t xml:space="preserve">: </w:t>
      </w:r>
      <w:r w:rsidR="00912D65">
        <w:t xml:space="preserve">Study </w:t>
      </w:r>
      <w:r w:rsidRPr="00AD61EC">
        <w:rPr>
          <w:lang w:val="en-US"/>
        </w:rPr>
        <w:t>EFC14092</w:t>
      </w:r>
      <w:r w:rsidR="00912D65">
        <w:rPr>
          <w:lang w:val="en-US"/>
        </w:rPr>
        <w:t>/MONARCH trial</w:t>
      </w:r>
      <w:r w:rsidRPr="00AD61EC">
        <w:rPr>
          <w:lang w:val="en-US"/>
        </w:rPr>
        <w:t xml:space="preserve"> Mean neutrophil count at each visit from </w:t>
      </w:r>
      <w:r w:rsidR="00912D65">
        <w:rPr>
          <w:lang w:val="en-US"/>
        </w:rPr>
        <w:t>B</w:t>
      </w:r>
      <w:r w:rsidR="00912D65" w:rsidRPr="00AD61EC">
        <w:rPr>
          <w:lang w:val="en-US"/>
        </w:rPr>
        <w:t>aselin</w:t>
      </w:r>
      <w:r w:rsidR="00912D65">
        <w:rPr>
          <w:lang w:val="en-US"/>
        </w:rPr>
        <w:t>e</w:t>
      </w:r>
      <w:r w:rsidR="00912D65" w:rsidRPr="00AD61EC">
        <w:rPr>
          <w:lang w:val="en-US"/>
        </w:rPr>
        <w:t xml:space="preserve"> </w:t>
      </w:r>
      <w:r w:rsidRPr="00AD61EC">
        <w:rPr>
          <w:lang w:val="en-US"/>
        </w:rPr>
        <w:t>through to Week 24</w:t>
      </w:r>
      <w:r w:rsidR="00912D65">
        <w:rPr>
          <w:lang w:val="en-US"/>
        </w:rPr>
        <w:t>;</w:t>
      </w:r>
      <w:r w:rsidR="00912D65" w:rsidRPr="00AD61EC">
        <w:rPr>
          <w:lang w:val="en-US"/>
        </w:rPr>
        <w:t xml:space="preserve"> </w:t>
      </w:r>
      <w:r w:rsidR="00912D65">
        <w:rPr>
          <w:lang w:val="en-US"/>
        </w:rPr>
        <w:t>S</w:t>
      </w:r>
      <w:r w:rsidR="00912D65" w:rsidRPr="00AD61EC">
        <w:rPr>
          <w:lang w:val="en-US"/>
        </w:rPr>
        <w:t xml:space="preserve">afety </w:t>
      </w:r>
      <w:r w:rsidRPr="00AD61EC">
        <w:rPr>
          <w:lang w:val="en-US"/>
        </w:rPr>
        <w:t>population</w:t>
      </w:r>
      <w:bookmarkEnd w:id="98"/>
    </w:p>
    <w:p w:rsidR="002928AB" w:rsidRDefault="002928AB" w:rsidP="002928AB">
      <w:pPr>
        <w:widowControl w:val="0"/>
        <w:autoSpaceDE w:val="0"/>
        <w:autoSpaceDN w:val="0"/>
        <w:adjustRightInd w:val="0"/>
        <w:spacing w:before="0" w:after="240" w:line="240" w:lineRule="auto"/>
        <w:rPr>
          <w:rFonts w:ascii="Times New Roman" w:hAnsi="Times New Roman"/>
          <w:sz w:val="32"/>
          <w:szCs w:val="32"/>
          <w:lang w:val="en-US"/>
        </w:rPr>
      </w:pPr>
      <w:r>
        <w:rPr>
          <w:rFonts w:ascii="Times New Roman" w:hAnsi="Times New Roman"/>
          <w:noProof/>
          <w:sz w:val="32"/>
          <w:szCs w:val="32"/>
          <w:lang w:eastAsia="en-AU"/>
        </w:rPr>
        <w:drawing>
          <wp:inline distT="0" distB="0" distL="0" distR="0" wp14:anchorId="63C82EE9" wp14:editId="11BC8E31">
            <wp:extent cx="4190900" cy="2933395"/>
            <wp:effectExtent l="0" t="0" r="635" b="635"/>
            <wp:docPr id="33" name="Picture 1" descr="EFC14092 Mean neutrophil count at each visit from baseline through to Week 24,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194127" cy="2935654"/>
                    </a:xfrm>
                    <a:prstGeom prst="rect">
                      <a:avLst/>
                    </a:prstGeom>
                    <a:noFill/>
                    <a:ln>
                      <a:noFill/>
                    </a:ln>
                  </pic:spPr>
                </pic:pic>
              </a:graphicData>
            </a:graphic>
          </wp:inline>
        </w:drawing>
      </w:r>
    </w:p>
    <w:p w:rsidR="00AA6B20" w:rsidRDefault="002928AB" w:rsidP="00E246F9">
      <w:pPr>
        <w:pStyle w:val="ListBullet"/>
        <w:rPr>
          <w:lang w:val="en-US"/>
        </w:rPr>
      </w:pPr>
      <w:r w:rsidRPr="004C126A">
        <w:rPr>
          <w:lang w:val="en-US"/>
        </w:rPr>
        <w:t xml:space="preserve">Sarilumab </w:t>
      </w:r>
      <w:r>
        <w:rPr>
          <w:lang w:val="en-US"/>
        </w:rPr>
        <w:t>had</w:t>
      </w:r>
      <w:r w:rsidRPr="004C126A">
        <w:rPr>
          <w:lang w:val="en-US"/>
        </w:rPr>
        <w:t xml:space="preserve"> no </w:t>
      </w:r>
      <w:r>
        <w:rPr>
          <w:lang w:val="en-US"/>
        </w:rPr>
        <w:t>detrimental effect on neutrophil function (</w:t>
      </w:r>
      <w:r w:rsidR="00684391">
        <w:rPr>
          <w:lang w:val="en-US"/>
        </w:rPr>
        <w:t>S</w:t>
      </w:r>
      <w:r>
        <w:rPr>
          <w:lang w:val="en-US"/>
        </w:rPr>
        <w:t xml:space="preserve">tudy </w:t>
      </w:r>
      <w:r w:rsidRPr="000C4CDE">
        <w:rPr>
          <w:lang w:val="en-US"/>
        </w:rPr>
        <w:t>PM12058</w:t>
      </w:r>
      <w:r>
        <w:rPr>
          <w:lang w:val="en-US"/>
        </w:rPr>
        <w:t>). Similar findings have been observed for the IL-6 inhibitor tocilizumab.</w:t>
      </w:r>
    </w:p>
    <w:p w:rsidR="00500337" w:rsidRPr="00500337" w:rsidRDefault="002928AB" w:rsidP="00E246F9">
      <w:pPr>
        <w:pStyle w:val="ListBullet"/>
      </w:pPr>
      <w:r w:rsidRPr="004C126A">
        <w:rPr>
          <w:lang w:val="en-US"/>
        </w:rPr>
        <w:t xml:space="preserve">The sponsor </w:t>
      </w:r>
      <w:r>
        <w:rPr>
          <w:lang w:val="en-US"/>
        </w:rPr>
        <w:t xml:space="preserve">reports </w:t>
      </w:r>
      <w:r w:rsidR="00F549B4">
        <w:rPr>
          <w:lang w:val="en-US"/>
        </w:rPr>
        <w:t>that the single d</w:t>
      </w:r>
      <w:r w:rsidR="00684391">
        <w:rPr>
          <w:lang w:val="en-US"/>
        </w:rPr>
        <w:t>ose sarilumab data from St</w:t>
      </w:r>
      <w:r w:rsidRPr="004C126A">
        <w:rPr>
          <w:lang w:val="en-US"/>
        </w:rPr>
        <w:t xml:space="preserve">udy 6R88-RA-1309 were well described by </w:t>
      </w:r>
      <w:r>
        <w:rPr>
          <w:lang w:val="en-US"/>
        </w:rPr>
        <w:t xml:space="preserve">a </w:t>
      </w:r>
      <w:r w:rsidRPr="004C126A">
        <w:rPr>
          <w:lang w:val="en-US"/>
        </w:rPr>
        <w:t xml:space="preserve">PD margination model. Neutrophil margination </w:t>
      </w:r>
      <w:r>
        <w:rPr>
          <w:lang w:val="en-US"/>
        </w:rPr>
        <w:t xml:space="preserve">following sarilumab administration </w:t>
      </w:r>
      <w:r w:rsidRPr="004C126A">
        <w:rPr>
          <w:lang w:val="en-US"/>
        </w:rPr>
        <w:t xml:space="preserve">provides a possible </w:t>
      </w:r>
      <w:r>
        <w:rPr>
          <w:lang w:val="en-US"/>
        </w:rPr>
        <w:t>explanation</w:t>
      </w:r>
      <w:r w:rsidRPr="004C126A">
        <w:rPr>
          <w:lang w:val="en-US"/>
        </w:rPr>
        <w:t xml:space="preserve"> </w:t>
      </w:r>
      <w:r>
        <w:rPr>
          <w:lang w:val="en-US"/>
        </w:rPr>
        <w:t>for the absence of impairment in neutrophil function as well as the lack of an observed association between ANC decrease and infection.</w:t>
      </w:r>
    </w:p>
    <w:p w:rsidR="008E7846" w:rsidRDefault="00605AD4" w:rsidP="00605AD4">
      <w:pPr>
        <w:pStyle w:val="Heading3"/>
      </w:pPr>
      <w:bookmarkStart w:id="99" w:name="_Toc12272153"/>
      <w:r>
        <w:t>Dosage selection for the pivotal studies</w:t>
      </w:r>
      <w:bookmarkEnd w:id="99"/>
    </w:p>
    <w:p w:rsidR="00AA6B20" w:rsidRDefault="002928AB" w:rsidP="002928AB">
      <w:pPr>
        <w:widowControl w:val="0"/>
        <w:autoSpaceDE w:val="0"/>
        <w:autoSpaceDN w:val="0"/>
        <w:adjustRightInd w:val="0"/>
        <w:rPr>
          <w:lang w:val="en-US"/>
        </w:rPr>
      </w:pPr>
      <w:r w:rsidRPr="00AF3974">
        <w:rPr>
          <w:lang w:val="en-US"/>
        </w:rPr>
        <w:t xml:space="preserve">The sponsor states that the sarilumab </w:t>
      </w:r>
      <w:r>
        <w:rPr>
          <w:lang w:val="en-US"/>
        </w:rPr>
        <w:t xml:space="preserve">200 mg q2w </w:t>
      </w:r>
      <w:r w:rsidRPr="00AF3974">
        <w:rPr>
          <w:lang w:val="en-US"/>
        </w:rPr>
        <w:t xml:space="preserve">monotherapy dose regimen used in the pivotal </w:t>
      </w:r>
      <w:r w:rsidR="001470FB">
        <w:rPr>
          <w:lang w:val="en-US"/>
        </w:rPr>
        <w:t>Phase III</w:t>
      </w:r>
      <w:r w:rsidRPr="00AF3974">
        <w:rPr>
          <w:lang w:val="en-US"/>
        </w:rPr>
        <w:t xml:space="preserve"> </w:t>
      </w:r>
      <w:r w:rsidR="00894642">
        <w:rPr>
          <w:lang w:val="en-US"/>
        </w:rPr>
        <w:t>Study EFC</w:t>
      </w:r>
      <w:r w:rsidR="005A2C47">
        <w:rPr>
          <w:lang w:val="en-US"/>
        </w:rPr>
        <w:t>14092</w:t>
      </w:r>
      <w:r w:rsidR="00912D65">
        <w:rPr>
          <w:lang w:val="en-US"/>
        </w:rPr>
        <w:t>/</w:t>
      </w:r>
      <w:r w:rsidRPr="00AF3974">
        <w:rPr>
          <w:lang w:val="en-US"/>
        </w:rPr>
        <w:t xml:space="preserve">MONARCH </w:t>
      </w:r>
      <w:r w:rsidR="00912D65">
        <w:rPr>
          <w:lang w:val="en-US"/>
        </w:rPr>
        <w:t>trial</w:t>
      </w:r>
      <w:r w:rsidR="007C7C62">
        <w:rPr>
          <w:lang w:val="en-US"/>
        </w:rPr>
        <w:t xml:space="preserve"> </w:t>
      </w:r>
      <w:r w:rsidRPr="00AF3974">
        <w:rPr>
          <w:lang w:val="en-US"/>
        </w:rPr>
        <w:t xml:space="preserve">was selected </w:t>
      </w:r>
      <w:r>
        <w:rPr>
          <w:lang w:val="en-US"/>
        </w:rPr>
        <w:t xml:space="preserve">in order </w:t>
      </w:r>
      <w:r w:rsidRPr="00AF3974">
        <w:rPr>
          <w:lang w:val="en-US"/>
        </w:rPr>
        <w:t>to achieve an optimal clinical response. In</w:t>
      </w:r>
      <w:r>
        <w:rPr>
          <w:lang w:val="en-US"/>
        </w:rPr>
        <w:t xml:space="preserve"> </w:t>
      </w:r>
      <w:r w:rsidRPr="00AF3974">
        <w:rPr>
          <w:lang w:val="en-US"/>
        </w:rPr>
        <w:t xml:space="preserve">a prior study with sarilumab, </w:t>
      </w:r>
      <w:r w:rsidR="00684391">
        <w:rPr>
          <w:lang w:val="en-US"/>
        </w:rPr>
        <w:t xml:space="preserve">Study </w:t>
      </w:r>
      <w:r w:rsidRPr="00AF3974">
        <w:rPr>
          <w:lang w:val="en-US"/>
        </w:rPr>
        <w:t>EFC1</w:t>
      </w:r>
      <w:r>
        <w:rPr>
          <w:lang w:val="en-US"/>
        </w:rPr>
        <w:t xml:space="preserve">1072 (Part B), data </w:t>
      </w:r>
      <w:r>
        <w:rPr>
          <w:lang w:val="en-US"/>
        </w:rPr>
        <w:lastRenderedPageBreak/>
        <w:t xml:space="preserve">showed that, in general, </w:t>
      </w:r>
      <w:r w:rsidRPr="00AF3974">
        <w:rPr>
          <w:lang w:val="en-US"/>
        </w:rPr>
        <w:t xml:space="preserve">sarilumab 200 mg q2w </w:t>
      </w:r>
      <w:r>
        <w:rPr>
          <w:lang w:val="en-US"/>
        </w:rPr>
        <w:t xml:space="preserve">+ DMARD </w:t>
      </w:r>
      <w:r w:rsidRPr="00AF3974">
        <w:rPr>
          <w:lang w:val="en-US"/>
        </w:rPr>
        <w:t>prov</w:t>
      </w:r>
      <w:r>
        <w:rPr>
          <w:lang w:val="en-US"/>
        </w:rPr>
        <w:t xml:space="preserve">ided </w:t>
      </w:r>
      <w:r w:rsidRPr="00AF3974">
        <w:rPr>
          <w:lang w:val="en-US"/>
        </w:rPr>
        <w:t xml:space="preserve">superior efficacy </w:t>
      </w:r>
      <w:r>
        <w:rPr>
          <w:lang w:val="en-US"/>
        </w:rPr>
        <w:t xml:space="preserve">compared with </w:t>
      </w:r>
      <w:r w:rsidRPr="00AF3974">
        <w:rPr>
          <w:lang w:val="en-US"/>
        </w:rPr>
        <w:t>sarilumab 150 mg q2w</w:t>
      </w:r>
      <w:r>
        <w:rPr>
          <w:lang w:val="en-US"/>
        </w:rPr>
        <w:t xml:space="preserve"> + DMARD</w:t>
      </w:r>
      <w:r w:rsidRPr="00AF3974">
        <w:rPr>
          <w:lang w:val="en-US"/>
        </w:rPr>
        <w:t xml:space="preserve">. In addition, sarilumab 200 mg q2w was generally well tolerated with no clear dose relationship in overall treatment </w:t>
      </w:r>
      <w:r>
        <w:rPr>
          <w:lang w:val="en-US"/>
        </w:rPr>
        <w:t xml:space="preserve">emergent adverse events (TEAEs) </w:t>
      </w:r>
      <w:r w:rsidRPr="00AF3974">
        <w:rPr>
          <w:lang w:val="en-US"/>
        </w:rPr>
        <w:t>compared with sarilumab 150 mg q2w</w:t>
      </w:r>
      <w:r>
        <w:rPr>
          <w:lang w:val="en-US"/>
        </w:rPr>
        <w:t xml:space="preserve">. Therefore, </w:t>
      </w:r>
      <w:r w:rsidRPr="00AF3974">
        <w:rPr>
          <w:lang w:val="en-US"/>
        </w:rPr>
        <w:t xml:space="preserve">based on </w:t>
      </w:r>
      <w:r>
        <w:rPr>
          <w:lang w:val="en-US"/>
        </w:rPr>
        <w:t xml:space="preserve">the comparative </w:t>
      </w:r>
      <w:r w:rsidRPr="00AF3974">
        <w:rPr>
          <w:lang w:val="en-US"/>
        </w:rPr>
        <w:t>efficacy and safety data</w:t>
      </w:r>
      <w:r>
        <w:rPr>
          <w:lang w:val="en-US"/>
        </w:rPr>
        <w:t xml:space="preserve">, </w:t>
      </w:r>
      <w:r w:rsidRPr="00AF3974">
        <w:rPr>
          <w:lang w:val="en-US"/>
        </w:rPr>
        <w:t>and to optimi</w:t>
      </w:r>
      <w:r>
        <w:rPr>
          <w:lang w:val="en-US"/>
        </w:rPr>
        <w:t>s</w:t>
      </w:r>
      <w:r w:rsidRPr="00AF3974">
        <w:rPr>
          <w:lang w:val="en-US"/>
        </w:rPr>
        <w:t xml:space="preserve">e patient benefit, the sponsor selected the 200 mg </w:t>
      </w:r>
      <w:r>
        <w:rPr>
          <w:lang w:val="en-US"/>
        </w:rPr>
        <w:t xml:space="preserve">q2w </w:t>
      </w:r>
      <w:r w:rsidRPr="00AF3974">
        <w:rPr>
          <w:lang w:val="en-US"/>
        </w:rPr>
        <w:t xml:space="preserve">sarilumab dose over the 150 mg </w:t>
      </w:r>
      <w:r>
        <w:rPr>
          <w:lang w:val="en-US"/>
        </w:rPr>
        <w:t xml:space="preserve">q2w </w:t>
      </w:r>
      <w:r w:rsidRPr="00AF3974">
        <w:rPr>
          <w:lang w:val="en-US"/>
        </w:rPr>
        <w:t xml:space="preserve">sarilumab dose for the head to head </w:t>
      </w:r>
      <w:r>
        <w:rPr>
          <w:lang w:val="en-US"/>
        </w:rPr>
        <w:t xml:space="preserve">comparison with </w:t>
      </w:r>
      <w:r w:rsidRPr="00AF3974">
        <w:rPr>
          <w:lang w:val="en-US"/>
        </w:rPr>
        <w:t>adalimumab</w:t>
      </w:r>
      <w:r>
        <w:rPr>
          <w:lang w:val="en-US"/>
        </w:rPr>
        <w:t xml:space="preserve"> 40 mg q2w in the pivotal </w:t>
      </w:r>
      <w:r w:rsidR="001470FB">
        <w:rPr>
          <w:lang w:val="en-US"/>
        </w:rPr>
        <w:t>Phase III</w:t>
      </w:r>
      <w:r>
        <w:rPr>
          <w:lang w:val="en-US"/>
        </w:rPr>
        <w:t xml:space="preserve"> </w:t>
      </w:r>
      <w:r w:rsidR="00894642">
        <w:rPr>
          <w:lang w:val="en-US"/>
        </w:rPr>
        <w:t>Study EFC</w:t>
      </w:r>
      <w:r>
        <w:rPr>
          <w:lang w:val="en-US"/>
        </w:rPr>
        <w:t>14092</w:t>
      </w:r>
      <w:r w:rsidR="001F3EAD">
        <w:rPr>
          <w:lang w:val="en-US"/>
        </w:rPr>
        <w:t xml:space="preserve"> </w:t>
      </w:r>
      <w:r w:rsidR="001F3EAD">
        <w:t>MONARCH</w:t>
      </w:r>
      <w:r w:rsidRPr="00AF3974">
        <w:rPr>
          <w:lang w:val="en-US"/>
        </w:rPr>
        <w:t>. The s</w:t>
      </w:r>
      <w:r>
        <w:rPr>
          <w:lang w:val="en-US"/>
        </w:rPr>
        <w:t xml:space="preserve">ponsor selected adalimumab as the </w:t>
      </w:r>
      <w:r w:rsidRPr="00AF3974">
        <w:rPr>
          <w:lang w:val="en-US"/>
        </w:rPr>
        <w:t xml:space="preserve">comparator, given its widespread use </w:t>
      </w:r>
      <w:r>
        <w:rPr>
          <w:lang w:val="en-US"/>
        </w:rPr>
        <w:t xml:space="preserve">in clinical practice </w:t>
      </w:r>
      <w:r w:rsidRPr="00AF3974">
        <w:rPr>
          <w:lang w:val="en-US"/>
        </w:rPr>
        <w:t xml:space="preserve">and clinical data supporting its use as monotherapy for RA patients who do not respond to MTX or who are </w:t>
      </w:r>
      <w:r>
        <w:rPr>
          <w:lang w:val="en-US"/>
        </w:rPr>
        <w:t xml:space="preserve">MTX intolerant. </w:t>
      </w:r>
      <w:r w:rsidRPr="00AF3974">
        <w:rPr>
          <w:lang w:val="en-US"/>
        </w:rPr>
        <w:t>The standard approved dose of adalimumab is 40 mg q2w w</w:t>
      </w:r>
      <w:r>
        <w:rPr>
          <w:lang w:val="en-US"/>
        </w:rPr>
        <w:t>hen used as monotherapy. The initial dose of adalimumab 40</w:t>
      </w:r>
      <w:r w:rsidR="007C7C62">
        <w:rPr>
          <w:lang w:val="en-US"/>
        </w:rPr>
        <w:t> </w:t>
      </w:r>
      <w:r>
        <w:rPr>
          <w:lang w:val="en-US"/>
        </w:rPr>
        <w:t xml:space="preserve">mg q2w </w:t>
      </w:r>
      <w:r w:rsidRPr="00AF3974">
        <w:rPr>
          <w:lang w:val="en-US"/>
        </w:rPr>
        <w:t xml:space="preserve">allows for escalation from </w:t>
      </w:r>
      <w:r>
        <w:rPr>
          <w:lang w:val="en-US"/>
        </w:rPr>
        <w:t>q2w</w:t>
      </w:r>
      <w:r w:rsidRPr="00AF3974">
        <w:rPr>
          <w:lang w:val="en-US"/>
        </w:rPr>
        <w:t xml:space="preserve"> to </w:t>
      </w:r>
      <w:proofErr w:type="spellStart"/>
      <w:r>
        <w:rPr>
          <w:lang w:val="en-US"/>
        </w:rPr>
        <w:t>qw</w:t>
      </w:r>
      <w:proofErr w:type="spellEnd"/>
      <w:r>
        <w:rPr>
          <w:lang w:val="en-US"/>
        </w:rPr>
        <w:t xml:space="preserve"> </w:t>
      </w:r>
      <w:r w:rsidRPr="00AF3974">
        <w:rPr>
          <w:lang w:val="en-US"/>
        </w:rPr>
        <w:t>in case of lack of</w:t>
      </w:r>
      <w:r>
        <w:rPr>
          <w:lang w:val="en-US"/>
        </w:rPr>
        <w:t xml:space="preserve"> </w:t>
      </w:r>
      <w:r w:rsidRPr="00AF3974">
        <w:rPr>
          <w:lang w:val="en-US"/>
        </w:rPr>
        <w:t>efficacy.</w:t>
      </w:r>
    </w:p>
    <w:p w:rsidR="002928AB" w:rsidRPr="002928AB" w:rsidRDefault="002928AB" w:rsidP="00E246F9">
      <w:r w:rsidRPr="00C82FF6">
        <w:rPr>
          <w:lang w:val="en-US"/>
        </w:rPr>
        <w:t xml:space="preserve">The sponsor's decision to use sarilumab 200 mg q2w </w:t>
      </w:r>
      <w:r>
        <w:rPr>
          <w:lang w:val="en-US"/>
        </w:rPr>
        <w:t xml:space="preserve">rather than sarilumab 150 mg q2w </w:t>
      </w:r>
      <w:r w:rsidRPr="00C82FF6">
        <w:rPr>
          <w:lang w:val="en-US"/>
        </w:rPr>
        <w:t xml:space="preserve">in the pivotal monotherapy study is acceptable. However, it is considered that it would have been more appropriate to have selected tocilizumab, the only other approved IL-6 inhibitor, as the active comparator in </w:t>
      </w:r>
      <w:r w:rsidR="00684391">
        <w:rPr>
          <w:lang w:val="en-US"/>
        </w:rPr>
        <w:t xml:space="preserve">Study </w:t>
      </w:r>
      <w:r w:rsidRPr="00C82FF6">
        <w:rPr>
          <w:lang w:val="en-US"/>
        </w:rPr>
        <w:t>EFC14092</w:t>
      </w:r>
      <w:r w:rsidR="009F1D5D">
        <w:rPr>
          <w:lang w:val="en-US"/>
        </w:rPr>
        <w:t>/</w:t>
      </w:r>
      <w:r w:rsidR="001F3EAD">
        <w:t>MONARCH</w:t>
      </w:r>
      <w:r w:rsidR="001F3EAD" w:rsidRPr="00C82FF6">
        <w:rPr>
          <w:lang w:val="en-US"/>
        </w:rPr>
        <w:t xml:space="preserve"> </w:t>
      </w:r>
      <w:r w:rsidR="009F1D5D">
        <w:rPr>
          <w:lang w:val="en-US"/>
        </w:rPr>
        <w:t xml:space="preserve">trial </w:t>
      </w:r>
      <w:r w:rsidRPr="00C82FF6">
        <w:rPr>
          <w:lang w:val="en-US"/>
        </w:rPr>
        <w:t>rather than adalimumab.</w:t>
      </w:r>
      <w:r>
        <w:rPr>
          <w:lang w:val="en-US"/>
        </w:rPr>
        <w:t xml:space="preserve"> </w:t>
      </w:r>
      <w:r w:rsidRPr="00C82FF6">
        <w:t xml:space="preserve">The initial submission included a comparison, primarily assessing safety, between sarilumab + DMARD and tocilizumab + </w:t>
      </w:r>
      <w:r w:rsidRPr="00684391">
        <w:t xml:space="preserve">DMARD for the treatment of RA in the </w:t>
      </w:r>
      <w:r w:rsidR="001470FB" w:rsidRPr="00684391">
        <w:t>Phase III</w:t>
      </w:r>
      <w:r w:rsidRPr="00684391">
        <w:t xml:space="preserve"> </w:t>
      </w:r>
      <w:r w:rsidR="00684391" w:rsidRPr="00684391">
        <w:t>S</w:t>
      </w:r>
      <w:r w:rsidRPr="00684391">
        <w:t xml:space="preserve">tudy SFY13379. The risks of treatment with sarilumab and tocilizumab based on the safety data from </w:t>
      </w:r>
      <w:r w:rsidR="00684391" w:rsidRPr="00684391">
        <w:t>S</w:t>
      </w:r>
      <w:r w:rsidRPr="00684391">
        <w:t xml:space="preserve">tudy SFY13379 </w:t>
      </w:r>
      <w:r w:rsidR="00684391" w:rsidRPr="00684391">
        <w:t>were</w:t>
      </w:r>
      <w:r w:rsidRPr="00684391">
        <w:t xml:space="preserve"> reviewed in this current CER. The sponsor is requested to justify why tocilizumab was not selected as the active comparator</w:t>
      </w:r>
      <w:r w:rsidRPr="00C82FF6">
        <w:t xml:space="preserve"> for the pivotal </w:t>
      </w:r>
      <w:r w:rsidR="001470FB">
        <w:t>Phase III</w:t>
      </w:r>
      <w:r w:rsidRPr="00C82FF6">
        <w:t xml:space="preserve"> monotherapy </w:t>
      </w:r>
      <w:r w:rsidR="00894642">
        <w:t>Study EFC</w:t>
      </w:r>
      <w:r w:rsidRPr="00C82FF6">
        <w:t>14902 (</w:t>
      </w:r>
      <w:r w:rsidR="009F1D5D">
        <w:t xml:space="preserve">see </w:t>
      </w:r>
      <w:r w:rsidR="00684391" w:rsidRPr="00485E22">
        <w:rPr>
          <w:i/>
        </w:rPr>
        <w:t>Clinical question</w:t>
      </w:r>
      <w:r w:rsidR="009F1D5D" w:rsidRPr="00485E22">
        <w:rPr>
          <w:i/>
        </w:rPr>
        <w:t>s</w:t>
      </w:r>
      <w:r w:rsidR="009F1D5D">
        <w:t>, below</w:t>
      </w:r>
      <w:r w:rsidR="00684391">
        <w:t>)</w:t>
      </w:r>
      <w:r w:rsidRPr="00C82FF6">
        <w:t>.</w:t>
      </w:r>
    </w:p>
    <w:p w:rsidR="008E7846" w:rsidRPr="00254787" w:rsidRDefault="008E7846" w:rsidP="008E7846">
      <w:pPr>
        <w:pStyle w:val="Heading3"/>
      </w:pPr>
      <w:bookmarkStart w:id="100" w:name="_Toc163441372"/>
      <w:bookmarkStart w:id="101" w:name="_Toc196046485"/>
      <w:bookmarkStart w:id="102" w:name="_Toc247691521"/>
      <w:bookmarkStart w:id="103" w:name="_Toc314842504"/>
      <w:bookmarkStart w:id="104" w:name="_Toc12272154"/>
      <w:r w:rsidRPr="00254787">
        <w:t>Efficacy</w:t>
      </w:r>
      <w:bookmarkEnd w:id="100"/>
      <w:bookmarkEnd w:id="101"/>
      <w:bookmarkEnd w:id="102"/>
      <w:bookmarkEnd w:id="103"/>
      <w:bookmarkEnd w:id="104"/>
    </w:p>
    <w:p w:rsidR="00605AD4" w:rsidRPr="00E246F9" w:rsidRDefault="00605AD4" w:rsidP="00E246F9">
      <w:pPr>
        <w:pStyle w:val="Heading4"/>
      </w:pPr>
      <w:bookmarkStart w:id="105" w:name="_Toc184439992"/>
      <w:bookmarkStart w:id="106" w:name="_Toc184440279"/>
      <w:bookmarkStart w:id="107" w:name="_Toc184444657"/>
      <w:bookmarkStart w:id="108" w:name="_Toc196046487"/>
      <w:r>
        <w:t>Studies providing efficacy data</w:t>
      </w:r>
    </w:p>
    <w:p w:rsidR="00AA6B20" w:rsidRDefault="002928AB" w:rsidP="00E246F9">
      <w:pPr>
        <w:pStyle w:val="Heading5"/>
        <w:rPr>
          <w:lang w:val="en-US"/>
        </w:rPr>
      </w:pPr>
      <w:r>
        <w:rPr>
          <w:lang w:val="en-US"/>
        </w:rPr>
        <w:t>S</w:t>
      </w:r>
      <w:r w:rsidRPr="00097FAE">
        <w:rPr>
          <w:lang w:val="en-US"/>
        </w:rPr>
        <w:t>arilumab in combination with conventional DMARDs (</w:t>
      </w:r>
      <w:proofErr w:type="spellStart"/>
      <w:r w:rsidRPr="00097FAE">
        <w:rPr>
          <w:lang w:val="en-US"/>
        </w:rPr>
        <w:t>cDMARDs</w:t>
      </w:r>
      <w:proofErr w:type="spellEnd"/>
      <w:r w:rsidRPr="00097FAE">
        <w:rPr>
          <w:lang w:val="en-US"/>
        </w:rPr>
        <w:t>)</w:t>
      </w:r>
    </w:p>
    <w:p w:rsidR="00AA6B20" w:rsidRDefault="002928AB" w:rsidP="002928AB">
      <w:pPr>
        <w:rPr>
          <w:rFonts w:asciiTheme="minorHAnsi" w:hAnsiTheme="minorHAnsi"/>
          <w:lang w:val="en-US"/>
        </w:rPr>
      </w:pPr>
      <w:r w:rsidRPr="00097FAE">
        <w:rPr>
          <w:rFonts w:asciiTheme="minorHAnsi" w:hAnsiTheme="minorHAnsi"/>
          <w:lang w:val="en-US"/>
        </w:rPr>
        <w:t xml:space="preserve">The </w:t>
      </w:r>
      <w:r>
        <w:rPr>
          <w:rFonts w:asciiTheme="minorHAnsi" w:hAnsiTheme="minorHAnsi"/>
          <w:lang w:val="en-US"/>
        </w:rPr>
        <w:t>initial</w:t>
      </w:r>
      <w:r w:rsidRPr="00097FAE">
        <w:rPr>
          <w:rFonts w:asciiTheme="minorHAnsi" w:hAnsiTheme="minorHAnsi"/>
          <w:lang w:val="en-US"/>
        </w:rPr>
        <w:t xml:space="preserve"> submission includ</w:t>
      </w:r>
      <w:r>
        <w:rPr>
          <w:rFonts w:asciiTheme="minorHAnsi" w:hAnsiTheme="minorHAnsi"/>
          <w:lang w:val="en-US"/>
        </w:rPr>
        <w:t xml:space="preserve">ed 2 pivotal </w:t>
      </w:r>
      <w:r w:rsidR="001470FB">
        <w:rPr>
          <w:rFonts w:asciiTheme="minorHAnsi" w:hAnsiTheme="minorHAnsi"/>
          <w:lang w:val="en-US"/>
        </w:rPr>
        <w:t>Phase III</w:t>
      </w:r>
      <w:r>
        <w:rPr>
          <w:rFonts w:asciiTheme="minorHAnsi" w:hAnsiTheme="minorHAnsi"/>
          <w:lang w:val="en-US"/>
        </w:rPr>
        <w:t xml:space="preserve"> studies of </w:t>
      </w:r>
      <w:r w:rsidRPr="00097FAE">
        <w:rPr>
          <w:rFonts w:asciiTheme="minorHAnsi" w:hAnsiTheme="minorHAnsi"/>
          <w:lang w:val="en-US"/>
        </w:rPr>
        <w:t xml:space="preserve">similar design in support of the application to register sarilumab </w:t>
      </w:r>
      <w:r>
        <w:rPr>
          <w:rFonts w:asciiTheme="minorHAnsi" w:hAnsiTheme="minorHAnsi"/>
          <w:lang w:val="en-US"/>
        </w:rPr>
        <w:t xml:space="preserve">in combination with </w:t>
      </w:r>
      <w:proofErr w:type="spellStart"/>
      <w:r>
        <w:rPr>
          <w:rFonts w:asciiTheme="minorHAnsi" w:hAnsiTheme="minorHAnsi"/>
          <w:lang w:val="en-US"/>
        </w:rPr>
        <w:t>cDMARD</w:t>
      </w:r>
      <w:proofErr w:type="spellEnd"/>
      <w:r>
        <w:rPr>
          <w:rFonts w:asciiTheme="minorHAnsi" w:hAnsiTheme="minorHAnsi"/>
          <w:lang w:val="en-US"/>
        </w:rPr>
        <w:t xml:space="preserve"> </w:t>
      </w:r>
      <w:r w:rsidRPr="00097FAE">
        <w:rPr>
          <w:rFonts w:asciiTheme="minorHAnsi" w:hAnsiTheme="minorHAnsi"/>
          <w:lang w:val="en-US"/>
        </w:rPr>
        <w:t>for the treatment of patients with R</w:t>
      </w:r>
      <w:r>
        <w:rPr>
          <w:rFonts w:asciiTheme="minorHAnsi" w:hAnsiTheme="minorHAnsi"/>
          <w:lang w:val="en-US"/>
        </w:rPr>
        <w:t xml:space="preserve">A (Part B </w:t>
      </w:r>
      <w:r w:rsidR="00684391">
        <w:rPr>
          <w:rFonts w:asciiTheme="minorHAnsi" w:hAnsiTheme="minorHAnsi"/>
          <w:lang w:val="en-US"/>
        </w:rPr>
        <w:t xml:space="preserve">Study </w:t>
      </w:r>
      <w:r>
        <w:rPr>
          <w:rFonts w:asciiTheme="minorHAnsi" w:hAnsiTheme="minorHAnsi"/>
          <w:lang w:val="en-US"/>
        </w:rPr>
        <w:t xml:space="preserve">EFC11072; </w:t>
      </w:r>
      <w:r w:rsidR="00684391">
        <w:rPr>
          <w:rFonts w:asciiTheme="minorHAnsi" w:hAnsiTheme="minorHAnsi"/>
          <w:lang w:val="en-US"/>
        </w:rPr>
        <w:t xml:space="preserve">Study </w:t>
      </w:r>
      <w:r>
        <w:rPr>
          <w:rFonts w:asciiTheme="minorHAnsi" w:hAnsiTheme="minorHAnsi"/>
          <w:lang w:val="en-US"/>
        </w:rPr>
        <w:t xml:space="preserve">EFC10832). Both of these studies have been previously evaluated by the TGA and considered by the </w:t>
      </w:r>
      <w:r w:rsidR="00684391">
        <w:rPr>
          <w:rFonts w:asciiTheme="minorHAnsi" w:hAnsiTheme="minorHAnsi"/>
          <w:lang w:val="en-US"/>
        </w:rPr>
        <w:t>TGA’s Advisory Committee on Prescription Medicines (</w:t>
      </w:r>
      <w:r>
        <w:rPr>
          <w:rFonts w:asciiTheme="minorHAnsi" w:hAnsiTheme="minorHAnsi"/>
          <w:lang w:val="en-US"/>
        </w:rPr>
        <w:t>ACM</w:t>
      </w:r>
      <w:r w:rsidR="00684391">
        <w:rPr>
          <w:rFonts w:asciiTheme="minorHAnsi" w:hAnsiTheme="minorHAnsi"/>
          <w:lang w:val="en-US"/>
        </w:rPr>
        <w:t>)</w:t>
      </w:r>
      <w:r>
        <w:rPr>
          <w:rFonts w:asciiTheme="minorHAnsi" w:hAnsiTheme="minorHAnsi"/>
          <w:lang w:val="en-US"/>
        </w:rPr>
        <w:t>.</w:t>
      </w:r>
    </w:p>
    <w:p w:rsidR="00AA6B20" w:rsidRDefault="00684391" w:rsidP="002928AB">
      <w:pPr>
        <w:rPr>
          <w:rFonts w:asciiTheme="minorHAnsi" w:hAnsiTheme="minorHAnsi"/>
          <w:lang w:val="en-US"/>
        </w:rPr>
      </w:pPr>
      <w:r>
        <w:rPr>
          <w:rFonts w:asciiTheme="minorHAnsi" w:hAnsiTheme="minorHAnsi"/>
          <w:lang w:val="en-US"/>
        </w:rPr>
        <w:t xml:space="preserve">Study </w:t>
      </w:r>
      <w:r w:rsidR="002928AB" w:rsidRPr="00097FAE">
        <w:rPr>
          <w:rFonts w:asciiTheme="minorHAnsi" w:hAnsiTheme="minorHAnsi"/>
          <w:lang w:val="en-US"/>
        </w:rPr>
        <w:t>EFC11072 (MOBILITY</w:t>
      </w:r>
      <w:r w:rsidR="009F1D5D">
        <w:rPr>
          <w:rFonts w:asciiTheme="minorHAnsi" w:hAnsiTheme="minorHAnsi"/>
          <w:lang w:val="en-US"/>
        </w:rPr>
        <w:t xml:space="preserve"> trial</w:t>
      </w:r>
      <w:r w:rsidR="002928AB" w:rsidRPr="00097FAE">
        <w:rPr>
          <w:rFonts w:asciiTheme="minorHAnsi" w:hAnsiTheme="minorHAnsi"/>
          <w:lang w:val="en-US"/>
        </w:rPr>
        <w:t>)</w:t>
      </w:r>
      <w:r w:rsidR="002928AB" w:rsidRPr="00097FAE">
        <w:rPr>
          <w:rFonts w:asciiTheme="minorHAnsi" w:hAnsiTheme="minorHAnsi"/>
          <w:b/>
          <w:lang w:val="en-US"/>
        </w:rPr>
        <w:t xml:space="preserve"> </w:t>
      </w:r>
      <w:r w:rsidR="002928AB" w:rsidRPr="00097FAE">
        <w:rPr>
          <w:rFonts w:asciiTheme="minorHAnsi" w:hAnsiTheme="minorHAnsi"/>
          <w:lang w:val="en-US"/>
        </w:rPr>
        <w:t>was a 2</w:t>
      </w:r>
      <w:r>
        <w:rPr>
          <w:rFonts w:asciiTheme="minorHAnsi" w:hAnsiTheme="minorHAnsi"/>
          <w:lang w:val="en-US"/>
        </w:rPr>
        <w:t xml:space="preserve"> </w:t>
      </w:r>
      <w:r w:rsidR="002928AB" w:rsidRPr="00097FAE">
        <w:rPr>
          <w:rFonts w:asciiTheme="minorHAnsi" w:hAnsiTheme="minorHAnsi"/>
          <w:lang w:val="en-US"/>
        </w:rPr>
        <w:t>part, double-blind, placebo-controlled study conducted in patients with an inadequate response to MTX. In this study, sarilumab or placebo was</w:t>
      </w:r>
      <w:r w:rsidR="002928AB">
        <w:rPr>
          <w:rFonts w:asciiTheme="minorHAnsi" w:hAnsiTheme="minorHAnsi"/>
          <w:lang w:val="en-US"/>
        </w:rPr>
        <w:t xml:space="preserve"> administered SC in combination </w:t>
      </w:r>
      <w:r w:rsidR="002928AB" w:rsidRPr="00097FAE">
        <w:rPr>
          <w:rFonts w:asciiTheme="minorHAnsi" w:hAnsiTheme="minorHAnsi"/>
          <w:lang w:val="en-US"/>
        </w:rPr>
        <w:t>with MTX. Part A was the 12</w:t>
      </w:r>
      <w:r>
        <w:rPr>
          <w:rFonts w:asciiTheme="minorHAnsi" w:hAnsiTheme="minorHAnsi"/>
          <w:lang w:val="en-US"/>
        </w:rPr>
        <w:t xml:space="preserve"> </w:t>
      </w:r>
      <w:r w:rsidR="002928AB" w:rsidRPr="00097FAE">
        <w:rPr>
          <w:rFonts w:asciiTheme="minorHAnsi" w:hAnsiTheme="minorHAnsi"/>
          <w:lang w:val="en-US"/>
        </w:rPr>
        <w:t xml:space="preserve">week </w:t>
      </w:r>
      <w:r w:rsidR="001470FB">
        <w:rPr>
          <w:rFonts w:asciiTheme="minorHAnsi" w:hAnsiTheme="minorHAnsi"/>
          <w:lang w:val="en-US"/>
        </w:rPr>
        <w:t>Phase II</w:t>
      </w:r>
      <w:r w:rsidR="002928AB" w:rsidRPr="00097FAE">
        <w:rPr>
          <w:rFonts w:asciiTheme="minorHAnsi" w:hAnsiTheme="minorHAnsi"/>
          <w:lang w:val="en-US"/>
        </w:rPr>
        <w:t>, dose-ranging part of the study (</w:t>
      </w:r>
      <w:r w:rsidR="007C7C62">
        <w:rPr>
          <w:rFonts w:asciiTheme="minorHAnsi" w:hAnsiTheme="minorHAnsi"/>
          <w:lang w:val="en-US"/>
        </w:rPr>
        <w:t xml:space="preserve">n = </w:t>
      </w:r>
      <w:r w:rsidR="002928AB" w:rsidRPr="00097FAE">
        <w:rPr>
          <w:rFonts w:asciiTheme="minorHAnsi" w:hAnsiTheme="minorHAnsi"/>
          <w:lang w:val="en-US"/>
        </w:rPr>
        <w:t>306) and Part B was the 52</w:t>
      </w:r>
      <w:r>
        <w:rPr>
          <w:rFonts w:asciiTheme="minorHAnsi" w:hAnsiTheme="minorHAnsi"/>
          <w:lang w:val="en-US"/>
        </w:rPr>
        <w:t xml:space="preserve"> </w:t>
      </w:r>
      <w:r w:rsidR="002928AB" w:rsidRPr="00097FAE">
        <w:rPr>
          <w:rFonts w:asciiTheme="minorHAnsi" w:hAnsiTheme="minorHAnsi"/>
          <w:lang w:val="en-US"/>
        </w:rPr>
        <w:t xml:space="preserve">week, </w:t>
      </w:r>
      <w:r w:rsidR="001470FB">
        <w:rPr>
          <w:rFonts w:asciiTheme="minorHAnsi" w:hAnsiTheme="minorHAnsi"/>
          <w:lang w:val="en-US"/>
        </w:rPr>
        <w:t>Phase III</w:t>
      </w:r>
      <w:r w:rsidR="002928AB" w:rsidRPr="00097FAE">
        <w:rPr>
          <w:rFonts w:asciiTheme="minorHAnsi" w:hAnsiTheme="minorHAnsi"/>
          <w:lang w:val="en-US"/>
        </w:rPr>
        <w:t xml:space="preserve"> </w:t>
      </w:r>
      <w:r w:rsidR="002928AB">
        <w:rPr>
          <w:rFonts w:asciiTheme="minorHAnsi" w:hAnsiTheme="minorHAnsi"/>
          <w:lang w:val="en-US"/>
        </w:rPr>
        <w:t xml:space="preserve">efficacy </w:t>
      </w:r>
      <w:r w:rsidR="002928AB" w:rsidRPr="00097FAE">
        <w:rPr>
          <w:rFonts w:asciiTheme="minorHAnsi" w:hAnsiTheme="minorHAnsi"/>
          <w:lang w:val="en-US"/>
        </w:rPr>
        <w:t>part of the study (</w:t>
      </w:r>
      <w:r w:rsidR="007C7C62">
        <w:rPr>
          <w:rFonts w:asciiTheme="minorHAnsi" w:hAnsiTheme="minorHAnsi"/>
          <w:lang w:val="en-US"/>
        </w:rPr>
        <w:t xml:space="preserve">n = </w:t>
      </w:r>
      <w:r w:rsidR="002928AB" w:rsidRPr="00097FAE">
        <w:rPr>
          <w:rFonts w:asciiTheme="minorHAnsi" w:hAnsiTheme="minorHAnsi"/>
          <w:lang w:val="en-US"/>
        </w:rPr>
        <w:t>1197).</w:t>
      </w:r>
    </w:p>
    <w:p w:rsidR="00AA6B20" w:rsidRDefault="00684391" w:rsidP="002928AB">
      <w:pPr>
        <w:rPr>
          <w:rFonts w:asciiTheme="minorHAnsi" w:hAnsiTheme="minorHAnsi"/>
          <w:lang w:val="en-US"/>
        </w:rPr>
      </w:pPr>
      <w:r>
        <w:rPr>
          <w:rFonts w:asciiTheme="minorHAnsi" w:hAnsiTheme="minorHAnsi"/>
          <w:lang w:val="en-US"/>
        </w:rPr>
        <w:t xml:space="preserve">Study </w:t>
      </w:r>
      <w:r w:rsidR="002928AB" w:rsidRPr="00097FAE">
        <w:rPr>
          <w:rFonts w:asciiTheme="minorHAnsi" w:hAnsiTheme="minorHAnsi"/>
          <w:lang w:val="en-US"/>
        </w:rPr>
        <w:t>EFC10832 (TARGET</w:t>
      </w:r>
      <w:r w:rsidR="009F1D5D">
        <w:rPr>
          <w:rFonts w:asciiTheme="minorHAnsi" w:hAnsiTheme="minorHAnsi"/>
          <w:lang w:val="en-US"/>
        </w:rPr>
        <w:t xml:space="preserve"> trial</w:t>
      </w:r>
      <w:r w:rsidR="002928AB" w:rsidRPr="00097FAE">
        <w:rPr>
          <w:rFonts w:asciiTheme="minorHAnsi" w:hAnsiTheme="minorHAnsi"/>
          <w:lang w:val="en-US"/>
        </w:rPr>
        <w:t>)</w:t>
      </w:r>
      <w:r w:rsidR="002928AB" w:rsidRPr="00097FAE">
        <w:rPr>
          <w:rFonts w:asciiTheme="minorHAnsi" w:hAnsiTheme="minorHAnsi"/>
          <w:b/>
          <w:lang w:val="en-US"/>
        </w:rPr>
        <w:t xml:space="preserve"> </w:t>
      </w:r>
      <w:r>
        <w:rPr>
          <w:rFonts w:asciiTheme="minorHAnsi" w:hAnsiTheme="minorHAnsi"/>
          <w:lang w:val="en-US"/>
        </w:rPr>
        <w:t xml:space="preserve">was a 24 </w:t>
      </w:r>
      <w:r w:rsidR="002928AB" w:rsidRPr="00097FAE">
        <w:rPr>
          <w:rFonts w:asciiTheme="minorHAnsi" w:hAnsiTheme="minorHAnsi"/>
          <w:lang w:val="en-US"/>
        </w:rPr>
        <w:t>week, double-blind, placebo-controlled study in patients (</w:t>
      </w:r>
      <w:r w:rsidR="007C7C62">
        <w:rPr>
          <w:rFonts w:asciiTheme="minorHAnsi" w:hAnsiTheme="minorHAnsi"/>
          <w:lang w:val="en-US"/>
        </w:rPr>
        <w:t xml:space="preserve">n = </w:t>
      </w:r>
      <w:r w:rsidR="002928AB" w:rsidRPr="00097FAE">
        <w:rPr>
          <w:rFonts w:asciiTheme="minorHAnsi" w:hAnsiTheme="minorHAnsi"/>
          <w:lang w:val="en-US"/>
        </w:rPr>
        <w:t xml:space="preserve">546) </w:t>
      </w:r>
      <w:r w:rsidR="002928AB">
        <w:rPr>
          <w:rFonts w:asciiTheme="minorHAnsi" w:hAnsiTheme="minorHAnsi"/>
          <w:lang w:val="en-US"/>
        </w:rPr>
        <w:t xml:space="preserve">who had </w:t>
      </w:r>
      <w:r w:rsidR="002928AB" w:rsidRPr="00097FAE">
        <w:rPr>
          <w:rFonts w:asciiTheme="minorHAnsi" w:hAnsiTheme="minorHAnsi"/>
          <w:lang w:val="en-US"/>
        </w:rPr>
        <w:t xml:space="preserve">a history of inadequate </w:t>
      </w:r>
      <w:r w:rsidR="002928AB">
        <w:rPr>
          <w:rFonts w:asciiTheme="minorHAnsi" w:hAnsiTheme="minorHAnsi"/>
          <w:lang w:val="en-US"/>
        </w:rPr>
        <w:t xml:space="preserve">response to </w:t>
      </w:r>
      <w:r>
        <w:rPr>
          <w:rFonts w:asciiTheme="minorHAnsi" w:hAnsiTheme="minorHAnsi"/>
          <w:lang w:val="en-US"/>
        </w:rPr>
        <w:t xml:space="preserve">TNF </w:t>
      </w:r>
      <w:r w:rsidR="002928AB" w:rsidRPr="00097FAE">
        <w:rPr>
          <w:rFonts w:asciiTheme="minorHAnsi" w:hAnsiTheme="minorHAnsi"/>
          <w:lang w:val="en-US"/>
        </w:rPr>
        <w:t>inhibitors</w:t>
      </w:r>
      <w:r w:rsidR="002928AB">
        <w:rPr>
          <w:rFonts w:asciiTheme="minorHAnsi" w:hAnsiTheme="minorHAnsi"/>
          <w:lang w:val="en-US"/>
        </w:rPr>
        <w:t xml:space="preserve"> or were intolerant to TNFs. </w:t>
      </w:r>
      <w:r w:rsidR="002928AB" w:rsidRPr="00097FAE">
        <w:rPr>
          <w:rFonts w:asciiTheme="minorHAnsi" w:hAnsiTheme="minorHAnsi"/>
          <w:lang w:val="en-US"/>
        </w:rPr>
        <w:t xml:space="preserve">In this study, sarilumab or placebo was administered SC in combination with a </w:t>
      </w:r>
      <w:proofErr w:type="spellStart"/>
      <w:r w:rsidR="002928AB" w:rsidRPr="00097FAE">
        <w:rPr>
          <w:rFonts w:asciiTheme="minorHAnsi" w:hAnsiTheme="minorHAnsi"/>
          <w:lang w:val="en-US"/>
        </w:rPr>
        <w:t>cDMARD</w:t>
      </w:r>
      <w:proofErr w:type="spellEnd"/>
      <w:r w:rsidR="002928AB" w:rsidRPr="00097FAE">
        <w:rPr>
          <w:rFonts w:asciiTheme="minorHAnsi" w:hAnsiTheme="minorHAnsi"/>
          <w:lang w:val="en-US"/>
        </w:rPr>
        <w:t xml:space="preserve"> (MTX, sulfasalazine, hydroxychloroquine, or </w:t>
      </w:r>
      <w:proofErr w:type="spellStart"/>
      <w:r w:rsidR="002928AB" w:rsidRPr="00097FAE">
        <w:rPr>
          <w:rFonts w:asciiTheme="minorHAnsi" w:hAnsiTheme="minorHAnsi"/>
          <w:lang w:val="en-US"/>
        </w:rPr>
        <w:t>leflunomide</w:t>
      </w:r>
      <w:proofErr w:type="spellEnd"/>
      <w:r w:rsidR="002928AB" w:rsidRPr="00097FAE">
        <w:rPr>
          <w:rFonts w:asciiTheme="minorHAnsi" w:hAnsiTheme="minorHAnsi"/>
          <w:lang w:val="en-US"/>
        </w:rPr>
        <w:t>).</w:t>
      </w:r>
    </w:p>
    <w:p w:rsidR="00AA6B20" w:rsidRDefault="002928AB" w:rsidP="002928AB">
      <w:pPr>
        <w:rPr>
          <w:rFonts w:asciiTheme="minorHAnsi" w:hAnsiTheme="minorHAnsi"/>
          <w:lang w:val="en-US"/>
        </w:rPr>
      </w:pPr>
      <w:r>
        <w:rPr>
          <w:rFonts w:asciiTheme="minorHAnsi" w:hAnsiTheme="minorHAnsi"/>
          <w:lang w:val="en-US"/>
        </w:rPr>
        <w:t>The initial CER also included an evaluation of the data from the open-label long-term extension study (</w:t>
      </w:r>
      <w:r w:rsidR="00684391">
        <w:rPr>
          <w:rFonts w:asciiTheme="minorHAnsi" w:hAnsiTheme="minorHAnsi"/>
          <w:lang w:val="en-US"/>
        </w:rPr>
        <w:t xml:space="preserve">Study </w:t>
      </w:r>
      <w:r>
        <w:rPr>
          <w:rFonts w:asciiTheme="minorHAnsi" w:hAnsiTheme="minorHAnsi"/>
          <w:lang w:val="en-US"/>
        </w:rPr>
        <w:t xml:space="preserve">LTS11210). The initial submission also included additional data from this study which was received by the TGA after the initial CER had been completed and </w:t>
      </w:r>
      <w:r w:rsidR="00684391">
        <w:rPr>
          <w:rFonts w:asciiTheme="minorHAnsi" w:hAnsiTheme="minorHAnsi"/>
          <w:lang w:val="en-US"/>
        </w:rPr>
        <w:t xml:space="preserve">the report </w:t>
      </w:r>
      <w:r>
        <w:rPr>
          <w:rFonts w:asciiTheme="minorHAnsi" w:hAnsiTheme="minorHAnsi"/>
          <w:lang w:val="en-US"/>
        </w:rPr>
        <w:t xml:space="preserve">provided to the sponsor. This additional data consisted of a comparison of radiological progression through to 3 years for patients from </w:t>
      </w:r>
      <w:r w:rsidR="00684391">
        <w:rPr>
          <w:rFonts w:asciiTheme="minorHAnsi" w:hAnsiTheme="minorHAnsi"/>
          <w:lang w:val="en-US"/>
        </w:rPr>
        <w:t xml:space="preserve">Study </w:t>
      </w:r>
      <w:r>
        <w:rPr>
          <w:rFonts w:asciiTheme="minorHAnsi" w:hAnsiTheme="minorHAnsi"/>
          <w:lang w:val="en-US"/>
        </w:rPr>
        <w:t xml:space="preserve">EFC11072 who had been initially randomised to 52 weeks treatment with placebo + MTX, sarilumab 150 mg q2w + MTX or sarilumab 200 mg q2w + MTX and then enrolled into </w:t>
      </w:r>
      <w:r w:rsidR="003D2290">
        <w:rPr>
          <w:rFonts w:asciiTheme="minorHAnsi" w:hAnsiTheme="minorHAnsi"/>
          <w:lang w:val="en-US"/>
        </w:rPr>
        <w:t>S</w:t>
      </w:r>
      <w:r>
        <w:rPr>
          <w:rFonts w:asciiTheme="minorHAnsi" w:hAnsiTheme="minorHAnsi"/>
          <w:lang w:val="en-US"/>
        </w:rPr>
        <w:t xml:space="preserve">tudy LTS11210 to continue open-label sarilumab + DMARD treatment for 96 weeks (148 weeks of treatment from </w:t>
      </w:r>
      <w:r w:rsidR="003D2290">
        <w:rPr>
          <w:rFonts w:asciiTheme="minorHAnsi" w:hAnsiTheme="minorHAnsi"/>
          <w:lang w:val="en-US"/>
        </w:rPr>
        <w:t xml:space="preserve">Study </w:t>
      </w:r>
      <w:r>
        <w:rPr>
          <w:rFonts w:asciiTheme="minorHAnsi" w:hAnsiTheme="minorHAnsi"/>
          <w:lang w:val="en-US"/>
        </w:rPr>
        <w:t xml:space="preserve">EFC11210 </w:t>
      </w:r>
      <w:r w:rsidR="007C7C62">
        <w:rPr>
          <w:rFonts w:asciiTheme="minorHAnsi" w:hAnsiTheme="minorHAnsi"/>
          <w:lang w:val="en-US"/>
        </w:rPr>
        <w:t>B</w:t>
      </w:r>
      <w:r>
        <w:rPr>
          <w:rFonts w:asciiTheme="minorHAnsi" w:hAnsiTheme="minorHAnsi"/>
          <w:lang w:val="en-US"/>
        </w:rPr>
        <w:t xml:space="preserve">aseline). This additional data has been reviewed by the Delegate </w:t>
      </w:r>
      <w:r>
        <w:rPr>
          <w:rFonts w:asciiTheme="minorHAnsi" w:hAnsiTheme="minorHAnsi"/>
          <w:lang w:val="en-US"/>
        </w:rPr>
        <w:lastRenderedPageBreak/>
        <w:t xml:space="preserve">and considered by the ACM. The re-submission included the previously submitted analysis of 3 year radiological data from </w:t>
      </w:r>
      <w:r w:rsidR="003D2290">
        <w:rPr>
          <w:rFonts w:asciiTheme="minorHAnsi" w:hAnsiTheme="minorHAnsi"/>
          <w:lang w:val="en-US"/>
        </w:rPr>
        <w:t>S</w:t>
      </w:r>
      <w:r>
        <w:rPr>
          <w:rFonts w:asciiTheme="minorHAnsi" w:hAnsiTheme="minorHAnsi"/>
          <w:lang w:val="en-US"/>
        </w:rPr>
        <w:t xml:space="preserve">tudy LTS1121 and updated clinical efficacy response and remission data for </w:t>
      </w:r>
      <w:r w:rsidR="003D2290">
        <w:rPr>
          <w:rFonts w:asciiTheme="minorHAnsi" w:hAnsiTheme="minorHAnsi"/>
          <w:lang w:val="en-US"/>
        </w:rPr>
        <w:t>S</w:t>
      </w:r>
      <w:r>
        <w:rPr>
          <w:rFonts w:asciiTheme="minorHAnsi" w:hAnsiTheme="minorHAnsi"/>
          <w:lang w:val="en-US"/>
        </w:rPr>
        <w:t xml:space="preserve">tudy LTS11210 for the sarilumab + DMARD group from Week 0 to Week 264 (data in initial CER was from Week 0 to Week 216), and updated radiological progression data for </w:t>
      </w:r>
      <w:r w:rsidR="003D2290">
        <w:rPr>
          <w:rFonts w:asciiTheme="minorHAnsi" w:hAnsiTheme="minorHAnsi"/>
          <w:lang w:val="en-US"/>
        </w:rPr>
        <w:t>S</w:t>
      </w:r>
      <w:r>
        <w:rPr>
          <w:rFonts w:asciiTheme="minorHAnsi" w:hAnsiTheme="minorHAnsi"/>
          <w:lang w:val="en-US"/>
        </w:rPr>
        <w:t xml:space="preserve">tudy LTS11210 through to Week 96 (148 weeks from baseline </w:t>
      </w:r>
      <w:r w:rsidR="003D2290">
        <w:rPr>
          <w:rFonts w:asciiTheme="minorHAnsi" w:hAnsiTheme="minorHAnsi"/>
          <w:lang w:val="en-US"/>
        </w:rPr>
        <w:t xml:space="preserve">in Study </w:t>
      </w:r>
      <w:r>
        <w:rPr>
          <w:rFonts w:asciiTheme="minorHAnsi" w:hAnsiTheme="minorHAnsi"/>
          <w:lang w:val="en-US"/>
        </w:rPr>
        <w:t>ECF11210; data in the init</w:t>
      </w:r>
      <w:r w:rsidR="003D2290">
        <w:rPr>
          <w:rFonts w:asciiTheme="minorHAnsi" w:hAnsiTheme="minorHAnsi"/>
          <w:lang w:val="en-US"/>
        </w:rPr>
        <w:t>ial CER was through to Week 48 (</w:t>
      </w:r>
      <w:r>
        <w:rPr>
          <w:rFonts w:asciiTheme="minorHAnsi" w:hAnsiTheme="minorHAnsi"/>
          <w:lang w:val="en-US"/>
        </w:rPr>
        <w:t xml:space="preserve">100 weeks from baseline </w:t>
      </w:r>
      <w:r w:rsidR="003D2290">
        <w:rPr>
          <w:rFonts w:asciiTheme="minorHAnsi" w:hAnsiTheme="minorHAnsi"/>
          <w:lang w:val="en-US"/>
        </w:rPr>
        <w:t xml:space="preserve">in Study </w:t>
      </w:r>
      <w:r>
        <w:rPr>
          <w:rFonts w:asciiTheme="minorHAnsi" w:hAnsiTheme="minorHAnsi"/>
          <w:lang w:val="en-US"/>
        </w:rPr>
        <w:t>ECF11210</w:t>
      </w:r>
      <w:r w:rsidR="003D2290">
        <w:rPr>
          <w:rFonts w:asciiTheme="minorHAnsi" w:hAnsiTheme="minorHAnsi"/>
          <w:lang w:val="en-US"/>
        </w:rPr>
        <w:t>)</w:t>
      </w:r>
      <w:r>
        <w:rPr>
          <w:rFonts w:asciiTheme="minorHAnsi" w:hAnsiTheme="minorHAnsi"/>
          <w:lang w:val="en-US"/>
        </w:rPr>
        <w:t xml:space="preserve">). The updated efficacy data for the sarilumab + DMARD group from </w:t>
      </w:r>
      <w:r w:rsidR="003D2290">
        <w:rPr>
          <w:rFonts w:asciiTheme="minorHAnsi" w:hAnsiTheme="minorHAnsi"/>
          <w:lang w:val="en-US"/>
        </w:rPr>
        <w:t>Study LTS</w:t>
      </w:r>
      <w:r>
        <w:rPr>
          <w:rFonts w:asciiTheme="minorHAnsi" w:hAnsiTheme="minorHAnsi"/>
          <w:lang w:val="en-US"/>
        </w:rPr>
        <w:t>11210 have been reviewed as part of the consideration of the benefit-risk balance assessment.</w:t>
      </w:r>
    </w:p>
    <w:p w:rsidR="002928AB" w:rsidRDefault="002928AB" w:rsidP="00E246F9">
      <w:pPr>
        <w:pStyle w:val="Heading5"/>
      </w:pPr>
      <w:bookmarkStart w:id="109" w:name="_Toc514682532"/>
      <w:r>
        <w:t>New s</w:t>
      </w:r>
      <w:r w:rsidRPr="00545B14">
        <w:t xml:space="preserve">tudies providing evaluable </w:t>
      </w:r>
      <w:r>
        <w:t xml:space="preserve">efficacy </w:t>
      </w:r>
      <w:r w:rsidRPr="00545B14">
        <w:t>data</w:t>
      </w:r>
      <w:bookmarkEnd w:id="109"/>
    </w:p>
    <w:p w:rsidR="00AA6B20" w:rsidRDefault="002928AB" w:rsidP="002928AB">
      <w:pPr>
        <w:rPr>
          <w:lang w:eastAsia="ja-JP"/>
        </w:rPr>
      </w:pPr>
      <w:r>
        <w:rPr>
          <w:lang w:eastAsia="ja-JP"/>
        </w:rPr>
        <w:t xml:space="preserve">The submission included one pivotal </w:t>
      </w:r>
      <w:r w:rsidR="001470FB">
        <w:rPr>
          <w:lang w:eastAsia="ja-JP"/>
        </w:rPr>
        <w:t>Phase III</w:t>
      </w:r>
      <w:r>
        <w:rPr>
          <w:lang w:eastAsia="ja-JP"/>
        </w:rPr>
        <w:t xml:space="preserve"> efficacy and safety study comparing sarilumab monotherapy (200 mg q2w; </w:t>
      </w:r>
      <w:r w:rsidR="007C7C62">
        <w:rPr>
          <w:lang w:eastAsia="ja-JP"/>
        </w:rPr>
        <w:t xml:space="preserve">n = </w:t>
      </w:r>
      <w:r>
        <w:rPr>
          <w:lang w:eastAsia="ja-JP"/>
        </w:rPr>
        <w:t xml:space="preserve">184) with adalimumab monotherapy (40 mg q2w; </w:t>
      </w:r>
      <w:r w:rsidR="007C7C62">
        <w:rPr>
          <w:lang w:eastAsia="ja-JP"/>
        </w:rPr>
        <w:t xml:space="preserve">n = </w:t>
      </w:r>
      <w:r>
        <w:rPr>
          <w:lang w:eastAsia="ja-JP"/>
        </w:rPr>
        <w:t>185) in patients with active RA who were intolerant to DMARDs or were inadequate responders to DMARDs. The CSR included the results for the randomised, double-blind, double-dummy, active-controlled 24</w:t>
      </w:r>
      <w:r w:rsidR="003D2290">
        <w:rPr>
          <w:lang w:eastAsia="ja-JP"/>
        </w:rPr>
        <w:t xml:space="preserve"> </w:t>
      </w:r>
      <w:r>
        <w:rPr>
          <w:lang w:eastAsia="ja-JP"/>
        </w:rPr>
        <w:t>week treatment period. The open-label extension period (Week 24 through to Week 276) is ongoing. The clinical data from the 24</w:t>
      </w:r>
      <w:r w:rsidR="007C7C62">
        <w:rPr>
          <w:lang w:eastAsia="ja-JP"/>
        </w:rPr>
        <w:t> </w:t>
      </w:r>
      <w:r>
        <w:rPr>
          <w:lang w:eastAsia="ja-JP"/>
        </w:rPr>
        <w:t>week treatment period have been evaluated in this CER.</w:t>
      </w:r>
    </w:p>
    <w:p w:rsidR="002928AB" w:rsidRDefault="002928AB" w:rsidP="002928AB">
      <w:pPr>
        <w:rPr>
          <w:lang w:eastAsia="ja-JP"/>
        </w:rPr>
      </w:pPr>
      <w:r>
        <w:rPr>
          <w:lang w:eastAsia="ja-JP"/>
        </w:rPr>
        <w:t>The 24</w:t>
      </w:r>
      <w:r w:rsidR="003D2290">
        <w:rPr>
          <w:lang w:eastAsia="ja-JP"/>
        </w:rPr>
        <w:t xml:space="preserve"> </w:t>
      </w:r>
      <w:r>
        <w:rPr>
          <w:lang w:eastAsia="ja-JP"/>
        </w:rPr>
        <w:t xml:space="preserve">week data from </w:t>
      </w:r>
      <w:r w:rsidR="003D2290">
        <w:rPr>
          <w:lang w:eastAsia="ja-JP"/>
        </w:rPr>
        <w:t>the study was published in 2016</w:t>
      </w:r>
      <w:r>
        <w:rPr>
          <w:lang w:eastAsia="ja-JP"/>
        </w:rPr>
        <w:t>.</w:t>
      </w:r>
      <w:r w:rsidR="003D2290">
        <w:rPr>
          <w:rStyle w:val="FootnoteReference"/>
          <w:lang w:eastAsia="ja-JP"/>
        </w:rPr>
        <w:footnoteReference w:id="17"/>
      </w:r>
    </w:p>
    <w:p w:rsidR="008E7846" w:rsidRDefault="00605AD4" w:rsidP="00605AD4">
      <w:pPr>
        <w:pStyle w:val="Heading4"/>
      </w:pPr>
      <w:r>
        <w:t>Evaluator’s conclusions on efficacy</w:t>
      </w:r>
    </w:p>
    <w:p w:rsidR="00AA6B20" w:rsidRDefault="002928AB" w:rsidP="002928AB">
      <w:pPr>
        <w:widowControl w:val="0"/>
        <w:autoSpaceDE w:val="0"/>
        <w:autoSpaceDN w:val="0"/>
        <w:adjustRightInd w:val="0"/>
        <w:rPr>
          <w:rFonts w:asciiTheme="minorHAnsi" w:hAnsiTheme="minorHAnsi" w:cs="Times"/>
          <w:lang w:val="en-US"/>
        </w:rPr>
      </w:pPr>
      <w:r w:rsidRPr="00682797">
        <w:rPr>
          <w:rFonts w:asciiTheme="minorHAnsi" w:hAnsiTheme="minorHAnsi" w:cs="Times"/>
          <w:lang w:val="en-US"/>
        </w:rPr>
        <w:t xml:space="preserve">The re-submission included one pivotal </w:t>
      </w:r>
      <w:r w:rsidR="001470FB">
        <w:rPr>
          <w:rFonts w:asciiTheme="minorHAnsi" w:hAnsiTheme="minorHAnsi" w:cs="Times"/>
          <w:lang w:val="en-US"/>
        </w:rPr>
        <w:t>Phase III</w:t>
      </w:r>
      <w:r w:rsidRPr="00682797">
        <w:rPr>
          <w:rFonts w:asciiTheme="minorHAnsi" w:hAnsiTheme="minorHAnsi" w:cs="Times"/>
          <w:lang w:val="en-US"/>
        </w:rPr>
        <w:t xml:space="preserve"> monotherapy study </w:t>
      </w:r>
      <w:r>
        <w:rPr>
          <w:rFonts w:asciiTheme="minorHAnsi" w:hAnsiTheme="minorHAnsi" w:cs="Times"/>
          <w:lang w:val="en-US"/>
        </w:rPr>
        <w:t>(</w:t>
      </w:r>
      <w:r w:rsidR="003D2290">
        <w:rPr>
          <w:rFonts w:asciiTheme="minorHAnsi" w:hAnsiTheme="minorHAnsi" w:cs="Times"/>
          <w:lang w:val="en-US"/>
        </w:rPr>
        <w:t xml:space="preserve">Study </w:t>
      </w:r>
      <w:r>
        <w:rPr>
          <w:rFonts w:asciiTheme="minorHAnsi" w:hAnsiTheme="minorHAnsi" w:cs="Times"/>
          <w:lang w:val="en-US"/>
        </w:rPr>
        <w:t>EFC14092</w:t>
      </w:r>
      <w:r w:rsidR="009F1D5D">
        <w:rPr>
          <w:rFonts w:asciiTheme="minorHAnsi" w:hAnsiTheme="minorHAnsi" w:cs="Times"/>
          <w:lang w:val="en-US"/>
        </w:rPr>
        <w:t>/</w:t>
      </w:r>
      <w:r>
        <w:rPr>
          <w:rFonts w:asciiTheme="minorHAnsi" w:hAnsiTheme="minorHAnsi" w:cs="Times"/>
          <w:lang w:val="en-US"/>
        </w:rPr>
        <w:t>MONARCH</w:t>
      </w:r>
      <w:r w:rsidR="009F1D5D">
        <w:rPr>
          <w:rFonts w:asciiTheme="minorHAnsi" w:hAnsiTheme="minorHAnsi" w:cs="Times"/>
          <w:lang w:val="en-US"/>
        </w:rPr>
        <w:t xml:space="preserve"> trial</w:t>
      </w:r>
      <w:r>
        <w:rPr>
          <w:rFonts w:asciiTheme="minorHAnsi" w:hAnsiTheme="minorHAnsi" w:cs="Times"/>
          <w:lang w:val="en-US"/>
        </w:rPr>
        <w:t xml:space="preserve">) </w:t>
      </w:r>
      <w:r w:rsidRPr="00682797">
        <w:rPr>
          <w:rFonts w:asciiTheme="minorHAnsi" w:hAnsiTheme="minorHAnsi" w:cs="Times"/>
          <w:lang w:val="en-US"/>
        </w:rPr>
        <w:t xml:space="preserve">comparing sarilumab 200 mg </w:t>
      </w:r>
      <w:r w:rsidR="007C7C62" w:rsidRPr="00682797">
        <w:rPr>
          <w:rFonts w:asciiTheme="minorHAnsi" w:hAnsiTheme="minorHAnsi" w:cs="Times"/>
          <w:lang w:val="en-US"/>
        </w:rPr>
        <w:t>q2</w:t>
      </w:r>
      <w:r w:rsidR="007C7C62">
        <w:rPr>
          <w:rFonts w:asciiTheme="minorHAnsi" w:hAnsiTheme="minorHAnsi" w:cs="Times"/>
          <w:lang w:val="en-US"/>
        </w:rPr>
        <w:t>w</w:t>
      </w:r>
      <w:r w:rsidR="007C7C62" w:rsidRPr="00682797">
        <w:rPr>
          <w:rFonts w:asciiTheme="minorHAnsi" w:hAnsiTheme="minorHAnsi" w:cs="Times"/>
          <w:lang w:val="en-US"/>
        </w:rPr>
        <w:t xml:space="preserve"> </w:t>
      </w:r>
      <w:r w:rsidRPr="00682797">
        <w:rPr>
          <w:rFonts w:asciiTheme="minorHAnsi" w:hAnsiTheme="minorHAnsi" w:cs="Times"/>
          <w:lang w:val="en-US"/>
        </w:rPr>
        <w:t>(</w:t>
      </w:r>
      <w:r w:rsidR="007C7C62">
        <w:rPr>
          <w:rFonts w:asciiTheme="minorHAnsi" w:hAnsiTheme="minorHAnsi" w:cs="Times"/>
          <w:lang w:val="en-US"/>
        </w:rPr>
        <w:t xml:space="preserve">n = </w:t>
      </w:r>
      <w:r w:rsidRPr="00682797">
        <w:rPr>
          <w:rFonts w:asciiTheme="minorHAnsi" w:hAnsiTheme="minorHAnsi" w:cs="Times"/>
          <w:lang w:val="en-US"/>
        </w:rPr>
        <w:t xml:space="preserve">184) with adalimumab 40 mg </w:t>
      </w:r>
      <w:r w:rsidR="007C7C62" w:rsidRPr="00682797">
        <w:rPr>
          <w:rFonts w:asciiTheme="minorHAnsi" w:hAnsiTheme="minorHAnsi" w:cs="Times"/>
          <w:lang w:val="en-US"/>
        </w:rPr>
        <w:t>q2</w:t>
      </w:r>
      <w:r w:rsidR="007C7C62">
        <w:rPr>
          <w:rFonts w:asciiTheme="minorHAnsi" w:hAnsiTheme="minorHAnsi" w:cs="Times"/>
          <w:lang w:val="en-US"/>
        </w:rPr>
        <w:t>w</w:t>
      </w:r>
      <w:r w:rsidR="007C7C62" w:rsidRPr="00682797">
        <w:rPr>
          <w:rFonts w:asciiTheme="minorHAnsi" w:hAnsiTheme="minorHAnsi" w:cs="Times"/>
          <w:lang w:val="en-US"/>
        </w:rPr>
        <w:t xml:space="preserve"> </w:t>
      </w:r>
      <w:r>
        <w:rPr>
          <w:rFonts w:asciiTheme="minorHAnsi" w:hAnsiTheme="minorHAnsi" w:cs="Times"/>
          <w:lang w:val="en-US"/>
        </w:rPr>
        <w:t>(</w:t>
      </w:r>
      <w:r w:rsidR="007C7C62">
        <w:rPr>
          <w:rFonts w:asciiTheme="minorHAnsi" w:hAnsiTheme="minorHAnsi" w:cs="Times"/>
          <w:lang w:val="en-US"/>
        </w:rPr>
        <w:t xml:space="preserve">n = </w:t>
      </w:r>
      <w:r>
        <w:rPr>
          <w:rFonts w:asciiTheme="minorHAnsi" w:hAnsiTheme="minorHAnsi" w:cs="Times"/>
          <w:lang w:val="en-US"/>
        </w:rPr>
        <w:t xml:space="preserve">185) </w:t>
      </w:r>
      <w:r w:rsidRPr="00682797">
        <w:rPr>
          <w:rFonts w:asciiTheme="minorHAnsi" w:hAnsiTheme="minorHAnsi" w:cs="Times"/>
          <w:lang w:val="en-US"/>
        </w:rPr>
        <w:t xml:space="preserve">in patients with active RA who were considered to be unsuitable candidates for continued treatment with MTX due to intolerance or inadequate response. </w:t>
      </w:r>
      <w:r>
        <w:rPr>
          <w:rFonts w:asciiTheme="minorHAnsi" w:hAnsiTheme="minorHAnsi" w:cs="Times"/>
          <w:lang w:val="en-US"/>
        </w:rPr>
        <w:t xml:space="preserve">Comparison of the two treatments in the </w:t>
      </w:r>
      <w:r w:rsidRPr="00682797">
        <w:rPr>
          <w:rFonts w:asciiTheme="minorHAnsi" w:hAnsiTheme="minorHAnsi" w:cs="Times"/>
          <w:lang w:val="en-US"/>
        </w:rPr>
        <w:t>randomised, double-blind, 24</w:t>
      </w:r>
      <w:r w:rsidR="003D2290">
        <w:rPr>
          <w:rFonts w:asciiTheme="minorHAnsi" w:hAnsiTheme="minorHAnsi" w:cs="Times"/>
          <w:lang w:val="en-US"/>
        </w:rPr>
        <w:t xml:space="preserve"> </w:t>
      </w:r>
      <w:r w:rsidRPr="00682797">
        <w:rPr>
          <w:rFonts w:asciiTheme="minorHAnsi" w:hAnsiTheme="minorHAnsi" w:cs="Times"/>
          <w:lang w:val="en-US"/>
        </w:rPr>
        <w:t>week period co</w:t>
      </w:r>
      <w:r>
        <w:rPr>
          <w:rFonts w:asciiTheme="minorHAnsi" w:hAnsiTheme="minorHAnsi" w:cs="Times"/>
          <w:lang w:val="en-US"/>
        </w:rPr>
        <w:t>nvincingly demonstrated that the efficacy of s</w:t>
      </w:r>
      <w:r w:rsidRPr="00682797">
        <w:rPr>
          <w:rFonts w:asciiTheme="minorHAnsi" w:hAnsiTheme="minorHAnsi" w:cs="Times"/>
          <w:lang w:val="en-US"/>
        </w:rPr>
        <w:t xml:space="preserve">arilumab </w:t>
      </w:r>
      <w:r>
        <w:rPr>
          <w:rFonts w:asciiTheme="minorHAnsi" w:hAnsiTheme="minorHAnsi" w:cs="Times"/>
          <w:lang w:val="en-US"/>
        </w:rPr>
        <w:t xml:space="preserve">was superior to adalimumab. </w:t>
      </w:r>
      <w:r w:rsidRPr="00682797">
        <w:rPr>
          <w:rFonts w:asciiTheme="minorHAnsi" w:hAnsiTheme="minorHAnsi" w:cs="Times"/>
          <w:lang w:val="en-US"/>
        </w:rPr>
        <w:t>The study is considered to be of good quality and the result</w:t>
      </w:r>
      <w:r>
        <w:rPr>
          <w:rFonts w:asciiTheme="minorHAnsi" w:hAnsiTheme="minorHAnsi" w:cs="Times"/>
          <w:lang w:val="en-US"/>
        </w:rPr>
        <w:t>s are considered to be reliable. The superior efficacy of sarilumab compared with adalimumab is considered to be clinically meaningful.</w:t>
      </w:r>
    </w:p>
    <w:p w:rsidR="002928AB" w:rsidRPr="00682797" w:rsidRDefault="002928AB" w:rsidP="002928AB">
      <w:pPr>
        <w:widowControl w:val="0"/>
        <w:autoSpaceDE w:val="0"/>
        <w:autoSpaceDN w:val="0"/>
        <w:adjustRightInd w:val="0"/>
        <w:rPr>
          <w:rFonts w:asciiTheme="minorHAnsi" w:hAnsiTheme="minorHAnsi"/>
          <w:lang w:val="en-US"/>
        </w:rPr>
      </w:pPr>
      <w:r w:rsidRPr="00682797">
        <w:rPr>
          <w:rFonts w:asciiTheme="minorHAnsi" w:hAnsiTheme="minorHAnsi" w:cs="Times"/>
          <w:lang w:val="en-US"/>
        </w:rPr>
        <w:t xml:space="preserve">The primary efficacy endpoint analysis showed that sarilumab was statistically significantly superior to adalimumab as regards the change from baseline to Week 24 in the DAS28-ESR </w:t>
      </w:r>
      <w:r>
        <w:rPr>
          <w:rFonts w:asciiTheme="minorHAnsi" w:hAnsiTheme="minorHAnsi" w:cs="Times"/>
          <w:lang w:val="en-US"/>
        </w:rPr>
        <w:t>score</w:t>
      </w:r>
      <w:r w:rsidR="009F1D5D">
        <w:rPr>
          <w:rFonts w:asciiTheme="minorHAnsi" w:hAnsiTheme="minorHAnsi" w:cs="Times"/>
          <w:lang w:val="en-US"/>
        </w:rPr>
        <w:t>,</w:t>
      </w:r>
      <w:r w:rsidR="003D2290">
        <w:rPr>
          <w:rStyle w:val="FootnoteReference"/>
          <w:rFonts w:asciiTheme="minorHAnsi" w:hAnsiTheme="minorHAnsi" w:cs="Times"/>
          <w:lang w:val="en-US"/>
        </w:rPr>
        <w:footnoteReference w:id="18"/>
      </w:r>
      <w:r>
        <w:rPr>
          <w:rFonts w:asciiTheme="minorHAnsi" w:hAnsiTheme="minorHAnsi" w:cs="Times"/>
          <w:lang w:val="en-US"/>
        </w:rPr>
        <w:t xml:space="preserve"> </w:t>
      </w:r>
      <w:r w:rsidRPr="00682797">
        <w:rPr>
          <w:rFonts w:asciiTheme="minorHAnsi" w:hAnsiTheme="minorHAnsi" w:cs="Times"/>
          <w:lang w:val="en-US"/>
        </w:rPr>
        <w:t>(</w:t>
      </w:r>
      <w:r w:rsidR="003D2290">
        <w:rPr>
          <w:rFonts w:asciiTheme="minorHAnsi" w:hAnsiTheme="minorHAnsi" w:cs="Times"/>
          <w:lang w:val="en-US"/>
        </w:rPr>
        <w:t>least square (</w:t>
      </w:r>
      <w:r w:rsidRPr="00682797">
        <w:rPr>
          <w:rFonts w:asciiTheme="minorHAnsi" w:hAnsiTheme="minorHAnsi" w:cs="Times"/>
          <w:lang w:val="en-US"/>
        </w:rPr>
        <w:t>LS</w:t>
      </w:r>
      <w:r w:rsidR="003D2290">
        <w:rPr>
          <w:rFonts w:asciiTheme="minorHAnsi" w:hAnsiTheme="minorHAnsi" w:cs="Times"/>
          <w:lang w:val="en-US"/>
        </w:rPr>
        <w:t>)</w:t>
      </w:r>
      <w:r w:rsidRPr="00682797">
        <w:rPr>
          <w:rFonts w:asciiTheme="minorHAnsi" w:hAnsiTheme="minorHAnsi" w:cs="Times"/>
          <w:lang w:val="en-US"/>
        </w:rPr>
        <w:t xml:space="preserve"> mean difference </w:t>
      </w:r>
      <w:r>
        <w:rPr>
          <w:rFonts w:asciiTheme="minorHAnsi" w:hAnsiTheme="minorHAnsi" w:cs="Times"/>
          <w:lang w:val="en-US"/>
        </w:rPr>
        <w:t xml:space="preserve">= </w:t>
      </w:r>
      <w:r w:rsidRPr="00682797">
        <w:rPr>
          <w:rFonts w:asciiTheme="minorHAnsi" w:hAnsiTheme="minorHAnsi"/>
          <w:lang w:val="en-US"/>
        </w:rPr>
        <w:t xml:space="preserve">-1.077 </w:t>
      </w:r>
      <w:r w:rsidR="009F1D5D">
        <w:rPr>
          <w:rFonts w:asciiTheme="minorHAnsi" w:hAnsiTheme="minorHAnsi"/>
          <w:lang w:val="en-US"/>
        </w:rPr>
        <w:t>(</w:t>
      </w:r>
      <w:r w:rsidRPr="00682797">
        <w:rPr>
          <w:rFonts w:asciiTheme="minorHAnsi" w:hAnsiTheme="minorHAnsi"/>
          <w:lang w:val="en-US"/>
        </w:rPr>
        <w:t xml:space="preserve">95% CI: </w:t>
      </w:r>
      <w:r w:rsidR="007C7C62">
        <w:rPr>
          <w:rFonts w:asciiTheme="minorHAnsi" w:hAnsiTheme="minorHAnsi"/>
          <w:lang w:val="en-US"/>
        </w:rPr>
        <w:noBreakHyphen/>
      </w:r>
      <w:r w:rsidRPr="00682797">
        <w:rPr>
          <w:rFonts w:asciiTheme="minorHAnsi" w:hAnsiTheme="minorHAnsi"/>
          <w:lang w:val="en-US"/>
        </w:rPr>
        <w:t xml:space="preserve">1.361, </w:t>
      </w:r>
      <w:r w:rsidR="009F1D5D">
        <w:rPr>
          <w:rFonts w:asciiTheme="minorHAnsi" w:hAnsiTheme="minorHAnsi"/>
          <w:lang w:val="en-US"/>
        </w:rPr>
        <w:noBreakHyphen/>
      </w:r>
      <w:r w:rsidRPr="00682797">
        <w:rPr>
          <w:rFonts w:asciiTheme="minorHAnsi" w:hAnsiTheme="minorHAnsi"/>
          <w:lang w:val="en-US"/>
        </w:rPr>
        <w:t>0.793</w:t>
      </w:r>
      <w:r w:rsidR="009F1D5D">
        <w:rPr>
          <w:rFonts w:asciiTheme="minorHAnsi" w:hAnsiTheme="minorHAnsi"/>
          <w:lang w:val="en-US"/>
        </w:rPr>
        <w:t>)</w:t>
      </w:r>
      <w:r w:rsidRPr="00682797">
        <w:rPr>
          <w:rFonts w:asciiTheme="minorHAnsi" w:hAnsiTheme="minorHAnsi"/>
          <w:lang w:val="en-US"/>
        </w:rPr>
        <w:t>, p</w:t>
      </w:r>
      <w:r w:rsidR="007C7C62">
        <w:rPr>
          <w:rFonts w:asciiTheme="minorHAnsi" w:hAnsiTheme="minorHAnsi"/>
          <w:lang w:val="en-US"/>
        </w:rPr>
        <w:t xml:space="preserve"> </w:t>
      </w:r>
      <w:r w:rsidRPr="00682797">
        <w:rPr>
          <w:rFonts w:asciiTheme="minorHAnsi" w:hAnsiTheme="minorHAnsi"/>
          <w:lang w:val="en-US"/>
        </w:rPr>
        <w:t>&lt;</w:t>
      </w:r>
      <w:r w:rsidR="007C7C62">
        <w:rPr>
          <w:rFonts w:asciiTheme="minorHAnsi" w:hAnsiTheme="minorHAnsi"/>
          <w:lang w:val="en-US"/>
        </w:rPr>
        <w:t xml:space="preserve"> </w:t>
      </w:r>
      <w:r w:rsidRPr="00682797">
        <w:rPr>
          <w:rFonts w:asciiTheme="minorHAnsi" w:hAnsiTheme="minorHAnsi"/>
          <w:lang w:val="en-US"/>
        </w:rPr>
        <w:t xml:space="preserve">0.0001). The mean difference between the two treatment groups was </w:t>
      </w:r>
      <w:r w:rsidR="00DD5BCE">
        <w:t>&gt;</w:t>
      </w:r>
      <w:r w:rsidR="007C7C62">
        <w:t xml:space="preserve"> </w:t>
      </w:r>
      <w:r w:rsidRPr="00682797">
        <w:rPr>
          <w:rFonts w:asciiTheme="minorHAnsi" w:hAnsiTheme="minorHAnsi"/>
          <w:lang w:val="en-US"/>
        </w:rPr>
        <w:t>0.6, which was the difference specified by the sponsor as being clinically relevant</w:t>
      </w:r>
      <w:r>
        <w:rPr>
          <w:rFonts w:asciiTheme="minorHAnsi" w:hAnsiTheme="minorHAnsi"/>
          <w:lang w:val="en-US"/>
        </w:rPr>
        <w:t xml:space="preserve">. </w:t>
      </w:r>
      <w:r w:rsidRPr="00682797">
        <w:rPr>
          <w:rFonts w:asciiTheme="minorHAnsi" w:hAnsiTheme="minorHAnsi" w:cs="Times"/>
          <w:lang w:val="en-US"/>
        </w:rPr>
        <w:t>The difference between the two treatment groups in DAS28-ESR score was statistically significant at Week 12</w:t>
      </w:r>
      <w:r>
        <w:rPr>
          <w:rFonts w:asciiTheme="minorHAnsi" w:hAnsiTheme="minorHAnsi" w:cs="Times"/>
          <w:lang w:val="en-US"/>
        </w:rPr>
        <w:t xml:space="preserve"> (supportive analysis)</w:t>
      </w:r>
      <w:r w:rsidRPr="00682797">
        <w:rPr>
          <w:rFonts w:asciiTheme="minorHAnsi" w:hAnsiTheme="minorHAnsi" w:cs="Times"/>
          <w:lang w:val="en-US"/>
        </w:rPr>
        <w:t>, when the first p</w:t>
      </w:r>
      <w:r>
        <w:rPr>
          <w:rFonts w:asciiTheme="minorHAnsi" w:hAnsiTheme="minorHAnsi" w:cs="Times"/>
          <w:lang w:val="en-US"/>
        </w:rPr>
        <w:t xml:space="preserve">ost-baseline assessment was undertaken (nominal p </w:t>
      </w:r>
      <w:r w:rsidR="007F1BEB">
        <w:t>&lt; </w:t>
      </w:r>
      <w:r>
        <w:rPr>
          <w:rFonts w:asciiTheme="minorHAnsi" w:hAnsiTheme="minorHAnsi" w:cs="Times"/>
          <w:lang w:val="en-US"/>
        </w:rPr>
        <w:t>0.0001).</w:t>
      </w:r>
    </w:p>
    <w:p w:rsidR="00AA6B20" w:rsidRDefault="002928AB" w:rsidP="002928AB">
      <w:pPr>
        <w:widowControl w:val="0"/>
        <w:autoSpaceDE w:val="0"/>
        <w:autoSpaceDN w:val="0"/>
        <w:adjustRightInd w:val="0"/>
        <w:rPr>
          <w:rFonts w:asciiTheme="minorHAnsi" w:hAnsiTheme="minorHAnsi" w:cs="Times"/>
          <w:lang w:val="en-US"/>
        </w:rPr>
      </w:pPr>
      <w:r>
        <w:rPr>
          <w:rFonts w:asciiTheme="minorHAnsi" w:hAnsiTheme="minorHAnsi" w:cs="Times"/>
          <w:lang w:val="en-US"/>
        </w:rPr>
        <w:t xml:space="preserve">The two pre-specified </w:t>
      </w:r>
      <w:r w:rsidRPr="00682797">
        <w:rPr>
          <w:rFonts w:asciiTheme="minorHAnsi" w:hAnsiTheme="minorHAnsi" w:cs="Times"/>
          <w:lang w:val="en-US"/>
        </w:rPr>
        <w:t xml:space="preserve">sensitivity analyses of the change from baseline in the DAS28-ESR score at Week 24 were consistent with the primary analysis. </w:t>
      </w:r>
      <w:r>
        <w:rPr>
          <w:rFonts w:asciiTheme="minorHAnsi" w:hAnsiTheme="minorHAnsi" w:cs="Times"/>
          <w:lang w:val="en-US"/>
        </w:rPr>
        <w:t>In addition, t</w:t>
      </w:r>
      <w:r w:rsidRPr="00682797">
        <w:rPr>
          <w:rFonts w:asciiTheme="minorHAnsi" w:hAnsiTheme="minorHAnsi" w:cs="Times"/>
          <w:lang w:val="en-US"/>
        </w:rPr>
        <w:t>he pre-specified su</w:t>
      </w:r>
      <w:r>
        <w:rPr>
          <w:rFonts w:asciiTheme="minorHAnsi" w:hAnsiTheme="minorHAnsi" w:cs="Times"/>
          <w:lang w:val="en-US"/>
        </w:rPr>
        <w:t>bgroup analyses showed that the change</w:t>
      </w:r>
      <w:r w:rsidRPr="00682797">
        <w:rPr>
          <w:rFonts w:asciiTheme="minorHAnsi" w:hAnsiTheme="minorHAnsi" w:cs="Times"/>
          <w:lang w:val="en-US"/>
        </w:rPr>
        <w:t xml:space="preserve"> from baseline to Week 24 in the DAS28-ESR scores consistently favoured the sarilumab group compared with the ad</w:t>
      </w:r>
      <w:r>
        <w:rPr>
          <w:rFonts w:asciiTheme="minorHAnsi" w:hAnsiTheme="minorHAnsi" w:cs="Times"/>
          <w:lang w:val="en-US"/>
        </w:rPr>
        <w:t>a</w:t>
      </w:r>
      <w:r w:rsidRPr="00682797">
        <w:rPr>
          <w:rFonts w:asciiTheme="minorHAnsi" w:hAnsiTheme="minorHAnsi" w:cs="Times"/>
          <w:lang w:val="en-US"/>
        </w:rPr>
        <w:t>limumab group.</w:t>
      </w:r>
    </w:p>
    <w:p w:rsidR="00AA6B20" w:rsidRDefault="002928AB" w:rsidP="002928AB">
      <w:pPr>
        <w:widowControl w:val="0"/>
        <w:autoSpaceDE w:val="0"/>
        <w:autoSpaceDN w:val="0"/>
        <w:adjustRightInd w:val="0"/>
        <w:rPr>
          <w:rFonts w:asciiTheme="minorHAnsi" w:hAnsiTheme="minorHAnsi" w:cs="Times"/>
          <w:lang w:val="en-US"/>
        </w:rPr>
      </w:pPr>
      <w:r>
        <w:rPr>
          <w:rFonts w:asciiTheme="minorHAnsi" w:hAnsiTheme="minorHAnsi" w:cs="Times"/>
          <w:lang w:val="en-US"/>
        </w:rPr>
        <w:t xml:space="preserve">There were 8 secondary efficacy endpoints that, together with the primary efficacy endpoint, were tested in a pre-specified hierarchical testing procedure control the overall </w:t>
      </w:r>
      <w:r>
        <w:rPr>
          <w:rFonts w:asciiTheme="minorHAnsi" w:hAnsiTheme="minorHAnsi" w:cs="Times"/>
          <w:lang w:val="en-US"/>
        </w:rPr>
        <w:lastRenderedPageBreak/>
        <w:t xml:space="preserve">alpha rate at the 0.05 level. The 6 secondary efficacy variables that </w:t>
      </w:r>
      <w:r w:rsidRPr="00682797">
        <w:rPr>
          <w:rFonts w:asciiTheme="minorHAnsi" w:hAnsiTheme="minorHAnsi" w:cs="Times"/>
          <w:lang w:val="en-US"/>
        </w:rPr>
        <w:t xml:space="preserve">statistically significantly favoured patients in the </w:t>
      </w:r>
      <w:r>
        <w:rPr>
          <w:rFonts w:asciiTheme="minorHAnsi" w:hAnsiTheme="minorHAnsi" w:cs="Times"/>
          <w:lang w:val="en-US"/>
        </w:rPr>
        <w:t xml:space="preserve">sarilumab </w:t>
      </w:r>
      <w:r w:rsidRPr="00682797">
        <w:rPr>
          <w:rFonts w:asciiTheme="minorHAnsi" w:hAnsiTheme="minorHAnsi" w:cs="Times"/>
          <w:lang w:val="en-US"/>
        </w:rPr>
        <w:t xml:space="preserve">group compared with the adalimumab group, respectively, in the pre-specified </w:t>
      </w:r>
      <w:r>
        <w:rPr>
          <w:rFonts w:asciiTheme="minorHAnsi" w:hAnsiTheme="minorHAnsi" w:cs="Times"/>
          <w:lang w:val="en-US"/>
        </w:rPr>
        <w:t xml:space="preserve">hierarchical testing procedure </w:t>
      </w:r>
      <w:r w:rsidRPr="00682797">
        <w:rPr>
          <w:rFonts w:asciiTheme="minorHAnsi" w:hAnsiTheme="minorHAnsi" w:cs="Times"/>
          <w:lang w:val="en-US"/>
        </w:rPr>
        <w:t xml:space="preserve">were remission </w:t>
      </w:r>
      <w:r>
        <w:rPr>
          <w:rFonts w:asciiTheme="minorHAnsi" w:hAnsiTheme="minorHAnsi" w:cs="Times"/>
          <w:lang w:val="en-US"/>
        </w:rPr>
        <w:t xml:space="preserve">at Week 24 as assessed by the DAS28-ESR </w:t>
      </w:r>
      <w:r w:rsidR="007F1BEB">
        <w:t>&lt; </w:t>
      </w:r>
      <w:r>
        <w:rPr>
          <w:rFonts w:asciiTheme="minorHAnsi" w:hAnsiTheme="minorHAnsi" w:cs="Times"/>
          <w:lang w:val="en-US"/>
        </w:rPr>
        <w:t>2.6 (26.6%</w:t>
      </w:r>
      <w:r w:rsidR="003D2290">
        <w:rPr>
          <w:rFonts w:asciiTheme="minorHAnsi" w:hAnsiTheme="minorHAnsi" w:cs="Times"/>
          <w:lang w:val="en-US"/>
        </w:rPr>
        <w:t xml:space="preserve"> versus </w:t>
      </w:r>
      <w:r>
        <w:rPr>
          <w:rFonts w:asciiTheme="minorHAnsi" w:hAnsiTheme="minorHAnsi" w:cs="Times"/>
          <w:lang w:val="en-US"/>
        </w:rPr>
        <w:t>7.0%, p</w:t>
      </w:r>
      <w:r w:rsidR="007C7C62">
        <w:rPr>
          <w:rFonts w:asciiTheme="minorHAnsi" w:hAnsiTheme="minorHAnsi" w:cs="Times"/>
          <w:lang w:val="en-US"/>
        </w:rPr>
        <w:t xml:space="preserve"> </w:t>
      </w:r>
      <w:r>
        <w:rPr>
          <w:rFonts w:asciiTheme="minorHAnsi" w:hAnsiTheme="minorHAnsi" w:cs="Times"/>
          <w:lang w:val="en-US"/>
        </w:rPr>
        <w:t>&lt;</w:t>
      </w:r>
      <w:r w:rsidR="007C7C62">
        <w:rPr>
          <w:rFonts w:asciiTheme="minorHAnsi" w:hAnsiTheme="minorHAnsi" w:cs="Times"/>
          <w:lang w:val="en-US"/>
        </w:rPr>
        <w:t xml:space="preserve"> </w:t>
      </w:r>
      <w:r>
        <w:rPr>
          <w:rFonts w:asciiTheme="minorHAnsi" w:hAnsiTheme="minorHAnsi" w:cs="Times"/>
          <w:lang w:val="en-US"/>
        </w:rPr>
        <w:t xml:space="preserve">0.0001), </w:t>
      </w:r>
      <w:r w:rsidR="00DD2390">
        <w:t>American College of Rheumatology</w:t>
      </w:r>
      <w:r w:rsidR="00DD2390" w:rsidRPr="00682797">
        <w:rPr>
          <w:rFonts w:asciiTheme="minorHAnsi" w:hAnsiTheme="minorHAnsi" w:cs="Times"/>
          <w:lang w:val="en-US"/>
        </w:rPr>
        <w:t xml:space="preserve"> </w:t>
      </w:r>
      <w:r w:rsidR="00DD2390">
        <w:rPr>
          <w:rFonts w:asciiTheme="minorHAnsi" w:hAnsiTheme="minorHAnsi" w:cs="Times"/>
          <w:lang w:val="en-US"/>
        </w:rPr>
        <w:t>(</w:t>
      </w:r>
      <w:r w:rsidRPr="00682797">
        <w:rPr>
          <w:rFonts w:asciiTheme="minorHAnsi" w:hAnsiTheme="minorHAnsi" w:cs="Times"/>
          <w:lang w:val="en-US"/>
        </w:rPr>
        <w:t>ACR</w:t>
      </w:r>
      <w:r w:rsidR="00DD2390">
        <w:rPr>
          <w:rFonts w:asciiTheme="minorHAnsi" w:hAnsiTheme="minorHAnsi" w:cs="Times"/>
          <w:lang w:val="en-US"/>
        </w:rPr>
        <w:t xml:space="preserve">) </w:t>
      </w:r>
      <w:r w:rsidRPr="00682797">
        <w:rPr>
          <w:rFonts w:asciiTheme="minorHAnsi" w:hAnsiTheme="minorHAnsi" w:cs="Times"/>
          <w:lang w:val="en-US"/>
        </w:rPr>
        <w:t xml:space="preserve">50 </w:t>
      </w:r>
      <w:r>
        <w:rPr>
          <w:rFonts w:asciiTheme="minorHAnsi" w:hAnsiTheme="minorHAnsi" w:cs="Times"/>
          <w:lang w:val="en-US"/>
        </w:rPr>
        <w:t>response at Week 24 (45.7%</w:t>
      </w:r>
      <w:r w:rsidR="003D2290">
        <w:rPr>
          <w:rFonts w:asciiTheme="minorHAnsi" w:hAnsiTheme="minorHAnsi" w:cs="Times"/>
          <w:lang w:val="en-US"/>
        </w:rPr>
        <w:t xml:space="preserve"> versus </w:t>
      </w:r>
      <w:r>
        <w:rPr>
          <w:rFonts w:asciiTheme="minorHAnsi" w:hAnsiTheme="minorHAnsi" w:cs="Times"/>
          <w:lang w:val="en-US"/>
        </w:rPr>
        <w:t>29.7%, p</w:t>
      </w:r>
      <w:r w:rsidR="007C7C62">
        <w:rPr>
          <w:rFonts w:asciiTheme="minorHAnsi" w:hAnsiTheme="minorHAnsi" w:cs="Times"/>
          <w:lang w:val="en-US"/>
        </w:rPr>
        <w:t> </w:t>
      </w:r>
      <w:r>
        <w:rPr>
          <w:rFonts w:asciiTheme="minorHAnsi" w:hAnsiTheme="minorHAnsi" w:cs="Times"/>
          <w:lang w:val="en-US"/>
        </w:rPr>
        <w:t>=</w:t>
      </w:r>
      <w:r w:rsidR="007C7C62">
        <w:rPr>
          <w:rFonts w:asciiTheme="minorHAnsi" w:hAnsiTheme="minorHAnsi" w:cs="Times"/>
          <w:lang w:val="en-US"/>
        </w:rPr>
        <w:t> </w:t>
      </w:r>
      <w:r>
        <w:rPr>
          <w:rFonts w:asciiTheme="minorHAnsi" w:hAnsiTheme="minorHAnsi" w:cs="Times"/>
          <w:lang w:val="en-US"/>
        </w:rPr>
        <w:t xml:space="preserve">0.0017), </w:t>
      </w:r>
      <w:r w:rsidRPr="00682797">
        <w:rPr>
          <w:rFonts w:asciiTheme="minorHAnsi" w:hAnsiTheme="minorHAnsi" w:cs="Times"/>
          <w:lang w:val="en-US"/>
        </w:rPr>
        <w:t xml:space="preserve">ACR70 </w:t>
      </w:r>
      <w:r>
        <w:rPr>
          <w:rFonts w:asciiTheme="minorHAnsi" w:hAnsiTheme="minorHAnsi" w:cs="Times"/>
          <w:lang w:val="en-US"/>
        </w:rPr>
        <w:t xml:space="preserve">response </w:t>
      </w:r>
      <w:r w:rsidRPr="00682797">
        <w:rPr>
          <w:rFonts w:asciiTheme="minorHAnsi" w:hAnsiTheme="minorHAnsi" w:cs="Times"/>
          <w:lang w:val="en-US"/>
        </w:rPr>
        <w:t>at Week 24 (23.4%</w:t>
      </w:r>
      <w:r w:rsidR="003D2290">
        <w:rPr>
          <w:rFonts w:asciiTheme="minorHAnsi" w:hAnsiTheme="minorHAnsi" w:cs="Times"/>
          <w:lang w:val="en-US"/>
        </w:rPr>
        <w:t xml:space="preserve"> versus </w:t>
      </w:r>
      <w:r w:rsidRPr="00682797">
        <w:rPr>
          <w:rFonts w:asciiTheme="minorHAnsi" w:hAnsiTheme="minorHAnsi" w:cs="Times"/>
          <w:lang w:val="en-US"/>
        </w:rPr>
        <w:t>11.9%, p</w:t>
      </w:r>
      <w:r w:rsidR="007C7C62">
        <w:rPr>
          <w:rFonts w:asciiTheme="minorHAnsi" w:hAnsiTheme="minorHAnsi" w:cs="Times"/>
          <w:lang w:val="en-US"/>
        </w:rPr>
        <w:t xml:space="preserve"> </w:t>
      </w:r>
      <w:r w:rsidRPr="00682797">
        <w:rPr>
          <w:rFonts w:asciiTheme="minorHAnsi" w:hAnsiTheme="minorHAnsi" w:cs="Times"/>
          <w:lang w:val="en-US"/>
        </w:rPr>
        <w:t>=</w:t>
      </w:r>
      <w:r w:rsidR="007C7C62">
        <w:rPr>
          <w:rFonts w:asciiTheme="minorHAnsi" w:hAnsiTheme="minorHAnsi" w:cs="Times"/>
          <w:lang w:val="en-US"/>
        </w:rPr>
        <w:t xml:space="preserve"> </w:t>
      </w:r>
      <w:r w:rsidRPr="00682797">
        <w:rPr>
          <w:rFonts w:asciiTheme="minorHAnsi" w:hAnsiTheme="minorHAnsi" w:cs="Times"/>
          <w:lang w:val="en-US"/>
        </w:rPr>
        <w:t xml:space="preserve">0.0036), ACR20 </w:t>
      </w:r>
      <w:r>
        <w:rPr>
          <w:rFonts w:asciiTheme="minorHAnsi" w:hAnsiTheme="minorHAnsi" w:cs="Times"/>
          <w:lang w:val="en-US"/>
        </w:rPr>
        <w:t>response at Week</w:t>
      </w:r>
      <w:r w:rsidR="009F1D5D">
        <w:rPr>
          <w:rFonts w:asciiTheme="minorHAnsi" w:hAnsiTheme="minorHAnsi" w:cs="Times"/>
          <w:lang w:val="en-US"/>
        </w:rPr>
        <w:t> </w:t>
      </w:r>
      <w:r>
        <w:rPr>
          <w:rFonts w:asciiTheme="minorHAnsi" w:hAnsiTheme="minorHAnsi" w:cs="Times"/>
          <w:lang w:val="en-US"/>
        </w:rPr>
        <w:t>24 (71.1%</w:t>
      </w:r>
      <w:r w:rsidR="003D2290">
        <w:rPr>
          <w:rFonts w:asciiTheme="minorHAnsi" w:hAnsiTheme="minorHAnsi" w:cs="Times"/>
          <w:lang w:val="en-US"/>
        </w:rPr>
        <w:t xml:space="preserve"> versus </w:t>
      </w:r>
      <w:r>
        <w:rPr>
          <w:rFonts w:asciiTheme="minorHAnsi" w:hAnsiTheme="minorHAnsi" w:cs="Times"/>
          <w:lang w:val="en-US"/>
        </w:rPr>
        <w:t xml:space="preserve">58.4%, </w:t>
      </w:r>
      <w:r w:rsidRPr="00682797">
        <w:rPr>
          <w:rFonts w:asciiTheme="minorHAnsi" w:hAnsiTheme="minorHAnsi" w:cs="Times"/>
          <w:lang w:val="en-US"/>
        </w:rPr>
        <w:t>p</w:t>
      </w:r>
      <w:r w:rsidR="007C7C62">
        <w:rPr>
          <w:rFonts w:asciiTheme="minorHAnsi" w:hAnsiTheme="minorHAnsi" w:cs="Times"/>
          <w:lang w:val="en-US"/>
        </w:rPr>
        <w:t xml:space="preserve"> </w:t>
      </w:r>
      <w:r w:rsidRPr="00682797">
        <w:rPr>
          <w:rFonts w:asciiTheme="minorHAnsi" w:hAnsiTheme="minorHAnsi" w:cs="Times"/>
          <w:lang w:val="en-US"/>
        </w:rPr>
        <w:t>=</w:t>
      </w:r>
      <w:r w:rsidR="007C7C62">
        <w:rPr>
          <w:rFonts w:asciiTheme="minorHAnsi" w:hAnsiTheme="minorHAnsi" w:cs="Times"/>
          <w:lang w:val="en-US"/>
        </w:rPr>
        <w:t xml:space="preserve"> </w:t>
      </w:r>
      <w:r w:rsidRPr="00682797">
        <w:rPr>
          <w:rFonts w:asciiTheme="minorHAnsi" w:hAnsiTheme="minorHAnsi" w:cs="Times"/>
          <w:lang w:val="en-US"/>
        </w:rPr>
        <w:t>0.0074)</w:t>
      </w:r>
      <w:r w:rsidR="009F1D5D">
        <w:rPr>
          <w:rFonts w:asciiTheme="minorHAnsi" w:hAnsiTheme="minorHAnsi" w:cs="Times"/>
          <w:lang w:val="en-US"/>
        </w:rPr>
        <w:t>,</w:t>
      </w:r>
      <w:r w:rsidR="00DD2390">
        <w:rPr>
          <w:rStyle w:val="FootnoteReference"/>
          <w:rFonts w:asciiTheme="minorHAnsi" w:hAnsiTheme="minorHAnsi" w:cs="Times"/>
          <w:lang w:val="en-US"/>
        </w:rPr>
        <w:footnoteReference w:id="19"/>
      </w:r>
      <w:r w:rsidRPr="00682797">
        <w:rPr>
          <w:rFonts w:asciiTheme="minorHAnsi" w:hAnsiTheme="minorHAnsi" w:cs="Times"/>
          <w:lang w:val="en-US"/>
        </w:rPr>
        <w:t xml:space="preserve"> improvement </w:t>
      </w:r>
      <w:r>
        <w:rPr>
          <w:rFonts w:asciiTheme="minorHAnsi" w:hAnsiTheme="minorHAnsi" w:cs="Times"/>
          <w:lang w:val="en-US"/>
        </w:rPr>
        <w:t xml:space="preserve">from baseline </w:t>
      </w:r>
      <w:r w:rsidRPr="00682797">
        <w:rPr>
          <w:rFonts w:asciiTheme="minorHAnsi" w:hAnsiTheme="minorHAnsi" w:cs="Times"/>
          <w:lang w:val="en-US"/>
        </w:rPr>
        <w:t xml:space="preserve">in </w:t>
      </w:r>
      <w:r w:rsidR="00DD2390" w:rsidRPr="00FC3594">
        <w:rPr>
          <w:rFonts w:eastAsia="TimesNewRoman"/>
        </w:rPr>
        <w:t>Health Assessment Questionnaire-Disability Ind</w:t>
      </w:r>
      <w:r w:rsidR="00DD2390">
        <w:rPr>
          <w:rFonts w:eastAsia="TimesNewRoman"/>
        </w:rPr>
        <w:t>ex (</w:t>
      </w:r>
      <w:r w:rsidRPr="00682797">
        <w:rPr>
          <w:rFonts w:asciiTheme="minorHAnsi" w:hAnsiTheme="minorHAnsi" w:cs="Times"/>
          <w:lang w:val="en-US"/>
        </w:rPr>
        <w:t>HAQ-DI</w:t>
      </w:r>
      <w:r w:rsidR="00DD2390">
        <w:rPr>
          <w:rFonts w:asciiTheme="minorHAnsi" w:hAnsiTheme="minorHAnsi" w:cs="Times"/>
          <w:lang w:val="en-US"/>
        </w:rPr>
        <w:t>)</w:t>
      </w:r>
      <w:r w:rsidRPr="00682797">
        <w:rPr>
          <w:rFonts w:asciiTheme="minorHAnsi" w:hAnsiTheme="minorHAnsi" w:cs="Times"/>
          <w:lang w:val="en-US"/>
        </w:rPr>
        <w:t xml:space="preserve"> score at Week 24 (LS mean change </w:t>
      </w:r>
      <w:r w:rsidR="009F1D5D">
        <w:rPr>
          <w:rFonts w:asciiTheme="minorHAnsi" w:hAnsiTheme="minorHAnsi" w:cs="Times"/>
          <w:lang w:val="en-US"/>
        </w:rPr>
        <w:noBreakHyphen/>
      </w:r>
      <w:r w:rsidRPr="00682797">
        <w:rPr>
          <w:rFonts w:asciiTheme="minorHAnsi" w:hAnsiTheme="minorHAnsi" w:cs="Times"/>
          <w:lang w:val="en-US"/>
        </w:rPr>
        <w:t>0.61</w:t>
      </w:r>
      <w:r w:rsidR="003D2290">
        <w:rPr>
          <w:rFonts w:asciiTheme="minorHAnsi" w:hAnsiTheme="minorHAnsi" w:cs="Times"/>
          <w:lang w:val="en-US"/>
        </w:rPr>
        <w:t xml:space="preserve"> versus </w:t>
      </w:r>
      <w:r w:rsidRPr="00682797">
        <w:rPr>
          <w:rFonts w:asciiTheme="minorHAnsi" w:hAnsiTheme="minorHAnsi" w:cs="Times"/>
          <w:lang w:val="en-US"/>
        </w:rPr>
        <w:t>-0.43, p</w:t>
      </w:r>
      <w:r w:rsidR="007C7C62">
        <w:rPr>
          <w:rFonts w:asciiTheme="minorHAnsi" w:hAnsiTheme="minorHAnsi" w:cs="Times"/>
          <w:lang w:val="en-US"/>
        </w:rPr>
        <w:t xml:space="preserve"> </w:t>
      </w:r>
      <w:r w:rsidRPr="00682797">
        <w:rPr>
          <w:rFonts w:asciiTheme="minorHAnsi" w:hAnsiTheme="minorHAnsi" w:cs="Times"/>
          <w:lang w:val="en-US"/>
        </w:rPr>
        <w:t>=</w:t>
      </w:r>
      <w:r w:rsidR="007C7C62">
        <w:rPr>
          <w:rFonts w:asciiTheme="minorHAnsi" w:hAnsiTheme="minorHAnsi" w:cs="Times"/>
          <w:lang w:val="en-US"/>
        </w:rPr>
        <w:t xml:space="preserve"> </w:t>
      </w:r>
      <w:r w:rsidRPr="00682797">
        <w:rPr>
          <w:rFonts w:asciiTheme="minorHAnsi" w:hAnsiTheme="minorHAnsi" w:cs="Times"/>
          <w:lang w:val="en-US"/>
        </w:rPr>
        <w:t>0.0037), and improvement</w:t>
      </w:r>
      <w:r>
        <w:rPr>
          <w:rFonts w:asciiTheme="minorHAnsi" w:hAnsiTheme="minorHAnsi" w:cs="Times"/>
          <w:lang w:val="en-US"/>
        </w:rPr>
        <w:t xml:space="preserve"> from baseline</w:t>
      </w:r>
      <w:r w:rsidRPr="00682797">
        <w:rPr>
          <w:rFonts w:asciiTheme="minorHAnsi" w:hAnsiTheme="minorHAnsi" w:cs="Times"/>
          <w:lang w:val="en-US"/>
        </w:rPr>
        <w:t xml:space="preserve"> in </w:t>
      </w:r>
      <w:r w:rsidR="00DD2390" w:rsidRPr="00FC3594">
        <w:rPr>
          <w:rFonts w:eastAsia="TimesNewRoman"/>
        </w:rPr>
        <w:t>Medical Outcomes Study 36-Item Short Form Health Survey</w:t>
      </w:r>
      <w:r w:rsidR="00DD2390" w:rsidRPr="00682797">
        <w:rPr>
          <w:rFonts w:asciiTheme="minorHAnsi" w:hAnsiTheme="minorHAnsi" w:cs="Times"/>
          <w:lang w:val="en-US"/>
        </w:rPr>
        <w:t xml:space="preserve"> </w:t>
      </w:r>
      <w:r w:rsidR="00DD2390">
        <w:rPr>
          <w:rFonts w:asciiTheme="minorHAnsi" w:hAnsiTheme="minorHAnsi" w:cs="Times"/>
          <w:lang w:val="en-US"/>
        </w:rPr>
        <w:t>(</w:t>
      </w:r>
      <w:r w:rsidRPr="00682797">
        <w:rPr>
          <w:rFonts w:asciiTheme="minorHAnsi" w:hAnsiTheme="minorHAnsi" w:cs="Times"/>
          <w:lang w:val="en-US"/>
        </w:rPr>
        <w:t>SF-36</w:t>
      </w:r>
      <w:r w:rsidR="009F1D5D">
        <w:rPr>
          <w:rFonts w:asciiTheme="minorHAnsi" w:hAnsiTheme="minorHAnsi" w:cs="Times"/>
          <w:lang w:val="en-US"/>
        </w:rPr>
        <w:t>),</w:t>
      </w:r>
      <w:r w:rsidR="00DD2390">
        <w:rPr>
          <w:rStyle w:val="FootnoteReference"/>
          <w:rFonts w:asciiTheme="minorHAnsi" w:hAnsiTheme="minorHAnsi" w:cs="Times"/>
          <w:lang w:val="en-US"/>
        </w:rPr>
        <w:footnoteReference w:id="20"/>
      </w:r>
      <w:r w:rsidR="009F1D5D">
        <w:rPr>
          <w:rFonts w:asciiTheme="minorHAnsi" w:hAnsiTheme="minorHAnsi" w:cs="Times"/>
          <w:lang w:val="en-US"/>
        </w:rPr>
        <w:t xml:space="preserve"> </w:t>
      </w:r>
      <w:r w:rsidRPr="00682797">
        <w:rPr>
          <w:rFonts w:asciiTheme="minorHAnsi" w:hAnsiTheme="minorHAnsi" w:cs="Times"/>
          <w:lang w:val="en-US"/>
        </w:rPr>
        <w:t xml:space="preserve">(PCS) at Week </w:t>
      </w:r>
      <w:r>
        <w:rPr>
          <w:rFonts w:asciiTheme="minorHAnsi" w:hAnsiTheme="minorHAnsi" w:cs="Times"/>
          <w:lang w:val="en-US"/>
        </w:rPr>
        <w:t>24</w:t>
      </w:r>
      <w:r w:rsidRPr="00682797">
        <w:rPr>
          <w:rFonts w:asciiTheme="minorHAnsi" w:hAnsiTheme="minorHAnsi" w:cs="Times"/>
          <w:lang w:val="en-US"/>
        </w:rPr>
        <w:t xml:space="preserve"> (LS mean change 8.74</w:t>
      </w:r>
      <w:r w:rsidR="003D2290">
        <w:rPr>
          <w:rFonts w:asciiTheme="minorHAnsi" w:hAnsiTheme="minorHAnsi" w:cs="Times"/>
          <w:lang w:val="en-US"/>
        </w:rPr>
        <w:t xml:space="preserve"> versus </w:t>
      </w:r>
      <w:r w:rsidRPr="00682797">
        <w:rPr>
          <w:rFonts w:asciiTheme="minorHAnsi" w:hAnsiTheme="minorHAnsi" w:cs="Times"/>
          <w:lang w:val="en-US"/>
        </w:rPr>
        <w:t>6</w:t>
      </w:r>
      <w:r>
        <w:rPr>
          <w:rFonts w:asciiTheme="minorHAnsi" w:hAnsiTheme="minorHAnsi" w:cs="Times"/>
          <w:lang w:val="en-US"/>
        </w:rPr>
        <w:t>.09</w:t>
      </w:r>
      <w:r w:rsidRPr="00682797">
        <w:rPr>
          <w:rFonts w:asciiTheme="minorHAnsi" w:hAnsiTheme="minorHAnsi" w:cs="Times"/>
          <w:lang w:val="en-US"/>
        </w:rPr>
        <w:t>, p</w:t>
      </w:r>
      <w:r w:rsidR="007C7C62">
        <w:rPr>
          <w:rFonts w:asciiTheme="minorHAnsi" w:hAnsiTheme="minorHAnsi" w:cs="Times"/>
          <w:lang w:val="en-US"/>
        </w:rPr>
        <w:t xml:space="preserve"> </w:t>
      </w:r>
      <w:r w:rsidRPr="00682797">
        <w:rPr>
          <w:rFonts w:asciiTheme="minorHAnsi" w:hAnsiTheme="minorHAnsi" w:cs="Times"/>
          <w:lang w:val="en-US"/>
        </w:rPr>
        <w:t>=</w:t>
      </w:r>
      <w:r w:rsidR="007C7C62">
        <w:rPr>
          <w:rFonts w:asciiTheme="minorHAnsi" w:hAnsiTheme="minorHAnsi" w:cs="Times"/>
          <w:lang w:val="en-US"/>
        </w:rPr>
        <w:t xml:space="preserve"> </w:t>
      </w:r>
      <w:r w:rsidRPr="00682797">
        <w:rPr>
          <w:rFonts w:asciiTheme="minorHAnsi" w:hAnsiTheme="minorHAnsi" w:cs="Times"/>
          <w:lang w:val="en-US"/>
        </w:rPr>
        <w:t>0.0006). The 2 secondary efficacy endpoints</w:t>
      </w:r>
      <w:r>
        <w:rPr>
          <w:rFonts w:asciiTheme="minorHAnsi" w:hAnsiTheme="minorHAnsi" w:cs="Times"/>
          <w:lang w:val="en-US"/>
        </w:rPr>
        <w:t xml:space="preserve"> in the pre-specified </w:t>
      </w:r>
      <w:r w:rsidRPr="003D2290">
        <w:t xml:space="preserve">hierarchical testing procedure that numerically, but not statistically significantly, favoured the sarilumab group compared with the adalimumab group were the changes in the </w:t>
      </w:r>
      <w:r w:rsidR="003D2290" w:rsidRPr="003D2290">
        <w:t>Functional Assessment of Chronic Illness Therapy</w:t>
      </w:r>
      <w:r w:rsidR="003D2290">
        <w:t xml:space="preserve"> </w:t>
      </w:r>
      <w:r w:rsidR="003D2290" w:rsidRPr="003D2290">
        <w:t>(</w:t>
      </w:r>
      <w:r w:rsidRPr="003D2290">
        <w:t>FACIT</w:t>
      </w:r>
      <w:r w:rsidR="003D2290" w:rsidRPr="003D2290">
        <w:t>)</w:t>
      </w:r>
      <w:r w:rsidRPr="003D2290">
        <w:t xml:space="preserve"> Fatigue and SF-36 (MCS) scores at Week</w:t>
      </w:r>
      <w:r w:rsidR="009F1D5D">
        <w:t> </w:t>
      </w:r>
      <w:r w:rsidRPr="003D2290">
        <w:t>24 compared</w:t>
      </w:r>
      <w:r>
        <w:rPr>
          <w:rFonts w:asciiTheme="minorHAnsi" w:hAnsiTheme="minorHAnsi" w:cs="Times"/>
          <w:lang w:val="en-US"/>
        </w:rPr>
        <w:t xml:space="preserve"> with baseline.</w:t>
      </w:r>
    </w:p>
    <w:p w:rsidR="00AA6B20" w:rsidRDefault="002928AB" w:rsidP="002928AB">
      <w:pPr>
        <w:widowControl w:val="0"/>
        <w:autoSpaceDE w:val="0"/>
        <w:autoSpaceDN w:val="0"/>
        <w:adjustRightInd w:val="0"/>
        <w:rPr>
          <w:rFonts w:asciiTheme="minorHAnsi" w:hAnsiTheme="minorHAnsi" w:cs="Times"/>
          <w:lang w:val="en-US"/>
        </w:rPr>
      </w:pPr>
      <w:r w:rsidRPr="00682797">
        <w:rPr>
          <w:rFonts w:asciiTheme="minorHAnsi" w:hAnsiTheme="minorHAnsi" w:cs="Times"/>
          <w:lang w:val="en-US"/>
        </w:rPr>
        <w:t xml:space="preserve">There were no efficacy data for sarilumab beyond 24 weeks of treatment. </w:t>
      </w:r>
      <w:r>
        <w:rPr>
          <w:rFonts w:asciiTheme="minorHAnsi" w:hAnsiTheme="minorHAnsi" w:cs="Times"/>
          <w:lang w:val="en-US"/>
        </w:rPr>
        <w:t>Long-term sarilumab open-label treatment is ongoing. The sponsor is making n</w:t>
      </w:r>
      <w:r w:rsidRPr="00682797">
        <w:rPr>
          <w:rFonts w:asciiTheme="minorHAnsi" w:hAnsiTheme="minorHAnsi" w:cs="Times"/>
          <w:lang w:val="en-US"/>
        </w:rPr>
        <w:t xml:space="preserve">o claims regarding the ability of sarilumab </w:t>
      </w:r>
      <w:r>
        <w:rPr>
          <w:rFonts w:asciiTheme="minorHAnsi" w:hAnsiTheme="minorHAnsi" w:cs="Times"/>
          <w:lang w:val="en-US"/>
        </w:rPr>
        <w:t xml:space="preserve">monotherapy </w:t>
      </w:r>
      <w:r w:rsidRPr="00682797">
        <w:rPr>
          <w:rFonts w:asciiTheme="minorHAnsi" w:hAnsiTheme="minorHAnsi" w:cs="Times"/>
          <w:lang w:val="en-US"/>
        </w:rPr>
        <w:t xml:space="preserve">to delay radiological progression, and there were no data </w:t>
      </w:r>
      <w:r>
        <w:rPr>
          <w:rFonts w:asciiTheme="minorHAnsi" w:hAnsiTheme="minorHAnsi" w:cs="Times"/>
          <w:lang w:val="en-US"/>
        </w:rPr>
        <w:t xml:space="preserve">in </w:t>
      </w:r>
      <w:r w:rsidR="00894642">
        <w:rPr>
          <w:rFonts w:asciiTheme="minorHAnsi" w:hAnsiTheme="minorHAnsi" w:cs="Times"/>
          <w:lang w:val="en-US"/>
        </w:rPr>
        <w:t>Study EFC</w:t>
      </w:r>
      <w:r>
        <w:rPr>
          <w:rFonts w:asciiTheme="minorHAnsi" w:hAnsiTheme="minorHAnsi" w:cs="Times"/>
          <w:lang w:val="en-US"/>
        </w:rPr>
        <w:t>14092</w:t>
      </w:r>
      <w:r w:rsidR="009F1D5D">
        <w:rPr>
          <w:rFonts w:asciiTheme="minorHAnsi" w:hAnsiTheme="minorHAnsi" w:cs="Times"/>
          <w:lang w:val="en-US"/>
        </w:rPr>
        <w:t>/</w:t>
      </w:r>
      <w:r w:rsidR="001F3EAD">
        <w:t>MONARCH</w:t>
      </w:r>
      <w:r w:rsidR="009F1D5D">
        <w:t xml:space="preserve"> trial</w:t>
      </w:r>
      <w:r w:rsidR="001F3EAD" w:rsidRPr="00682797">
        <w:rPr>
          <w:rFonts w:asciiTheme="minorHAnsi" w:hAnsiTheme="minorHAnsi" w:cs="Times"/>
          <w:lang w:val="en-US"/>
        </w:rPr>
        <w:t xml:space="preserve"> </w:t>
      </w:r>
      <w:r w:rsidRPr="00682797">
        <w:rPr>
          <w:rFonts w:asciiTheme="minorHAnsi" w:hAnsiTheme="minorHAnsi" w:cs="Times"/>
          <w:lang w:val="en-US"/>
        </w:rPr>
        <w:t>r</w:t>
      </w:r>
      <w:r>
        <w:rPr>
          <w:rFonts w:asciiTheme="minorHAnsi" w:hAnsiTheme="minorHAnsi" w:cs="Times"/>
          <w:lang w:val="en-US"/>
        </w:rPr>
        <w:t>elating to this endpoint.</w:t>
      </w:r>
      <w:r w:rsidRPr="00D63A46">
        <w:rPr>
          <w:rFonts w:asciiTheme="minorHAnsi" w:hAnsiTheme="minorHAnsi" w:cs="Times"/>
          <w:lang w:val="en-US"/>
        </w:rPr>
        <w:t xml:space="preserve"> </w:t>
      </w:r>
      <w:r w:rsidRPr="00682797">
        <w:rPr>
          <w:rFonts w:asciiTheme="minorHAnsi" w:hAnsiTheme="minorHAnsi" w:cs="Times"/>
          <w:lang w:val="en-US"/>
        </w:rPr>
        <w:t>There were no efficacy data in patients with hepatic or renal impairment.</w:t>
      </w:r>
    </w:p>
    <w:p w:rsidR="002928AB" w:rsidRDefault="00E246F9" w:rsidP="00E246F9">
      <w:pPr>
        <w:pStyle w:val="Heading3"/>
      </w:pPr>
      <w:bookmarkStart w:id="110" w:name="_Toc514682534"/>
      <w:bookmarkStart w:id="111" w:name="_Toc12272155"/>
      <w:r>
        <w:t>S</w:t>
      </w:r>
      <w:r w:rsidR="002928AB">
        <w:t>afety</w:t>
      </w:r>
      <w:bookmarkEnd w:id="110"/>
      <w:bookmarkEnd w:id="111"/>
    </w:p>
    <w:p w:rsidR="002928AB" w:rsidRDefault="002928AB" w:rsidP="00E246F9">
      <w:pPr>
        <w:pStyle w:val="Heading4"/>
      </w:pPr>
      <w:bookmarkStart w:id="112" w:name="_Toc272414659"/>
      <w:bookmarkStart w:id="113" w:name="_Toc290888510"/>
      <w:bookmarkStart w:id="114" w:name="_Toc416353726"/>
      <w:bookmarkStart w:id="115" w:name="_Toc421005274"/>
      <w:bookmarkStart w:id="116" w:name="_Toc432079156"/>
      <w:bookmarkStart w:id="117" w:name="_Toc432080729"/>
      <w:bookmarkStart w:id="118" w:name="_Toc514682535"/>
      <w:r w:rsidRPr="00545B14">
        <w:t>Studies providing evaluable safety data</w:t>
      </w:r>
      <w:bookmarkEnd w:id="112"/>
      <w:bookmarkEnd w:id="113"/>
      <w:bookmarkEnd w:id="114"/>
      <w:bookmarkEnd w:id="115"/>
      <w:bookmarkEnd w:id="116"/>
      <w:bookmarkEnd w:id="117"/>
      <w:r>
        <w:t xml:space="preserve"> total safety population</w:t>
      </w:r>
      <w:bookmarkEnd w:id="118"/>
    </w:p>
    <w:p w:rsidR="00AA6B20" w:rsidRDefault="002928AB" w:rsidP="002928AB">
      <w:pPr>
        <w:autoSpaceDE w:val="0"/>
        <w:autoSpaceDN w:val="0"/>
        <w:adjustRightInd w:val="0"/>
        <w:rPr>
          <w:lang w:val="en-US"/>
        </w:rPr>
      </w:pPr>
      <w:r>
        <w:rPr>
          <w:rFonts w:asciiTheme="minorHAnsi" w:hAnsiTheme="minorHAnsi"/>
        </w:rPr>
        <w:t xml:space="preserve">The sponsor stated </w:t>
      </w:r>
      <w:r w:rsidRPr="00867BEA">
        <w:rPr>
          <w:rFonts w:asciiTheme="minorHAnsi" w:hAnsiTheme="minorHAnsi"/>
        </w:rPr>
        <w:t xml:space="preserve">that </w:t>
      </w:r>
      <w:r w:rsidRPr="00867BEA">
        <w:rPr>
          <w:rFonts w:asciiTheme="minorHAnsi" w:hAnsiTheme="minorHAnsi"/>
          <w:lang w:val="en-US"/>
        </w:rPr>
        <w:t>a total of 3354 patients have received at least one dose of sarilumab</w:t>
      </w:r>
      <w:r>
        <w:rPr>
          <w:rFonts w:asciiTheme="minorHAnsi" w:hAnsiTheme="minorHAnsi"/>
          <w:lang w:val="en-US"/>
        </w:rPr>
        <w:t xml:space="preserve">, either as monotherapy or as combination therapy with DMARD </w:t>
      </w:r>
      <w:r w:rsidRPr="00867BEA">
        <w:rPr>
          <w:rFonts w:asciiTheme="minorHAnsi" w:hAnsiTheme="minorHAnsi"/>
          <w:lang w:val="en-US"/>
        </w:rPr>
        <w:t>in the RA clinical development program</w:t>
      </w:r>
      <w:r>
        <w:rPr>
          <w:rFonts w:asciiTheme="minorHAnsi" w:hAnsiTheme="minorHAnsi"/>
          <w:lang w:val="en-US"/>
        </w:rPr>
        <w:t xml:space="preserve">. These 3354 patients </w:t>
      </w:r>
      <w:r>
        <w:rPr>
          <w:lang w:val="en-US"/>
        </w:rPr>
        <w:t xml:space="preserve">provide </w:t>
      </w:r>
      <w:r w:rsidRPr="002E285C">
        <w:rPr>
          <w:lang w:val="en-US"/>
        </w:rPr>
        <w:t xml:space="preserve">5981.0 </w:t>
      </w:r>
      <w:r w:rsidR="00A6301B">
        <w:rPr>
          <w:lang w:val="en-US"/>
        </w:rPr>
        <w:t>patient-years (PY)</w:t>
      </w:r>
      <w:r w:rsidRPr="002E285C">
        <w:rPr>
          <w:lang w:val="en-US"/>
        </w:rPr>
        <w:t xml:space="preserve"> of cumulative exposure</w:t>
      </w:r>
      <w:r>
        <w:rPr>
          <w:lang w:val="en-US"/>
        </w:rPr>
        <w:t xml:space="preserve"> to sarilumab, with or without combination DMARD.</w:t>
      </w:r>
    </w:p>
    <w:p w:rsidR="002928AB" w:rsidRPr="008B3D56" w:rsidRDefault="002928AB" w:rsidP="002928AB">
      <w:pPr>
        <w:autoSpaceDE w:val="0"/>
        <w:autoSpaceDN w:val="0"/>
        <w:adjustRightInd w:val="0"/>
        <w:rPr>
          <w:lang w:val="en-US"/>
        </w:rPr>
      </w:pPr>
      <w:r>
        <w:rPr>
          <w:rFonts w:asciiTheme="minorHAnsi" w:hAnsiTheme="minorHAnsi"/>
          <w:lang w:val="en-US"/>
        </w:rPr>
        <w:t xml:space="preserve">The global RA clinical development program consists </w:t>
      </w:r>
      <w:r w:rsidRPr="00867BEA">
        <w:rPr>
          <w:rFonts w:asciiTheme="minorHAnsi" w:hAnsiTheme="minorHAnsi"/>
          <w:lang w:val="en-US"/>
        </w:rPr>
        <w:t xml:space="preserve">of </w:t>
      </w:r>
      <w:r w:rsidRPr="00867BEA">
        <w:rPr>
          <w:rFonts w:asciiTheme="minorHAnsi" w:eastAsiaTheme="minorHAnsi" w:hAnsiTheme="minorHAnsi" w:cs="TimesNewRomanPSMT"/>
        </w:rPr>
        <w:t xml:space="preserve">9 </w:t>
      </w:r>
      <w:r w:rsidR="001470FB">
        <w:rPr>
          <w:rFonts w:asciiTheme="minorHAnsi" w:eastAsiaTheme="minorHAnsi" w:hAnsiTheme="minorHAnsi" w:cs="TimesNewRomanPSMT"/>
        </w:rPr>
        <w:t>Phase II</w:t>
      </w:r>
      <w:r w:rsidRPr="00867BEA">
        <w:rPr>
          <w:rFonts w:asciiTheme="minorHAnsi" w:eastAsiaTheme="minorHAnsi" w:hAnsiTheme="minorHAnsi" w:cs="TimesNewRomanPSMT"/>
        </w:rPr>
        <w:t xml:space="preserve"> and </w:t>
      </w:r>
      <w:r w:rsidR="003D2290">
        <w:rPr>
          <w:rFonts w:asciiTheme="minorHAnsi" w:eastAsiaTheme="minorHAnsi" w:hAnsiTheme="minorHAnsi" w:cs="TimesNewRomanPSMT"/>
        </w:rPr>
        <w:t>III</w:t>
      </w:r>
      <w:r w:rsidRPr="00867BEA">
        <w:rPr>
          <w:rFonts w:asciiTheme="minorHAnsi" w:eastAsiaTheme="minorHAnsi" w:hAnsiTheme="minorHAnsi" w:cs="TimesNewRomanPSMT"/>
        </w:rPr>
        <w:t xml:space="preserve"> studies and 9</w:t>
      </w:r>
      <w:r w:rsidR="00861186">
        <w:rPr>
          <w:rFonts w:asciiTheme="minorHAnsi" w:eastAsiaTheme="minorHAnsi" w:hAnsiTheme="minorHAnsi" w:cs="TimesNewRomanPSMT"/>
        </w:rPr>
        <w:t> </w:t>
      </w:r>
      <w:proofErr w:type="gramStart"/>
      <w:r w:rsidR="00A81730">
        <w:rPr>
          <w:rFonts w:asciiTheme="minorHAnsi" w:eastAsiaTheme="minorHAnsi" w:hAnsiTheme="minorHAnsi" w:cs="TimesNewRomanPSMT"/>
        </w:rPr>
        <w:t>Phase</w:t>
      </w:r>
      <w:proofErr w:type="gramEnd"/>
      <w:r w:rsidR="00A81730">
        <w:rPr>
          <w:rFonts w:asciiTheme="minorHAnsi" w:eastAsiaTheme="minorHAnsi" w:hAnsiTheme="minorHAnsi" w:cs="TimesNewRomanPSMT"/>
        </w:rPr>
        <w:t xml:space="preserve"> I</w:t>
      </w:r>
      <w:r w:rsidRPr="00867BEA">
        <w:rPr>
          <w:rFonts w:asciiTheme="minorHAnsi" w:eastAsiaTheme="minorHAnsi" w:hAnsiTheme="minorHAnsi" w:cs="TimesNewRomanPSMT"/>
        </w:rPr>
        <w:t xml:space="preserve"> </w:t>
      </w:r>
      <w:r>
        <w:rPr>
          <w:rFonts w:asciiTheme="minorHAnsi" w:eastAsiaTheme="minorHAnsi" w:hAnsiTheme="minorHAnsi" w:cs="TimesNewRomanPSMT"/>
        </w:rPr>
        <w:t xml:space="preserve">PK </w:t>
      </w:r>
      <w:r w:rsidRPr="00867BEA">
        <w:rPr>
          <w:rFonts w:asciiTheme="minorHAnsi" w:eastAsiaTheme="minorHAnsi" w:hAnsiTheme="minorHAnsi" w:cs="TimesNewRomanPSMT"/>
        </w:rPr>
        <w:t xml:space="preserve">and clinical pharmacology studies. Of the </w:t>
      </w:r>
      <w:r w:rsidR="001470FB">
        <w:rPr>
          <w:rFonts w:asciiTheme="minorHAnsi" w:eastAsiaTheme="minorHAnsi" w:hAnsiTheme="minorHAnsi" w:cs="TimesNewRomanPSMT"/>
        </w:rPr>
        <w:t>Phase II</w:t>
      </w:r>
      <w:r w:rsidRPr="00867BEA">
        <w:rPr>
          <w:rFonts w:asciiTheme="minorHAnsi" w:eastAsiaTheme="minorHAnsi" w:hAnsiTheme="minorHAnsi" w:cs="TimesNewRomanPSMT"/>
        </w:rPr>
        <w:t xml:space="preserve"> and </w:t>
      </w:r>
      <w:r w:rsidR="003D2290">
        <w:rPr>
          <w:rFonts w:asciiTheme="minorHAnsi" w:eastAsiaTheme="minorHAnsi" w:hAnsiTheme="minorHAnsi" w:cs="TimesNewRomanPSMT"/>
        </w:rPr>
        <w:t>III</w:t>
      </w:r>
      <w:r w:rsidRPr="00867BEA">
        <w:rPr>
          <w:rFonts w:asciiTheme="minorHAnsi" w:eastAsiaTheme="minorHAnsi" w:hAnsiTheme="minorHAnsi" w:cs="TimesNewRomanPSMT"/>
        </w:rPr>
        <w:t xml:space="preserve"> studies, 6 studies have been completed or terminated, and 3 studies are ongoing. Of the 3 ongoing studies, 2 had randomised treatment periods (main study) which have been completed, with only the open-label extension ongoing. All </w:t>
      </w:r>
      <w:r w:rsidR="00A81730">
        <w:rPr>
          <w:rFonts w:asciiTheme="minorHAnsi" w:eastAsiaTheme="minorHAnsi" w:hAnsiTheme="minorHAnsi" w:cs="TimesNewRomanPSMT"/>
        </w:rPr>
        <w:t>Phase I</w:t>
      </w:r>
      <w:r w:rsidRPr="00867BEA">
        <w:rPr>
          <w:rFonts w:asciiTheme="minorHAnsi" w:eastAsiaTheme="minorHAnsi" w:hAnsiTheme="minorHAnsi" w:cs="TimesNewRomanPSMT"/>
        </w:rPr>
        <w:t xml:space="preserve"> studies have been completed.</w:t>
      </w:r>
      <w:r>
        <w:rPr>
          <w:rFonts w:asciiTheme="minorHAnsi" w:hAnsiTheme="minorHAnsi"/>
          <w:lang w:val="en-US"/>
        </w:rPr>
        <w:t xml:space="preserve"> </w:t>
      </w:r>
      <w:r w:rsidRPr="002E285C">
        <w:rPr>
          <w:lang w:val="en-US"/>
        </w:rPr>
        <w:t xml:space="preserve">The total safety </w:t>
      </w:r>
      <w:r>
        <w:rPr>
          <w:lang w:val="en-US"/>
        </w:rPr>
        <w:t xml:space="preserve">population </w:t>
      </w:r>
      <w:r w:rsidRPr="002E285C">
        <w:rPr>
          <w:lang w:val="en-US"/>
        </w:rPr>
        <w:t xml:space="preserve">is considered to be of adequate size to satisfactorily characterise the safety of sarilumab </w:t>
      </w:r>
      <w:r>
        <w:rPr>
          <w:lang w:val="en-US"/>
        </w:rPr>
        <w:t>for the treatment of patients with RA.</w:t>
      </w:r>
    </w:p>
    <w:p w:rsidR="00AA6B20" w:rsidRDefault="002928AB" w:rsidP="002928AB">
      <w:pPr>
        <w:rPr>
          <w:lang w:val="en-US"/>
        </w:rPr>
      </w:pPr>
      <w:r>
        <w:rPr>
          <w:lang w:val="en-US"/>
        </w:rPr>
        <w:t xml:space="preserve">Of the 3354 patients in the total safety population, 2887 patients have received sarilumab in combination with conventional DMARD (5681.6 </w:t>
      </w:r>
      <w:r w:rsidR="00A6301B">
        <w:rPr>
          <w:lang w:val="en-US"/>
        </w:rPr>
        <w:t>PY</w:t>
      </w:r>
      <w:r>
        <w:rPr>
          <w:lang w:val="en-US"/>
        </w:rPr>
        <w:t xml:space="preserve"> of cumulative exposure </w:t>
      </w:r>
      <w:r w:rsidR="00861186">
        <w:rPr>
          <w:lang w:val="en-US"/>
        </w:rPr>
        <w:t>(</w:t>
      </w:r>
      <w:r>
        <w:rPr>
          <w:lang w:val="en-US"/>
        </w:rPr>
        <w:t>updated data re-submission</w:t>
      </w:r>
      <w:r w:rsidR="00861186">
        <w:rPr>
          <w:lang w:val="en-US"/>
        </w:rPr>
        <w:t>)</w:t>
      </w:r>
      <w:r>
        <w:rPr>
          <w:lang w:val="en-US"/>
        </w:rPr>
        <w:t xml:space="preserve">), and 467 have received sarilumab monotherapy (299.4 </w:t>
      </w:r>
      <w:r w:rsidR="00DD2390">
        <w:rPr>
          <w:lang w:val="en-US"/>
        </w:rPr>
        <w:t xml:space="preserve">PY) </w:t>
      </w:r>
      <w:r>
        <w:rPr>
          <w:lang w:val="en-US"/>
        </w:rPr>
        <w:t xml:space="preserve">of cumulative exposure </w:t>
      </w:r>
      <w:r w:rsidR="00861186">
        <w:rPr>
          <w:lang w:val="en-US"/>
        </w:rPr>
        <w:t>(</w:t>
      </w:r>
      <w:r>
        <w:rPr>
          <w:lang w:val="en-US"/>
        </w:rPr>
        <w:t>updated data re-submission</w:t>
      </w:r>
      <w:r w:rsidR="00861186">
        <w:rPr>
          <w:lang w:val="en-US"/>
        </w:rPr>
        <w:t>)</w:t>
      </w:r>
      <w:r>
        <w:rPr>
          <w:lang w:val="en-US"/>
        </w:rPr>
        <w:t xml:space="preserve">). Therefore, the majority of patients in the total safety population have received sarilumab in combination with conventional </w:t>
      </w:r>
      <w:r>
        <w:rPr>
          <w:lang w:val="en-US"/>
        </w:rPr>
        <w:lastRenderedPageBreak/>
        <w:t>(non-biologic) DMARDs for the treatment of RA rather than as monotherapy. There are no safety data for sarilumab in combination with biologic DMARDs for the treatment of RA.</w:t>
      </w:r>
    </w:p>
    <w:p w:rsidR="00AA6B20" w:rsidRDefault="002928AB" w:rsidP="002928AB">
      <w:pPr>
        <w:rPr>
          <w:lang w:val="en-US"/>
        </w:rPr>
      </w:pPr>
      <w:r>
        <w:rPr>
          <w:lang w:val="en-US"/>
        </w:rPr>
        <w:t>In the updated safety data provided in the re-submission, of the 2887 patients who received sarilumab plus</w:t>
      </w:r>
      <w:r w:rsidRPr="00862050">
        <w:rPr>
          <w:lang w:val="en-US"/>
        </w:rPr>
        <w:t xml:space="preserve"> DMARD</w:t>
      </w:r>
      <w:r>
        <w:rPr>
          <w:lang w:val="en-US"/>
        </w:rPr>
        <w:t xml:space="preserve">, </w:t>
      </w:r>
      <w:r w:rsidRPr="00862050">
        <w:rPr>
          <w:lang w:val="en-US"/>
        </w:rPr>
        <w:t xml:space="preserve">1960 </w:t>
      </w:r>
      <w:r>
        <w:rPr>
          <w:lang w:val="en-US"/>
        </w:rPr>
        <w:t>patients have been exposed to sarilumab</w:t>
      </w:r>
      <w:r w:rsidRPr="00862050">
        <w:rPr>
          <w:lang w:val="en-US"/>
        </w:rPr>
        <w:t xml:space="preserve"> for at least 48 weeks, 1298 </w:t>
      </w:r>
      <w:r>
        <w:rPr>
          <w:lang w:val="en-US"/>
        </w:rPr>
        <w:t xml:space="preserve">patients </w:t>
      </w:r>
      <w:r w:rsidRPr="00862050">
        <w:rPr>
          <w:lang w:val="en-US"/>
        </w:rPr>
        <w:t xml:space="preserve">for </w:t>
      </w:r>
      <w:r>
        <w:rPr>
          <w:lang w:val="en-US"/>
        </w:rPr>
        <w:t xml:space="preserve">at least </w:t>
      </w:r>
      <w:r w:rsidRPr="00862050">
        <w:rPr>
          <w:lang w:val="en-US"/>
        </w:rPr>
        <w:t xml:space="preserve">96 weeks, 906 </w:t>
      </w:r>
      <w:r>
        <w:rPr>
          <w:lang w:val="en-US"/>
        </w:rPr>
        <w:t xml:space="preserve">patients </w:t>
      </w:r>
      <w:r w:rsidRPr="00862050">
        <w:rPr>
          <w:lang w:val="en-US"/>
        </w:rPr>
        <w:t xml:space="preserve">for </w:t>
      </w:r>
      <w:r>
        <w:rPr>
          <w:lang w:val="en-US"/>
        </w:rPr>
        <w:t xml:space="preserve">at least </w:t>
      </w:r>
      <w:r w:rsidRPr="00862050">
        <w:rPr>
          <w:lang w:val="en-US"/>
        </w:rPr>
        <w:t xml:space="preserve">144 weeks, and 523 </w:t>
      </w:r>
      <w:r>
        <w:rPr>
          <w:lang w:val="en-US"/>
        </w:rPr>
        <w:t xml:space="preserve">patients </w:t>
      </w:r>
      <w:r w:rsidRPr="00862050">
        <w:rPr>
          <w:lang w:val="en-US"/>
        </w:rPr>
        <w:t xml:space="preserve">for </w:t>
      </w:r>
      <w:r>
        <w:rPr>
          <w:lang w:val="en-US"/>
        </w:rPr>
        <w:t xml:space="preserve">at least 192 weeks. Of the </w:t>
      </w:r>
      <w:r w:rsidRPr="00862050">
        <w:rPr>
          <w:lang w:val="en-US"/>
        </w:rPr>
        <w:t xml:space="preserve">467 patients who received sarilumab </w:t>
      </w:r>
      <w:r>
        <w:rPr>
          <w:lang w:val="en-US"/>
        </w:rPr>
        <w:t>monotherapy</w:t>
      </w:r>
      <w:r w:rsidRPr="00862050">
        <w:rPr>
          <w:lang w:val="en-US"/>
        </w:rPr>
        <w:t xml:space="preserve">, 109 patients </w:t>
      </w:r>
      <w:r>
        <w:rPr>
          <w:lang w:val="en-US"/>
        </w:rPr>
        <w:t xml:space="preserve">have been </w:t>
      </w:r>
      <w:r w:rsidRPr="00862050">
        <w:rPr>
          <w:lang w:val="en-US"/>
        </w:rPr>
        <w:t>exposed to s</w:t>
      </w:r>
      <w:r>
        <w:rPr>
          <w:lang w:val="en-US"/>
        </w:rPr>
        <w:t>arilumab for at least 48 weeks.</w:t>
      </w:r>
    </w:p>
    <w:p w:rsidR="00AA6B20" w:rsidRDefault="002928AB" w:rsidP="002928AB">
      <w:r w:rsidRPr="002E285C">
        <w:t xml:space="preserve">In the initial CER, the evaluator considered the safety data from the 2887 patients who received at least 1 dose of sarilumab in combination with </w:t>
      </w:r>
      <w:proofErr w:type="spellStart"/>
      <w:r w:rsidRPr="002E285C">
        <w:t>cDMARDs</w:t>
      </w:r>
      <w:proofErr w:type="spellEnd"/>
      <w:r>
        <w:t xml:space="preserve">. </w:t>
      </w:r>
      <w:r w:rsidRPr="002E285C">
        <w:t xml:space="preserve">In the initial submission the sponsor proposed registration of sarilumab in combination with </w:t>
      </w:r>
      <w:proofErr w:type="spellStart"/>
      <w:r w:rsidRPr="002E285C">
        <w:t>cDM</w:t>
      </w:r>
      <w:r>
        <w:t>ARDs</w:t>
      </w:r>
      <w:proofErr w:type="spellEnd"/>
      <w:r>
        <w:t xml:space="preserve">. Therefore, safety data for </w:t>
      </w:r>
      <w:r w:rsidRPr="002E285C">
        <w:t>sarilumab monotherapy was not evaluated in the ini</w:t>
      </w:r>
      <w:r>
        <w:t xml:space="preserve">tial CER. Consequently, in the current </w:t>
      </w:r>
      <w:r w:rsidRPr="002E285C">
        <w:t>CER the focus is on the safety data for sarilumab from the monotherapy studies (</w:t>
      </w:r>
      <w:r w:rsidR="007C7C62">
        <w:t xml:space="preserve">n = </w:t>
      </w:r>
      <w:r w:rsidRPr="002E285C">
        <w:t xml:space="preserve">467), in particular the </w:t>
      </w:r>
      <w:r>
        <w:t xml:space="preserve">new </w:t>
      </w:r>
      <w:r w:rsidRPr="002E285C">
        <w:t xml:space="preserve">pivotal </w:t>
      </w:r>
      <w:r w:rsidR="001470FB">
        <w:t>Phase III</w:t>
      </w:r>
      <w:r w:rsidRPr="002E285C">
        <w:t xml:space="preserve"> </w:t>
      </w:r>
      <w:r w:rsidR="00894642">
        <w:t>Study</w:t>
      </w:r>
      <w:r w:rsidR="00861186">
        <w:t> </w:t>
      </w:r>
      <w:r w:rsidR="00894642">
        <w:t>EFC</w:t>
      </w:r>
      <w:r w:rsidRPr="002E285C">
        <w:t xml:space="preserve">14092 </w:t>
      </w:r>
      <w:r w:rsidR="001F3EAD">
        <w:t>MONARCH</w:t>
      </w:r>
      <w:r w:rsidR="001F3EAD" w:rsidRPr="002E285C">
        <w:t xml:space="preserve"> </w:t>
      </w:r>
      <w:r w:rsidRPr="002E285C">
        <w:t xml:space="preserve">comparing sarilumab 200 mg q2w </w:t>
      </w:r>
      <w:r>
        <w:t>(</w:t>
      </w:r>
      <w:r w:rsidR="007C7C62">
        <w:t xml:space="preserve">n = </w:t>
      </w:r>
      <w:r>
        <w:t xml:space="preserve">184) </w:t>
      </w:r>
      <w:r w:rsidRPr="002E285C">
        <w:t>with adalimumab 40 mg q2w</w:t>
      </w:r>
      <w:r>
        <w:t xml:space="preserve"> (</w:t>
      </w:r>
      <w:r w:rsidR="007C7C62">
        <w:t xml:space="preserve">n = </w:t>
      </w:r>
      <w:r>
        <w:t>184)</w:t>
      </w:r>
      <w:r w:rsidRPr="002E285C">
        <w:t>.</w:t>
      </w:r>
    </w:p>
    <w:p w:rsidR="00AA6B20" w:rsidRDefault="002928AB" w:rsidP="002928AB">
      <w:pPr>
        <w:rPr>
          <w:lang w:val="en-US"/>
        </w:rPr>
      </w:pPr>
      <w:r>
        <w:rPr>
          <w:lang w:val="en-US"/>
        </w:rPr>
        <w:t xml:space="preserve">In both the initial submission and the re-submission, the </w:t>
      </w:r>
      <w:r w:rsidR="003D2290">
        <w:rPr>
          <w:lang w:val="en-US"/>
        </w:rPr>
        <w:t xml:space="preserve">sponsor’s </w:t>
      </w:r>
      <w:r w:rsidRPr="003D2290">
        <w:rPr>
          <w:lang w:val="en-US"/>
        </w:rPr>
        <w:t>Summary of Clinical Safety (dated 6 October 2015, initial submission and 31 May 2016, r</w:t>
      </w:r>
      <w:r>
        <w:rPr>
          <w:lang w:val="en-US"/>
        </w:rPr>
        <w:t xml:space="preserve">e-submission) separated the safety data from the </w:t>
      </w:r>
      <w:r w:rsidR="001470FB">
        <w:rPr>
          <w:lang w:val="en-US"/>
        </w:rPr>
        <w:t>Phase II</w:t>
      </w:r>
      <w:r>
        <w:rPr>
          <w:lang w:val="en-US"/>
        </w:rPr>
        <w:t xml:space="preserve"> and </w:t>
      </w:r>
      <w:r w:rsidR="003D2290">
        <w:rPr>
          <w:lang w:val="en-US"/>
        </w:rPr>
        <w:t>III</w:t>
      </w:r>
      <w:r>
        <w:rPr>
          <w:lang w:val="en-US"/>
        </w:rPr>
        <w:t xml:space="preserve"> clinical studies into three pools (Pool 1, Pool 2, and Pool 3), and provided an integrated analysis of safety for each of the three pooled populations. The studies contributing to the three pools are summarised below in Table </w:t>
      </w:r>
      <w:r w:rsidR="00B817F6">
        <w:rPr>
          <w:lang w:val="en-US"/>
        </w:rPr>
        <w:t>12</w:t>
      </w:r>
      <w:r>
        <w:rPr>
          <w:lang w:val="en-US"/>
        </w:rPr>
        <w:t>.</w:t>
      </w:r>
    </w:p>
    <w:p w:rsidR="002928AB" w:rsidRDefault="002928AB" w:rsidP="00E246F9">
      <w:pPr>
        <w:pStyle w:val="Tabletitle0"/>
      </w:pPr>
      <w:bookmarkStart w:id="119" w:name="_Toc514687811"/>
      <w:r>
        <w:t xml:space="preserve">Table </w:t>
      </w:r>
      <w:r w:rsidR="00B817F6">
        <w:t>12</w:t>
      </w:r>
      <w:r>
        <w:t xml:space="preserve">: </w:t>
      </w:r>
      <w:r w:rsidRPr="002E285C">
        <w:t xml:space="preserve">Summary of the safety populations (pools) for </w:t>
      </w:r>
      <w:r w:rsidR="001470FB">
        <w:t>Phase II</w:t>
      </w:r>
      <w:r w:rsidRPr="002E285C">
        <w:t xml:space="preserve"> and </w:t>
      </w:r>
      <w:r w:rsidR="003D2290">
        <w:t>III</w:t>
      </w:r>
      <w:r w:rsidRPr="002E285C">
        <w:t xml:space="preserve"> studies</w:t>
      </w:r>
      <w:bookmarkEnd w:id="119"/>
    </w:p>
    <w:p w:rsidR="002928AB" w:rsidRDefault="002928AB" w:rsidP="002928AB">
      <w:r>
        <w:rPr>
          <w:noProof/>
          <w:lang w:eastAsia="en-AU"/>
        </w:rPr>
        <w:drawing>
          <wp:inline distT="0" distB="0" distL="0" distR="0" wp14:anchorId="09A7B6B6" wp14:editId="02190D7B">
            <wp:extent cx="4916714" cy="3972154"/>
            <wp:effectExtent l="0" t="0" r="0" b="0"/>
            <wp:docPr id="20" name="Picture 20" descr="Summary of the safety populations (pools) for Phase 2 and 3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919742" cy="3974600"/>
                    </a:xfrm>
                    <a:prstGeom prst="rect">
                      <a:avLst/>
                    </a:prstGeom>
                    <a:noFill/>
                    <a:ln>
                      <a:noFill/>
                    </a:ln>
                  </pic:spPr>
                </pic:pic>
              </a:graphicData>
            </a:graphic>
          </wp:inline>
        </w:drawing>
      </w:r>
    </w:p>
    <w:p w:rsidR="00AA6B20" w:rsidRDefault="002928AB" w:rsidP="002928AB">
      <w:pPr>
        <w:rPr>
          <w:lang w:val="en-US"/>
        </w:rPr>
      </w:pPr>
      <w:r>
        <w:rPr>
          <w:lang w:val="en-US"/>
        </w:rPr>
        <w:t>The approach to the evaluation of safety in this CER has been firstly to summarise the key previously evaluated safety data provided in the initial submission relating to sarilumab in combi</w:t>
      </w:r>
      <w:r w:rsidR="00E85FE7">
        <w:rPr>
          <w:lang w:val="en-US"/>
        </w:rPr>
        <w:t xml:space="preserve">nation with conventional DMARD </w:t>
      </w:r>
      <w:r>
        <w:rPr>
          <w:lang w:val="en-US"/>
        </w:rPr>
        <w:t>and secondly, to evaluate the new safety data provided in the re-submission relating to sarilumab monotherapy.</w:t>
      </w:r>
    </w:p>
    <w:p w:rsidR="00AA6B20" w:rsidRDefault="002928AB" w:rsidP="00E85FE7">
      <w:pPr>
        <w:pStyle w:val="Heading4"/>
      </w:pPr>
      <w:bookmarkStart w:id="120" w:name="_Toc247691524"/>
      <w:bookmarkStart w:id="121" w:name="_Toc314842508"/>
      <w:bookmarkStart w:id="122" w:name="_Toc196046504"/>
      <w:bookmarkStart w:id="123" w:name="_Toc163441390"/>
      <w:bookmarkEnd w:id="105"/>
      <w:bookmarkEnd w:id="106"/>
      <w:bookmarkEnd w:id="107"/>
      <w:bookmarkEnd w:id="108"/>
      <w:r>
        <w:lastRenderedPageBreak/>
        <w:t xml:space="preserve">Studies providing evaluable safety data </w:t>
      </w:r>
      <w:r w:rsidR="00E85FE7">
        <w:t xml:space="preserve">from the </w:t>
      </w:r>
      <w:r>
        <w:t>initial clinical evaluation report</w:t>
      </w:r>
      <w:r w:rsidR="00E85FE7">
        <w:t>;</w:t>
      </w:r>
      <w:r>
        <w:t xml:space="preserve"> sarilumab in combination with DMARD</w:t>
      </w:r>
    </w:p>
    <w:p w:rsidR="002928AB" w:rsidRPr="00826FFC" w:rsidRDefault="002928AB" w:rsidP="002928AB">
      <w:pPr>
        <w:rPr>
          <w:b/>
        </w:rPr>
      </w:pPr>
      <w:r w:rsidRPr="00826FFC">
        <w:t>The initial CER summarised the safety data from:</w:t>
      </w:r>
    </w:p>
    <w:p w:rsidR="002928AB" w:rsidRPr="00826FFC" w:rsidRDefault="00E85FE7" w:rsidP="002928AB">
      <w:pPr>
        <w:pStyle w:val="ListBullet"/>
        <w:rPr>
          <w:b/>
        </w:rPr>
      </w:pPr>
      <w:r>
        <w:t>T</w:t>
      </w:r>
      <w:r w:rsidR="002928AB" w:rsidRPr="00826FFC">
        <w:t xml:space="preserve">wo pivotal </w:t>
      </w:r>
      <w:r w:rsidR="001470FB">
        <w:t>Phase III</w:t>
      </w:r>
      <w:r w:rsidR="002928AB" w:rsidRPr="00826FFC">
        <w:t xml:space="preserve"> efficacy and safety studies for sarilumab in combination with </w:t>
      </w:r>
      <w:proofErr w:type="spellStart"/>
      <w:r w:rsidR="002928AB" w:rsidRPr="00826FFC">
        <w:t>cDMARDs</w:t>
      </w:r>
      <w:proofErr w:type="spellEnd"/>
      <w:r w:rsidR="002928AB" w:rsidRPr="00826FFC">
        <w:t xml:space="preserve">, namely, </w:t>
      </w:r>
      <w:r>
        <w:t xml:space="preserve">Studies </w:t>
      </w:r>
      <w:r w:rsidR="002928AB" w:rsidRPr="00826FFC">
        <w:t>EFC11072 (Part B) and EFC10832;</w:t>
      </w:r>
    </w:p>
    <w:p w:rsidR="002928AB" w:rsidRPr="00826FFC" w:rsidRDefault="002A0433" w:rsidP="002928AB">
      <w:pPr>
        <w:pStyle w:val="ListBullet"/>
        <w:rPr>
          <w:b/>
        </w:rPr>
      </w:pPr>
      <w:r>
        <w:t>T</w:t>
      </w:r>
      <w:r w:rsidR="002928AB" w:rsidRPr="00826FFC">
        <w:t xml:space="preserve">hree dose-response and non-pivotal efficacy studies, namely, </w:t>
      </w:r>
      <w:r w:rsidR="00E85FE7">
        <w:t xml:space="preserve">Studies </w:t>
      </w:r>
      <w:r w:rsidR="002928AB" w:rsidRPr="00826FFC">
        <w:t>EFC11072 (Part</w:t>
      </w:r>
      <w:r w:rsidR="00861186">
        <w:t> </w:t>
      </w:r>
      <w:r w:rsidR="002928AB" w:rsidRPr="00826FFC">
        <w:t>A) (dose-finding), LTS11201 (ongoing, long-term extension) and SFY13370 (comparing sarilumab with tocilizumab over 24 weeks);</w:t>
      </w:r>
    </w:p>
    <w:p w:rsidR="00AA6B20" w:rsidRDefault="002A0433" w:rsidP="002928AB">
      <w:pPr>
        <w:pStyle w:val="ListBullet"/>
      </w:pPr>
      <w:r>
        <w:t>T</w:t>
      </w:r>
      <w:r w:rsidR="002928AB" w:rsidRPr="00826FFC">
        <w:t>hree studies evaluable for safety only (</w:t>
      </w:r>
      <w:r w:rsidR="00E85FE7">
        <w:t xml:space="preserve">Studies </w:t>
      </w:r>
      <w:r w:rsidR="002928AB" w:rsidRPr="00826FFC">
        <w:t>MSC12655, ACT11575 and EFC11545); and</w:t>
      </w:r>
    </w:p>
    <w:p w:rsidR="00AA6B20" w:rsidRDefault="002928AB" w:rsidP="002928AB">
      <w:pPr>
        <w:pStyle w:val="ListBullet"/>
      </w:pPr>
      <w:r w:rsidRPr="00826FFC">
        <w:t>9 clinical pharmacology studies.</w:t>
      </w:r>
    </w:p>
    <w:p w:rsidR="002928AB" w:rsidRDefault="002928AB" w:rsidP="002928AB">
      <w:r w:rsidRPr="00826FFC">
        <w:t xml:space="preserve">The studies evaluated by the initial clinical evaluator are </w:t>
      </w:r>
      <w:r w:rsidRPr="00F3393B">
        <w:t>summarised in the initial CER</w:t>
      </w:r>
      <w:r w:rsidR="00F3393B" w:rsidRPr="00F3393B">
        <w:t xml:space="preserve"> (see Attachment 2 of AusPAR for Kevzara PM-2015-04024-1-3</w:t>
      </w:r>
      <w:r w:rsidR="002A0433">
        <w:t xml:space="preserve"> on the TGA website</w:t>
      </w:r>
      <w:r w:rsidR="00F3393B" w:rsidRPr="00F3393B">
        <w:t>)</w:t>
      </w:r>
      <w:r w:rsidRPr="00F3393B">
        <w:t>.</w:t>
      </w:r>
    </w:p>
    <w:p w:rsidR="00AA6B20" w:rsidRDefault="002928AB" w:rsidP="00E85FE7">
      <w:pPr>
        <w:pStyle w:val="Heading4"/>
      </w:pPr>
      <w:bookmarkStart w:id="124" w:name="_Toc514682537"/>
      <w:r>
        <w:t xml:space="preserve">Clinical safety sarilumab monotherapy </w:t>
      </w:r>
      <w:r w:rsidR="00E246F9" w:rsidRPr="00E246F9">
        <w:t>n</w:t>
      </w:r>
      <w:r w:rsidRPr="00E246F9">
        <w:t>ew</w:t>
      </w:r>
      <w:r>
        <w:t xml:space="preserve"> data not previously evaluated</w:t>
      </w:r>
      <w:bookmarkEnd w:id="124"/>
    </w:p>
    <w:p w:rsidR="002928AB" w:rsidRPr="00E246F9" w:rsidRDefault="002928AB" w:rsidP="00E85FE7">
      <w:pPr>
        <w:pStyle w:val="Heading5"/>
      </w:pPr>
      <w:r>
        <w:t xml:space="preserve">Studies providing evaluable safety data </w:t>
      </w:r>
      <w:r w:rsidR="00E246F9">
        <w:t>monotherapy</w:t>
      </w:r>
    </w:p>
    <w:p w:rsidR="00AA6B20" w:rsidRDefault="002928AB" w:rsidP="00B817F6">
      <w:pPr>
        <w:rPr>
          <w:lang w:val="en-US"/>
        </w:rPr>
      </w:pPr>
      <w:r w:rsidRPr="002E285C">
        <w:rPr>
          <w:lang w:val="en-US"/>
        </w:rPr>
        <w:t xml:space="preserve">In this CER, the approach to the evaluation of the safety </w:t>
      </w:r>
      <w:r>
        <w:rPr>
          <w:lang w:val="en-US"/>
        </w:rPr>
        <w:t xml:space="preserve">of </w:t>
      </w:r>
      <w:r w:rsidRPr="002E285C">
        <w:rPr>
          <w:lang w:val="en-US"/>
        </w:rPr>
        <w:t xml:space="preserve">sarilumab monotherapy </w:t>
      </w:r>
      <w:r>
        <w:rPr>
          <w:lang w:val="en-US"/>
        </w:rPr>
        <w:t xml:space="preserve">has been to evaluate </w:t>
      </w:r>
      <w:r w:rsidRPr="002E285C">
        <w:rPr>
          <w:lang w:val="en-US"/>
        </w:rPr>
        <w:t xml:space="preserve">the data from the pivotal </w:t>
      </w:r>
      <w:r w:rsidR="001470FB">
        <w:rPr>
          <w:lang w:val="en-US"/>
        </w:rPr>
        <w:t>Phase III</w:t>
      </w:r>
      <w:r w:rsidRPr="002E285C">
        <w:rPr>
          <w:lang w:val="en-US"/>
        </w:rPr>
        <w:t xml:space="preserve"> sarilumab monotherapy </w:t>
      </w:r>
      <w:r w:rsidR="00894642">
        <w:rPr>
          <w:lang w:val="en-US"/>
        </w:rPr>
        <w:t>Study</w:t>
      </w:r>
      <w:r w:rsidR="00861186">
        <w:rPr>
          <w:lang w:val="en-US"/>
        </w:rPr>
        <w:t> EFC</w:t>
      </w:r>
      <w:r w:rsidR="00861186" w:rsidRPr="002E285C">
        <w:rPr>
          <w:lang w:val="en-US"/>
        </w:rPr>
        <w:t>14092</w:t>
      </w:r>
      <w:r w:rsidR="00861186">
        <w:t>/</w:t>
      </w:r>
      <w:r w:rsidR="001F3EAD">
        <w:t>MONARCH</w:t>
      </w:r>
      <w:r w:rsidR="00861186">
        <w:t xml:space="preserve"> trial</w:t>
      </w:r>
      <w:r w:rsidRPr="002E285C">
        <w:rPr>
          <w:lang w:val="en-US"/>
        </w:rPr>
        <w:t xml:space="preserve"> (sarilumab 200 mg q2w </w:t>
      </w:r>
      <w:r w:rsidR="00861186">
        <w:rPr>
          <w:lang w:val="en-US"/>
        </w:rPr>
        <w:t>(</w:t>
      </w:r>
      <w:r w:rsidR="007C7C62">
        <w:rPr>
          <w:lang w:val="en-US"/>
        </w:rPr>
        <w:t xml:space="preserve">n = </w:t>
      </w:r>
      <w:r>
        <w:rPr>
          <w:lang w:val="en-US"/>
        </w:rPr>
        <w:t>184</w:t>
      </w:r>
      <w:r w:rsidR="00861186">
        <w:rPr>
          <w:lang w:val="en-US"/>
        </w:rPr>
        <w:t xml:space="preserve">) </w:t>
      </w:r>
      <w:r w:rsidR="003D2290">
        <w:rPr>
          <w:lang w:val="en-US"/>
        </w:rPr>
        <w:t xml:space="preserve">versus </w:t>
      </w:r>
      <w:r>
        <w:rPr>
          <w:lang w:val="en-US"/>
        </w:rPr>
        <w:t xml:space="preserve">adalimumab 40 mg q2W </w:t>
      </w:r>
      <w:r w:rsidR="00861186">
        <w:rPr>
          <w:lang w:val="en-US"/>
        </w:rPr>
        <w:t>(</w:t>
      </w:r>
      <w:r w:rsidR="007C7C62">
        <w:rPr>
          <w:lang w:val="en-US"/>
        </w:rPr>
        <w:t xml:space="preserve">n = </w:t>
      </w:r>
      <w:r>
        <w:rPr>
          <w:lang w:val="en-US"/>
        </w:rPr>
        <w:t>184</w:t>
      </w:r>
      <w:r w:rsidR="00861186">
        <w:rPr>
          <w:lang w:val="en-US"/>
        </w:rPr>
        <w:t xml:space="preserve">)) </w:t>
      </w:r>
      <w:r>
        <w:rPr>
          <w:lang w:val="en-US"/>
        </w:rPr>
        <w:t xml:space="preserve">and the </w:t>
      </w:r>
      <w:r w:rsidRPr="002E285C">
        <w:rPr>
          <w:lang w:val="en-US"/>
        </w:rPr>
        <w:t>data from Pool 3</w:t>
      </w:r>
      <w:r>
        <w:rPr>
          <w:lang w:val="en-US"/>
        </w:rPr>
        <w:t xml:space="preserve"> (</w:t>
      </w:r>
      <w:r w:rsidR="007C7C62">
        <w:rPr>
          <w:lang w:val="en-US"/>
        </w:rPr>
        <w:t xml:space="preserve">n = </w:t>
      </w:r>
      <w:r>
        <w:rPr>
          <w:lang w:val="en-US"/>
        </w:rPr>
        <w:t>467)</w:t>
      </w:r>
      <w:r w:rsidRPr="002E285C">
        <w:rPr>
          <w:lang w:val="en-US"/>
        </w:rPr>
        <w:t>.</w:t>
      </w:r>
    </w:p>
    <w:p w:rsidR="00AA6B20" w:rsidRDefault="002928AB" w:rsidP="00B817F6">
      <w:r>
        <w:t>Pool 3, which has not been previously evaluated, includes</w:t>
      </w:r>
      <w:r w:rsidRPr="002E285C">
        <w:t xml:space="preserve"> patients who received sarilumab as monotherapy in </w:t>
      </w:r>
      <w:r w:rsidR="00E85FE7">
        <w:t>S</w:t>
      </w:r>
      <w:r w:rsidRPr="002E285C">
        <w:t>tudies EFC13752 and EFC14092 (main study and extension)</w:t>
      </w:r>
      <w:r>
        <w:t xml:space="preserve">, and </w:t>
      </w:r>
      <w:r w:rsidRPr="002E285C">
        <w:t xml:space="preserve">patients who received sarilumab monotherapy in </w:t>
      </w:r>
      <w:r w:rsidR="00894642">
        <w:t>Study EFC</w:t>
      </w:r>
      <w:r w:rsidRPr="002E285C">
        <w:t xml:space="preserve">13752 </w:t>
      </w:r>
      <w:r>
        <w:t xml:space="preserve">and who </w:t>
      </w:r>
      <w:r w:rsidRPr="002E285C">
        <w:t xml:space="preserve">continue to receive monotherapy in </w:t>
      </w:r>
      <w:r>
        <w:t xml:space="preserve">the long-term </w:t>
      </w:r>
      <w:r w:rsidR="003D2290">
        <w:t>Study LTS</w:t>
      </w:r>
      <w:r w:rsidRPr="002E285C">
        <w:t xml:space="preserve">11210. </w:t>
      </w:r>
      <w:r>
        <w:t xml:space="preserve">Pool 3 </w:t>
      </w:r>
      <w:r w:rsidRPr="002E285C">
        <w:t xml:space="preserve">includes data from the first dose of sarilumab to the end of the </w:t>
      </w:r>
      <w:r w:rsidRPr="00B817F6">
        <w:t xml:space="preserve">study or to the date of data extraction for patients from </w:t>
      </w:r>
      <w:r w:rsidR="00E85FE7" w:rsidRPr="00B817F6">
        <w:t xml:space="preserve">Study </w:t>
      </w:r>
      <w:r w:rsidRPr="00B817F6">
        <w:t xml:space="preserve">EFC13752 who are continuing in </w:t>
      </w:r>
      <w:r w:rsidR="00E85FE7" w:rsidRPr="00B817F6">
        <w:t xml:space="preserve">Study </w:t>
      </w:r>
      <w:r w:rsidRPr="00B817F6">
        <w:t xml:space="preserve">LTS11210. The contribution of patients from each of the each of the studies to Pool 3 is provided above in Table </w:t>
      </w:r>
      <w:r w:rsidR="00B817F6" w:rsidRPr="00B817F6">
        <w:t>12</w:t>
      </w:r>
      <w:r w:rsidRPr="00B817F6">
        <w:t>. The sponsor stated that differences in exposure between the two sarilumab monotherapy groups</w:t>
      </w:r>
      <w:r w:rsidRPr="002E285C">
        <w:t xml:space="preserve"> (150 q2w and 200 mg q2w) </w:t>
      </w:r>
      <w:r>
        <w:t xml:space="preserve">in Pool 3 </w:t>
      </w:r>
      <w:r w:rsidRPr="002E285C">
        <w:t xml:space="preserve">limit the safety comparison between the two groups. </w:t>
      </w:r>
      <w:proofErr w:type="gramStart"/>
      <w:r w:rsidRPr="002E285C">
        <w:t xml:space="preserve">Therefore, in the </w:t>
      </w:r>
      <w:r w:rsidR="00E85FE7">
        <w:t xml:space="preserve">sponsor’s </w:t>
      </w:r>
      <w:r w:rsidRPr="00E85FE7">
        <w:t>Summary of Clinical Safety</w:t>
      </w:r>
      <w:r w:rsidRPr="002E285C">
        <w:rPr>
          <w:i/>
        </w:rPr>
        <w:t xml:space="preserve"> </w:t>
      </w:r>
      <w:r>
        <w:t xml:space="preserve">(31 May 2016) </w:t>
      </w:r>
      <w:r w:rsidRPr="002E285C">
        <w:t xml:space="preserve">the </w:t>
      </w:r>
      <w:r w:rsidR="001470FB">
        <w:t>‘</w:t>
      </w:r>
      <w:r w:rsidRPr="00B817F6">
        <w:rPr>
          <w:i/>
        </w:rPr>
        <w:t>any sarilumab dose population</w:t>
      </w:r>
      <w:r w:rsidR="001470FB" w:rsidRPr="00B817F6">
        <w:rPr>
          <w:i/>
        </w:rPr>
        <w:t>’</w:t>
      </w:r>
      <w:r>
        <w:t xml:space="preserve"> </w:t>
      </w:r>
      <w:r w:rsidRPr="002E285C">
        <w:t>was selected by the sponsor as the focus of the Pool 3 analysis</w:t>
      </w:r>
      <w:r w:rsidR="00E85FE7">
        <w:t>.</w:t>
      </w:r>
      <w:proofErr w:type="gramEnd"/>
    </w:p>
    <w:p w:rsidR="00AA6B20" w:rsidRDefault="002928AB" w:rsidP="00B817F6">
      <w:pPr>
        <w:rPr>
          <w:lang w:val="en-US"/>
        </w:rPr>
      </w:pPr>
      <w:r w:rsidRPr="002E285C">
        <w:rPr>
          <w:lang w:val="en-US"/>
        </w:rPr>
        <w:t xml:space="preserve">It is considered that the key safety data for sarilumab monotherapy relate to </w:t>
      </w:r>
      <w:r w:rsidR="00894642">
        <w:rPr>
          <w:lang w:val="en-US"/>
        </w:rPr>
        <w:t>Study</w:t>
      </w:r>
      <w:r w:rsidR="00861186">
        <w:rPr>
          <w:lang w:val="en-US"/>
        </w:rPr>
        <w:t> </w:t>
      </w:r>
      <w:r w:rsidR="00894642">
        <w:rPr>
          <w:lang w:val="en-US"/>
        </w:rPr>
        <w:t>EFC</w:t>
      </w:r>
      <w:r w:rsidRPr="002E285C">
        <w:rPr>
          <w:lang w:val="en-US"/>
        </w:rPr>
        <w:t>14092</w:t>
      </w:r>
      <w:r w:rsidR="00861186">
        <w:rPr>
          <w:lang w:val="en-US"/>
        </w:rPr>
        <w:t>/</w:t>
      </w:r>
      <w:r w:rsidR="001F3EAD">
        <w:t>MONARCH</w:t>
      </w:r>
      <w:r w:rsidR="00861186">
        <w:t xml:space="preserve"> trial</w:t>
      </w:r>
      <w:r w:rsidRPr="002E285C">
        <w:rPr>
          <w:lang w:val="en-US"/>
        </w:rPr>
        <w:t xml:space="preserve">, as this study </w:t>
      </w:r>
      <w:r>
        <w:rPr>
          <w:lang w:val="en-US"/>
        </w:rPr>
        <w:t>compares</w:t>
      </w:r>
      <w:r w:rsidRPr="002E285C">
        <w:rPr>
          <w:lang w:val="en-US"/>
        </w:rPr>
        <w:t xml:space="preserve"> sarilumab 200 mg q2w and adalimumab 40 mg q2w (an approved dosage regimen) for the treatment of RA. </w:t>
      </w:r>
      <w:r>
        <w:rPr>
          <w:lang w:val="en-US"/>
        </w:rPr>
        <w:t xml:space="preserve">The </w:t>
      </w:r>
      <w:r w:rsidRPr="002E285C">
        <w:rPr>
          <w:lang w:val="en-US"/>
        </w:rPr>
        <w:t xml:space="preserve">safety profile for the sarilumab monotherapy </w:t>
      </w:r>
      <w:r>
        <w:rPr>
          <w:lang w:val="en-US"/>
        </w:rPr>
        <w:t xml:space="preserve">200 mg </w:t>
      </w:r>
      <w:r w:rsidR="007C7C62" w:rsidRPr="002E285C">
        <w:rPr>
          <w:lang w:val="en-US"/>
        </w:rPr>
        <w:t>q2</w:t>
      </w:r>
      <w:r w:rsidR="007C7C62">
        <w:rPr>
          <w:lang w:val="en-US"/>
        </w:rPr>
        <w:t>w</w:t>
      </w:r>
      <w:r w:rsidR="007C7C62" w:rsidRPr="002E285C">
        <w:rPr>
          <w:lang w:val="en-US"/>
        </w:rPr>
        <w:t xml:space="preserve"> </w:t>
      </w:r>
      <w:r w:rsidRPr="002E285C">
        <w:rPr>
          <w:lang w:val="en-US"/>
        </w:rPr>
        <w:t xml:space="preserve">group in </w:t>
      </w:r>
      <w:r w:rsidR="00894642">
        <w:rPr>
          <w:lang w:val="en-US"/>
        </w:rPr>
        <w:t>Study EFC</w:t>
      </w:r>
      <w:r w:rsidRPr="002E285C">
        <w:rPr>
          <w:lang w:val="en-US"/>
        </w:rPr>
        <w:t>14092</w:t>
      </w:r>
      <w:r w:rsidR="00861186">
        <w:rPr>
          <w:lang w:val="en-US"/>
        </w:rPr>
        <w:t>/</w:t>
      </w:r>
      <w:r w:rsidR="001F3EAD">
        <w:t>MONARCH</w:t>
      </w:r>
      <w:r w:rsidR="001F3EAD" w:rsidRPr="002E285C">
        <w:rPr>
          <w:lang w:val="en-US"/>
        </w:rPr>
        <w:t xml:space="preserve"> </w:t>
      </w:r>
      <w:r w:rsidR="00861186">
        <w:rPr>
          <w:lang w:val="en-US"/>
        </w:rPr>
        <w:t xml:space="preserve">trial </w:t>
      </w:r>
      <w:r w:rsidRPr="002E285C">
        <w:rPr>
          <w:lang w:val="en-US"/>
        </w:rPr>
        <w:t xml:space="preserve">was </w:t>
      </w:r>
      <w:r>
        <w:rPr>
          <w:lang w:val="en-US"/>
        </w:rPr>
        <w:t xml:space="preserve">similar to </w:t>
      </w:r>
      <w:r w:rsidRPr="002E285C">
        <w:rPr>
          <w:lang w:val="en-US"/>
        </w:rPr>
        <w:t xml:space="preserve">the safety profile for the any sarilumab monotherapy dose group </w:t>
      </w:r>
      <w:r>
        <w:rPr>
          <w:lang w:val="en-US"/>
        </w:rPr>
        <w:t xml:space="preserve">in </w:t>
      </w:r>
      <w:r w:rsidRPr="002E285C">
        <w:rPr>
          <w:lang w:val="en-US"/>
        </w:rPr>
        <w:t>Pool 3.</w:t>
      </w:r>
    </w:p>
    <w:p w:rsidR="00605AD4" w:rsidRPr="00E85FE7" w:rsidRDefault="00605AD4" w:rsidP="00E85FE7">
      <w:pPr>
        <w:pStyle w:val="Heading4"/>
      </w:pPr>
      <w:r w:rsidRPr="00605AD4">
        <w:t>Patient exposure</w:t>
      </w:r>
    </w:p>
    <w:p w:rsidR="002928AB" w:rsidRPr="00ED1F3F" w:rsidRDefault="002928AB" w:rsidP="002928AB">
      <w:pPr>
        <w:pStyle w:val="Heading5"/>
      </w:pPr>
      <w:r w:rsidRPr="00ED1F3F">
        <w:t xml:space="preserve">Study EFC14092 </w:t>
      </w:r>
      <w:r w:rsidR="001F3EAD">
        <w:t>MONARCH</w:t>
      </w:r>
      <w:r w:rsidR="001F3EAD" w:rsidRPr="00ED1F3F">
        <w:t xml:space="preserve"> </w:t>
      </w:r>
      <w:r w:rsidRPr="00ED1F3F">
        <w:t xml:space="preserve">Pivotal </w:t>
      </w:r>
      <w:r w:rsidR="001470FB">
        <w:t>Phase III</w:t>
      </w:r>
      <w:r w:rsidRPr="00ED1F3F">
        <w:t xml:space="preserve"> monotherapy</w:t>
      </w:r>
    </w:p>
    <w:p w:rsidR="00AA6B20" w:rsidRDefault="002928AB" w:rsidP="002928AB">
      <w:pPr>
        <w:rPr>
          <w:lang w:val="en-US"/>
        </w:rPr>
      </w:pPr>
      <w:r w:rsidRPr="007B1CD7">
        <w:rPr>
          <w:lang w:val="en-US"/>
        </w:rPr>
        <w:t>The cumulative exposure to double-blind treatment was similar for the sarilumab 200</w:t>
      </w:r>
      <w:r w:rsidR="007C7C62">
        <w:rPr>
          <w:lang w:val="en-US"/>
        </w:rPr>
        <w:t> </w:t>
      </w:r>
      <w:r w:rsidRPr="007B1CD7">
        <w:rPr>
          <w:lang w:val="en-US"/>
        </w:rPr>
        <w:t>mg</w:t>
      </w:r>
      <w:r w:rsidR="007C7C62">
        <w:rPr>
          <w:lang w:val="en-US"/>
        </w:rPr>
        <w:t> </w:t>
      </w:r>
      <w:r w:rsidRPr="007B1CD7">
        <w:rPr>
          <w:lang w:val="en-US"/>
        </w:rPr>
        <w:t xml:space="preserve">q2w and the adalimumab 40 mg q2w treatment groups. There were 184 patients in </w:t>
      </w:r>
      <w:r>
        <w:rPr>
          <w:lang w:val="en-US"/>
        </w:rPr>
        <w:t xml:space="preserve">the safety population for </w:t>
      </w:r>
      <w:r w:rsidRPr="007B1CD7">
        <w:rPr>
          <w:lang w:val="en-US"/>
        </w:rPr>
        <w:t xml:space="preserve">each treatment group, with a </w:t>
      </w:r>
      <w:r>
        <w:rPr>
          <w:lang w:val="en-US"/>
        </w:rPr>
        <w:t>cumulative e</w:t>
      </w:r>
      <w:r w:rsidRPr="007B1CD7">
        <w:rPr>
          <w:lang w:val="en-US"/>
        </w:rPr>
        <w:t xml:space="preserve">xposure of 78.7 </w:t>
      </w:r>
      <w:r w:rsidR="00A6301B">
        <w:rPr>
          <w:lang w:val="en-US"/>
        </w:rPr>
        <w:t>PY</w:t>
      </w:r>
      <w:r w:rsidRPr="007B1CD7">
        <w:rPr>
          <w:lang w:val="en-US"/>
        </w:rPr>
        <w:t xml:space="preserve"> in the sarilumab group and 77.3 </w:t>
      </w:r>
      <w:r w:rsidR="00A6301B">
        <w:rPr>
          <w:lang w:val="en-US"/>
        </w:rPr>
        <w:t>PY</w:t>
      </w:r>
      <w:r w:rsidRPr="007B1CD7">
        <w:rPr>
          <w:lang w:val="en-US"/>
        </w:rPr>
        <w:t xml:space="preserve"> in the adalimumab group. The median duration of treatment was 168 days in both the </w:t>
      </w:r>
      <w:r>
        <w:rPr>
          <w:lang w:val="en-US"/>
        </w:rPr>
        <w:t xml:space="preserve">sarilumab group </w:t>
      </w:r>
      <w:r w:rsidRPr="007B1CD7">
        <w:rPr>
          <w:lang w:val="en-US"/>
        </w:rPr>
        <w:t>(range: 14, 17</w:t>
      </w:r>
      <w:r>
        <w:rPr>
          <w:lang w:val="en-US"/>
        </w:rPr>
        <w:t>5</w:t>
      </w:r>
      <w:r w:rsidRPr="007B1CD7">
        <w:rPr>
          <w:lang w:val="en-US"/>
        </w:rPr>
        <w:t xml:space="preserve"> days) and </w:t>
      </w:r>
      <w:r>
        <w:rPr>
          <w:lang w:val="en-US"/>
        </w:rPr>
        <w:t xml:space="preserve">the adalimumab group </w:t>
      </w:r>
      <w:r w:rsidRPr="007B1CD7">
        <w:rPr>
          <w:lang w:val="en-US"/>
        </w:rPr>
        <w:t>(range: 14, 17</w:t>
      </w:r>
      <w:r>
        <w:rPr>
          <w:lang w:val="en-US"/>
        </w:rPr>
        <w:t>8</w:t>
      </w:r>
      <w:r w:rsidRPr="007B1CD7">
        <w:rPr>
          <w:lang w:val="en-US"/>
        </w:rPr>
        <w:t xml:space="preserve"> days). In the sarilumab group, 165 (89.7%) patients were treated for </w:t>
      </w:r>
      <w:r w:rsidR="00DD5BCE">
        <w:t>&gt;</w:t>
      </w:r>
      <w:r w:rsidR="007C7C62">
        <w:t xml:space="preserve"> </w:t>
      </w:r>
      <w:r w:rsidRPr="007B1CD7">
        <w:rPr>
          <w:lang w:val="en-US"/>
        </w:rPr>
        <w:t>20 weeks</w:t>
      </w:r>
      <w:r>
        <w:rPr>
          <w:lang w:val="en-US"/>
        </w:rPr>
        <w:t xml:space="preserve"> and 28 (15.2%) for </w:t>
      </w:r>
      <w:r w:rsidR="00DD5BCE">
        <w:t>&gt;</w:t>
      </w:r>
      <w:r w:rsidR="007C7C62">
        <w:t xml:space="preserve"> </w:t>
      </w:r>
      <w:r>
        <w:rPr>
          <w:lang w:val="en-US"/>
        </w:rPr>
        <w:t xml:space="preserve">24 </w:t>
      </w:r>
      <w:r w:rsidRPr="0092547B">
        <w:rPr>
          <w:lang w:val="en-US"/>
        </w:rPr>
        <w:t xml:space="preserve">weeks, and in the adalimumab group </w:t>
      </w:r>
      <w:r w:rsidRPr="0092547B">
        <w:rPr>
          <w:lang w:val="en-US"/>
        </w:rPr>
        <w:lastRenderedPageBreak/>
        <w:t xml:space="preserve">160 (87.0%) patients were treated for </w:t>
      </w:r>
      <w:r w:rsidR="00DD5BCE">
        <w:t>&gt;</w:t>
      </w:r>
      <w:r w:rsidR="007C7C62">
        <w:t xml:space="preserve"> </w:t>
      </w:r>
      <w:r w:rsidRPr="0092547B">
        <w:rPr>
          <w:lang w:val="en-US"/>
        </w:rPr>
        <w:t xml:space="preserve">20 weeks and 22 (12.0%) patients were treated for </w:t>
      </w:r>
      <w:r w:rsidR="00DD5BCE">
        <w:t>&gt;</w:t>
      </w:r>
      <w:r w:rsidR="007C7C62">
        <w:t xml:space="preserve"> </w:t>
      </w:r>
      <w:r w:rsidRPr="0092547B">
        <w:rPr>
          <w:lang w:val="en-US"/>
        </w:rPr>
        <w:t>24</w:t>
      </w:r>
      <w:r w:rsidR="00861186">
        <w:rPr>
          <w:lang w:val="en-US"/>
        </w:rPr>
        <w:t> </w:t>
      </w:r>
      <w:r w:rsidRPr="0092547B">
        <w:rPr>
          <w:lang w:val="en-US"/>
        </w:rPr>
        <w:t>weeks</w:t>
      </w:r>
      <w:r w:rsidR="0092547B" w:rsidRPr="0092547B">
        <w:rPr>
          <w:lang w:val="en-US"/>
        </w:rPr>
        <w:t>.</w:t>
      </w:r>
    </w:p>
    <w:p w:rsidR="00AA6B20" w:rsidRDefault="002928AB" w:rsidP="002928AB">
      <w:pPr>
        <w:rPr>
          <w:lang w:val="en-US"/>
        </w:rPr>
      </w:pPr>
      <w:r w:rsidRPr="007B1CD7">
        <w:rPr>
          <w:lang w:val="en-US"/>
        </w:rPr>
        <w:t>In the adalimuma</w:t>
      </w:r>
      <w:r>
        <w:rPr>
          <w:lang w:val="en-US"/>
        </w:rPr>
        <w:t xml:space="preserve">b 40 mg q2w group, 16 (8.7%) </w:t>
      </w:r>
      <w:r w:rsidRPr="007B1CD7">
        <w:rPr>
          <w:lang w:val="en-US"/>
        </w:rPr>
        <w:t>patients had the adalimumab dose increased (</w:t>
      </w:r>
      <w:r w:rsidR="007C7C62">
        <w:rPr>
          <w:lang w:val="en-US"/>
        </w:rPr>
        <w:t xml:space="preserve">n = </w:t>
      </w:r>
      <w:r>
        <w:rPr>
          <w:lang w:val="en-US"/>
        </w:rPr>
        <w:t xml:space="preserve">15 at Week 16, </w:t>
      </w:r>
      <w:r w:rsidR="007C7C62">
        <w:rPr>
          <w:lang w:val="en-US"/>
        </w:rPr>
        <w:t xml:space="preserve">n = </w:t>
      </w:r>
      <w:r w:rsidRPr="007B1CD7">
        <w:rPr>
          <w:lang w:val="en-US"/>
        </w:rPr>
        <w:t xml:space="preserve">1 at Week 20) compared with 8 (4.3%) </w:t>
      </w:r>
      <w:r>
        <w:rPr>
          <w:lang w:val="en-US"/>
        </w:rPr>
        <w:t xml:space="preserve">patients </w:t>
      </w:r>
      <w:r w:rsidRPr="007B1CD7">
        <w:rPr>
          <w:lang w:val="en-US"/>
        </w:rPr>
        <w:t>in sariluma</w:t>
      </w:r>
      <w:r>
        <w:rPr>
          <w:lang w:val="en-US"/>
        </w:rPr>
        <w:t xml:space="preserve">b 200 mg </w:t>
      </w:r>
      <w:r w:rsidR="007C7C62">
        <w:rPr>
          <w:lang w:val="en-US"/>
        </w:rPr>
        <w:t xml:space="preserve">q2w </w:t>
      </w:r>
      <w:r>
        <w:rPr>
          <w:lang w:val="en-US"/>
        </w:rPr>
        <w:t xml:space="preserve">group who had the </w:t>
      </w:r>
      <w:r w:rsidRPr="007B1CD7">
        <w:rPr>
          <w:lang w:val="en-US"/>
        </w:rPr>
        <w:t>adalimumab placebo control increased (all 8 at Week 16).</w:t>
      </w:r>
    </w:p>
    <w:p w:rsidR="00AA6B20" w:rsidRDefault="002928AB" w:rsidP="002928AB">
      <w:pPr>
        <w:pStyle w:val="Heading5"/>
      </w:pPr>
      <w:r w:rsidRPr="00ED1F3F">
        <w:t>Pool 3 sarilumab monotherapy safety population</w:t>
      </w:r>
    </w:p>
    <w:p w:rsidR="00500337" w:rsidRPr="00500337" w:rsidRDefault="002928AB" w:rsidP="00500337">
      <w:r>
        <w:rPr>
          <w:lang w:val="en-US"/>
        </w:rPr>
        <w:t>Patients in Pool 3</w:t>
      </w:r>
      <w:r w:rsidRPr="007B1CD7">
        <w:rPr>
          <w:lang w:val="en-US"/>
        </w:rPr>
        <w:t xml:space="preserve"> (</w:t>
      </w:r>
      <w:r w:rsidR="007C7C62">
        <w:rPr>
          <w:lang w:val="en-US"/>
        </w:rPr>
        <w:t xml:space="preserve">n = </w:t>
      </w:r>
      <w:r w:rsidRPr="007B1CD7">
        <w:rPr>
          <w:lang w:val="en-US"/>
        </w:rPr>
        <w:t xml:space="preserve">467) had </w:t>
      </w:r>
      <w:r>
        <w:rPr>
          <w:lang w:val="en-US"/>
        </w:rPr>
        <w:t xml:space="preserve">a total exposure to sarilumab monotherapy of </w:t>
      </w:r>
      <w:r w:rsidRPr="007B1CD7">
        <w:rPr>
          <w:lang w:val="en-US"/>
        </w:rPr>
        <w:t xml:space="preserve">299.4 </w:t>
      </w:r>
      <w:r w:rsidR="00A6301B">
        <w:rPr>
          <w:lang w:val="en-US"/>
        </w:rPr>
        <w:t>PY</w:t>
      </w:r>
      <w:r w:rsidRPr="007B1CD7">
        <w:rPr>
          <w:lang w:val="en-US"/>
        </w:rPr>
        <w:t xml:space="preserve">. The median duration of exposure was 225 days (range: 14, 574 days). There were 109 (23.3%) patients exposed to sarilumab for </w:t>
      </w:r>
      <w:r w:rsidR="00DD5BCE">
        <w:t>&gt;</w:t>
      </w:r>
      <w:r w:rsidR="007C7C62">
        <w:t xml:space="preserve"> </w:t>
      </w:r>
      <w:r w:rsidRPr="007B1CD7">
        <w:rPr>
          <w:lang w:val="en-US"/>
        </w:rPr>
        <w:t xml:space="preserve">48 weeks, 107 (22.9%) </w:t>
      </w:r>
      <w:r>
        <w:rPr>
          <w:lang w:val="en-US"/>
        </w:rPr>
        <w:t xml:space="preserve">patients exposed to sarilumab </w:t>
      </w:r>
      <w:r w:rsidRPr="007B1CD7">
        <w:rPr>
          <w:lang w:val="en-US"/>
        </w:rPr>
        <w:t xml:space="preserve">for </w:t>
      </w:r>
      <w:r w:rsidR="00DD5BCE">
        <w:t>&gt;</w:t>
      </w:r>
      <w:r w:rsidR="007C7C62">
        <w:t xml:space="preserve"> </w:t>
      </w:r>
      <w:r w:rsidRPr="007B1CD7">
        <w:rPr>
          <w:lang w:val="en-US"/>
        </w:rPr>
        <w:t xml:space="preserve">60 weeks, and 37 (7.9%) </w:t>
      </w:r>
      <w:r>
        <w:rPr>
          <w:lang w:val="en-US"/>
        </w:rPr>
        <w:t xml:space="preserve">patients </w:t>
      </w:r>
      <w:r w:rsidRPr="007B1CD7">
        <w:rPr>
          <w:lang w:val="en-US"/>
        </w:rPr>
        <w:t xml:space="preserve">exposed </w:t>
      </w:r>
      <w:r>
        <w:rPr>
          <w:lang w:val="en-US"/>
        </w:rPr>
        <w:t xml:space="preserve">to sarilumab </w:t>
      </w:r>
      <w:r w:rsidRPr="007B1CD7">
        <w:rPr>
          <w:lang w:val="en-US"/>
        </w:rPr>
        <w:t xml:space="preserve">for </w:t>
      </w:r>
      <w:r w:rsidR="00DD5BCE">
        <w:t>&gt;</w:t>
      </w:r>
      <w:r w:rsidR="007C7C62">
        <w:t xml:space="preserve"> </w:t>
      </w:r>
      <w:r w:rsidRPr="007B1CD7">
        <w:rPr>
          <w:lang w:val="en-US"/>
        </w:rPr>
        <w:t>72 weeks. Exposure to the initial dose of 150 mg q2w ended at the conclusion of the main stu</w:t>
      </w:r>
      <w:r>
        <w:rPr>
          <w:lang w:val="en-US"/>
        </w:rPr>
        <w:t xml:space="preserve">dy period of </w:t>
      </w:r>
      <w:r w:rsidR="00894642">
        <w:rPr>
          <w:lang w:val="en-US"/>
        </w:rPr>
        <w:t>Study EFC</w:t>
      </w:r>
      <w:r>
        <w:rPr>
          <w:lang w:val="en-US"/>
        </w:rPr>
        <w:t xml:space="preserve">13752 </w:t>
      </w:r>
      <w:r w:rsidRPr="007B1CD7">
        <w:rPr>
          <w:lang w:val="en-US"/>
        </w:rPr>
        <w:t>(</w:t>
      </w:r>
      <w:r w:rsidR="003A59CB">
        <w:rPr>
          <w:lang w:val="en-US"/>
        </w:rPr>
        <w:t xml:space="preserve">approximately </w:t>
      </w:r>
      <w:r w:rsidRPr="007B1CD7">
        <w:rPr>
          <w:lang w:val="en-US"/>
        </w:rPr>
        <w:t xml:space="preserve">24 weeks). The patients who continued in </w:t>
      </w:r>
      <w:r w:rsidR="003D2290">
        <w:rPr>
          <w:lang w:val="en-US"/>
        </w:rPr>
        <w:t>Study LTS</w:t>
      </w:r>
      <w:r w:rsidRPr="007B1CD7">
        <w:rPr>
          <w:lang w:val="en-US"/>
        </w:rPr>
        <w:t xml:space="preserve">11210 from EFC13752 or the EFC14092 extension </w:t>
      </w:r>
      <w:r>
        <w:rPr>
          <w:lang w:val="en-US"/>
        </w:rPr>
        <w:t xml:space="preserve">period </w:t>
      </w:r>
      <w:r w:rsidRPr="007B1CD7">
        <w:rPr>
          <w:lang w:val="en-US"/>
        </w:rPr>
        <w:t xml:space="preserve">received </w:t>
      </w:r>
      <w:r>
        <w:rPr>
          <w:lang w:val="en-US"/>
        </w:rPr>
        <w:t xml:space="preserve">sarilumab </w:t>
      </w:r>
      <w:r w:rsidRPr="007B1CD7">
        <w:rPr>
          <w:lang w:val="en-US"/>
        </w:rPr>
        <w:t>200 mg q2w</w:t>
      </w:r>
      <w:r>
        <w:rPr>
          <w:lang w:val="en-US"/>
        </w:rPr>
        <w:t>.</w:t>
      </w:r>
    </w:p>
    <w:p w:rsidR="002928AB" w:rsidRPr="0092547B" w:rsidRDefault="002928AB" w:rsidP="00E246F9">
      <w:pPr>
        <w:pStyle w:val="Heading4"/>
      </w:pPr>
      <w:r w:rsidRPr="0092547B">
        <w:rPr>
          <w:lang w:val="en-US"/>
        </w:rPr>
        <w:t xml:space="preserve">Additional TEAEs of regulatory interest </w:t>
      </w:r>
      <w:r w:rsidR="0092547B">
        <w:rPr>
          <w:lang w:val="en-US"/>
        </w:rPr>
        <w:t>(</w:t>
      </w:r>
      <w:r w:rsidR="00B55A4D" w:rsidRPr="0092547B">
        <w:t>S</w:t>
      </w:r>
      <w:r w:rsidRPr="0092547B">
        <w:t>tudy EFC14092</w:t>
      </w:r>
      <w:r w:rsidR="00861186">
        <w:t>/</w:t>
      </w:r>
      <w:r w:rsidR="001F3EAD">
        <w:t>MONARCH</w:t>
      </w:r>
      <w:r w:rsidR="00861186">
        <w:t xml:space="preserve"> trial</w:t>
      </w:r>
      <w:r w:rsidR="0092547B">
        <w:t>)</w:t>
      </w:r>
    </w:p>
    <w:p w:rsidR="002928AB" w:rsidRPr="00C40636" w:rsidRDefault="002928AB" w:rsidP="003A59CB">
      <w:pPr>
        <w:pStyle w:val="Heading5"/>
        <w:rPr>
          <w:lang w:val="en-US"/>
        </w:rPr>
      </w:pPr>
      <w:r w:rsidRPr="0092547B">
        <w:rPr>
          <w:lang w:val="en-US"/>
        </w:rPr>
        <w:t>ECG findings</w:t>
      </w:r>
    </w:p>
    <w:p w:rsidR="00AA6B20" w:rsidRDefault="002928AB" w:rsidP="002928AB">
      <w:pPr>
        <w:rPr>
          <w:lang w:val="en-US"/>
        </w:rPr>
      </w:pPr>
      <w:r w:rsidRPr="000C645D">
        <w:rPr>
          <w:lang w:val="en-US"/>
        </w:rPr>
        <w:t xml:space="preserve">No notable differences were observed between treatment groups </w:t>
      </w:r>
      <w:r w:rsidRPr="0092547B">
        <w:rPr>
          <w:lang w:val="en-US"/>
        </w:rPr>
        <w:t>in ECG parameters during the study (</w:t>
      </w:r>
      <w:r w:rsidR="003A59CB" w:rsidRPr="0092547B">
        <w:rPr>
          <w:lang w:val="en-US"/>
        </w:rPr>
        <w:t>in cardiac parameters such as</w:t>
      </w:r>
      <w:r w:rsidRPr="0092547B">
        <w:rPr>
          <w:lang w:val="en-US"/>
        </w:rPr>
        <w:t xml:space="preserve"> </w:t>
      </w:r>
      <w:r w:rsidR="003A59CB" w:rsidRPr="0092547B">
        <w:rPr>
          <w:lang w:val="en-US"/>
        </w:rPr>
        <w:t>heart rate (</w:t>
      </w:r>
      <w:r w:rsidRPr="0092547B">
        <w:rPr>
          <w:lang w:val="en-US"/>
        </w:rPr>
        <w:t>HR</w:t>
      </w:r>
      <w:r w:rsidR="003A59CB" w:rsidRPr="0092547B">
        <w:rPr>
          <w:lang w:val="en-US"/>
        </w:rPr>
        <w:t>) or</w:t>
      </w:r>
      <w:r w:rsidRPr="0092547B">
        <w:rPr>
          <w:lang w:val="en-US"/>
        </w:rPr>
        <w:t xml:space="preserve"> PR, QRS</w:t>
      </w:r>
      <w:r w:rsidR="003A59CB" w:rsidRPr="0092547B">
        <w:rPr>
          <w:lang w:val="en-US"/>
        </w:rPr>
        <w:t xml:space="preserve"> or</w:t>
      </w:r>
      <w:r w:rsidRPr="0092547B">
        <w:rPr>
          <w:lang w:val="en-US"/>
        </w:rPr>
        <w:t xml:space="preserve"> </w:t>
      </w:r>
      <w:proofErr w:type="spellStart"/>
      <w:r w:rsidRPr="0092547B">
        <w:rPr>
          <w:lang w:val="en-US"/>
        </w:rPr>
        <w:t>QT</w:t>
      </w:r>
      <w:r w:rsidR="00A6301B" w:rsidRPr="0092547B">
        <w:rPr>
          <w:lang w:val="en-US"/>
        </w:rPr>
        <w:t>c</w:t>
      </w:r>
      <w:r w:rsidRPr="0092547B">
        <w:rPr>
          <w:lang w:val="en-US"/>
        </w:rPr>
        <w:t>s</w:t>
      </w:r>
      <w:proofErr w:type="spellEnd"/>
      <w:r w:rsidR="00731143">
        <w:rPr>
          <w:lang w:val="en-US"/>
        </w:rPr>
        <w:t xml:space="preserve"> intervals</w:t>
      </w:r>
      <w:r w:rsidR="00A6301B" w:rsidRPr="0092547B">
        <w:rPr>
          <w:rStyle w:val="FootnoteReference"/>
          <w:lang w:val="en-US"/>
        </w:rPr>
        <w:footnoteReference w:id="21"/>
      </w:r>
      <w:r w:rsidR="00731143">
        <w:rPr>
          <w:lang w:val="en-US"/>
        </w:rPr>
        <w:t>).</w:t>
      </w:r>
      <w:r w:rsidR="003A59CB" w:rsidRPr="0092547B">
        <w:rPr>
          <w:lang w:val="en-US"/>
        </w:rPr>
        <w:t xml:space="preserve"> </w:t>
      </w:r>
      <w:r w:rsidRPr="0092547B">
        <w:rPr>
          <w:lang w:val="en-US"/>
        </w:rPr>
        <w:t>There were no notable differences between the two treatment groups as</w:t>
      </w:r>
      <w:r w:rsidRPr="000C645D">
        <w:rPr>
          <w:lang w:val="en-US"/>
        </w:rPr>
        <w:t xml:space="preserve"> regards potentially clin</w:t>
      </w:r>
      <w:r>
        <w:rPr>
          <w:lang w:val="en-US"/>
        </w:rPr>
        <w:t>i</w:t>
      </w:r>
      <w:r w:rsidRPr="000C645D">
        <w:rPr>
          <w:lang w:val="en-US"/>
        </w:rPr>
        <w:t xml:space="preserve">cally significant changes in the </w:t>
      </w:r>
      <w:proofErr w:type="spellStart"/>
      <w:r w:rsidRPr="000C645D">
        <w:rPr>
          <w:lang w:val="en-US"/>
        </w:rPr>
        <w:t>QTcF</w:t>
      </w:r>
      <w:proofErr w:type="spellEnd"/>
      <w:r w:rsidRPr="000C645D">
        <w:rPr>
          <w:lang w:val="en-US"/>
        </w:rPr>
        <w:t xml:space="preserve"> during the study, with </w:t>
      </w:r>
      <w:proofErr w:type="spellStart"/>
      <w:r w:rsidRPr="000C645D">
        <w:rPr>
          <w:lang w:val="en-US"/>
        </w:rPr>
        <w:t>QTcF</w:t>
      </w:r>
      <w:proofErr w:type="spellEnd"/>
      <w:r w:rsidR="007C7C62">
        <w:rPr>
          <w:lang w:val="en-US"/>
        </w:rPr>
        <w:t> </w:t>
      </w:r>
      <w:r w:rsidR="00DD5BCE">
        <w:t>&gt;</w:t>
      </w:r>
      <w:r w:rsidR="007C7C62">
        <w:t> </w:t>
      </w:r>
      <w:r w:rsidRPr="000C645D">
        <w:rPr>
          <w:lang w:val="en-US"/>
        </w:rPr>
        <w:t xml:space="preserve">450 </w:t>
      </w:r>
      <w:proofErr w:type="spellStart"/>
      <w:r w:rsidRPr="000C645D">
        <w:rPr>
          <w:lang w:val="en-US"/>
        </w:rPr>
        <w:t>ms</w:t>
      </w:r>
      <w:proofErr w:type="spellEnd"/>
      <w:r w:rsidRPr="000C645D">
        <w:rPr>
          <w:lang w:val="en-US"/>
        </w:rPr>
        <w:t xml:space="preserve"> being reported in </w:t>
      </w:r>
      <w:r>
        <w:rPr>
          <w:lang w:val="en-US"/>
        </w:rPr>
        <w:t>4.3% (</w:t>
      </w:r>
      <w:r w:rsidRPr="000C645D">
        <w:rPr>
          <w:lang w:val="en-US"/>
        </w:rPr>
        <w:t>7/163</w:t>
      </w:r>
      <w:r>
        <w:rPr>
          <w:lang w:val="en-US"/>
        </w:rPr>
        <w:t>)</w:t>
      </w:r>
      <w:r w:rsidRPr="000C645D">
        <w:rPr>
          <w:lang w:val="en-US"/>
        </w:rPr>
        <w:t xml:space="preserve"> </w:t>
      </w:r>
      <w:r>
        <w:rPr>
          <w:lang w:val="en-US"/>
        </w:rPr>
        <w:t xml:space="preserve">of </w:t>
      </w:r>
      <w:r w:rsidRPr="000C645D">
        <w:rPr>
          <w:lang w:val="en-US"/>
        </w:rPr>
        <w:t xml:space="preserve">patients in the adalimumab group and </w:t>
      </w:r>
      <w:r>
        <w:rPr>
          <w:lang w:val="en-US"/>
        </w:rPr>
        <w:t xml:space="preserve">3.1% (5/162) of </w:t>
      </w:r>
      <w:r w:rsidRPr="000C645D">
        <w:rPr>
          <w:lang w:val="en-US"/>
        </w:rPr>
        <w:t xml:space="preserve">patients in the sarilumab group. No patients in either treatment group reported </w:t>
      </w:r>
      <w:proofErr w:type="spellStart"/>
      <w:r w:rsidRPr="000C645D">
        <w:rPr>
          <w:lang w:val="en-US"/>
        </w:rPr>
        <w:t>QTcF</w:t>
      </w:r>
      <w:proofErr w:type="spellEnd"/>
      <w:r w:rsidRPr="000C645D">
        <w:rPr>
          <w:lang w:val="en-US"/>
        </w:rPr>
        <w:t xml:space="preserve"> values </w:t>
      </w:r>
      <w:r w:rsidR="00DD5BCE">
        <w:t>&gt;</w:t>
      </w:r>
      <w:r w:rsidR="007C7C62">
        <w:t xml:space="preserve"> </w:t>
      </w:r>
      <w:r w:rsidRPr="000C645D">
        <w:rPr>
          <w:lang w:val="en-US"/>
        </w:rPr>
        <w:t xml:space="preserve">480 </w:t>
      </w:r>
      <w:proofErr w:type="spellStart"/>
      <w:proofErr w:type="gramStart"/>
      <w:r w:rsidRPr="000C645D">
        <w:rPr>
          <w:lang w:val="en-US"/>
        </w:rPr>
        <w:t>ms</w:t>
      </w:r>
      <w:proofErr w:type="gramEnd"/>
      <w:r w:rsidRPr="000C645D">
        <w:rPr>
          <w:lang w:val="en-US"/>
        </w:rPr>
        <w:t>.</w:t>
      </w:r>
      <w:proofErr w:type="spellEnd"/>
      <w:r w:rsidRPr="000C645D">
        <w:rPr>
          <w:lang w:val="en-US"/>
        </w:rPr>
        <w:t xml:space="preserve"> Increases in </w:t>
      </w:r>
      <w:proofErr w:type="spellStart"/>
      <w:r w:rsidRPr="000C645D">
        <w:rPr>
          <w:lang w:val="en-US"/>
        </w:rPr>
        <w:t>QTcF</w:t>
      </w:r>
      <w:proofErr w:type="spellEnd"/>
      <w:r w:rsidRPr="000C645D">
        <w:rPr>
          <w:lang w:val="en-US"/>
        </w:rPr>
        <w:t xml:space="preserve"> from baseline of </w:t>
      </w:r>
      <w:r w:rsidR="00DD5BCE">
        <w:t>&gt;</w:t>
      </w:r>
      <w:r w:rsidR="007C7C62">
        <w:t xml:space="preserve"> </w:t>
      </w:r>
      <w:r w:rsidRPr="000C645D">
        <w:rPr>
          <w:lang w:val="en-US"/>
        </w:rPr>
        <w:t xml:space="preserve">30 </w:t>
      </w:r>
      <w:proofErr w:type="spellStart"/>
      <w:r w:rsidRPr="000C645D">
        <w:rPr>
          <w:lang w:val="en-US"/>
        </w:rPr>
        <w:t>ms</w:t>
      </w:r>
      <w:proofErr w:type="spellEnd"/>
      <w:r w:rsidRPr="000C645D">
        <w:rPr>
          <w:lang w:val="en-US"/>
        </w:rPr>
        <w:t xml:space="preserve"> to </w:t>
      </w:r>
      <w:r w:rsidR="00DD5BCE">
        <w:rPr>
          <w:lang w:val="en-US"/>
        </w:rPr>
        <w:t>≤</w:t>
      </w:r>
      <w:r w:rsidR="007C7C62">
        <w:rPr>
          <w:lang w:val="en-US"/>
        </w:rPr>
        <w:t xml:space="preserve"> </w:t>
      </w:r>
      <w:r w:rsidRPr="000C645D">
        <w:rPr>
          <w:lang w:val="en-US"/>
        </w:rPr>
        <w:t>60</w:t>
      </w:r>
      <w:r w:rsidR="00731143">
        <w:rPr>
          <w:lang w:val="en-US"/>
        </w:rPr>
        <w:t> </w:t>
      </w:r>
      <w:proofErr w:type="spellStart"/>
      <w:r w:rsidRPr="000C645D">
        <w:rPr>
          <w:lang w:val="en-US"/>
        </w:rPr>
        <w:t>ms</w:t>
      </w:r>
      <w:proofErr w:type="spellEnd"/>
      <w:r w:rsidRPr="000C645D">
        <w:rPr>
          <w:lang w:val="en-US"/>
        </w:rPr>
        <w:t xml:space="preserve"> were reported in </w:t>
      </w:r>
      <w:r>
        <w:rPr>
          <w:lang w:val="en-US"/>
        </w:rPr>
        <w:t xml:space="preserve">7.7% (9/159) of </w:t>
      </w:r>
      <w:r w:rsidRPr="000C645D">
        <w:rPr>
          <w:lang w:val="en-US"/>
        </w:rPr>
        <w:t xml:space="preserve">patients in the adalimumab group and </w:t>
      </w:r>
      <w:r>
        <w:rPr>
          <w:lang w:val="en-US"/>
        </w:rPr>
        <w:t>1.9% (</w:t>
      </w:r>
      <w:r w:rsidRPr="000C645D">
        <w:rPr>
          <w:lang w:val="en-US"/>
        </w:rPr>
        <w:t>3/159</w:t>
      </w:r>
      <w:r>
        <w:rPr>
          <w:lang w:val="en-US"/>
        </w:rPr>
        <w:t xml:space="preserve">) of </w:t>
      </w:r>
      <w:r w:rsidRPr="000C645D">
        <w:rPr>
          <w:lang w:val="en-US"/>
        </w:rPr>
        <w:t>patients in the sarilumab group. No patients in e</w:t>
      </w:r>
      <w:r>
        <w:rPr>
          <w:lang w:val="en-US"/>
        </w:rPr>
        <w:t xml:space="preserve">ither treatment group reported </w:t>
      </w:r>
      <w:r w:rsidRPr="000C645D">
        <w:rPr>
          <w:lang w:val="en-US"/>
        </w:rPr>
        <w:t xml:space="preserve">increases from baseline in </w:t>
      </w:r>
      <w:proofErr w:type="spellStart"/>
      <w:r w:rsidRPr="000C645D">
        <w:rPr>
          <w:lang w:val="en-US"/>
        </w:rPr>
        <w:t>QTcF</w:t>
      </w:r>
      <w:proofErr w:type="spellEnd"/>
      <w:r w:rsidRPr="000C645D">
        <w:rPr>
          <w:lang w:val="en-US"/>
        </w:rPr>
        <w:t xml:space="preserve"> of </w:t>
      </w:r>
      <w:r w:rsidR="00DD5BCE">
        <w:t>&gt;</w:t>
      </w:r>
      <w:r w:rsidR="007C7C62">
        <w:t xml:space="preserve"> </w:t>
      </w:r>
      <w:r w:rsidRPr="000C645D">
        <w:rPr>
          <w:lang w:val="en-US"/>
        </w:rPr>
        <w:t xml:space="preserve">60 </w:t>
      </w:r>
      <w:proofErr w:type="spellStart"/>
      <w:r w:rsidRPr="000C645D">
        <w:rPr>
          <w:lang w:val="en-US"/>
        </w:rPr>
        <w:t>ms.</w:t>
      </w:r>
      <w:proofErr w:type="spellEnd"/>
    </w:p>
    <w:p w:rsidR="00AA6B20" w:rsidRDefault="002928AB" w:rsidP="003A59CB">
      <w:pPr>
        <w:pStyle w:val="Heading5"/>
        <w:rPr>
          <w:lang w:val="en-US"/>
        </w:rPr>
      </w:pPr>
      <w:r w:rsidRPr="00C40636">
        <w:rPr>
          <w:lang w:val="en-US"/>
        </w:rPr>
        <w:t>Cardiovascular safety</w:t>
      </w:r>
    </w:p>
    <w:p w:rsidR="00AA6B20" w:rsidRDefault="002928AB" w:rsidP="002928AB">
      <w:pPr>
        <w:rPr>
          <w:lang w:val="en-US"/>
        </w:rPr>
      </w:pPr>
      <w:r w:rsidRPr="000B626F">
        <w:rPr>
          <w:lang w:val="en-US"/>
        </w:rPr>
        <w:t>Cardiac disorders (</w:t>
      </w:r>
      <w:r w:rsidR="002A0433">
        <w:rPr>
          <w:lang w:val="en-US"/>
        </w:rPr>
        <w:t>System Organ Class (</w:t>
      </w:r>
      <w:r w:rsidRPr="000B626F">
        <w:rPr>
          <w:lang w:val="en-US"/>
        </w:rPr>
        <w:t>SOC</w:t>
      </w:r>
      <w:r w:rsidR="002A0433">
        <w:rPr>
          <w:lang w:val="en-US"/>
        </w:rPr>
        <w:t>)</w:t>
      </w:r>
      <w:r w:rsidRPr="000B626F">
        <w:rPr>
          <w:lang w:val="en-US"/>
        </w:rPr>
        <w:t xml:space="preserve">) were reported in a small number of patients in both the adalimumab and sarilumab groups (1.6%, </w:t>
      </w:r>
      <w:r w:rsidR="007C7C62">
        <w:rPr>
          <w:lang w:val="en-US"/>
        </w:rPr>
        <w:t xml:space="preserve">n = </w:t>
      </w:r>
      <w:r w:rsidRPr="000B626F">
        <w:rPr>
          <w:lang w:val="en-US"/>
        </w:rPr>
        <w:t>3</w:t>
      </w:r>
      <w:r w:rsidR="003D2290">
        <w:rPr>
          <w:lang w:val="en-US"/>
        </w:rPr>
        <w:t xml:space="preserve"> versus </w:t>
      </w:r>
      <w:r w:rsidRPr="000B626F">
        <w:rPr>
          <w:lang w:val="en-US"/>
        </w:rPr>
        <w:t xml:space="preserve">2.2%, </w:t>
      </w:r>
      <w:r w:rsidR="007C7C62">
        <w:rPr>
          <w:lang w:val="en-US"/>
        </w:rPr>
        <w:t xml:space="preserve">n = </w:t>
      </w:r>
      <w:r w:rsidRPr="000B626F">
        <w:rPr>
          <w:lang w:val="en-US"/>
        </w:rPr>
        <w:t>4, re</w:t>
      </w:r>
      <w:r>
        <w:rPr>
          <w:lang w:val="en-US"/>
        </w:rPr>
        <w:t>s</w:t>
      </w:r>
      <w:r w:rsidRPr="000B626F">
        <w:rPr>
          <w:lang w:val="en-US"/>
        </w:rPr>
        <w:t xml:space="preserve">pectively). The </w:t>
      </w:r>
      <w:r>
        <w:rPr>
          <w:lang w:val="en-US"/>
        </w:rPr>
        <w:t>cardiac</w:t>
      </w:r>
      <w:r w:rsidRPr="000B626F">
        <w:rPr>
          <w:lang w:val="en-US"/>
        </w:rPr>
        <w:t xml:space="preserve"> disorders in the 3 patients in the adalimumab group were palpitations x 2 and myocardial ischaemia x 1. The cardiac disorders in the 4 pati</w:t>
      </w:r>
      <w:r>
        <w:rPr>
          <w:lang w:val="en-US"/>
        </w:rPr>
        <w:t>e</w:t>
      </w:r>
      <w:r w:rsidRPr="000B626F">
        <w:rPr>
          <w:lang w:val="en-US"/>
        </w:rPr>
        <w:t>nts in the sarilumab group were atrial fibrilla</w:t>
      </w:r>
      <w:r>
        <w:rPr>
          <w:lang w:val="en-US"/>
        </w:rPr>
        <w:t>t</w:t>
      </w:r>
      <w:r w:rsidRPr="000B626F">
        <w:rPr>
          <w:lang w:val="en-US"/>
        </w:rPr>
        <w:t xml:space="preserve">ion x 2 and </w:t>
      </w:r>
      <w:r>
        <w:rPr>
          <w:lang w:val="en-US"/>
        </w:rPr>
        <w:t xml:space="preserve">1 x each </w:t>
      </w:r>
      <w:r w:rsidRPr="000B626F">
        <w:rPr>
          <w:lang w:val="en-US"/>
        </w:rPr>
        <w:t>for cardiac failure acute, coronary artery dissection, palpitations and papillary muscle rupture.</w:t>
      </w:r>
    </w:p>
    <w:p w:rsidR="00AA6B20" w:rsidRDefault="002928AB" w:rsidP="002928AB">
      <w:pPr>
        <w:rPr>
          <w:lang w:val="en-US"/>
        </w:rPr>
      </w:pPr>
      <w:r w:rsidRPr="000B626F">
        <w:rPr>
          <w:lang w:val="en-US"/>
        </w:rPr>
        <w:t xml:space="preserve">Cardiac disorders </w:t>
      </w:r>
      <w:r w:rsidR="003A59CB">
        <w:rPr>
          <w:lang w:val="en-US"/>
        </w:rPr>
        <w:t>serious adverse events (</w:t>
      </w:r>
      <w:r w:rsidRPr="000B626F">
        <w:rPr>
          <w:lang w:val="en-US"/>
        </w:rPr>
        <w:t>SAEs</w:t>
      </w:r>
      <w:r w:rsidR="003A59CB">
        <w:rPr>
          <w:lang w:val="en-US"/>
        </w:rPr>
        <w:t>)</w:t>
      </w:r>
      <w:r w:rsidRPr="000B626F">
        <w:rPr>
          <w:lang w:val="en-US"/>
        </w:rPr>
        <w:t xml:space="preserve"> were reported in 1 (0.5%) </w:t>
      </w:r>
      <w:r>
        <w:rPr>
          <w:lang w:val="en-US"/>
        </w:rPr>
        <w:t xml:space="preserve">patient </w:t>
      </w:r>
      <w:r w:rsidRPr="000B626F">
        <w:rPr>
          <w:lang w:val="en-US"/>
        </w:rPr>
        <w:t>in the sarilumab group (1 x each for cardiac failure acute, coronary artery dissection, and papillary muscle rupture) and no patients in the adalimumab group. The cardiac disorder SAEs reported in the 1 patient in the sarilumab group resulted in permanent treatment discontinuation and death.</w:t>
      </w:r>
    </w:p>
    <w:p w:rsidR="00AA6B20" w:rsidRDefault="002928AB" w:rsidP="002928AB">
      <w:pPr>
        <w:rPr>
          <w:lang w:val="en-US"/>
        </w:rPr>
      </w:pPr>
      <w:r w:rsidRPr="000B626F">
        <w:rPr>
          <w:lang w:val="en-US"/>
        </w:rPr>
        <w:t xml:space="preserve">The study included an independent cardiovascular adjudication committee (CAC), which applied uniform criteria for </w:t>
      </w:r>
      <w:r w:rsidRPr="003A59CB">
        <w:t xml:space="preserve">the evaluation of cardiovascular (CV) events. The CAC reviewed and adjudicated all deaths and serious </w:t>
      </w:r>
      <w:r w:rsidR="00731143">
        <w:t>CV</w:t>
      </w:r>
      <w:r w:rsidR="00731143" w:rsidRPr="003A59CB">
        <w:t xml:space="preserve"> </w:t>
      </w:r>
      <w:r w:rsidRPr="003A59CB">
        <w:t xml:space="preserve">adverse events to identify events of </w:t>
      </w:r>
      <w:r w:rsidR="003A59CB" w:rsidRPr="003A59CB">
        <w:lastRenderedPageBreak/>
        <w:t>major adverse cardiac events</w:t>
      </w:r>
      <w:r w:rsidR="003A59CB" w:rsidRPr="003A59CB">
        <w:rPr>
          <w:rStyle w:val="st1"/>
          <w:rFonts w:ascii="Arial" w:hAnsi="Arial" w:cs="Arial"/>
          <w:color w:val="545454"/>
        </w:rPr>
        <w:t xml:space="preserve"> (</w:t>
      </w:r>
      <w:r w:rsidRPr="003A59CB">
        <w:rPr>
          <w:lang w:val="en-US"/>
        </w:rPr>
        <w:t>MACE</w:t>
      </w:r>
      <w:r w:rsidR="003A59CB" w:rsidRPr="003A59CB">
        <w:rPr>
          <w:lang w:val="en-US"/>
        </w:rPr>
        <w:t>)</w:t>
      </w:r>
      <w:r w:rsidRPr="003A59CB">
        <w:rPr>
          <w:lang w:val="en-US"/>
        </w:rPr>
        <w:t xml:space="preserve"> which were defined as </w:t>
      </w:r>
      <w:r w:rsidR="00731143">
        <w:rPr>
          <w:lang w:val="en-US"/>
        </w:rPr>
        <w:t>CV</w:t>
      </w:r>
      <w:r w:rsidR="00731143" w:rsidRPr="003A59CB">
        <w:rPr>
          <w:lang w:val="en-US"/>
        </w:rPr>
        <w:t xml:space="preserve"> </w:t>
      </w:r>
      <w:r w:rsidRPr="003A59CB">
        <w:rPr>
          <w:lang w:val="en-US"/>
        </w:rPr>
        <w:t>death, myocardial infarction, stroke, hospitalisation</w:t>
      </w:r>
      <w:r w:rsidRPr="000B626F">
        <w:rPr>
          <w:lang w:val="en-US"/>
        </w:rPr>
        <w:t xml:space="preserve"> for unstable angina, or hospitalisation for transient </w:t>
      </w:r>
      <w:r w:rsidR="007C7C62" w:rsidRPr="000B626F">
        <w:rPr>
          <w:lang w:val="en-US"/>
        </w:rPr>
        <w:t>isch</w:t>
      </w:r>
      <w:r w:rsidR="007C7C62">
        <w:rPr>
          <w:lang w:val="en-US"/>
        </w:rPr>
        <w:t>e</w:t>
      </w:r>
      <w:r w:rsidR="007C7C62" w:rsidRPr="000B626F">
        <w:rPr>
          <w:lang w:val="en-US"/>
        </w:rPr>
        <w:t>mic</w:t>
      </w:r>
      <w:r w:rsidRPr="000B626F">
        <w:rPr>
          <w:lang w:val="en-US"/>
        </w:rPr>
        <w:t xml:space="preserve"> </w:t>
      </w:r>
      <w:r w:rsidRPr="003A59CB">
        <w:t xml:space="preserve">attack. Serious cardiovascular adverse events sent for adjudication were identified by a list of </w:t>
      </w:r>
      <w:r w:rsidR="003A59CB" w:rsidRPr="003A59CB">
        <w:t>Standardised Medical Dictionary for Regulatory Activities (</w:t>
      </w:r>
      <w:proofErr w:type="spellStart"/>
      <w:r w:rsidR="003A59CB" w:rsidRPr="003A59CB">
        <w:t>MedDRA</w:t>
      </w:r>
      <w:proofErr w:type="spellEnd"/>
      <w:r w:rsidR="003A59CB" w:rsidRPr="003A59CB">
        <w:t>) Queries (SMQs)</w:t>
      </w:r>
      <w:r w:rsidRPr="003A59CB">
        <w:t xml:space="preserve"> as specified in the CAC Charter. In addition, any non</w:t>
      </w:r>
      <w:r w:rsidR="003A59CB" w:rsidRPr="003A59CB">
        <w:t xml:space="preserve"> </w:t>
      </w:r>
      <w:r w:rsidRPr="003A59CB">
        <w:t>SAE requiring a cardiovascular procedure was sent</w:t>
      </w:r>
      <w:r w:rsidRPr="000B626F">
        <w:rPr>
          <w:lang w:val="en-US"/>
        </w:rPr>
        <w:t xml:space="preserve"> for adjudication.</w:t>
      </w:r>
    </w:p>
    <w:p w:rsidR="002928AB" w:rsidRDefault="002928AB" w:rsidP="002928AB">
      <w:pPr>
        <w:rPr>
          <w:lang w:val="en-US"/>
        </w:rPr>
      </w:pPr>
      <w:r>
        <w:rPr>
          <w:lang w:val="en-US"/>
        </w:rPr>
        <w:t xml:space="preserve">The CAC identified 2 patients with MACE (1 in each treatment group). In the adalimumab group, the 1 patient with MACE was adjudicated to have experienced a non-fatal stroke (preferred term </w:t>
      </w:r>
      <w:r w:rsidR="007A4EEA">
        <w:rPr>
          <w:lang w:val="en-US"/>
        </w:rPr>
        <w:t>cardiovascular accident (</w:t>
      </w:r>
      <w:r>
        <w:rPr>
          <w:lang w:val="en-US"/>
        </w:rPr>
        <w:t>CVA</w:t>
      </w:r>
      <w:r w:rsidR="007A4EEA">
        <w:rPr>
          <w:lang w:val="en-US"/>
        </w:rPr>
        <w:t>)</w:t>
      </w:r>
      <w:r>
        <w:rPr>
          <w:lang w:val="en-US"/>
        </w:rPr>
        <w:t>), and in the sarilumab group the 1 patient with MACE was adjudicated to have experienced CV death (preferred terms cardiac failure acute, papillary muscle rupture, coronary artery dissection).</w:t>
      </w:r>
    </w:p>
    <w:p w:rsidR="002928AB" w:rsidRDefault="002928AB" w:rsidP="002928AB">
      <w:pPr>
        <w:pStyle w:val="Heading5"/>
        <w:rPr>
          <w:lang w:val="en-US"/>
        </w:rPr>
      </w:pPr>
      <w:r>
        <w:rPr>
          <w:lang w:val="en-US"/>
        </w:rPr>
        <w:t>Renal and urinary disorders</w:t>
      </w:r>
    </w:p>
    <w:p w:rsidR="00AA6B20" w:rsidRDefault="002928AB" w:rsidP="002928AB">
      <w:pPr>
        <w:rPr>
          <w:lang w:val="en-US"/>
        </w:rPr>
      </w:pPr>
      <w:r w:rsidRPr="002A0433">
        <w:rPr>
          <w:lang w:val="en-US"/>
        </w:rPr>
        <w:t>Renal and urinary disorders (</w:t>
      </w:r>
      <w:r w:rsidR="003A59CB" w:rsidRPr="002A0433">
        <w:rPr>
          <w:lang w:val="en-US"/>
        </w:rPr>
        <w:t>S</w:t>
      </w:r>
      <w:r w:rsidRPr="002A0433">
        <w:rPr>
          <w:lang w:val="en-US"/>
        </w:rPr>
        <w:t>OC) w</w:t>
      </w:r>
      <w:r w:rsidRPr="00B15ABA">
        <w:rPr>
          <w:lang w:val="en-US"/>
        </w:rPr>
        <w:t>ere reported in 1 (0.5</w:t>
      </w:r>
      <w:r>
        <w:rPr>
          <w:lang w:val="en-US"/>
        </w:rPr>
        <w:t>%</w:t>
      </w:r>
      <w:r w:rsidRPr="00B15ABA">
        <w:rPr>
          <w:lang w:val="en-US"/>
        </w:rPr>
        <w:t xml:space="preserve">) patient in the adalimumab group (1x renal cyst) and 2 (1.1%) patients in the sarilumab group (1x dysuria and 1x renal colic). </w:t>
      </w:r>
      <w:r>
        <w:rPr>
          <w:lang w:val="en-US"/>
        </w:rPr>
        <w:t>None of the events were reported as SAEs or resulted in death. None of the TEAEs resulted in permanent treatment discontinuation.</w:t>
      </w:r>
    </w:p>
    <w:p w:rsidR="00AA6B20" w:rsidRDefault="002928AB" w:rsidP="002928AB">
      <w:pPr>
        <w:rPr>
          <w:lang w:val="en-US"/>
        </w:rPr>
      </w:pPr>
      <w:r>
        <w:rPr>
          <w:lang w:val="en-US"/>
        </w:rPr>
        <w:t xml:space="preserve">Laboratory changes from baseline in serum creatinine of </w:t>
      </w:r>
      <w:r w:rsidR="00DD5BCE">
        <w:t>≥</w:t>
      </w:r>
      <w:r w:rsidR="007C7C62">
        <w:t xml:space="preserve"> </w:t>
      </w:r>
      <w:r>
        <w:rPr>
          <w:lang w:val="en-US"/>
        </w:rPr>
        <w:t xml:space="preserve">30% was reported in 10.4% (19/183) of patients in the adalimumab group and 12.5% (23/184) of patients in the sarilumab group, while increases of </w:t>
      </w:r>
      <w:r w:rsidR="00DD5BCE">
        <w:t>≥</w:t>
      </w:r>
      <w:r w:rsidR="007C7C62">
        <w:t xml:space="preserve"> </w:t>
      </w:r>
      <w:r>
        <w:rPr>
          <w:lang w:val="en-US"/>
        </w:rPr>
        <w:t xml:space="preserve">100% from baseline were reported in no patients in the adalimumab group and 1 (0.5%) patient in the sarilumab group. Serum creatinine levels of </w:t>
      </w:r>
      <w:r w:rsidR="00DD5BCE">
        <w:t>≥</w:t>
      </w:r>
      <w:r w:rsidR="007C7C62">
        <w:t xml:space="preserve"> </w:t>
      </w:r>
      <w:r>
        <w:rPr>
          <w:lang w:val="en-US"/>
        </w:rPr>
        <w:t>150 µ</w:t>
      </w:r>
      <w:proofErr w:type="spellStart"/>
      <w:r>
        <w:rPr>
          <w:lang w:val="en-US"/>
        </w:rPr>
        <w:t>mol</w:t>
      </w:r>
      <w:proofErr w:type="spellEnd"/>
      <w:r>
        <w:rPr>
          <w:lang w:val="en-US"/>
        </w:rPr>
        <w:t xml:space="preserve">/L during treatment were reported in no patients in the adalimumab group and 3 (1.6%) patients in the sarilumab group. Severe decrease in </w:t>
      </w:r>
      <w:r w:rsidR="003A59CB">
        <w:rPr>
          <w:lang w:val="en-US"/>
        </w:rPr>
        <w:t>glomerular filtration rate (</w:t>
      </w:r>
      <w:r>
        <w:rPr>
          <w:lang w:val="en-US"/>
        </w:rPr>
        <w:t>GFR</w:t>
      </w:r>
      <w:r w:rsidR="003A59CB">
        <w:rPr>
          <w:lang w:val="en-US"/>
        </w:rPr>
        <w:t>)</w:t>
      </w:r>
      <w:r>
        <w:rPr>
          <w:lang w:val="en-US"/>
        </w:rPr>
        <w:t xml:space="preserve"> (</w:t>
      </w:r>
      <w:r w:rsidR="00DD5BCE">
        <w:t>≥</w:t>
      </w:r>
      <w:r w:rsidR="007C7C62">
        <w:t xml:space="preserve"> </w:t>
      </w:r>
      <w:r>
        <w:rPr>
          <w:lang w:val="en-US"/>
        </w:rPr>
        <w:t xml:space="preserve">15 mL/min to </w:t>
      </w:r>
      <w:r w:rsidR="007F1BEB">
        <w:t>&lt; </w:t>
      </w:r>
      <w:r>
        <w:rPr>
          <w:lang w:val="en-US"/>
        </w:rPr>
        <w:t>30 mL/min) was reported in no patients in the adalimumab group and 1 (0.5%) patient in the sarilumab group, moderate decrease in GFR (</w:t>
      </w:r>
      <w:r w:rsidR="00DD5BCE">
        <w:t>≥</w:t>
      </w:r>
      <w:r w:rsidR="007C7C62">
        <w:t xml:space="preserve"> </w:t>
      </w:r>
      <w:r>
        <w:rPr>
          <w:lang w:val="en-US"/>
        </w:rPr>
        <w:t xml:space="preserve">30 mL/min to </w:t>
      </w:r>
      <w:r w:rsidR="007F1BEB">
        <w:t>&lt; </w:t>
      </w:r>
      <w:r>
        <w:rPr>
          <w:lang w:val="en-US"/>
        </w:rPr>
        <w:t>60 mL/min) was reported in 21 (11.5%) patients in the adalimumab group and 22 (12.0%) patients in the sarilumab group, and mild decrease in GFR (</w:t>
      </w:r>
      <w:r w:rsidR="00DD5BCE">
        <w:t>≥</w:t>
      </w:r>
      <w:r w:rsidR="007C7C62">
        <w:t xml:space="preserve"> </w:t>
      </w:r>
      <w:r>
        <w:rPr>
          <w:lang w:val="en-US"/>
        </w:rPr>
        <w:t xml:space="preserve">60 mL/min to </w:t>
      </w:r>
      <w:r w:rsidR="007F1BEB">
        <w:t>&lt; </w:t>
      </w:r>
      <w:r>
        <w:rPr>
          <w:lang w:val="en-US"/>
        </w:rPr>
        <w:t xml:space="preserve">90 mL/min) was reported in 74 (40.4%) patients in the adalimumab group and 65 (35.3%) patients in the sarilumab group. End stage renal disease (GFR </w:t>
      </w:r>
      <w:r w:rsidR="007F1BEB">
        <w:t>&lt; </w:t>
      </w:r>
      <w:r>
        <w:rPr>
          <w:lang w:val="en-US"/>
        </w:rPr>
        <w:t xml:space="preserve">15 mL/min) was reported in no patients in either of the two treatment groups. Uric acid levels </w:t>
      </w:r>
      <w:r w:rsidR="00DD5BCE">
        <w:t>&gt;</w:t>
      </w:r>
      <w:r w:rsidR="007C7C62">
        <w:t xml:space="preserve"> </w:t>
      </w:r>
      <w:r>
        <w:rPr>
          <w:lang w:val="en-US"/>
        </w:rPr>
        <w:t>408 µ</w:t>
      </w:r>
      <w:proofErr w:type="spellStart"/>
      <w:r>
        <w:rPr>
          <w:lang w:val="en-US"/>
        </w:rPr>
        <w:t>mol</w:t>
      </w:r>
      <w:proofErr w:type="spellEnd"/>
      <w:r>
        <w:rPr>
          <w:lang w:val="en-US"/>
        </w:rPr>
        <w:t>/L were reported in 13.7% (</w:t>
      </w:r>
      <w:r w:rsidR="007C7C62">
        <w:rPr>
          <w:lang w:val="en-US"/>
        </w:rPr>
        <w:t xml:space="preserve">n = </w:t>
      </w:r>
      <w:r>
        <w:rPr>
          <w:lang w:val="en-US"/>
        </w:rPr>
        <w:t>25) of patients in the adalimumab group and 19.0% (</w:t>
      </w:r>
      <w:r w:rsidR="007C7C62">
        <w:rPr>
          <w:lang w:val="en-US"/>
        </w:rPr>
        <w:t xml:space="preserve">n = </w:t>
      </w:r>
      <w:r>
        <w:rPr>
          <w:lang w:val="en-US"/>
        </w:rPr>
        <w:t>35) of patients in the sarilumab group.</w:t>
      </w:r>
    </w:p>
    <w:p w:rsidR="002928AB" w:rsidRPr="00BF21DD" w:rsidRDefault="002928AB" w:rsidP="002928AB">
      <w:pPr>
        <w:pStyle w:val="Heading5"/>
        <w:rPr>
          <w:lang w:val="en-US"/>
        </w:rPr>
      </w:pPr>
      <w:r w:rsidRPr="00BF21DD">
        <w:rPr>
          <w:lang w:val="en-US"/>
        </w:rPr>
        <w:t>Skin and subcutaneous tissue disorders</w:t>
      </w:r>
    </w:p>
    <w:p w:rsidR="00AA6B20" w:rsidRDefault="002928AB" w:rsidP="002928AB">
      <w:pPr>
        <w:rPr>
          <w:rFonts w:cs="Times"/>
          <w:lang w:val="en-US"/>
        </w:rPr>
      </w:pPr>
      <w:r w:rsidRPr="002A0433">
        <w:rPr>
          <w:rFonts w:cs="Times"/>
          <w:lang w:val="en-US"/>
        </w:rPr>
        <w:t xml:space="preserve">Skin and subcutaneous tissue disorders (SOC) </w:t>
      </w:r>
      <w:r w:rsidRPr="00BF21DD">
        <w:rPr>
          <w:rFonts w:cs="Times"/>
          <w:lang w:val="en-US"/>
        </w:rPr>
        <w:t>were reported in the same prop</w:t>
      </w:r>
      <w:r>
        <w:rPr>
          <w:rFonts w:cs="Times"/>
          <w:lang w:val="en-US"/>
        </w:rPr>
        <w:t>o</w:t>
      </w:r>
      <w:r w:rsidRPr="00BF21DD">
        <w:rPr>
          <w:rFonts w:cs="Times"/>
          <w:lang w:val="en-US"/>
        </w:rPr>
        <w:t xml:space="preserve">rtion of patients </w:t>
      </w:r>
      <w:r>
        <w:rPr>
          <w:rFonts w:cs="Times"/>
          <w:lang w:val="en-US"/>
        </w:rPr>
        <w:t xml:space="preserve">both treatment groups </w:t>
      </w:r>
      <w:r w:rsidRPr="00BF21DD">
        <w:rPr>
          <w:rFonts w:cs="Times"/>
          <w:lang w:val="en-US"/>
        </w:rPr>
        <w:t xml:space="preserve">(7.1%, </w:t>
      </w:r>
      <w:r w:rsidR="007C7C62">
        <w:rPr>
          <w:rFonts w:cs="Times"/>
          <w:lang w:val="en-US"/>
        </w:rPr>
        <w:t xml:space="preserve">n = </w:t>
      </w:r>
      <w:r w:rsidRPr="00BF21DD">
        <w:rPr>
          <w:rFonts w:cs="Times"/>
          <w:lang w:val="en-US"/>
        </w:rPr>
        <w:t>13</w:t>
      </w:r>
      <w:r>
        <w:rPr>
          <w:rFonts w:cs="Times"/>
          <w:lang w:val="en-US"/>
        </w:rPr>
        <w:t xml:space="preserve">). </w:t>
      </w:r>
      <w:r w:rsidRPr="00BF21DD">
        <w:rPr>
          <w:rFonts w:cs="Times"/>
          <w:lang w:val="en-US"/>
        </w:rPr>
        <w:t>TEAE</w:t>
      </w:r>
      <w:r>
        <w:rPr>
          <w:rFonts w:cs="Times"/>
          <w:lang w:val="en-US"/>
        </w:rPr>
        <w:t>s</w:t>
      </w:r>
      <w:r w:rsidRPr="00BF21DD">
        <w:rPr>
          <w:rFonts w:cs="Times"/>
          <w:lang w:val="en-US"/>
        </w:rPr>
        <w:t xml:space="preserve"> (preferred term</w:t>
      </w:r>
      <w:r>
        <w:rPr>
          <w:rFonts w:cs="Times"/>
          <w:lang w:val="en-US"/>
        </w:rPr>
        <w:t>s</w:t>
      </w:r>
      <w:r w:rsidRPr="00BF21DD">
        <w:rPr>
          <w:rFonts w:cs="Times"/>
          <w:lang w:val="en-US"/>
        </w:rPr>
        <w:t xml:space="preserve">) reported in </w:t>
      </w:r>
      <w:r w:rsidR="00DD5BCE">
        <w:t>≥</w:t>
      </w:r>
      <w:r w:rsidR="007C7C62">
        <w:t xml:space="preserve"> </w:t>
      </w:r>
      <w:r w:rsidRPr="00BF21DD">
        <w:rPr>
          <w:rFonts w:cs="Times"/>
          <w:lang w:val="en-US"/>
        </w:rPr>
        <w:t xml:space="preserve">2 patients in either the adalimumab group or the sarilumab group, respectively, were rash (1.6%, </w:t>
      </w:r>
      <w:r w:rsidR="007C7C62">
        <w:rPr>
          <w:rFonts w:cs="Times"/>
          <w:lang w:val="en-US"/>
        </w:rPr>
        <w:t xml:space="preserve">n = </w:t>
      </w:r>
      <w:r w:rsidRPr="00BF21DD">
        <w:rPr>
          <w:rFonts w:cs="Times"/>
          <w:lang w:val="en-US"/>
        </w:rPr>
        <w:t>3</w:t>
      </w:r>
      <w:r w:rsidR="003D2290">
        <w:rPr>
          <w:rFonts w:cs="Times"/>
          <w:lang w:val="en-US"/>
        </w:rPr>
        <w:t xml:space="preserve"> versus </w:t>
      </w:r>
      <w:r w:rsidRPr="00BF21DD">
        <w:rPr>
          <w:rFonts w:cs="Times"/>
          <w:lang w:val="en-US"/>
        </w:rPr>
        <w:t xml:space="preserve">0.5%, </w:t>
      </w:r>
      <w:r w:rsidR="007C7C62">
        <w:rPr>
          <w:rFonts w:cs="Times"/>
          <w:lang w:val="en-US"/>
        </w:rPr>
        <w:t xml:space="preserve">n = </w:t>
      </w:r>
      <w:r w:rsidRPr="00BF21DD">
        <w:rPr>
          <w:rFonts w:cs="Times"/>
          <w:lang w:val="en-US"/>
        </w:rPr>
        <w:t xml:space="preserve">1), dermatitis allergic (1.1%, </w:t>
      </w:r>
      <w:r w:rsidR="007C7C62">
        <w:rPr>
          <w:rFonts w:cs="Times"/>
          <w:lang w:val="en-US"/>
        </w:rPr>
        <w:t xml:space="preserve">n = </w:t>
      </w:r>
      <w:r w:rsidRPr="00BF21DD">
        <w:rPr>
          <w:rFonts w:cs="Times"/>
          <w:lang w:val="en-US"/>
        </w:rPr>
        <w:t>2</w:t>
      </w:r>
      <w:r w:rsidR="003D2290">
        <w:rPr>
          <w:rFonts w:cs="Times"/>
          <w:lang w:val="en-US"/>
        </w:rPr>
        <w:t xml:space="preserve"> versus </w:t>
      </w:r>
      <w:r w:rsidRPr="00BF21DD">
        <w:rPr>
          <w:rFonts w:cs="Times"/>
          <w:lang w:val="en-US"/>
        </w:rPr>
        <w:t xml:space="preserve">1.1%, </w:t>
      </w:r>
      <w:r w:rsidR="007C7C62">
        <w:rPr>
          <w:rFonts w:cs="Times"/>
          <w:lang w:val="en-US"/>
        </w:rPr>
        <w:t xml:space="preserve">n = </w:t>
      </w:r>
      <w:r w:rsidRPr="00BF21DD">
        <w:rPr>
          <w:rFonts w:cs="Times"/>
          <w:lang w:val="en-US"/>
        </w:rPr>
        <w:t xml:space="preserve">2), and pruritus (0.5%, </w:t>
      </w:r>
      <w:r w:rsidR="007C7C62">
        <w:rPr>
          <w:rFonts w:cs="Times"/>
          <w:lang w:val="en-US"/>
        </w:rPr>
        <w:t xml:space="preserve">n = </w:t>
      </w:r>
      <w:r w:rsidRPr="00BF21DD">
        <w:rPr>
          <w:rFonts w:cs="Times"/>
          <w:lang w:val="en-US"/>
        </w:rPr>
        <w:t>1</w:t>
      </w:r>
      <w:r w:rsidR="003D2290">
        <w:rPr>
          <w:rFonts w:cs="Times"/>
          <w:lang w:val="en-US"/>
        </w:rPr>
        <w:t xml:space="preserve"> versus </w:t>
      </w:r>
      <w:r w:rsidRPr="00BF21DD">
        <w:rPr>
          <w:rFonts w:cs="Times"/>
          <w:lang w:val="en-US"/>
        </w:rPr>
        <w:t xml:space="preserve">1.1%, </w:t>
      </w:r>
      <w:r w:rsidR="007C7C62">
        <w:rPr>
          <w:rFonts w:cs="Times"/>
          <w:lang w:val="en-US"/>
        </w:rPr>
        <w:t xml:space="preserve">n = </w:t>
      </w:r>
      <w:r w:rsidRPr="00BF21DD">
        <w:rPr>
          <w:rFonts w:cs="Times"/>
          <w:lang w:val="en-US"/>
        </w:rPr>
        <w:t xml:space="preserve">2). All other TEAEs were </w:t>
      </w:r>
      <w:r>
        <w:rPr>
          <w:rFonts w:cs="Times"/>
          <w:lang w:val="en-US"/>
        </w:rPr>
        <w:t xml:space="preserve">each </w:t>
      </w:r>
      <w:r w:rsidRPr="00BF21DD">
        <w:rPr>
          <w:rFonts w:cs="Times"/>
          <w:lang w:val="en-US"/>
        </w:rPr>
        <w:t xml:space="preserve">reported in 1 patient in both or one of the treatment groups. There were no reports of Stevens-Johnson syndrome or toxic </w:t>
      </w:r>
      <w:r>
        <w:rPr>
          <w:rFonts w:cs="Times"/>
          <w:lang w:val="en-US"/>
        </w:rPr>
        <w:t xml:space="preserve">epidermal </w:t>
      </w:r>
      <w:r w:rsidRPr="00BF21DD">
        <w:rPr>
          <w:rFonts w:cs="Times"/>
          <w:lang w:val="en-US"/>
        </w:rPr>
        <w:t>necrolysis.</w:t>
      </w:r>
    </w:p>
    <w:p w:rsidR="00AA6B20" w:rsidRDefault="002928AB" w:rsidP="002928AB">
      <w:pPr>
        <w:rPr>
          <w:lang w:val="en-US"/>
        </w:rPr>
      </w:pPr>
      <w:r w:rsidRPr="00BF21DD">
        <w:rPr>
          <w:lang w:val="en-US"/>
        </w:rPr>
        <w:t xml:space="preserve">No </w:t>
      </w:r>
      <w:r w:rsidR="003A59CB" w:rsidRPr="002A0433">
        <w:rPr>
          <w:lang w:val="en-US"/>
        </w:rPr>
        <w:t>S</w:t>
      </w:r>
      <w:r w:rsidRPr="002A0433">
        <w:rPr>
          <w:lang w:val="en-US"/>
        </w:rPr>
        <w:t>kin or subcutaneous tissue disorders were reported as SAEs or resulted in death. Skin or subcutaneous tissue disorder</w:t>
      </w:r>
      <w:r w:rsidR="002A0433">
        <w:rPr>
          <w:lang w:val="en-US"/>
        </w:rPr>
        <w:t>s</w:t>
      </w:r>
      <w:r w:rsidRPr="00BF21DD">
        <w:rPr>
          <w:i/>
          <w:lang w:val="en-US"/>
        </w:rPr>
        <w:t xml:space="preserve"> </w:t>
      </w:r>
      <w:r w:rsidRPr="00BF21DD">
        <w:rPr>
          <w:lang w:val="en-US"/>
        </w:rPr>
        <w:t>leading to permanent treatment discontinuation were reported in 1 (0.5%) patient in the sarilumab group (dermatitis allergic) and no patients in the adalimumab group.</w:t>
      </w:r>
    </w:p>
    <w:p w:rsidR="002928AB" w:rsidRPr="00B55A4D" w:rsidRDefault="002928AB" w:rsidP="00B55A4D">
      <w:pPr>
        <w:pStyle w:val="Heading5"/>
      </w:pPr>
      <w:r>
        <w:rPr>
          <w:lang w:val="en-US"/>
        </w:rPr>
        <w:t>Other laboratory assessments (haemato</w:t>
      </w:r>
      <w:r w:rsidR="00B55A4D">
        <w:rPr>
          <w:lang w:val="en-US"/>
        </w:rPr>
        <w:t>logical and clinical chemistry)</w:t>
      </w:r>
    </w:p>
    <w:p w:rsidR="00AA6B20" w:rsidRDefault="002928AB" w:rsidP="002928AB">
      <w:pPr>
        <w:rPr>
          <w:lang w:val="en-US"/>
        </w:rPr>
      </w:pPr>
      <w:r>
        <w:rPr>
          <w:lang w:val="en-US"/>
        </w:rPr>
        <w:t xml:space="preserve">The normal range for haemoglobin in the study was 116 to 164 g/L. Increases in mean hemoglobin were observed at all time points in the sarilumab group compared with the adalimumab group. At Week 24, a mean increase of 6.0 g/L from baseline was observed in the sarilumab group, compared with a mean increase of 1.1 g/L in the adalimumab group. The mean values of haemoglobin remained within the normal range in both treatment groups from baseline through to Week 24. The proportion of patients with haemoglobin </w:t>
      </w:r>
      <w:r>
        <w:rPr>
          <w:lang w:val="en-US"/>
        </w:rPr>
        <w:lastRenderedPageBreak/>
        <w:t xml:space="preserve">values </w:t>
      </w:r>
      <w:r w:rsidR="00DD5BCE">
        <w:rPr>
          <w:lang w:val="en-US"/>
        </w:rPr>
        <w:t>≤</w:t>
      </w:r>
      <w:r w:rsidR="007C7C62">
        <w:rPr>
          <w:lang w:val="en-US"/>
        </w:rPr>
        <w:t xml:space="preserve"> </w:t>
      </w:r>
      <w:r>
        <w:rPr>
          <w:lang w:val="en-US"/>
        </w:rPr>
        <w:t xml:space="preserve">115 g/L (male) or </w:t>
      </w:r>
      <w:r w:rsidR="00DD5BCE">
        <w:rPr>
          <w:lang w:val="en-US"/>
        </w:rPr>
        <w:t>≤</w:t>
      </w:r>
      <w:r w:rsidR="007C7C62">
        <w:rPr>
          <w:lang w:val="en-US"/>
        </w:rPr>
        <w:t xml:space="preserve"> </w:t>
      </w:r>
      <w:r>
        <w:rPr>
          <w:lang w:val="en-US"/>
        </w:rPr>
        <w:t xml:space="preserve">95 g/L (female) was greater in the adalimumab group than in the sarilumab group (6.5%, </w:t>
      </w:r>
      <w:r w:rsidR="007C7C62">
        <w:rPr>
          <w:lang w:val="en-US"/>
        </w:rPr>
        <w:t xml:space="preserve">n = </w:t>
      </w:r>
      <w:r>
        <w:rPr>
          <w:lang w:val="en-US"/>
        </w:rPr>
        <w:t>12</w:t>
      </w:r>
      <w:r w:rsidR="003D2290">
        <w:rPr>
          <w:lang w:val="en-US"/>
        </w:rPr>
        <w:t xml:space="preserve"> versus </w:t>
      </w:r>
      <w:r>
        <w:rPr>
          <w:lang w:val="en-US"/>
        </w:rPr>
        <w:t xml:space="preserve">3.8%, </w:t>
      </w:r>
      <w:r w:rsidR="007C7C62">
        <w:rPr>
          <w:lang w:val="en-US"/>
        </w:rPr>
        <w:t xml:space="preserve">n = </w:t>
      </w:r>
      <w:r>
        <w:rPr>
          <w:lang w:val="en-US"/>
        </w:rPr>
        <w:t xml:space="preserve">7, respectively). The proportion of patients with decrease in hemoglobin from baseline </w:t>
      </w:r>
      <w:r w:rsidR="00DD5BCE">
        <w:t>≥</w:t>
      </w:r>
      <w:r w:rsidR="007C7C62">
        <w:t xml:space="preserve"> </w:t>
      </w:r>
      <w:r>
        <w:rPr>
          <w:lang w:val="en-US"/>
        </w:rPr>
        <w:t xml:space="preserve">20 g/L was identical in both treatment groups (2.7%, </w:t>
      </w:r>
      <w:r w:rsidR="007C7C62">
        <w:rPr>
          <w:lang w:val="en-US"/>
        </w:rPr>
        <w:t xml:space="preserve">n = </w:t>
      </w:r>
      <w:r>
        <w:rPr>
          <w:lang w:val="en-US"/>
        </w:rPr>
        <w:t>5).</w:t>
      </w:r>
    </w:p>
    <w:p w:rsidR="00AA6B20" w:rsidRDefault="002928AB" w:rsidP="002928AB">
      <w:pPr>
        <w:rPr>
          <w:lang w:val="en-US"/>
        </w:rPr>
      </w:pPr>
      <w:r>
        <w:rPr>
          <w:lang w:val="en-US"/>
        </w:rPr>
        <w:t>No abnormalities of note were observed in the other laboratory assessments.</w:t>
      </w:r>
    </w:p>
    <w:p w:rsidR="002928AB" w:rsidRDefault="002928AB" w:rsidP="003A59CB">
      <w:pPr>
        <w:pStyle w:val="Heading5"/>
        <w:rPr>
          <w:lang w:val="en-US"/>
        </w:rPr>
      </w:pPr>
      <w:r>
        <w:rPr>
          <w:lang w:val="en-US"/>
        </w:rPr>
        <w:t xml:space="preserve">Vital signs </w:t>
      </w:r>
      <w:r w:rsidR="00731143">
        <w:rPr>
          <w:lang w:val="en-US"/>
        </w:rPr>
        <w:t xml:space="preserve">in </w:t>
      </w:r>
      <w:r w:rsidR="00B55A4D">
        <w:rPr>
          <w:lang w:val="en-US"/>
        </w:rPr>
        <w:t>S</w:t>
      </w:r>
      <w:r>
        <w:rPr>
          <w:lang w:val="en-US"/>
        </w:rPr>
        <w:t>tudy EFC14092</w:t>
      </w:r>
      <w:r w:rsidR="00731143">
        <w:t>/</w:t>
      </w:r>
      <w:r w:rsidR="001F3EAD">
        <w:t>MONARCH</w:t>
      </w:r>
      <w:r w:rsidR="00731143">
        <w:t xml:space="preserve"> trial</w:t>
      </w:r>
    </w:p>
    <w:p w:rsidR="00AA6B20" w:rsidRDefault="002928AB" w:rsidP="002928AB">
      <w:pPr>
        <w:rPr>
          <w:lang w:val="en-US"/>
        </w:rPr>
      </w:pPr>
      <w:r>
        <w:rPr>
          <w:lang w:val="en-US"/>
        </w:rPr>
        <w:t>There were no marked differences between the two treatment groups in the proportion of patients with potentially significant clinical significant abnormalities in vital signs</w:t>
      </w:r>
      <w:r w:rsidR="003A59CB">
        <w:rPr>
          <w:lang w:val="en-US"/>
        </w:rPr>
        <w:t>.</w:t>
      </w:r>
    </w:p>
    <w:p w:rsidR="00AA6B20" w:rsidRDefault="002928AB" w:rsidP="003A59CB">
      <w:pPr>
        <w:pStyle w:val="Heading5"/>
        <w:rPr>
          <w:lang w:val="en-US"/>
        </w:rPr>
      </w:pPr>
      <w:r>
        <w:rPr>
          <w:lang w:val="en-US"/>
        </w:rPr>
        <w:t xml:space="preserve">Immunogenicity </w:t>
      </w:r>
      <w:r w:rsidR="00731143">
        <w:rPr>
          <w:lang w:val="en-US"/>
        </w:rPr>
        <w:t xml:space="preserve">in </w:t>
      </w:r>
      <w:r w:rsidR="00B55A4D">
        <w:rPr>
          <w:lang w:val="en-US"/>
        </w:rPr>
        <w:t>S</w:t>
      </w:r>
      <w:r>
        <w:rPr>
          <w:lang w:val="en-US"/>
        </w:rPr>
        <w:t>tudy EFC14092</w:t>
      </w:r>
      <w:r w:rsidR="00731143">
        <w:rPr>
          <w:lang w:val="en-US"/>
        </w:rPr>
        <w:t>/</w:t>
      </w:r>
      <w:r w:rsidR="001F3EAD">
        <w:t>MONARCH</w:t>
      </w:r>
      <w:r w:rsidR="00731143">
        <w:t xml:space="preserve"> trial</w:t>
      </w:r>
    </w:p>
    <w:p w:rsidR="00AA6B20" w:rsidRDefault="002928AB" w:rsidP="002928AB">
      <w:pPr>
        <w:rPr>
          <w:lang w:val="en-US"/>
        </w:rPr>
      </w:pPr>
      <w:r>
        <w:rPr>
          <w:lang w:val="en-US"/>
        </w:rPr>
        <w:t xml:space="preserve">ADA was assessed for patients in the sarilumab group in order to explore the potential association between ADA positivity and clinical outcomes. A total of 184 patients had ADA results available. At baseline, 98.9% (174/176) of patients had an ADA negative sample and 1.1% (2/176) of patients had an ADA positive sample (both </w:t>
      </w:r>
      <w:r w:rsidR="007A4EEA">
        <w:rPr>
          <w:lang w:val="en-US"/>
        </w:rPr>
        <w:t>neutralising antibody (</w:t>
      </w:r>
      <w:r>
        <w:rPr>
          <w:lang w:val="en-US"/>
        </w:rPr>
        <w:t>N</w:t>
      </w:r>
      <w:r w:rsidR="007A4EEA">
        <w:rPr>
          <w:lang w:val="en-US"/>
        </w:rPr>
        <w:t>a</w:t>
      </w:r>
      <w:r>
        <w:rPr>
          <w:lang w:val="en-US"/>
        </w:rPr>
        <w:t>b</w:t>
      </w:r>
      <w:r w:rsidR="007A4EEA">
        <w:rPr>
          <w:lang w:val="en-US"/>
        </w:rPr>
        <w:t>)</w:t>
      </w:r>
      <w:r>
        <w:rPr>
          <w:lang w:val="en-US"/>
        </w:rPr>
        <w:t xml:space="preserve"> negative). Of the 184 patients with available ADA results, 13 (7.1%) were treatment-emergent ADA positive, including 5 (2.7%) with a persistent ADA positive response (all </w:t>
      </w:r>
      <w:proofErr w:type="spellStart"/>
      <w:r>
        <w:rPr>
          <w:lang w:val="en-US"/>
        </w:rPr>
        <w:t>NAb</w:t>
      </w:r>
      <w:proofErr w:type="spellEnd"/>
      <w:r>
        <w:rPr>
          <w:lang w:val="en-US"/>
        </w:rPr>
        <w:t xml:space="preserve"> negative) and 8 (4.3%) with a transient ADA positive response (all </w:t>
      </w:r>
      <w:proofErr w:type="spellStart"/>
      <w:r>
        <w:rPr>
          <w:lang w:val="en-US"/>
        </w:rPr>
        <w:t>NAb</w:t>
      </w:r>
      <w:proofErr w:type="spellEnd"/>
      <w:r>
        <w:rPr>
          <w:lang w:val="en-US"/>
        </w:rPr>
        <w:t xml:space="preserve"> negative).</w:t>
      </w:r>
    </w:p>
    <w:p w:rsidR="00AA6B20" w:rsidRDefault="002928AB" w:rsidP="002928AB">
      <w:pPr>
        <w:rPr>
          <w:lang w:val="en-US"/>
        </w:rPr>
      </w:pPr>
      <w:proofErr w:type="gramStart"/>
      <w:r>
        <w:rPr>
          <w:lang w:val="en-US"/>
        </w:rPr>
        <w:t xml:space="preserve">None of the 13 patients who were ADA positive discontinued treatment </w:t>
      </w:r>
      <w:r w:rsidR="00F549B4">
        <w:rPr>
          <w:lang w:val="en-US"/>
        </w:rPr>
        <w:t>from</w:t>
      </w:r>
      <w:r>
        <w:rPr>
          <w:lang w:val="en-US"/>
        </w:rPr>
        <w:t xml:space="preserve"> </w:t>
      </w:r>
      <w:r w:rsidR="003A59CB">
        <w:rPr>
          <w:lang w:val="en-US"/>
        </w:rPr>
        <w:t xml:space="preserve">a </w:t>
      </w:r>
      <w:r>
        <w:rPr>
          <w:lang w:val="en-US"/>
        </w:rPr>
        <w:t>lack or loss of efficacy.</w:t>
      </w:r>
      <w:proofErr w:type="gramEnd"/>
      <w:r>
        <w:rPr>
          <w:lang w:val="en-US"/>
        </w:rPr>
        <w:t xml:space="preserve"> Of the 13 patients who were ADA positive, 3 (23.1%) had a hypersensitivity reaction compared with 7 (4.1%) of the 171 patients who were ADA negative. The hypersensitivity reactions in the 3 ADA positive (transient) patients were described as mild, localised rashes and recovery occurred without treatment interruption or discontinuation.</w:t>
      </w:r>
      <w:r w:rsidRPr="00B15ABA">
        <w:rPr>
          <w:lang w:val="en-US"/>
        </w:rPr>
        <w:t xml:space="preserve"> </w:t>
      </w:r>
      <w:r>
        <w:rPr>
          <w:lang w:val="en-US"/>
        </w:rPr>
        <w:t xml:space="preserve">The sponsor stated that there was no evidence of a direct relationship between </w:t>
      </w:r>
      <w:r w:rsidRPr="00BF21DD">
        <w:rPr>
          <w:lang w:val="en-US"/>
        </w:rPr>
        <w:t xml:space="preserve">ADA formation and </w:t>
      </w:r>
      <w:r>
        <w:rPr>
          <w:lang w:val="en-US"/>
        </w:rPr>
        <w:t xml:space="preserve">rash. </w:t>
      </w:r>
      <w:r w:rsidRPr="00BF21DD">
        <w:rPr>
          <w:lang w:val="en-US"/>
        </w:rPr>
        <w:t>There were no reported cases of anaphylaxis.</w:t>
      </w:r>
    </w:p>
    <w:p w:rsidR="00AA6B20" w:rsidRDefault="002928AB" w:rsidP="003A59CB">
      <w:pPr>
        <w:pStyle w:val="Heading5"/>
        <w:rPr>
          <w:lang w:val="en-US"/>
        </w:rPr>
      </w:pPr>
      <w:r>
        <w:rPr>
          <w:lang w:val="en-US"/>
        </w:rPr>
        <w:t xml:space="preserve">Safety in special groups </w:t>
      </w:r>
      <w:r w:rsidR="00484992">
        <w:rPr>
          <w:lang w:val="en-US"/>
        </w:rPr>
        <w:t xml:space="preserve">in </w:t>
      </w:r>
      <w:r w:rsidR="003A59CB">
        <w:rPr>
          <w:lang w:val="en-US"/>
        </w:rPr>
        <w:t xml:space="preserve">Study </w:t>
      </w:r>
      <w:r>
        <w:rPr>
          <w:lang w:val="en-US"/>
        </w:rPr>
        <w:t>EFC14092</w:t>
      </w:r>
      <w:r w:rsidR="00484992">
        <w:rPr>
          <w:lang w:val="en-US"/>
        </w:rPr>
        <w:t>/</w:t>
      </w:r>
      <w:r w:rsidR="001F3EAD">
        <w:t>MONARCH</w:t>
      </w:r>
      <w:r w:rsidR="00484992">
        <w:t xml:space="preserve"> trial</w:t>
      </w:r>
    </w:p>
    <w:p w:rsidR="00AA6B20" w:rsidRDefault="002928AB" w:rsidP="002928AB">
      <w:pPr>
        <w:rPr>
          <w:lang w:val="en-US"/>
        </w:rPr>
      </w:pPr>
      <w:r>
        <w:rPr>
          <w:lang w:val="en-US"/>
        </w:rPr>
        <w:t>There were no data in the CSR exploring safety of sarilumab 200 mg q2w in special groups (</w:t>
      </w:r>
      <w:r w:rsidR="003A59CB">
        <w:rPr>
          <w:lang w:val="en-US"/>
        </w:rPr>
        <w:t>such as</w:t>
      </w:r>
      <w:r>
        <w:rPr>
          <w:lang w:val="en-US"/>
        </w:rPr>
        <w:t xml:space="preserve"> age, gender, race, hepatic impairment</w:t>
      </w:r>
      <w:r w:rsidR="003A59CB">
        <w:rPr>
          <w:lang w:val="en-US"/>
        </w:rPr>
        <w:t xml:space="preserve"> or</w:t>
      </w:r>
      <w:r>
        <w:rPr>
          <w:lang w:val="en-US"/>
        </w:rPr>
        <w:t xml:space="preserve"> renal impairment).</w:t>
      </w:r>
    </w:p>
    <w:p w:rsidR="00605AD4" w:rsidRDefault="00FD15F9" w:rsidP="00605AD4">
      <w:pPr>
        <w:pStyle w:val="Heading4"/>
      </w:pPr>
      <w:r w:rsidRPr="00605AD4">
        <w:t>Post marketing</w:t>
      </w:r>
      <w:r w:rsidR="00605AD4" w:rsidRPr="00605AD4">
        <w:t xml:space="preserve"> data</w:t>
      </w:r>
    </w:p>
    <w:p w:rsidR="002928AB" w:rsidRPr="002928AB" w:rsidRDefault="002928AB" w:rsidP="002928AB">
      <w:r>
        <w:t>Not applicable.</w:t>
      </w:r>
      <w:r w:rsidR="003A59CB">
        <w:t xml:space="preserve"> This is an application to register a new biological entity.</w:t>
      </w:r>
    </w:p>
    <w:p w:rsidR="00605AD4" w:rsidRPr="00605AD4" w:rsidRDefault="00605AD4" w:rsidP="00605AD4">
      <w:pPr>
        <w:pStyle w:val="Heading4"/>
      </w:pPr>
      <w:r w:rsidRPr="00605AD4">
        <w:t>Evaluator’s conclusions on safety</w:t>
      </w:r>
    </w:p>
    <w:p w:rsidR="00AA6B20" w:rsidRDefault="002928AB" w:rsidP="002928AB">
      <w:r w:rsidRPr="00DD3985">
        <w:t>The safety of sarilumab 200 mg q2w as monotherapy for the treatment of RA has been adequately demonstrated in the piv</w:t>
      </w:r>
      <w:r>
        <w:t xml:space="preserve">otal </w:t>
      </w:r>
      <w:r w:rsidR="001470FB">
        <w:t>Phase III</w:t>
      </w:r>
      <w:r>
        <w:t xml:space="preserve"> </w:t>
      </w:r>
      <w:r w:rsidR="00894642">
        <w:t>Study EFC</w:t>
      </w:r>
      <w:r>
        <w:t>14092</w:t>
      </w:r>
      <w:r w:rsidR="00484992">
        <w:t>/</w:t>
      </w:r>
      <w:r w:rsidR="001F3EAD">
        <w:t>MONARCH</w:t>
      </w:r>
      <w:r w:rsidR="00484992">
        <w:t xml:space="preserve"> trial</w:t>
      </w:r>
      <w:r>
        <w:t xml:space="preserve">, and is </w:t>
      </w:r>
      <w:r w:rsidRPr="00DD3985">
        <w:t xml:space="preserve">supported by the data </w:t>
      </w:r>
      <w:r>
        <w:t xml:space="preserve">from </w:t>
      </w:r>
      <w:r w:rsidRPr="00DD3985">
        <w:t xml:space="preserve">the sarilumab any dose group in </w:t>
      </w:r>
      <w:r>
        <w:t>the integrated monotherapy safety analysis provided in Pool 3.</w:t>
      </w:r>
    </w:p>
    <w:p w:rsidR="00AA6B20" w:rsidRDefault="002928AB" w:rsidP="002928AB">
      <w:pPr>
        <w:rPr>
          <w:lang w:val="en-US"/>
        </w:rPr>
      </w:pPr>
      <w:r>
        <w:t xml:space="preserve">In the pivotal </w:t>
      </w:r>
      <w:r w:rsidR="001470FB">
        <w:t>Phase III</w:t>
      </w:r>
      <w:r w:rsidRPr="00DD3985">
        <w:t xml:space="preserve"> study, </w:t>
      </w:r>
      <w:r>
        <w:t xml:space="preserve">the safety of </w:t>
      </w:r>
      <w:r w:rsidRPr="00DD3985">
        <w:t>sarilumab 200 mg q2w (</w:t>
      </w:r>
      <w:r w:rsidR="007C7C62">
        <w:t xml:space="preserve">n = </w:t>
      </w:r>
      <w:r w:rsidRPr="00DD3985">
        <w:t xml:space="preserve">184) was compared with </w:t>
      </w:r>
      <w:r>
        <w:t xml:space="preserve">the safety of </w:t>
      </w:r>
      <w:r w:rsidRPr="00DD3985">
        <w:t>adalimumab 40 mg q2w (</w:t>
      </w:r>
      <w:r w:rsidR="007C7C62">
        <w:t xml:space="preserve">n = </w:t>
      </w:r>
      <w:r w:rsidRPr="00DD3985">
        <w:t>18</w:t>
      </w:r>
      <w:r>
        <w:t>4</w:t>
      </w:r>
      <w:r w:rsidRPr="00DD3985">
        <w:t>) in a 24-week, randomised, double</w:t>
      </w:r>
      <w:r w:rsidR="00484992">
        <w:t xml:space="preserve"> </w:t>
      </w:r>
      <w:r w:rsidRPr="00DD3985">
        <w:t xml:space="preserve">blind, double-dummy, </w:t>
      </w:r>
      <w:r>
        <w:t>treatment</w:t>
      </w:r>
      <w:r w:rsidRPr="00DD3985">
        <w:t xml:space="preserve"> period. </w:t>
      </w:r>
      <w:r>
        <w:t xml:space="preserve">Total </w:t>
      </w:r>
      <w:r w:rsidRPr="00DD3985">
        <w:rPr>
          <w:lang w:val="en-US"/>
        </w:rPr>
        <w:t xml:space="preserve">exposure was 78.7 </w:t>
      </w:r>
      <w:r w:rsidR="00A6301B">
        <w:rPr>
          <w:lang w:val="en-US"/>
        </w:rPr>
        <w:t>PY</w:t>
      </w:r>
      <w:r w:rsidRPr="00DD3985">
        <w:rPr>
          <w:lang w:val="en-US"/>
        </w:rPr>
        <w:t xml:space="preserve"> in the sarilumab group and 77.3 </w:t>
      </w:r>
      <w:r w:rsidR="00A6301B">
        <w:rPr>
          <w:lang w:val="en-US"/>
        </w:rPr>
        <w:t>PY</w:t>
      </w:r>
      <w:r w:rsidRPr="00DD3985">
        <w:rPr>
          <w:lang w:val="en-US"/>
        </w:rPr>
        <w:t xml:space="preserve"> in the adalimumab group. The m</w:t>
      </w:r>
      <w:r>
        <w:rPr>
          <w:lang w:val="en-US"/>
        </w:rPr>
        <w:t xml:space="preserve">edian duration of treatment was </w:t>
      </w:r>
      <w:r w:rsidRPr="00DD3985">
        <w:rPr>
          <w:lang w:val="en-US"/>
        </w:rPr>
        <w:t>168</w:t>
      </w:r>
      <w:r w:rsidR="00484992">
        <w:rPr>
          <w:lang w:val="en-US"/>
        </w:rPr>
        <w:t> </w:t>
      </w:r>
      <w:r w:rsidRPr="00DD3985">
        <w:rPr>
          <w:lang w:val="en-US"/>
        </w:rPr>
        <w:t xml:space="preserve">days in both the </w:t>
      </w:r>
      <w:r>
        <w:rPr>
          <w:lang w:val="en-US"/>
        </w:rPr>
        <w:t xml:space="preserve">sarilumab group (range: 14, 175 days) and the </w:t>
      </w:r>
      <w:r w:rsidRPr="00DD3985">
        <w:rPr>
          <w:lang w:val="en-US"/>
        </w:rPr>
        <w:t>adalimu</w:t>
      </w:r>
      <w:r>
        <w:rPr>
          <w:lang w:val="en-US"/>
        </w:rPr>
        <w:t xml:space="preserve">mab group (range: 14, 178 days). </w:t>
      </w:r>
      <w:r w:rsidRPr="00DD3985">
        <w:rPr>
          <w:lang w:val="en-US"/>
        </w:rPr>
        <w:t xml:space="preserve">In the sarilumab group, 165 (89.7%) patients were treated for </w:t>
      </w:r>
      <w:r w:rsidR="00DD5BCE">
        <w:t>&gt;</w:t>
      </w:r>
      <w:r w:rsidR="00FD15F9">
        <w:t> </w:t>
      </w:r>
      <w:r w:rsidRPr="00DD3985">
        <w:rPr>
          <w:lang w:val="en-US"/>
        </w:rPr>
        <w:t>20</w:t>
      </w:r>
      <w:r w:rsidR="00FD15F9">
        <w:rPr>
          <w:lang w:val="en-US"/>
        </w:rPr>
        <w:t> </w:t>
      </w:r>
      <w:r w:rsidRPr="00DD3985">
        <w:rPr>
          <w:lang w:val="en-US"/>
        </w:rPr>
        <w:t xml:space="preserve">weeks and 28 (15.2%) </w:t>
      </w:r>
      <w:r>
        <w:rPr>
          <w:lang w:val="en-US"/>
        </w:rPr>
        <w:t xml:space="preserve">patients for </w:t>
      </w:r>
      <w:r w:rsidR="00DD5BCE">
        <w:t>&gt;</w:t>
      </w:r>
      <w:r w:rsidR="007C7C62">
        <w:t xml:space="preserve"> </w:t>
      </w:r>
      <w:r>
        <w:rPr>
          <w:lang w:val="en-US"/>
        </w:rPr>
        <w:t xml:space="preserve">24 weeks and in </w:t>
      </w:r>
      <w:r w:rsidRPr="00DD3985">
        <w:rPr>
          <w:lang w:val="en-US"/>
        </w:rPr>
        <w:t xml:space="preserve">the adalimumab group, 160 (87.0%) patients were treated for </w:t>
      </w:r>
      <w:r w:rsidR="00DD5BCE">
        <w:t>&gt;</w:t>
      </w:r>
      <w:r w:rsidR="007C7C62">
        <w:t xml:space="preserve"> </w:t>
      </w:r>
      <w:r w:rsidRPr="00DD3985">
        <w:rPr>
          <w:lang w:val="en-US"/>
        </w:rPr>
        <w:t>20 week</w:t>
      </w:r>
      <w:r>
        <w:rPr>
          <w:lang w:val="en-US"/>
        </w:rPr>
        <w:t xml:space="preserve">s and 22 (12.0%) patients were treated for </w:t>
      </w:r>
      <w:r w:rsidR="00DD5BCE">
        <w:t>&gt;</w:t>
      </w:r>
      <w:r w:rsidR="00FD15F9">
        <w:t> </w:t>
      </w:r>
      <w:r>
        <w:rPr>
          <w:lang w:val="en-US"/>
        </w:rPr>
        <w:t>24</w:t>
      </w:r>
      <w:r w:rsidR="00484992">
        <w:rPr>
          <w:lang w:val="en-US"/>
        </w:rPr>
        <w:t> </w:t>
      </w:r>
      <w:r>
        <w:rPr>
          <w:lang w:val="en-US"/>
        </w:rPr>
        <w:t>weeks.</w:t>
      </w:r>
    </w:p>
    <w:p w:rsidR="00AA6B20" w:rsidRDefault="002928AB" w:rsidP="002928AB">
      <w:pPr>
        <w:autoSpaceDE w:val="0"/>
        <w:autoSpaceDN w:val="0"/>
        <w:adjustRightInd w:val="0"/>
        <w:spacing w:before="0" w:after="0" w:line="240" w:lineRule="auto"/>
        <w:rPr>
          <w:rFonts w:asciiTheme="minorHAnsi" w:hAnsiTheme="minorHAnsi"/>
          <w:lang w:val="en-US"/>
        </w:rPr>
      </w:pPr>
      <w:r w:rsidRPr="006609A4">
        <w:rPr>
          <w:rFonts w:asciiTheme="minorHAnsi" w:eastAsiaTheme="minorHAnsi" w:hAnsiTheme="minorHAnsi" w:cs="ArialNarrow"/>
        </w:rPr>
        <w:t xml:space="preserve">At the </w:t>
      </w:r>
      <w:r>
        <w:rPr>
          <w:rFonts w:asciiTheme="minorHAnsi" w:eastAsiaTheme="minorHAnsi" w:hAnsiTheme="minorHAnsi" w:cs="ArialNarrow"/>
        </w:rPr>
        <w:t xml:space="preserve">Week 16 or 20 visit adalimumab or </w:t>
      </w:r>
      <w:r w:rsidRPr="006609A4">
        <w:rPr>
          <w:rFonts w:asciiTheme="minorHAnsi" w:eastAsiaTheme="minorHAnsi" w:hAnsiTheme="minorHAnsi" w:cs="ArialNarrow"/>
        </w:rPr>
        <w:t xml:space="preserve">matching placebo may </w:t>
      </w:r>
      <w:r>
        <w:rPr>
          <w:rFonts w:asciiTheme="minorHAnsi" w:eastAsiaTheme="minorHAnsi" w:hAnsiTheme="minorHAnsi" w:cs="ArialNarrow"/>
        </w:rPr>
        <w:t xml:space="preserve">have </w:t>
      </w:r>
      <w:r w:rsidRPr="006609A4">
        <w:rPr>
          <w:rFonts w:asciiTheme="minorHAnsi" w:eastAsiaTheme="minorHAnsi" w:hAnsiTheme="minorHAnsi" w:cs="ArialNarrow"/>
        </w:rPr>
        <w:t>be</w:t>
      </w:r>
      <w:r>
        <w:rPr>
          <w:rFonts w:asciiTheme="minorHAnsi" w:eastAsiaTheme="minorHAnsi" w:hAnsiTheme="minorHAnsi" w:cs="ArialNarrow"/>
        </w:rPr>
        <w:t>en</w:t>
      </w:r>
      <w:r w:rsidRPr="006609A4">
        <w:rPr>
          <w:rFonts w:asciiTheme="minorHAnsi" w:eastAsiaTheme="minorHAnsi" w:hAnsiTheme="minorHAnsi" w:cs="ArialNarrow"/>
        </w:rPr>
        <w:t xml:space="preserve"> increased to 40 mg every week in case of patients with lack of efficacy defined as less than 20% improvement from baseline in </w:t>
      </w:r>
      <w:r w:rsidR="007A4EEA">
        <w:rPr>
          <w:rFonts w:asciiTheme="minorHAnsi" w:eastAsiaTheme="minorHAnsi" w:hAnsiTheme="minorHAnsi" w:cs="ArialNarrow"/>
        </w:rPr>
        <w:t>s</w:t>
      </w:r>
      <w:r w:rsidR="007A4EEA" w:rsidRPr="00FC3594">
        <w:rPr>
          <w:rFonts w:eastAsia="TimesNewRoman"/>
        </w:rPr>
        <w:t>wollen joint count</w:t>
      </w:r>
      <w:r w:rsidR="007A4EEA" w:rsidRPr="006609A4">
        <w:rPr>
          <w:rFonts w:asciiTheme="minorHAnsi" w:eastAsiaTheme="minorHAnsi" w:hAnsiTheme="minorHAnsi" w:cs="ArialNarrow"/>
        </w:rPr>
        <w:t xml:space="preserve"> </w:t>
      </w:r>
      <w:r w:rsidR="007A4EEA">
        <w:rPr>
          <w:rFonts w:asciiTheme="minorHAnsi" w:eastAsiaTheme="minorHAnsi" w:hAnsiTheme="minorHAnsi" w:cs="ArialNarrow"/>
        </w:rPr>
        <w:t>(</w:t>
      </w:r>
      <w:r w:rsidRPr="006609A4">
        <w:rPr>
          <w:rFonts w:asciiTheme="minorHAnsi" w:eastAsiaTheme="minorHAnsi" w:hAnsiTheme="minorHAnsi" w:cs="ArialNarrow"/>
        </w:rPr>
        <w:t>SJC</w:t>
      </w:r>
      <w:r w:rsidR="007A4EEA">
        <w:rPr>
          <w:rFonts w:asciiTheme="minorHAnsi" w:eastAsiaTheme="minorHAnsi" w:hAnsiTheme="minorHAnsi" w:cs="ArialNarrow"/>
        </w:rPr>
        <w:t>)</w:t>
      </w:r>
      <w:r w:rsidRPr="006609A4">
        <w:rPr>
          <w:rFonts w:asciiTheme="minorHAnsi" w:eastAsiaTheme="minorHAnsi" w:hAnsiTheme="minorHAnsi" w:cs="ArialNarrow"/>
        </w:rPr>
        <w:t xml:space="preserve"> and </w:t>
      </w:r>
      <w:r w:rsidR="007A4EEA">
        <w:rPr>
          <w:rFonts w:asciiTheme="minorHAnsi" w:eastAsiaTheme="minorHAnsi" w:hAnsiTheme="minorHAnsi" w:cs="ArialNarrow"/>
        </w:rPr>
        <w:t>tender joint count (</w:t>
      </w:r>
      <w:r w:rsidRPr="006609A4">
        <w:rPr>
          <w:rFonts w:asciiTheme="minorHAnsi" w:eastAsiaTheme="minorHAnsi" w:hAnsiTheme="minorHAnsi" w:cs="ArialNarrow"/>
        </w:rPr>
        <w:t>TJC</w:t>
      </w:r>
      <w:r w:rsidR="007A4EEA">
        <w:rPr>
          <w:rFonts w:asciiTheme="minorHAnsi" w:eastAsiaTheme="minorHAnsi" w:hAnsiTheme="minorHAnsi" w:cs="ArialNarrow"/>
        </w:rPr>
        <w:t>)</w:t>
      </w:r>
      <w:r w:rsidRPr="006609A4">
        <w:rPr>
          <w:rFonts w:asciiTheme="minorHAnsi" w:eastAsiaTheme="minorHAnsi" w:hAnsiTheme="minorHAnsi" w:cs="ArialNarrow"/>
        </w:rPr>
        <w:t xml:space="preserve"> for </w:t>
      </w:r>
      <w:r w:rsidRPr="006609A4">
        <w:rPr>
          <w:rFonts w:asciiTheme="minorHAnsi" w:eastAsiaTheme="minorHAnsi" w:hAnsiTheme="minorHAnsi" w:cs="ArialNarrow"/>
        </w:rPr>
        <w:lastRenderedPageBreak/>
        <w:t>2</w:t>
      </w:r>
      <w:r w:rsidR="00484992">
        <w:rPr>
          <w:rFonts w:asciiTheme="minorHAnsi" w:eastAsiaTheme="minorHAnsi" w:hAnsiTheme="minorHAnsi" w:cs="ArialNarrow"/>
        </w:rPr>
        <w:t> </w:t>
      </w:r>
      <w:r w:rsidRPr="006609A4">
        <w:rPr>
          <w:rFonts w:asciiTheme="minorHAnsi" w:eastAsiaTheme="minorHAnsi" w:hAnsiTheme="minorHAnsi" w:cs="ArialNarrow"/>
        </w:rPr>
        <w:t>consecutive visits.</w:t>
      </w:r>
      <w:r>
        <w:rPr>
          <w:rFonts w:asciiTheme="minorHAnsi" w:eastAsiaTheme="minorHAnsi" w:hAnsiTheme="minorHAnsi" w:cs="ArialNarrow"/>
        </w:rPr>
        <w:t xml:space="preserve"> </w:t>
      </w:r>
      <w:r w:rsidRPr="006609A4">
        <w:rPr>
          <w:rFonts w:asciiTheme="minorHAnsi" w:hAnsiTheme="minorHAnsi"/>
          <w:lang w:val="en-US"/>
        </w:rPr>
        <w:t xml:space="preserve">In the adalimumab </w:t>
      </w:r>
      <w:r>
        <w:rPr>
          <w:rFonts w:asciiTheme="minorHAnsi" w:hAnsiTheme="minorHAnsi"/>
          <w:lang w:val="en-US"/>
        </w:rPr>
        <w:t xml:space="preserve">40 mg q2w </w:t>
      </w:r>
      <w:r w:rsidRPr="006609A4">
        <w:rPr>
          <w:rFonts w:asciiTheme="minorHAnsi" w:hAnsiTheme="minorHAnsi"/>
          <w:lang w:val="en-US"/>
        </w:rPr>
        <w:t xml:space="preserve">group, 16 (8.7%) patients had a dose increase to </w:t>
      </w:r>
      <w:r>
        <w:rPr>
          <w:rFonts w:asciiTheme="minorHAnsi" w:hAnsiTheme="minorHAnsi"/>
          <w:lang w:val="en-US"/>
        </w:rPr>
        <w:t xml:space="preserve">adalimumab </w:t>
      </w:r>
      <w:r w:rsidRPr="006609A4">
        <w:rPr>
          <w:rFonts w:asciiTheme="minorHAnsi" w:hAnsiTheme="minorHAnsi"/>
          <w:lang w:val="en-US"/>
        </w:rPr>
        <w:t xml:space="preserve">40 </w:t>
      </w:r>
      <w:r>
        <w:rPr>
          <w:rFonts w:asciiTheme="minorHAnsi" w:hAnsiTheme="minorHAnsi"/>
          <w:lang w:val="en-US"/>
        </w:rPr>
        <w:t xml:space="preserve">mg </w:t>
      </w:r>
      <w:proofErr w:type="spellStart"/>
      <w:r>
        <w:rPr>
          <w:rFonts w:asciiTheme="minorHAnsi" w:hAnsiTheme="minorHAnsi"/>
          <w:lang w:val="en-US"/>
        </w:rPr>
        <w:t>qw</w:t>
      </w:r>
      <w:proofErr w:type="spellEnd"/>
      <w:r>
        <w:rPr>
          <w:rFonts w:asciiTheme="minorHAnsi" w:hAnsiTheme="minorHAnsi"/>
          <w:lang w:val="en-US"/>
        </w:rPr>
        <w:t xml:space="preserve"> (</w:t>
      </w:r>
      <w:r w:rsidR="007C7C62">
        <w:rPr>
          <w:rFonts w:asciiTheme="minorHAnsi" w:hAnsiTheme="minorHAnsi"/>
          <w:lang w:val="en-US"/>
        </w:rPr>
        <w:t xml:space="preserve">n = </w:t>
      </w:r>
      <w:r>
        <w:rPr>
          <w:rFonts w:asciiTheme="minorHAnsi" w:hAnsiTheme="minorHAnsi"/>
          <w:lang w:val="en-US"/>
        </w:rPr>
        <w:t xml:space="preserve">15 </w:t>
      </w:r>
      <w:r w:rsidR="00484992">
        <w:rPr>
          <w:rFonts w:asciiTheme="minorHAnsi" w:hAnsiTheme="minorHAnsi"/>
          <w:lang w:val="en-US"/>
        </w:rPr>
        <w:t>(</w:t>
      </w:r>
      <w:r>
        <w:rPr>
          <w:rFonts w:asciiTheme="minorHAnsi" w:hAnsiTheme="minorHAnsi"/>
          <w:lang w:val="en-US"/>
        </w:rPr>
        <w:t>8.2</w:t>
      </w:r>
      <w:r w:rsidR="00484992">
        <w:rPr>
          <w:rFonts w:asciiTheme="minorHAnsi" w:hAnsiTheme="minorHAnsi"/>
          <w:lang w:val="en-US"/>
        </w:rPr>
        <w:t xml:space="preserve">%) </w:t>
      </w:r>
      <w:r>
        <w:rPr>
          <w:rFonts w:asciiTheme="minorHAnsi" w:hAnsiTheme="minorHAnsi"/>
          <w:lang w:val="en-US"/>
        </w:rPr>
        <w:t xml:space="preserve">at Week 16; </w:t>
      </w:r>
      <w:r w:rsidR="007C7C62">
        <w:rPr>
          <w:rFonts w:asciiTheme="minorHAnsi" w:hAnsiTheme="minorHAnsi"/>
          <w:lang w:val="en-US"/>
        </w:rPr>
        <w:t xml:space="preserve">n = </w:t>
      </w:r>
      <w:r w:rsidRPr="006609A4">
        <w:rPr>
          <w:rFonts w:asciiTheme="minorHAnsi" w:hAnsiTheme="minorHAnsi"/>
          <w:lang w:val="en-US"/>
        </w:rPr>
        <w:t xml:space="preserve">1 </w:t>
      </w:r>
      <w:r w:rsidR="00484992">
        <w:rPr>
          <w:rFonts w:asciiTheme="minorHAnsi" w:hAnsiTheme="minorHAnsi"/>
          <w:lang w:val="en-US"/>
        </w:rPr>
        <w:t>(</w:t>
      </w:r>
      <w:r w:rsidRPr="006609A4">
        <w:rPr>
          <w:rFonts w:asciiTheme="minorHAnsi" w:hAnsiTheme="minorHAnsi"/>
          <w:lang w:val="en-US"/>
        </w:rPr>
        <w:t>0.5%</w:t>
      </w:r>
      <w:r w:rsidR="00484992">
        <w:rPr>
          <w:rFonts w:asciiTheme="minorHAnsi" w:hAnsiTheme="minorHAnsi"/>
          <w:lang w:val="en-US"/>
        </w:rPr>
        <w:t>)</w:t>
      </w:r>
      <w:r w:rsidRPr="006609A4">
        <w:rPr>
          <w:rFonts w:asciiTheme="minorHAnsi" w:hAnsiTheme="minorHAnsi"/>
          <w:lang w:val="en-US"/>
        </w:rPr>
        <w:t xml:space="preserve"> at Week</w:t>
      </w:r>
      <w:r w:rsidR="00484992">
        <w:rPr>
          <w:rFonts w:asciiTheme="minorHAnsi" w:hAnsiTheme="minorHAnsi"/>
          <w:lang w:val="en-US"/>
        </w:rPr>
        <w:t> </w:t>
      </w:r>
      <w:r w:rsidRPr="006609A4">
        <w:rPr>
          <w:rFonts w:asciiTheme="minorHAnsi" w:hAnsiTheme="minorHAnsi"/>
          <w:lang w:val="en-US"/>
        </w:rPr>
        <w:t xml:space="preserve">20) compared </w:t>
      </w:r>
      <w:r>
        <w:rPr>
          <w:rFonts w:asciiTheme="minorHAnsi" w:hAnsiTheme="minorHAnsi"/>
          <w:lang w:val="en-US"/>
        </w:rPr>
        <w:t xml:space="preserve">with </w:t>
      </w:r>
      <w:r w:rsidRPr="006609A4">
        <w:rPr>
          <w:rFonts w:asciiTheme="minorHAnsi" w:hAnsiTheme="minorHAnsi"/>
          <w:lang w:val="en-US"/>
        </w:rPr>
        <w:t xml:space="preserve">8 (4.3%) patients with matched adalimumab placebo in the sarilumab 200 mg q2w group (all 8 </w:t>
      </w:r>
      <w:r w:rsidR="00484992">
        <w:rPr>
          <w:rFonts w:asciiTheme="minorHAnsi" w:hAnsiTheme="minorHAnsi"/>
          <w:lang w:val="en-US"/>
        </w:rPr>
        <w:t>(</w:t>
      </w:r>
      <w:r w:rsidRPr="006609A4">
        <w:rPr>
          <w:rFonts w:asciiTheme="minorHAnsi" w:hAnsiTheme="minorHAnsi"/>
          <w:lang w:val="en-US"/>
        </w:rPr>
        <w:t>4.3%</w:t>
      </w:r>
      <w:r w:rsidR="00484992">
        <w:rPr>
          <w:rFonts w:asciiTheme="minorHAnsi" w:hAnsiTheme="minorHAnsi"/>
          <w:lang w:val="en-US"/>
        </w:rPr>
        <w:t>)</w:t>
      </w:r>
      <w:r w:rsidRPr="006609A4">
        <w:rPr>
          <w:rFonts w:asciiTheme="minorHAnsi" w:hAnsiTheme="minorHAnsi"/>
          <w:lang w:val="en-US"/>
        </w:rPr>
        <w:t xml:space="preserve"> patients at Week 20</w:t>
      </w:r>
      <w:r>
        <w:rPr>
          <w:rFonts w:asciiTheme="minorHAnsi" w:hAnsiTheme="minorHAnsi"/>
          <w:lang w:val="en-US"/>
        </w:rPr>
        <w:t>)</w:t>
      </w:r>
      <w:r w:rsidRPr="006609A4">
        <w:rPr>
          <w:rFonts w:asciiTheme="minorHAnsi" w:hAnsiTheme="minorHAnsi"/>
          <w:lang w:val="en-US"/>
        </w:rPr>
        <w:t>.</w:t>
      </w:r>
    </w:p>
    <w:p w:rsidR="00AA6B20" w:rsidRDefault="002928AB" w:rsidP="002928AB">
      <w:pPr>
        <w:rPr>
          <w:lang w:val="en-US"/>
        </w:rPr>
      </w:pPr>
      <w:r w:rsidRPr="00DD3985">
        <w:rPr>
          <w:lang w:val="en-US"/>
        </w:rPr>
        <w:t xml:space="preserve">In the pivotal </w:t>
      </w:r>
      <w:r w:rsidR="001470FB">
        <w:rPr>
          <w:lang w:val="en-US"/>
        </w:rPr>
        <w:t>Phase III</w:t>
      </w:r>
      <w:r w:rsidRPr="00DD3985">
        <w:rPr>
          <w:lang w:val="en-US"/>
        </w:rPr>
        <w:t xml:space="preserve"> </w:t>
      </w:r>
      <w:r w:rsidR="00894642">
        <w:rPr>
          <w:lang w:val="en-US"/>
        </w:rPr>
        <w:t>Study EFC</w:t>
      </w:r>
      <w:r w:rsidRPr="00DD3985">
        <w:rPr>
          <w:lang w:val="en-US"/>
        </w:rPr>
        <w:t>14092</w:t>
      </w:r>
      <w:r w:rsidR="00845119">
        <w:rPr>
          <w:lang w:val="en-US"/>
        </w:rPr>
        <w:t>/</w:t>
      </w:r>
      <w:r w:rsidR="001F3EAD">
        <w:t>MONARCH</w:t>
      </w:r>
      <w:r w:rsidR="00845119">
        <w:t xml:space="preserve"> trial</w:t>
      </w:r>
      <w:r w:rsidRPr="00DD3985">
        <w:rPr>
          <w:lang w:val="en-US"/>
        </w:rPr>
        <w:t xml:space="preserve">, TEAEs </w:t>
      </w:r>
      <w:r>
        <w:rPr>
          <w:lang w:val="en-US"/>
        </w:rPr>
        <w:t xml:space="preserve">were </w:t>
      </w:r>
      <w:r w:rsidRPr="00DD3985">
        <w:rPr>
          <w:lang w:val="en-US"/>
        </w:rPr>
        <w:t xml:space="preserve">observed in </w:t>
      </w:r>
      <w:r>
        <w:rPr>
          <w:lang w:val="en-US"/>
        </w:rPr>
        <w:t xml:space="preserve">a similar proportion of patients in </w:t>
      </w:r>
      <w:r w:rsidRPr="00DD3985">
        <w:rPr>
          <w:lang w:val="en-US"/>
        </w:rPr>
        <w:t>the sarilumab 200 mg q2w and adali</w:t>
      </w:r>
      <w:r>
        <w:rPr>
          <w:lang w:val="en-US"/>
        </w:rPr>
        <w:t>mumab 40 mg q2w groups (64.1%</w:t>
      </w:r>
      <w:r w:rsidR="003D2290">
        <w:rPr>
          <w:lang w:val="en-US"/>
        </w:rPr>
        <w:t xml:space="preserve"> versus </w:t>
      </w:r>
      <w:r w:rsidRPr="00DD3985">
        <w:rPr>
          <w:lang w:val="en-US"/>
        </w:rPr>
        <w:t xml:space="preserve">63.6%, respectively), </w:t>
      </w:r>
      <w:r>
        <w:rPr>
          <w:lang w:val="en-US"/>
        </w:rPr>
        <w:t xml:space="preserve">as were treatment-emergent SAEs </w:t>
      </w:r>
      <w:r w:rsidRPr="00DD3985">
        <w:rPr>
          <w:lang w:val="en-US"/>
        </w:rPr>
        <w:t>(4.9%</w:t>
      </w:r>
      <w:r w:rsidR="003D2290">
        <w:rPr>
          <w:lang w:val="en-US"/>
        </w:rPr>
        <w:t xml:space="preserve"> versus </w:t>
      </w:r>
      <w:r w:rsidRPr="00DD3985">
        <w:rPr>
          <w:lang w:val="en-US"/>
        </w:rPr>
        <w:t xml:space="preserve">6.5%, respectively) </w:t>
      </w:r>
      <w:r>
        <w:rPr>
          <w:lang w:val="en-US"/>
        </w:rPr>
        <w:t>and</w:t>
      </w:r>
      <w:r w:rsidRPr="00DD3985">
        <w:rPr>
          <w:lang w:val="en-US"/>
        </w:rPr>
        <w:t xml:space="preserve"> TEAEs leading to permanent treatment discontinuation (</w:t>
      </w:r>
      <w:r>
        <w:rPr>
          <w:lang w:val="en-US"/>
        </w:rPr>
        <w:t>6.0%</w:t>
      </w:r>
      <w:r w:rsidR="003D2290">
        <w:rPr>
          <w:lang w:val="en-US"/>
        </w:rPr>
        <w:t xml:space="preserve"> versus </w:t>
      </w:r>
      <w:r w:rsidRPr="00DD3985">
        <w:rPr>
          <w:lang w:val="en-US"/>
        </w:rPr>
        <w:t>7.1% respectiv</w:t>
      </w:r>
      <w:r>
        <w:rPr>
          <w:lang w:val="en-US"/>
        </w:rPr>
        <w:t>e</w:t>
      </w:r>
      <w:r w:rsidRPr="00DD3985">
        <w:rPr>
          <w:lang w:val="en-US"/>
        </w:rPr>
        <w:t xml:space="preserve">ly). </w:t>
      </w:r>
      <w:r>
        <w:rPr>
          <w:lang w:val="en-US"/>
        </w:rPr>
        <w:t xml:space="preserve">TEAEs leading to </w:t>
      </w:r>
      <w:r w:rsidRPr="00DD3985">
        <w:rPr>
          <w:lang w:val="en-US"/>
        </w:rPr>
        <w:t xml:space="preserve">death </w:t>
      </w:r>
      <w:r>
        <w:rPr>
          <w:lang w:val="en-US"/>
        </w:rPr>
        <w:t>were reported in 1 (0.5%) patient in the sarilumab group (CV causes</w:t>
      </w:r>
      <w:r w:rsidRPr="00DD3985">
        <w:rPr>
          <w:lang w:val="en-US"/>
        </w:rPr>
        <w:t xml:space="preserve">) and no </w:t>
      </w:r>
      <w:r>
        <w:rPr>
          <w:lang w:val="en-US"/>
        </w:rPr>
        <w:t>patients</w:t>
      </w:r>
      <w:r w:rsidRPr="00DD3985">
        <w:rPr>
          <w:lang w:val="en-US"/>
        </w:rPr>
        <w:t xml:space="preserve"> in the adalimumab group.</w:t>
      </w:r>
    </w:p>
    <w:p w:rsidR="00AA6B20" w:rsidRDefault="002928AB" w:rsidP="002928AB">
      <w:pPr>
        <w:rPr>
          <w:lang w:val="en-US"/>
        </w:rPr>
      </w:pPr>
      <w:r w:rsidRPr="00DD3985">
        <w:rPr>
          <w:lang w:val="en-US"/>
        </w:rPr>
        <w:t xml:space="preserve">In the pivotal </w:t>
      </w:r>
      <w:r w:rsidR="001470FB">
        <w:rPr>
          <w:lang w:val="en-US"/>
        </w:rPr>
        <w:t>Phase III</w:t>
      </w:r>
      <w:r w:rsidRPr="00DD3985">
        <w:rPr>
          <w:lang w:val="en-US"/>
        </w:rPr>
        <w:t xml:space="preserve"> </w:t>
      </w:r>
      <w:r w:rsidR="00894642">
        <w:rPr>
          <w:lang w:val="en-US"/>
        </w:rPr>
        <w:t>Study EFC</w:t>
      </w:r>
      <w:r w:rsidRPr="00DD3985">
        <w:rPr>
          <w:lang w:val="en-US"/>
        </w:rPr>
        <w:t>14092</w:t>
      </w:r>
      <w:r w:rsidR="00845119">
        <w:rPr>
          <w:lang w:val="en-US"/>
        </w:rPr>
        <w:t>/</w:t>
      </w:r>
      <w:r w:rsidR="001F3EAD">
        <w:t>MONARCH</w:t>
      </w:r>
      <w:r w:rsidR="00845119">
        <w:t xml:space="preserve"> trial</w:t>
      </w:r>
      <w:r w:rsidRPr="00DD3985">
        <w:rPr>
          <w:lang w:val="en-US"/>
        </w:rPr>
        <w:t xml:space="preserve">, the most commonly reported </w:t>
      </w:r>
      <w:r w:rsidR="007A4EEA" w:rsidRPr="00FD15F9">
        <w:t>adverse</w:t>
      </w:r>
      <w:r w:rsidR="007A4EEA" w:rsidRPr="00FC3594">
        <w:t xml:space="preserve"> event</w:t>
      </w:r>
      <w:r w:rsidR="00FD15F9">
        <w:t>s</w:t>
      </w:r>
      <w:r w:rsidR="007A4EEA" w:rsidRPr="00FC3594">
        <w:t xml:space="preserve"> of special intere</w:t>
      </w:r>
      <w:r w:rsidR="00F549B4">
        <w:t xml:space="preserve">st </w:t>
      </w:r>
      <w:r w:rsidR="007A4EEA">
        <w:t>(</w:t>
      </w:r>
      <w:r w:rsidRPr="00DD3985">
        <w:rPr>
          <w:lang w:val="en-US"/>
        </w:rPr>
        <w:t>AESIs</w:t>
      </w:r>
      <w:r w:rsidR="007A4EEA">
        <w:rPr>
          <w:lang w:val="en-US"/>
        </w:rPr>
        <w:t>)</w:t>
      </w:r>
      <w:r w:rsidRPr="00DD3985">
        <w:rPr>
          <w:lang w:val="en-US"/>
        </w:rPr>
        <w:t xml:space="preserve"> in both treatment groups were infections, which were </w:t>
      </w:r>
      <w:r>
        <w:rPr>
          <w:lang w:val="en-US"/>
        </w:rPr>
        <w:t>occurred</w:t>
      </w:r>
      <w:r w:rsidRPr="00DD3985">
        <w:rPr>
          <w:lang w:val="en-US"/>
        </w:rPr>
        <w:t xml:space="preserve"> in a similar proportion of patients in both</w:t>
      </w:r>
      <w:r>
        <w:rPr>
          <w:lang w:val="en-US"/>
        </w:rPr>
        <w:t xml:space="preserve"> the sarilumab 200 mg q2w group </w:t>
      </w:r>
      <w:r w:rsidRPr="00DD3985">
        <w:rPr>
          <w:lang w:val="en-US"/>
        </w:rPr>
        <w:t>and the adalimumab 40 mg q2w group (28.8%</w:t>
      </w:r>
      <w:r w:rsidR="003D2290">
        <w:rPr>
          <w:lang w:val="en-US"/>
        </w:rPr>
        <w:t xml:space="preserve"> versus </w:t>
      </w:r>
      <w:r w:rsidRPr="00DD3985">
        <w:rPr>
          <w:lang w:val="en-US"/>
        </w:rPr>
        <w:t>27.7%, respectively). Serious infections occurred in</w:t>
      </w:r>
      <w:r>
        <w:rPr>
          <w:lang w:val="en-US"/>
        </w:rPr>
        <w:t xml:space="preserve">frequently and in </w:t>
      </w:r>
      <w:r w:rsidRPr="00DD3985">
        <w:rPr>
          <w:lang w:val="en-US"/>
        </w:rPr>
        <w:t xml:space="preserve">the same proportion of patients in the two treatment groups (1.1%, </w:t>
      </w:r>
      <w:r w:rsidR="007C7C62">
        <w:rPr>
          <w:lang w:val="en-US"/>
        </w:rPr>
        <w:t xml:space="preserve">n = </w:t>
      </w:r>
      <w:r w:rsidRPr="00DD3985">
        <w:rPr>
          <w:lang w:val="en-US"/>
        </w:rPr>
        <w:t xml:space="preserve">2), as did opportunistic infections (0.5%, </w:t>
      </w:r>
      <w:r w:rsidR="007C7C62">
        <w:rPr>
          <w:lang w:val="en-US"/>
        </w:rPr>
        <w:t xml:space="preserve">n = </w:t>
      </w:r>
      <w:r w:rsidRPr="00DD3985">
        <w:rPr>
          <w:lang w:val="en-US"/>
        </w:rPr>
        <w:t xml:space="preserve">1), while </w:t>
      </w:r>
      <w:r w:rsidR="007A4EEA" w:rsidRPr="00FD15F9">
        <w:t>tuberculosis (</w:t>
      </w:r>
      <w:r w:rsidRPr="00DD3985">
        <w:rPr>
          <w:lang w:val="en-US"/>
        </w:rPr>
        <w:t>TB</w:t>
      </w:r>
      <w:r w:rsidR="007A4EEA">
        <w:rPr>
          <w:lang w:val="en-US"/>
        </w:rPr>
        <w:t>)</w:t>
      </w:r>
      <w:r w:rsidRPr="00DD3985">
        <w:rPr>
          <w:lang w:val="en-US"/>
        </w:rPr>
        <w:t xml:space="preserve"> occurred in 1 (0.5%) patient in the adalimumab group and no patients in the sarilumab group. AESIs of leukop</w:t>
      </w:r>
      <w:r w:rsidR="003A337A">
        <w:rPr>
          <w:lang w:val="en-US"/>
        </w:rPr>
        <w:t>a</w:t>
      </w:r>
      <w:r w:rsidRPr="00DD3985">
        <w:rPr>
          <w:lang w:val="en-US"/>
        </w:rPr>
        <w:t xml:space="preserve">enia, injection site reactions and hepatic disorders occurred more frequently in patients in the sarilumab group </w:t>
      </w:r>
      <w:r>
        <w:rPr>
          <w:lang w:val="en-US"/>
        </w:rPr>
        <w:t>than in</w:t>
      </w:r>
      <w:r w:rsidRPr="00DD3985">
        <w:rPr>
          <w:lang w:val="en-US"/>
        </w:rPr>
        <w:t xml:space="preserve"> patients in the adalimumab group. AESIs of elevation in lipids occurred more frequently in patients in the adalimumab group </w:t>
      </w:r>
      <w:r>
        <w:rPr>
          <w:lang w:val="en-US"/>
        </w:rPr>
        <w:t>than in patients in</w:t>
      </w:r>
      <w:r w:rsidRPr="00DD3985">
        <w:rPr>
          <w:lang w:val="en-US"/>
        </w:rPr>
        <w:t xml:space="preserve"> the sarilumab group. </w:t>
      </w:r>
      <w:r>
        <w:rPr>
          <w:lang w:val="en-US"/>
        </w:rPr>
        <w:t>H</w:t>
      </w:r>
      <w:r w:rsidRPr="00DD3985">
        <w:rPr>
          <w:lang w:val="en-US"/>
        </w:rPr>
        <w:t xml:space="preserve">ypersensitivity reactions </w:t>
      </w:r>
      <w:r>
        <w:rPr>
          <w:lang w:val="en-US"/>
        </w:rPr>
        <w:t xml:space="preserve">occurred in the same proportion of patients </w:t>
      </w:r>
      <w:r w:rsidRPr="00DD3985">
        <w:rPr>
          <w:lang w:val="en-US"/>
        </w:rPr>
        <w:t xml:space="preserve">in both treatment groups, and there were no reports of anaphylaxis in either of the </w:t>
      </w:r>
      <w:r>
        <w:rPr>
          <w:lang w:val="en-US"/>
        </w:rPr>
        <w:t xml:space="preserve">two </w:t>
      </w:r>
      <w:r w:rsidRPr="00DD3985">
        <w:rPr>
          <w:lang w:val="en-US"/>
        </w:rPr>
        <w:t>treatment groups. All other AESI</w:t>
      </w:r>
      <w:r>
        <w:rPr>
          <w:lang w:val="en-US"/>
        </w:rPr>
        <w:t>s</w:t>
      </w:r>
      <w:r w:rsidRPr="00DD3985">
        <w:rPr>
          <w:lang w:val="en-US"/>
        </w:rPr>
        <w:t xml:space="preserve"> occurred infrequently in both treatment groups. Laboratory </w:t>
      </w:r>
      <w:r>
        <w:rPr>
          <w:lang w:val="en-US"/>
        </w:rPr>
        <w:t xml:space="preserve">abnormalities </w:t>
      </w:r>
      <w:r w:rsidRPr="00DD3985">
        <w:rPr>
          <w:lang w:val="en-US"/>
        </w:rPr>
        <w:t>relating to neutro</w:t>
      </w:r>
      <w:r w:rsidR="001E2D44">
        <w:rPr>
          <w:lang w:val="en-US"/>
        </w:rPr>
        <w:t>paenia</w:t>
      </w:r>
      <w:r w:rsidRPr="00DD3985">
        <w:rPr>
          <w:lang w:val="en-US"/>
        </w:rPr>
        <w:t>, thrombocyto</w:t>
      </w:r>
      <w:r w:rsidR="001E2D44">
        <w:rPr>
          <w:lang w:val="en-US"/>
        </w:rPr>
        <w:t>paenia</w:t>
      </w:r>
      <w:r>
        <w:rPr>
          <w:lang w:val="en-US"/>
        </w:rPr>
        <w:t xml:space="preserve">, </w:t>
      </w:r>
      <w:r w:rsidRPr="00DD3985">
        <w:rPr>
          <w:lang w:val="en-US"/>
        </w:rPr>
        <w:t xml:space="preserve">increased ALT, increased total bilirubin, increased total cholesterol, increased LDL cholesterol and increased triglycerides were </w:t>
      </w:r>
      <w:r>
        <w:rPr>
          <w:lang w:val="en-US"/>
        </w:rPr>
        <w:t xml:space="preserve">all </w:t>
      </w:r>
      <w:r w:rsidRPr="00DD3985">
        <w:rPr>
          <w:lang w:val="en-US"/>
        </w:rPr>
        <w:t xml:space="preserve">reported more frequently in the sarilumab group than in the adalimumab group. However, the mean values </w:t>
      </w:r>
      <w:r>
        <w:rPr>
          <w:lang w:val="en-US"/>
        </w:rPr>
        <w:t xml:space="preserve">for the laboratory parameters </w:t>
      </w:r>
      <w:r w:rsidRPr="00DD3985">
        <w:rPr>
          <w:lang w:val="en-US"/>
        </w:rPr>
        <w:t xml:space="preserve">for both treatment groups </w:t>
      </w:r>
      <w:r>
        <w:rPr>
          <w:lang w:val="en-US"/>
        </w:rPr>
        <w:t xml:space="preserve">were consistently </w:t>
      </w:r>
      <w:r w:rsidRPr="00DD3985">
        <w:rPr>
          <w:lang w:val="en-US"/>
        </w:rPr>
        <w:t>within normal range</w:t>
      </w:r>
      <w:r>
        <w:rPr>
          <w:lang w:val="en-US"/>
        </w:rPr>
        <w:t>s</w:t>
      </w:r>
      <w:r w:rsidRPr="00DD3985">
        <w:rPr>
          <w:lang w:val="en-US"/>
        </w:rPr>
        <w:t xml:space="preserve"> at all post-baseline visits through to Week 24.</w:t>
      </w:r>
    </w:p>
    <w:p w:rsidR="00AA6B20" w:rsidRDefault="002928AB" w:rsidP="002928AB">
      <w:pPr>
        <w:rPr>
          <w:lang w:val="en-US"/>
        </w:rPr>
      </w:pPr>
      <w:r w:rsidRPr="00DD3985">
        <w:rPr>
          <w:lang w:val="en-US"/>
        </w:rPr>
        <w:t xml:space="preserve">In the pivotal </w:t>
      </w:r>
      <w:r w:rsidR="001470FB">
        <w:rPr>
          <w:lang w:val="en-US"/>
        </w:rPr>
        <w:t>Phase III</w:t>
      </w:r>
      <w:r w:rsidRPr="00DD3985">
        <w:rPr>
          <w:lang w:val="en-US"/>
        </w:rPr>
        <w:t xml:space="preserve"> </w:t>
      </w:r>
      <w:r w:rsidR="00894642">
        <w:rPr>
          <w:lang w:val="en-US"/>
        </w:rPr>
        <w:t xml:space="preserve">Study </w:t>
      </w:r>
      <w:r w:rsidR="00845119">
        <w:rPr>
          <w:lang w:val="en-US"/>
        </w:rPr>
        <w:t>EFC</w:t>
      </w:r>
      <w:r w:rsidR="00845119" w:rsidRPr="00DD3985">
        <w:rPr>
          <w:lang w:val="en-US"/>
        </w:rPr>
        <w:t>14092</w:t>
      </w:r>
      <w:r w:rsidR="00845119">
        <w:rPr>
          <w:lang w:val="en-US"/>
        </w:rPr>
        <w:t>/</w:t>
      </w:r>
      <w:r w:rsidR="001F3EAD">
        <w:t>MONARCH</w:t>
      </w:r>
      <w:r w:rsidR="00845119">
        <w:t xml:space="preserve"> trial</w:t>
      </w:r>
      <w:r w:rsidRPr="00DD3985">
        <w:rPr>
          <w:lang w:val="en-US"/>
        </w:rPr>
        <w:t xml:space="preserve">, of the 184 patients with available ADA results, 13 (7.1%) patients were treatment-emergent ADA positive, including 5 (2.7%) patients with a persistent ADA positive response (all </w:t>
      </w:r>
      <w:proofErr w:type="spellStart"/>
      <w:r w:rsidRPr="00DD3985">
        <w:rPr>
          <w:lang w:val="en-US"/>
        </w:rPr>
        <w:t>NAb</w:t>
      </w:r>
      <w:proofErr w:type="spellEnd"/>
      <w:r w:rsidRPr="00DD3985">
        <w:rPr>
          <w:lang w:val="en-US"/>
        </w:rPr>
        <w:t xml:space="preserve"> negative) and 8 (4.3%) with a transient ADA positive response (all </w:t>
      </w:r>
      <w:proofErr w:type="spellStart"/>
      <w:r w:rsidRPr="00DD3985">
        <w:rPr>
          <w:lang w:val="en-US"/>
        </w:rPr>
        <w:t>NAb</w:t>
      </w:r>
      <w:proofErr w:type="spellEnd"/>
      <w:r w:rsidRPr="00DD3985">
        <w:rPr>
          <w:lang w:val="en-US"/>
        </w:rPr>
        <w:t xml:space="preserve"> negative). None of the 13 patients who were ADA positive discontinued treatment due to lack or loss of efficacy, while 3 of the ADA positive patients expe</w:t>
      </w:r>
      <w:r>
        <w:rPr>
          <w:lang w:val="en-US"/>
        </w:rPr>
        <w:t>r</w:t>
      </w:r>
      <w:r w:rsidRPr="00DD3985">
        <w:rPr>
          <w:lang w:val="en-US"/>
        </w:rPr>
        <w:t>ienced mild, localised, hypersensitivity rashes.</w:t>
      </w:r>
    </w:p>
    <w:p w:rsidR="00AA6B20" w:rsidRDefault="002928AB" w:rsidP="002928AB">
      <w:pPr>
        <w:rPr>
          <w:lang w:val="en-US"/>
        </w:rPr>
      </w:pPr>
      <w:r w:rsidRPr="00DD3985">
        <w:rPr>
          <w:lang w:val="en-US"/>
        </w:rPr>
        <w:t xml:space="preserve">The main limitation of </w:t>
      </w:r>
      <w:r w:rsidR="00894642">
        <w:rPr>
          <w:lang w:val="en-US"/>
        </w:rPr>
        <w:t>Study EFC</w:t>
      </w:r>
      <w:r w:rsidRPr="00DD3985">
        <w:rPr>
          <w:lang w:val="en-US"/>
        </w:rPr>
        <w:t xml:space="preserve">14092 </w:t>
      </w:r>
      <w:r w:rsidR="001F3EAD">
        <w:t>MONARCH</w:t>
      </w:r>
      <w:r w:rsidR="001F3EAD">
        <w:rPr>
          <w:lang w:val="en-US"/>
        </w:rPr>
        <w:t xml:space="preserve"> </w:t>
      </w:r>
      <w:r>
        <w:rPr>
          <w:lang w:val="en-US"/>
        </w:rPr>
        <w:t>is</w:t>
      </w:r>
      <w:r w:rsidRPr="00DD3985">
        <w:rPr>
          <w:lang w:val="en-US"/>
        </w:rPr>
        <w:t xml:space="preserve"> the absence of long-term safety data. However, the study is ongoing and patients who complete the initial 24</w:t>
      </w:r>
      <w:r w:rsidR="003A337A">
        <w:rPr>
          <w:lang w:val="en-US"/>
        </w:rPr>
        <w:t xml:space="preserve"> </w:t>
      </w:r>
      <w:r w:rsidRPr="00DD3985">
        <w:rPr>
          <w:lang w:val="en-US"/>
        </w:rPr>
        <w:t xml:space="preserve">week treatment period have the option to continue in the open-label extension period where all patients receive sarilumab 200 mg q2w for a maximum of 276 weeks. The lack of long-term safety data in </w:t>
      </w:r>
      <w:r w:rsidR="00894642">
        <w:rPr>
          <w:lang w:val="en-US"/>
        </w:rPr>
        <w:t>Study EFC</w:t>
      </w:r>
      <w:r w:rsidRPr="00DD3985">
        <w:rPr>
          <w:lang w:val="en-US"/>
        </w:rPr>
        <w:t>14092</w:t>
      </w:r>
      <w:r w:rsidR="00845119">
        <w:rPr>
          <w:lang w:val="en-US"/>
        </w:rPr>
        <w:t>/</w:t>
      </w:r>
      <w:r w:rsidR="00845119">
        <w:t>MONARCH trial</w:t>
      </w:r>
      <w:r w:rsidR="00845119" w:rsidRPr="00DD3985" w:rsidDel="00845119">
        <w:rPr>
          <w:lang w:val="en-US"/>
        </w:rPr>
        <w:t xml:space="preserve"> </w:t>
      </w:r>
      <w:r w:rsidRPr="00DD3985">
        <w:rPr>
          <w:lang w:val="en-US"/>
        </w:rPr>
        <w:t>is mitigated by the pooled monotherapy safety data from the int</w:t>
      </w:r>
      <w:r>
        <w:rPr>
          <w:lang w:val="en-US"/>
        </w:rPr>
        <w:t>e</w:t>
      </w:r>
      <w:r w:rsidRPr="00DD3985">
        <w:rPr>
          <w:lang w:val="en-US"/>
        </w:rPr>
        <w:t xml:space="preserve">grated </w:t>
      </w:r>
      <w:r>
        <w:rPr>
          <w:lang w:val="en-US"/>
        </w:rPr>
        <w:t xml:space="preserve">safety </w:t>
      </w:r>
      <w:r w:rsidRPr="00DD3985">
        <w:rPr>
          <w:lang w:val="en-US"/>
        </w:rPr>
        <w:t>analysis (Pool 3) in which 467</w:t>
      </w:r>
      <w:r w:rsidR="00845119">
        <w:rPr>
          <w:lang w:val="en-US"/>
        </w:rPr>
        <w:t> </w:t>
      </w:r>
      <w:r w:rsidRPr="00DD3985">
        <w:rPr>
          <w:lang w:val="en-US"/>
        </w:rPr>
        <w:t xml:space="preserve">patients </w:t>
      </w:r>
      <w:r>
        <w:rPr>
          <w:lang w:val="en-US"/>
        </w:rPr>
        <w:t xml:space="preserve">treated with any dose of sarilumab (150 mg q2w </w:t>
      </w:r>
      <w:r w:rsidR="00845119">
        <w:rPr>
          <w:lang w:val="en-US"/>
        </w:rPr>
        <w:t>(</w:t>
      </w:r>
      <w:r w:rsidR="007C7C62">
        <w:rPr>
          <w:lang w:val="en-US"/>
        </w:rPr>
        <w:t xml:space="preserve">n = </w:t>
      </w:r>
      <w:r>
        <w:rPr>
          <w:lang w:val="en-US"/>
        </w:rPr>
        <w:t>65</w:t>
      </w:r>
      <w:r w:rsidR="00845119">
        <w:rPr>
          <w:lang w:val="en-US"/>
        </w:rPr>
        <w:t>)</w:t>
      </w:r>
      <w:r>
        <w:rPr>
          <w:lang w:val="en-US"/>
        </w:rPr>
        <w:t xml:space="preserve">; 200 mg q2w </w:t>
      </w:r>
      <w:r w:rsidR="00845119">
        <w:rPr>
          <w:lang w:val="en-US"/>
        </w:rPr>
        <w:t>(</w:t>
      </w:r>
      <w:r w:rsidR="007C7C62">
        <w:rPr>
          <w:lang w:val="en-US"/>
        </w:rPr>
        <w:t xml:space="preserve">n = </w:t>
      </w:r>
      <w:r>
        <w:rPr>
          <w:lang w:val="en-US"/>
        </w:rPr>
        <w:t>251</w:t>
      </w:r>
      <w:r w:rsidR="00845119">
        <w:rPr>
          <w:lang w:val="en-US"/>
        </w:rPr>
        <w:t>)</w:t>
      </w:r>
      <w:r>
        <w:rPr>
          <w:lang w:val="en-US"/>
        </w:rPr>
        <w:t xml:space="preserve">) </w:t>
      </w:r>
      <w:r w:rsidRPr="00DD3985">
        <w:rPr>
          <w:lang w:val="en-US"/>
        </w:rPr>
        <w:t xml:space="preserve">had cumulative exposure to active treatment of 299.4 </w:t>
      </w:r>
      <w:r w:rsidR="00A6301B">
        <w:rPr>
          <w:lang w:val="en-US"/>
        </w:rPr>
        <w:t>PY</w:t>
      </w:r>
      <w:r w:rsidRPr="00DD3985">
        <w:rPr>
          <w:lang w:val="en-US"/>
        </w:rPr>
        <w:t>, with a median duration of 255 days.</w:t>
      </w:r>
      <w:r>
        <w:rPr>
          <w:lang w:val="en-US"/>
        </w:rPr>
        <w:t xml:space="preserve"> </w:t>
      </w:r>
      <w:r w:rsidRPr="00DD3985">
        <w:rPr>
          <w:lang w:val="en-US"/>
        </w:rPr>
        <w:t xml:space="preserve">In Pool 3, 109 (23.3%) patients were exposed to sarilumab for </w:t>
      </w:r>
      <w:r w:rsidR="00DD5BCE">
        <w:t>&gt;</w:t>
      </w:r>
      <w:r w:rsidR="007C7C62">
        <w:t xml:space="preserve"> </w:t>
      </w:r>
      <w:r w:rsidRPr="00DD3985">
        <w:rPr>
          <w:lang w:val="en-US"/>
        </w:rPr>
        <w:t>48</w:t>
      </w:r>
      <w:r w:rsidR="00845119">
        <w:rPr>
          <w:lang w:val="en-US"/>
        </w:rPr>
        <w:t> </w:t>
      </w:r>
      <w:r w:rsidRPr="00DD3985">
        <w:rPr>
          <w:lang w:val="en-US"/>
        </w:rPr>
        <w:t xml:space="preserve">weeks, 107 (22.9%) patients for </w:t>
      </w:r>
      <w:r w:rsidR="00DD5BCE">
        <w:t>&gt;</w:t>
      </w:r>
      <w:r w:rsidR="00FD15F9">
        <w:t> </w:t>
      </w:r>
      <w:r w:rsidRPr="00DD3985">
        <w:rPr>
          <w:lang w:val="en-US"/>
        </w:rPr>
        <w:t>60</w:t>
      </w:r>
      <w:r w:rsidR="00FD15F9">
        <w:rPr>
          <w:lang w:val="en-US"/>
        </w:rPr>
        <w:t> </w:t>
      </w:r>
      <w:r w:rsidRPr="00DD3985">
        <w:rPr>
          <w:lang w:val="en-US"/>
        </w:rPr>
        <w:t xml:space="preserve">weeks, and 37 (7.9%) patients for </w:t>
      </w:r>
      <w:r w:rsidR="00DD5BCE">
        <w:t>&gt;</w:t>
      </w:r>
      <w:r w:rsidR="007C7C62">
        <w:t xml:space="preserve"> </w:t>
      </w:r>
      <w:r w:rsidRPr="00DD3985">
        <w:rPr>
          <w:lang w:val="en-US"/>
        </w:rPr>
        <w:t xml:space="preserve">72 weeks. Furthermore, pooled long-term safety data for sarilumab + DMARD are available from the integrated </w:t>
      </w:r>
      <w:r>
        <w:rPr>
          <w:lang w:val="en-US"/>
        </w:rPr>
        <w:t xml:space="preserve">safety </w:t>
      </w:r>
      <w:r w:rsidRPr="00DD3985">
        <w:rPr>
          <w:lang w:val="en-US"/>
        </w:rPr>
        <w:t xml:space="preserve">analysis in Pool 2 in which 2887 patients were exposed to any dose of sarilumab for 5681.6 years with 906 patients being exposed for </w:t>
      </w:r>
      <w:r w:rsidR="00DD5BCE">
        <w:rPr>
          <w:lang w:val="en-US"/>
        </w:rPr>
        <w:t xml:space="preserve">&gt; </w:t>
      </w:r>
      <w:r w:rsidRPr="00DD3985">
        <w:rPr>
          <w:lang w:val="en-US"/>
        </w:rPr>
        <w:t>144 weeks, and 523</w:t>
      </w:r>
      <w:r w:rsidR="00845119">
        <w:rPr>
          <w:lang w:val="en-US"/>
        </w:rPr>
        <w:t> </w:t>
      </w:r>
      <w:r w:rsidRPr="00DD3985">
        <w:rPr>
          <w:lang w:val="en-US"/>
        </w:rPr>
        <w:t xml:space="preserve">patients </w:t>
      </w:r>
      <w:r>
        <w:rPr>
          <w:lang w:val="en-US"/>
        </w:rPr>
        <w:t xml:space="preserve">being </w:t>
      </w:r>
      <w:r w:rsidRPr="00DD3985">
        <w:rPr>
          <w:lang w:val="en-US"/>
        </w:rPr>
        <w:t xml:space="preserve">exposed for </w:t>
      </w:r>
      <w:r w:rsidR="00DD5BCE">
        <w:rPr>
          <w:lang w:val="en-US"/>
        </w:rPr>
        <w:t xml:space="preserve">&gt; </w:t>
      </w:r>
      <w:r w:rsidRPr="00DD3985">
        <w:rPr>
          <w:lang w:val="en-US"/>
        </w:rPr>
        <w:t>192 weeks. The long-term combination safety data for sarilumab + DMARD are consistent with th</w:t>
      </w:r>
      <w:r>
        <w:rPr>
          <w:lang w:val="en-US"/>
        </w:rPr>
        <w:t>e</w:t>
      </w:r>
      <w:r w:rsidRPr="00DD3985">
        <w:rPr>
          <w:lang w:val="en-US"/>
        </w:rPr>
        <w:t xml:space="preserve"> safety</w:t>
      </w:r>
      <w:r>
        <w:rPr>
          <w:lang w:val="en-US"/>
        </w:rPr>
        <w:t xml:space="preserve"> data for sarilumab monotherapy provided in the re-submission.</w:t>
      </w:r>
    </w:p>
    <w:p w:rsidR="00AA6B20" w:rsidRDefault="002928AB" w:rsidP="002928AB">
      <w:pPr>
        <w:rPr>
          <w:lang w:val="en-US"/>
        </w:rPr>
      </w:pPr>
      <w:r w:rsidRPr="00DD3985">
        <w:rPr>
          <w:lang w:val="en-US"/>
        </w:rPr>
        <w:t xml:space="preserve">No data relating to the safety of sarilumab monotherapy based on age, gender, race, weight or </w:t>
      </w:r>
      <w:r w:rsidR="003A337A">
        <w:rPr>
          <w:lang w:val="en-US"/>
        </w:rPr>
        <w:t>body mass index (</w:t>
      </w:r>
      <w:r w:rsidRPr="00DD3985">
        <w:rPr>
          <w:lang w:val="en-US"/>
        </w:rPr>
        <w:t>BMI</w:t>
      </w:r>
      <w:r w:rsidR="003A337A">
        <w:rPr>
          <w:lang w:val="en-US"/>
        </w:rPr>
        <w:t>)</w:t>
      </w:r>
      <w:r w:rsidRPr="00DD3985">
        <w:rPr>
          <w:lang w:val="en-US"/>
        </w:rPr>
        <w:t xml:space="preserve"> could be identified in the re-submission. This is a limitation of </w:t>
      </w:r>
      <w:r w:rsidRPr="00DD3985">
        <w:rPr>
          <w:lang w:val="en-US"/>
        </w:rPr>
        <w:lastRenderedPageBreak/>
        <w:t>the monotherapy safety data. The sponsor is requested to provide monotherapy safety data in the subgroups of interest.</w:t>
      </w:r>
    </w:p>
    <w:p w:rsidR="00AA6B20" w:rsidRDefault="002928AB" w:rsidP="002928AB">
      <w:pPr>
        <w:rPr>
          <w:lang w:val="en-US"/>
        </w:rPr>
      </w:pPr>
      <w:r w:rsidRPr="00DD3985">
        <w:rPr>
          <w:lang w:val="en-US"/>
        </w:rPr>
        <w:t xml:space="preserve">The sponsor states that no obvious trend in functional sarilumab exposure with age was observed in patients with RA in clinical studies. The sponsor reports that the population </w:t>
      </w:r>
      <w:r>
        <w:rPr>
          <w:lang w:val="en-US"/>
        </w:rPr>
        <w:t>PK</w:t>
      </w:r>
      <w:r w:rsidRPr="00DD3985">
        <w:rPr>
          <w:lang w:val="en-US"/>
        </w:rPr>
        <w:t xml:space="preserve"> analysis (</w:t>
      </w:r>
      <w:r w:rsidR="00894642">
        <w:rPr>
          <w:lang w:val="en-US"/>
        </w:rPr>
        <w:t>Study POH</w:t>
      </w:r>
      <w:r w:rsidRPr="00DD3985">
        <w:rPr>
          <w:lang w:val="en-US"/>
        </w:rPr>
        <w:t xml:space="preserve">0428) </w:t>
      </w:r>
      <w:r>
        <w:rPr>
          <w:lang w:val="en-US"/>
        </w:rPr>
        <w:t>in</w:t>
      </w:r>
      <w:r w:rsidRPr="00DD3985">
        <w:rPr>
          <w:lang w:val="en-US"/>
        </w:rPr>
        <w:t xml:space="preserve"> patients aged 18 to 88 years did not identify age as a significant </w:t>
      </w:r>
      <w:r>
        <w:rPr>
          <w:lang w:val="en-US"/>
        </w:rPr>
        <w:t xml:space="preserve">covariate influencing the PK of sarilumab </w:t>
      </w:r>
      <w:r w:rsidRPr="00DD3985">
        <w:rPr>
          <w:lang w:val="en-US"/>
        </w:rPr>
        <w:t>(14% of 21</w:t>
      </w:r>
      <w:r>
        <w:rPr>
          <w:lang w:val="en-US"/>
        </w:rPr>
        <w:t xml:space="preserve">86 patients with RA in the data </w:t>
      </w:r>
      <w:r w:rsidRPr="00DD3985">
        <w:rPr>
          <w:lang w:val="en-US"/>
        </w:rPr>
        <w:t xml:space="preserve">set were </w:t>
      </w:r>
      <w:r>
        <w:rPr>
          <w:lang w:val="en-US"/>
        </w:rPr>
        <w:t xml:space="preserve">aged </w:t>
      </w:r>
      <w:r w:rsidR="00DD5BCE">
        <w:t>&gt;</w:t>
      </w:r>
      <w:r w:rsidR="007C7C62">
        <w:t xml:space="preserve"> </w:t>
      </w:r>
      <w:r w:rsidRPr="00DD3985">
        <w:rPr>
          <w:lang w:val="en-US"/>
        </w:rPr>
        <w:t xml:space="preserve">65 years). Therefore, the sponsor recommends no dose adjustments for elderly patients. There were limited data in the sarilumab + DMARD </w:t>
      </w:r>
      <w:r>
        <w:rPr>
          <w:lang w:val="en-US"/>
        </w:rPr>
        <w:t xml:space="preserve">integrated </w:t>
      </w:r>
      <w:r w:rsidRPr="00DD3985">
        <w:rPr>
          <w:lang w:val="en-US"/>
        </w:rPr>
        <w:t xml:space="preserve">analysis (Pool 1) in patients aged </w:t>
      </w:r>
      <w:r w:rsidR="00DD5BCE">
        <w:t>≥</w:t>
      </w:r>
      <w:r w:rsidR="007C7C62">
        <w:t xml:space="preserve"> </w:t>
      </w:r>
      <w:r w:rsidRPr="00DD3985">
        <w:rPr>
          <w:lang w:val="en-US"/>
        </w:rPr>
        <w:t>75 years of age (</w:t>
      </w:r>
      <w:r w:rsidR="007C7C62">
        <w:rPr>
          <w:lang w:val="en-US"/>
        </w:rPr>
        <w:t xml:space="preserve">n = </w:t>
      </w:r>
      <w:r w:rsidRPr="00DD3985">
        <w:rPr>
          <w:lang w:val="en-US"/>
        </w:rPr>
        <w:t xml:space="preserve">17). Serious infections occurred more frequently in patients aged </w:t>
      </w:r>
      <w:r w:rsidR="007F1BEB">
        <w:t>&lt; </w:t>
      </w:r>
      <w:r w:rsidRPr="00DD3985">
        <w:rPr>
          <w:lang w:val="en-US"/>
        </w:rPr>
        <w:t xml:space="preserve">65 years </w:t>
      </w:r>
      <w:r>
        <w:rPr>
          <w:lang w:val="en-US"/>
        </w:rPr>
        <w:t>than in</w:t>
      </w:r>
      <w:r w:rsidRPr="00DD3985">
        <w:rPr>
          <w:lang w:val="en-US"/>
        </w:rPr>
        <w:t xml:space="preserve"> patients aged </w:t>
      </w:r>
      <w:r w:rsidR="00DD5BCE">
        <w:t>≥</w:t>
      </w:r>
      <w:r w:rsidR="007C7C62">
        <w:t xml:space="preserve"> </w:t>
      </w:r>
      <w:r w:rsidRPr="00DD3985">
        <w:rPr>
          <w:lang w:val="en-US"/>
        </w:rPr>
        <w:t>65 years in the sarilumab 150 mg q2w + DMARD group (1.4%</w:t>
      </w:r>
      <w:r w:rsidR="003D2290">
        <w:rPr>
          <w:lang w:val="en-US"/>
        </w:rPr>
        <w:t xml:space="preserve"> versus </w:t>
      </w:r>
      <w:r w:rsidRPr="00DD3985">
        <w:rPr>
          <w:lang w:val="en-US"/>
        </w:rPr>
        <w:t xml:space="preserve">5.1%, respectively) and </w:t>
      </w:r>
      <w:r>
        <w:rPr>
          <w:lang w:val="en-US"/>
        </w:rPr>
        <w:t xml:space="preserve">in </w:t>
      </w:r>
      <w:r w:rsidRPr="00DD3985">
        <w:rPr>
          <w:lang w:val="en-US"/>
        </w:rPr>
        <w:t>the sa</w:t>
      </w:r>
      <w:r>
        <w:rPr>
          <w:lang w:val="en-US"/>
        </w:rPr>
        <w:t>r</w:t>
      </w:r>
      <w:r w:rsidRPr="00DD3985">
        <w:rPr>
          <w:lang w:val="en-US"/>
        </w:rPr>
        <w:t>ilumab + DMARD group (2.6%</w:t>
      </w:r>
      <w:r w:rsidR="003D2290">
        <w:rPr>
          <w:lang w:val="en-US"/>
        </w:rPr>
        <w:t xml:space="preserve"> versus </w:t>
      </w:r>
      <w:r w:rsidRPr="00DD3985">
        <w:rPr>
          <w:lang w:val="en-US"/>
        </w:rPr>
        <w:t>4.9%, respectively). The sponsor acknowledges that the</w:t>
      </w:r>
      <w:r>
        <w:rPr>
          <w:lang w:val="en-US"/>
        </w:rPr>
        <w:t>r</w:t>
      </w:r>
      <w:r w:rsidRPr="00DD3985">
        <w:rPr>
          <w:lang w:val="en-US"/>
        </w:rPr>
        <w:t xml:space="preserve">e are limited safety data in patients aged </w:t>
      </w:r>
      <w:r w:rsidR="00DD5BCE">
        <w:t>≥</w:t>
      </w:r>
      <w:r w:rsidR="007C7C62">
        <w:t xml:space="preserve"> </w:t>
      </w:r>
      <w:r w:rsidRPr="00DD3985">
        <w:rPr>
          <w:lang w:val="en-US"/>
        </w:rPr>
        <w:t>65 years.</w:t>
      </w:r>
    </w:p>
    <w:p w:rsidR="00605AD4" w:rsidRPr="00605AD4" w:rsidRDefault="002928AB" w:rsidP="002928AB">
      <w:r w:rsidRPr="00DD3985">
        <w:rPr>
          <w:lang w:val="en-US"/>
        </w:rPr>
        <w:t>No data relating to the safety of sarilumab monotherapy or in combination with DMARDs in patients with hepatic or renal impairment were submitted. The sponsor states that no formal stud</w:t>
      </w:r>
      <w:r>
        <w:rPr>
          <w:lang w:val="en-US"/>
        </w:rPr>
        <w:t xml:space="preserve">ies on </w:t>
      </w:r>
      <w:r w:rsidRPr="00DD3985">
        <w:rPr>
          <w:lang w:val="en-US"/>
        </w:rPr>
        <w:t>the effect</w:t>
      </w:r>
      <w:r>
        <w:rPr>
          <w:lang w:val="en-US"/>
        </w:rPr>
        <w:t>s</w:t>
      </w:r>
      <w:r w:rsidRPr="00DD3985">
        <w:rPr>
          <w:lang w:val="en-US"/>
        </w:rPr>
        <w:t xml:space="preserve"> of hepatic or renal impairment on the PK </w:t>
      </w:r>
      <w:r>
        <w:rPr>
          <w:lang w:val="en-US"/>
        </w:rPr>
        <w:t>of sarilumab have been</w:t>
      </w:r>
      <w:r w:rsidRPr="00DD3985">
        <w:rPr>
          <w:lang w:val="en-US"/>
        </w:rPr>
        <w:t xml:space="preserve"> conducted</w:t>
      </w:r>
      <w:r>
        <w:rPr>
          <w:lang w:val="en-US"/>
        </w:rPr>
        <w:t xml:space="preserve">. </w:t>
      </w:r>
      <w:r w:rsidRPr="00DD3985">
        <w:rPr>
          <w:lang w:val="en-US"/>
        </w:rPr>
        <w:t>Based on population PK analysis, the sponsor reports that mild to moderate renal impairment did not affect the PK of sarilumab, consequently no dosage adjustment is required in patients with mil</w:t>
      </w:r>
      <w:r>
        <w:rPr>
          <w:lang w:val="en-US"/>
        </w:rPr>
        <w:t xml:space="preserve">d to moderate renal impairment. This is supported as the sarilumab monotherapy safety data showed that the drug did not cause renal toxicity. </w:t>
      </w:r>
      <w:r w:rsidRPr="00DD3985">
        <w:rPr>
          <w:lang w:val="en-US"/>
        </w:rPr>
        <w:t xml:space="preserve">Severe renal impairment was an exclusion criterion for all </w:t>
      </w:r>
      <w:r w:rsidR="001470FB">
        <w:rPr>
          <w:lang w:val="en-US"/>
        </w:rPr>
        <w:t>Phase III</w:t>
      </w:r>
      <w:r w:rsidRPr="00DD3985">
        <w:rPr>
          <w:lang w:val="en-US"/>
        </w:rPr>
        <w:t xml:space="preserve"> studies</w:t>
      </w:r>
      <w:r>
        <w:rPr>
          <w:lang w:val="en-US"/>
        </w:rPr>
        <w:t xml:space="preserve"> and there are no safety data in patients with severe renal impairment. There are no safety data in patients with hepatic impairment, and the sponsor recommends that sarilumab not be used in patients with active hepatic disease or hepatic impairment. This is supported based on the AESI relating to hepatic disorders and increased ALT levels observed in both the sarilumab monotherapy </w:t>
      </w:r>
      <w:r w:rsidR="003A337A">
        <w:rPr>
          <w:lang w:val="en-US"/>
        </w:rPr>
        <w:t xml:space="preserve">studies and the </w:t>
      </w:r>
      <w:r>
        <w:rPr>
          <w:lang w:val="en-US"/>
        </w:rPr>
        <w:t>sarilumab + DMARD studies.</w:t>
      </w:r>
    </w:p>
    <w:p w:rsidR="00605AD4" w:rsidRPr="00605AD4" w:rsidRDefault="00605AD4" w:rsidP="00B55A4D">
      <w:pPr>
        <w:pStyle w:val="Heading3"/>
        <w:rPr>
          <w:rFonts w:eastAsia="Cambria"/>
        </w:rPr>
      </w:pPr>
      <w:bookmarkStart w:id="125" w:name="_Toc12272156"/>
      <w:r w:rsidRPr="00605AD4">
        <w:rPr>
          <w:rFonts w:eastAsia="Cambria"/>
        </w:rPr>
        <w:t xml:space="preserve">First </w:t>
      </w:r>
      <w:r w:rsidR="004A1A01" w:rsidRPr="00605AD4">
        <w:rPr>
          <w:rFonts w:eastAsia="Cambria"/>
        </w:rPr>
        <w:t>round benefit-risk assessment</w:t>
      </w:r>
      <w:bookmarkEnd w:id="125"/>
    </w:p>
    <w:p w:rsidR="00AA6B20" w:rsidRPr="003A337A" w:rsidRDefault="002928AB" w:rsidP="003A337A">
      <w:pPr>
        <w:pStyle w:val="Heading4"/>
      </w:pPr>
      <w:bookmarkStart w:id="126" w:name="_Toc236802592"/>
      <w:bookmarkStart w:id="127" w:name="_Toc241374331"/>
      <w:bookmarkStart w:id="128" w:name="_Ref272160836"/>
      <w:bookmarkStart w:id="129" w:name="_Toc272414693"/>
      <w:bookmarkStart w:id="130" w:name="_Toc290888557"/>
      <w:bookmarkStart w:id="131" w:name="_Toc416353772"/>
      <w:bookmarkStart w:id="132" w:name="_Toc421005314"/>
      <w:bookmarkStart w:id="133" w:name="_Toc432079185"/>
      <w:bookmarkStart w:id="134" w:name="_Toc432080758"/>
      <w:bookmarkStart w:id="135" w:name="_Toc514682540"/>
      <w:r w:rsidRPr="00545B14">
        <w:t xml:space="preserve">First round assessment of </w:t>
      </w:r>
      <w:r w:rsidRPr="000D5752">
        <w:t>benefits</w:t>
      </w:r>
      <w:bookmarkEnd w:id="126"/>
      <w:bookmarkEnd w:id="127"/>
      <w:bookmarkEnd w:id="128"/>
      <w:bookmarkEnd w:id="129"/>
      <w:bookmarkEnd w:id="130"/>
      <w:bookmarkEnd w:id="131"/>
      <w:bookmarkEnd w:id="132"/>
      <w:bookmarkEnd w:id="133"/>
      <w:bookmarkEnd w:id="134"/>
      <w:bookmarkEnd w:id="135"/>
    </w:p>
    <w:p w:rsidR="00AA6B20" w:rsidRPr="003A337A" w:rsidRDefault="002928AB" w:rsidP="003A337A">
      <w:pPr>
        <w:pStyle w:val="Heading5"/>
      </w:pPr>
      <w:r>
        <w:t>Sarilumab monotherapy</w:t>
      </w:r>
    </w:p>
    <w:p w:rsidR="002928AB" w:rsidRPr="005D5019" w:rsidRDefault="002928AB" w:rsidP="002928AB">
      <w:pPr>
        <w:rPr>
          <w:rFonts w:asciiTheme="minorHAnsi" w:hAnsiTheme="minorHAnsi"/>
          <w:lang w:val="en-US"/>
        </w:rPr>
      </w:pPr>
      <w:r w:rsidRPr="005D5019">
        <w:rPr>
          <w:rFonts w:asciiTheme="minorHAnsi" w:hAnsiTheme="minorHAnsi"/>
          <w:lang w:val="en-US"/>
        </w:rPr>
        <w:t xml:space="preserve">The benefits of sarilumab monotherapy </w:t>
      </w:r>
      <w:r>
        <w:rPr>
          <w:rFonts w:asciiTheme="minorHAnsi" w:hAnsiTheme="minorHAnsi"/>
          <w:lang w:val="en-US"/>
        </w:rPr>
        <w:t xml:space="preserve">are favourable </w:t>
      </w:r>
      <w:r w:rsidRPr="005D5019">
        <w:rPr>
          <w:rFonts w:asciiTheme="minorHAnsi" w:hAnsiTheme="minorHAnsi"/>
          <w:lang w:val="en-US"/>
        </w:rPr>
        <w:t xml:space="preserve">for the treatment of </w:t>
      </w:r>
      <w:r>
        <w:rPr>
          <w:rFonts w:asciiTheme="minorHAnsi" w:hAnsiTheme="minorHAnsi"/>
          <w:lang w:val="en-US"/>
        </w:rPr>
        <w:t xml:space="preserve">adult </w:t>
      </w:r>
      <w:r w:rsidRPr="005D5019">
        <w:rPr>
          <w:rFonts w:asciiTheme="minorHAnsi" w:hAnsiTheme="minorHAnsi"/>
          <w:lang w:val="en-US"/>
        </w:rPr>
        <w:t xml:space="preserve">patients </w:t>
      </w:r>
      <w:r>
        <w:rPr>
          <w:sz w:val="23"/>
          <w:szCs w:val="23"/>
        </w:rPr>
        <w:t>with moderate to severe RA who have had an inadequate response to, or are intolerant of, one or more DMARDs</w:t>
      </w:r>
      <w:r>
        <w:rPr>
          <w:color w:val="00AF4F"/>
          <w:sz w:val="23"/>
          <w:szCs w:val="23"/>
        </w:rPr>
        <w:t>.</w:t>
      </w:r>
    </w:p>
    <w:p w:rsidR="00AA6B20" w:rsidRDefault="002928AB" w:rsidP="002928AB">
      <w:pPr>
        <w:rPr>
          <w:rFonts w:asciiTheme="minorHAnsi" w:hAnsiTheme="minorHAnsi"/>
          <w:lang w:val="en-US"/>
        </w:rPr>
      </w:pPr>
      <w:r w:rsidRPr="005D5019">
        <w:rPr>
          <w:rFonts w:asciiTheme="minorHAnsi" w:hAnsiTheme="minorHAnsi"/>
          <w:lang w:val="en-US"/>
        </w:rPr>
        <w:t xml:space="preserve">The key data establishing the benefits of sarilumab monotherapy </w:t>
      </w:r>
      <w:r>
        <w:rPr>
          <w:rFonts w:asciiTheme="minorHAnsi" w:hAnsiTheme="minorHAnsi"/>
          <w:lang w:val="en-US"/>
        </w:rPr>
        <w:t xml:space="preserve">for the proposed indication </w:t>
      </w:r>
      <w:r w:rsidRPr="005D5019">
        <w:rPr>
          <w:rFonts w:asciiTheme="minorHAnsi" w:hAnsiTheme="minorHAnsi"/>
          <w:lang w:val="en-US"/>
        </w:rPr>
        <w:t xml:space="preserve">are based on the results from the pivotal </w:t>
      </w:r>
      <w:r w:rsidR="001470FB">
        <w:rPr>
          <w:rFonts w:asciiTheme="minorHAnsi" w:hAnsiTheme="minorHAnsi"/>
          <w:lang w:val="en-US"/>
        </w:rPr>
        <w:t>Phase III</w:t>
      </w:r>
      <w:r w:rsidRPr="005D5019">
        <w:rPr>
          <w:rFonts w:asciiTheme="minorHAnsi" w:hAnsiTheme="minorHAnsi"/>
          <w:lang w:val="en-US"/>
        </w:rPr>
        <w:t xml:space="preserve"> </w:t>
      </w:r>
      <w:r w:rsidR="00894642">
        <w:rPr>
          <w:rFonts w:asciiTheme="minorHAnsi" w:hAnsiTheme="minorHAnsi"/>
          <w:lang w:val="en-US"/>
        </w:rPr>
        <w:t>Study EFC</w:t>
      </w:r>
      <w:r w:rsidRPr="005D5019">
        <w:rPr>
          <w:rFonts w:asciiTheme="minorHAnsi" w:hAnsiTheme="minorHAnsi"/>
          <w:lang w:val="en-US"/>
        </w:rPr>
        <w:t>14092</w:t>
      </w:r>
      <w:r w:rsidR="00845119">
        <w:rPr>
          <w:lang w:val="en-US"/>
        </w:rPr>
        <w:t>/</w:t>
      </w:r>
      <w:r w:rsidR="00845119">
        <w:t>MONARCH trial</w:t>
      </w:r>
      <w:r w:rsidRPr="005D5019">
        <w:rPr>
          <w:rFonts w:asciiTheme="minorHAnsi" w:hAnsiTheme="minorHAnsi"/>
          <w:lang w:val="en-US"/>
        </w:rPr>
        <w:t>. The double-blind, 24</w:t>
      </w:r>
      <w:r w:rsidR="003A337A">
        <w:rPr>
          <w:rFonts w:asciiTheme="minorHAnsi" w:hAnsiTheme="minorHAnsi"/>
          <w:lang w:val="en-US"/>
        </w:rPr>
        <w:t xml:space="preserve"> </w:t>
      </w:r>
      <w:r w:rsidRPr="005D5019">
        <w:rPr>
          <w:rFonts w:asciiTheme="minorHAnsi" w:hAnsiTheme="minorHAnsi"/>
          <w:lang w:val="en-US"/>
        </w:rPr>
        <w:t xml:space="preserve">week data from this study </w:t>
      </w:r>
      <w:r>
        <w:rPr>
          <w:rFonts w:asciiTheme="minorHAnsi" w:hAnsiTheme="minorHAnsi"/>
          <w:lang w:val="en-US"/>
        </w:rPr>
        <w:t xml:space="preserve">convincingly support the </w:t>
      </w:r>
      <w:r w:rsidRPr="00097FAE">
        <w:rPr>
          <w:rFonts w:asciiTheme="minorHAnsi" w:hAnsiTheme="minorHAnsi"/>
          <w:lang w:val="en-US"/>
        </w:rPr>
        <w:t>benefits of monotherapy treatment with sarilumab 200 mg q2w (</w:t>
      </w:r>
      <w:r w:rsidR="007C7C62">
        <w:rPr>
          <w:rFonts w:asciiTheme="minorHAnsi" w:hAnsiTheme="minorHAnsi"/>
          <w:lang w:val="en-US"/>
        </w:rPr>
        <w:t xml:space="preserve">n = </w:t>
      </w:r>
      <w:r w:rsidRPr="00097FAE">
        <w:rPr>
          <w:rFonts w:asciiTheme="minorHAnsi" w:hAnsiTheme="minorHAnsi"/>
          <w:lang w:val="en-US"/>
        </w:rPr>
        <w:t>184) compared with adalimumab 40 m</w:t>
      </w:r>
      <w:r>
        <w:rPr>
          <w:rFonts w:asciiTheme="minorHAnsi" w:hAnsiTheme="minorHAnsi"/>
          <w:lang w:val="en-US"/>
        </w:rPr>
        <w:t>g q2w (</w:t>
      </w:r>
      <w:r w:rsidR="007C7C62">
        <w:rPr>
          <w:rFonts w:asciiTheme="minorHAnsi" w:hAnsiTheme="minorHAnsi"/>
          <w:lang w:val="en-US"/>
        </w:rPr>
        <w:t xml:space="preserve">n = </w:t>
      </w:r>
      <w:r>
        <w:rPr>
          <w:rFonts w:asciiTheme="minorHAnsi" w:hAnsiTheme="minorHAnsi"/>
          <w:lang w:val="en-US"/>
        </w:rPr>
        <w:t>185). All randomised patients in this study had received at least one prior non-biological DMARD/immunosuppressive agent, while p</w:t>
      </w:r>
      <w:r w:rsidRPr="00097FAE">
        <w:rPr>
          <w:rFonts w:asciiTheme="minorHAnsi" w:hAnsiTheme="minorHAnsi"/>
          <w:lang w:val="en-US"/>
        </w:rPr>
        <w:t>atients with prior b</w:t>
      </w:r>
      <w:r>
        <w:rPr>
          <w:rFonts w:asciiTheme="minorHAnsi" w:hAnsiTheme="minorHAnsi"/>
          <w:lang w:val="en-US"/>
        </w:rPr>
        <w:t xml:space="preserve">iological </w:t>
      </w:r>
      <w:r w:rsidRPr="00097FAE">
        <w:rPr>
          <w:rFonts w:asciiTheme="minorHAnsi" w:hAnsiTheme="minorHAnsi"/>
          <w:lang w:val="en-US"/>
        </w:rPr>
        <w:t>DMARD experienc</w:t>
      </w:r>
      <w:r>
        <w:rPr>
          <w:rFonts w:asciiTheme="minorHAnsi" w:hAnsiTheme="minorHAnsi"/>
          <w:lang w:val="en-US"/>
        </w:rPr>
        <w:t>e were excluded from the study.</w:t>
      </w:r>
    </w:p>
    <w:p w:rsidR="00AA6B20" w:rsidRDefault="002928AB" w:rsidP="002928AB">
      <w:pPr>
        <w:rPr>
          <w:rFonts w:asciiTheme="minorHAnsi" w:hAnsiTheme="minorHAnsi"/>
          <w:lang w:val="en-US"/>
        </w:rPr>
      </w:pPr>
      <w:r w:rsidRPr="00097FAE">
        <w:rPr>
          <w:rFonts w:asciiTheme="minorHAnsi" w:hAnsiTheme="minorHAnsi"/>
          <w:lang w:val="en-US"/>
        </w:rPr>
        <w:t xml:space="preserve">Adalimumab 40 mg q2w (alone or in combination with MTX) is approved in Australia </w:t>
      </w:r>
      <w:r w:rsidRPr="00097FAE">
        <w:rPr>
          <w:rFonts w:asciiTheme="minorHAnsi" w:eastAsia="Times New Roman" w:hAnsiTheme="minorHAnsi"/>
        </w:rPr>
        <w:t>for reducing the signs and symptoms, as well as inhibiting the p</w:t>
      </w:r>
      <w:r>
        <w:rPr>
          <w:rFonts w:asciiTheme="minorHAnsi" w:eastAsia="Times New Roman" w:hAnsiTheme="minorHAnsi"/>
        </w:rPr>
        <w:t xml:space="preserve">rogression of structural damage, </w:t>
      </w:r>
      <w:r w:rsidRPr="00097FAE">
        <w:rPr>
          <w:rFonts w:asciiTheme="minorHAnsi" w:eastAsia="Times New Roman" w:hAnsiTheme="minorHAnsi"/>
        </w:rPr>
        <w:t xml:space="preserve">in adult patients with moderate to severely active </w:t>
      </w:r>
      <w:r>
        <w:rPr>
          <w:rFonts w:asciiTheme="minorHAnsi" w:eastAsia="Times New Roman" w:hAnsiTheme="minorHAnsi"/>
        </w:rPr>
        <w:t xml:space="preserve">RA. Therefore, the choice of adalimumab 40 mg q2w as the active control selected by sponsor for comparison with sarilumab 200 mg q2w is considered to be clinically appropriate. However, it might have been more appropriate to have selected the IL-6 receptor inhibitor tocilizumab as the control drug, given that it is from the same class of drugs as sarilumab. There were no monotherapy data assessing the effects of sarilumab on inhibiting progression of structural joint damage but the sponsor is not seeking an indication for this outcome. </w:t>
      </w:r>
      <w:r w:rsidRPr="00097FAE">
        <w:rPr>
          <w:rFonts w:asciiTheme="minorHAnsi" w:hAnsiTheme="minorHAnsi"/>
          <w:lang w:val="en-US"/>
        </w:rPr>
        <w:lastRenderedPageBreak/>
        <w:t xml:space="preserve">There were no data </w:t>
      </w:r>
      <w:r>
        <w:rPr>
          <w:rFonts w:asciiTheme="minorHAnsi" w:hAnsiTheme="minorHAnsi"/>
          <w:lang w:val="en-US"/>
        </w:rPr>
        <w:t xml:space="preserve">from </w:t>
      </w:r>
      <w:r w:rsidR="005A2C47">
        <w:rPr>
          <w:rFonts w:asciiTheme="minorHAnsi" w:hAnsiTheme="minorHAnsi"/>
          <w:lang w:val="en-US"/>
        </w:rPr>
        <w:t>Study EFC14092</w:t>
      </w:r>
      <w:r w:rsidR="00845119">
        <w:rPr>
          <w:lang w:val="en-US"/>
        </w:rPr>
        <w:t>/</w:t>
      </w:r>
      <w:r w:rsidR="00845119">
        <w:t>MONARCH trial</w:t>
      </w:r>
      <w:r w:rsidR="00845119" w:rsidDel="00845119">
        <w:rPr>
          <w:rFonts w:asciiTheme="minorHAnsi" w:hAnsiTheme="minorHAnsi"/>
          <w:lang w:val="en-US"/>
        </w:rPr>
        <w:t xml:space="preserve"> </w:t>
      </w:r>
      <w:r w:rsidRPr="00097FAE">
        <w:rPr>
          <w:rFonts w:asciiTheme="minorHAnsi" w:hAnsiTheme="minorHAnsi"/>
          <w:lang w:val="en-US"/>
        </w:rPr>
        <w:t>supporting the efficacy of sarilumab monotherapy in patients with RA treated with the drug for longer than 24</w:t>
      </w:r>
      <w:r w:rsidR="00FD15F9">
        <w:rPr>
          <w:rFonts w:asciiTheme="minorHAnsi" w:hAnsiTheme="minorHAnsi"/>
          <w:lang w:val="en-US"/>
        </w:rPr>
        <w:t> </w:t>
      </w:r>
      <w:r w:rsidRPr="00097FAE">
        <w:rPr>
          <w:rFonts w:asciiTheme="minorHAnsi" w:hAnsiTheme="minorHAnsi"/>
          <w:lang w:val="en-US"/>
        </w:rPr>
        <w:t>weeks.</w:t>
      </w:r>
    </w:p>
    <w:p w:rsidR="002928AB" w:rsidRDefault="002928AB" w:rsidP="002928AB">
      <w:pPr>
        <w:rPr>
          <w:rFonts w:asciiTheme="minorHAnsi" w:hAnsiTheme="minorHAnsi" w:cs="Times"/>
          <w:lang w:val="en-US"/>
        </w:rPr>
      </w:pPr>
      <w:r w:rsidRPr="00097FAE">
        <w:rPr>
          <w:rFonts w:asciiTheme="minorHAnsi" w:hAnsiTheme="minorHAnsi"/>
          <w:lang w:val="en-US"/>
        </w:rPr>
        <w:t xml:space="preserve">The results from </w:t>
      </w:r>
      <w:r w:rsidR="003D46BB">
        <w:rPr>
          <w:rFonts w:asciiTheme="minorHAnsi" w:hAnsiTheme="minorHAnsi"/>
          <w:lang w:val="en-US"/>
        </w:rPr>
        <w:t>Study EFC</w:t>
      </w:r>
      <w:r w:rsidR="003D46BB" w:rsidRPr="005D5019">
        <w:rPr>
          <w:rFonts w:asciiTheme="minorHAnsi" w:hAnsiTheme="minorHAnsi"/>
          <w:lang w:val="en-US"/>
        </w:rPr>
        <w:t>14092</w:t>
      </w:r>
      <w:r w:rsidR="00845119">
        <w:rPr>
          <w:lang w:val="en-US"/>
        </w:rPr>
        <w:t>/</w:t>
      </w:r>
      <w:r w:rsidR="00845119">
        <w:t>MONARCH trial</w:t>
      </w:r>
      <w:r w:rsidR="00845119" w:rsidRPr="005D5019" w:rsidDel="00845119">
        <w:rPr>
          <w:rFonts w:asciiTheme="minorHAnsi" w:hAnsiTheme="minorHAnsi"/>
          <w:lang w:val="en-US"/>
        </w:rPr>
        <w:t xml:space="preserve"> </w:t>
      </w:r>
      <w:r w:rsidRPr="00097FAE">
        <w:rPr>
          <w:rFonts w:asciiTheme="minorHAnsi" w:hAnsiTheme="minorHAnsi"/>
          <w:lang w:val="en-US"/>
        </w:rPr>
        <w:t>for the primary efficacy endpoint of change from baseline in DAS28-ESR at Week 24 were statistically significantly superior in the sarilumab group compared with the adalim</w:t>
      </w:r>
      <w:r>
        <w:rPr>
          <w:rFonts w:asciiTheme="minorHAnsi" w:hAnsiTheme="minorHAnsi"/>
          <w:lang w:val="en-US"/>
        </w:rPr>
        <w:t xml:space="preserve">umab group, and the difference </w:t>
      </w:r>
      <w:r w:rsidRPr="00097FAE">
        <w:rPr>
          <w:rFonts w:asciiTheme="minorHAnsi" w:hAnsiTheme="minorHAnsi"/>
          <w:lang w:val="en-US"/>
        </w:rPr>
        <w:t xml:space="preserve">between the two groups </w:t>
      </w:r>
      <w:r>
        <w:rPr>
          <w:rFonts w:asciiTheme="minorHAnsi" w:hAnsiTheme="minorHAnsi"/>
          <w:lang w:val="en-US"/>
        </w:rPr>
        <w:t xml:space="preserve">is </w:t>
      </w:r>
      <w:r w:rsidRPr="00097FAE">
        <w:rPr>
          <w:rFonts w:asciiTheme="minorHAnsi" w:hAnsiTheme="minorHAnsi"/>
          <w:lang w:val="en-US"/>
        </w:rPr>
        <w:t>considered to be clinically meaningful. In addition, the benefits of sarilumab compared with adalimumab w</w:t>
      </w:r>
      <w:r>
        <w:rPr>
          <w:rFonts w:asciiTheme="minorHAnsi" w:hAnsiTheme="minorHAnsi"/>
          <w:lang w:val="en-US"/>
        </w:rPr>
        <w:t>ere statistically significantly superior f</w:t>
      </w:r>
      <w:r w:rsidRPr="00097FAE">
        <w:rPr>
          <w:rFonts w:asciiTheme="minorHAnsi" w:hAnsiTheme="minorHAnsi"/>
          <w:lang w:val="en-US"/>
        </w:rPr>
        <w:t xml:space="preserve">or 6 of the 8 secondary efficacy endpoints </w:t>
      </w:r>
      <w:r>
        <w:rPr>
          <w:rFonts w:asciiTheme="minorHAnsi" w:hAnsiTheme="minorHAnsi"/>
          <w:lang w:val="en-US"/>
        </w:rPr>
        <w:t xml:space="preserve">assessed </w:t>
      </w:r>
      <w:r w:rsidRPr="00097FAE">
        <w:rPr>
          <w:rFonts w:asciiTheme="minorHAnsi" w:hAnsiTheme="minorHAnsi"/>
          <w:lang w:val="en-US"/>
        </w:rPr>
        <w:t>using a pre-specified hierarchical testing procedure</w:t>
      </w:r>
      <w:r>
        <w:rPr>
          <w:rFonts w:asciiTheme="minorHAnsi" w:hAnsiTheme="minorHAnsi"/>
          <w:lang w:val="en-US"/>
        </w:rPr>
        <w:t xml:space="preserve"> to control the overall alpha error rate at the 0.05 level. </w:t>
      </w:r>
      <w:r w:rsidRPr="00097FAE">
        <w:rPr>
          <w:rFonts w:asciiTheme="minorHAnsi" w:hAnsiTheme="minorHAnsi"/>
          <w:lang w:val="en-US"/>
        </w:rPr>
        <w:t xml:space="preserve">The 6 </w:t>
      </w:r>
      <w:r>
        <w:rPr>
          <w:rFonts w:asciiTheme="minorHAnsi" w:hAnsiTheme="minorHAnsi"/>
          <w:lang w:val="en-US"/>
        </w:rPr>
        <w:t xml:space="preserve">statistically significant </w:t>
      </w:r>
      <w:r w:rsidRPr="00097FAE">
        <w:rPr>
          <w:rFonts w:asciiTheme="minorHAnsi" w:hAnsiTheme="minorHAnsi"/>
          <w:lang w:val="en-US"/>
        </w:rPr>
        <w:t xml:space="preserve">efficacy </w:t>
      </w:r>
      <w:r>
        <w:rPr>
          <w:rFonts w:asciiTheme="minorHAnsi" w:hAnsiTheme="minorHAnsi"/>
          <w:lang w:val="en-US"/>
        </w:rPr>
        <w:t xml:space="preserve">endpoints demonstrating superiority of the sarilumab group compared with the adalimumab group were </w:t>
      </w:r>
      <w:r w:rsidRPr="00097FAE">
        <w:rPr>
          <w:rFonts w:asciiTheme="minorHAnsi" w:hAnsiTheme="minorHAnsi" w:cs="Times"/>
          <w:lang w:val="en-US"/>
        </w:rPr>
        <w:t xml:space="preserve">DAS28-ESR remission (DAS28-ESR </w:t>
      </w:r>
      <w:r w:rsidR="007F1BEB">
        <w:t>&lt; </w:t>
      </w:r>
      <w:r w:rsidRPr="00097FAE">
        <w:rPr>
          <w:rFonts w:asciiTheme="minorHAnsi" w:hAnsiTheme="minorHAnsi" w:cs="Times"/>
          <w:lang w:val="en-US"/>
        </w:rPr>
        <w:t xml:space="preserve">2.6) at Week 24, ACR50 </w:t>
      </w:r>
      <w:r>
        <w:rPr>
          <w:rFonts w:asciiTheme="minorHAnsi" w:hAnsiTheme="minorHAnsi" w:cs="Times"/>
          <w:lang w:val="en-US"/>
        </w:rPr>
        <w:t xml:space="preserve">response </w:t>
      </w:r>
      <w:r w:rsidRPr="00097FAE">
        <w:rPr>
          <w:rFonts w:asciiTheme="minorHAnsi" w:hAnsiTheme="minorHAnsi" w:cs="Times"/>
          <w:lang w:val="en-US"/>
        </w:rPr>
        <w:t xml:space="preserve">at Week 24, ACR70 </w:t>
      </w:r>
      <w:r>
        <w:rPr>
          <w:rFonts w:asciiTheme="minorHAnsi" w:hAnsiTheme="minorHAnsi" w:cs="Times"/>
          <w:lang w:val="en-US"/>
        </w:rPr>
        <w:t xml:space="preserve">response </w:t>
      </w:r>
      <w:r w:rsidRPr="00097FAE">
        <w:rPr>
          <w:rFonts w:asciiTheme="minorHAnsi" w:hAnsiTheme="minorHAnsi" w:cs="Times"/>
          <w:lang w:val="en-US"/>
        </w:rPr>
        <w:t xml:space="preserve">at Week 24, ACR20 </w:t>
      </w:r>
      <w:r>
        <w:rPr>
          <w:rFonts w:asciiTheme="minorHAnsi" w:hAnsiTheme="minorHAnsi" w:cs="Times"/>
          <w:lang w:val="en-US"/>
        </w:rPr>
        <w:t xml:space="preserve">response </w:t>
      </w:r>
      <w:r w:rsidRPr="00097FAE">
        <w:rPr>
          <w:rFonts w:asciiTheme="minorHAnsi" w:hAnsiTheme="minorHAnsi" w:cs="Times"/>
          <w:lang w:val="en-US"/>
        </w:rPr>
        <w:t xml:space="preserve">at Week 24, improvement </w:t>
      </w:r>
      <w:r>
        <w:rPr>
          <w:rFonts w:asciiTheme="minorHAnsi" w:hAnsiTheme="minorHAnsi" w:cs="Times"/>
          <w:lang w:val="en-US"/>
        </w:rPr>
        <w:t xml:space="preserve">from baseline </w:t>
      </w:r>
      <w:r w:rsidRPr="00097FAE">
        <w:rPr>
          <w:rFonts w:asciiTheme="minorHAnsi" w:hAnsiTheme="minorHAnsi" w:cs="Times"/>
          <w:lang w:val="en-US"/>
        </w:rPr>
        <w:t>in HAQ-DI score at Week 24, and improvement</w:t>
      </w:r>
      <w:r>
        <w:rPr>
          <w:rFonts w:asciiTheme="minorHAnsi" w:hAnsiTheme="minorHAnsi" w:cs="Times"/>
          <w:lang w:val="en-US"/>
        </w:rPr>
        <w:t xml:space="preserve"> from baseline</w:t>
      </w:r>
      <w:r w:rsidRPr="00097FAE">
        <w:rPr>
          <w:rFonts w:asciiTheme="minorHAnsi" w:hAnsiTheme="minorHAnsi" w:cs="Times"/>
          <w:lang w:val="en-US"/>
        </w:rPr>
        <w:t xml:space="preserve"> in SF-36 (PCS) at </w:t>
      </w:r>
      <w:r>
        <w:rPr>
          <w:rFonts w:asciiTheme="minorHAnsi" w:hAnsiTheme="minorHAnsi" w:cs="Times"/>
          <w:lang w:val="en-US"/>
        </w:rPr>
        <w:t xml:space="preserve">Week 12. </w:t>
      </w:r>
      <w:r w:rsidRPr="00097FAE">
        <w:rPr>
          <w:rFonts w:asciiTheme="minorHAnsi" w:hAnsiTheme="minorHAnsi" w:cs="Times"/>
          <w:lang w:val="en-US"/>
        </w:rPr>
        <w:t xml:space="preserve">The 2 secondary efficacy </w:t>
      </w:r>
      <w:r>
        <w:rPr>
          <w:rFonts w:asciiTheme="minorHAnsi" w:hAnsiTheme="minorHAnsi" w:cs="Times"/>
          <w:lang w:val="en-US"/>
        </w:rPr>
        <w:t xml:space="preserve">endpoints showing </w:t>
      </w:r>
      <w:r w:rsidRPr="00097FAE">
        <w:rPr>
          <w:rFonts w:asciiTheme="minorHAnsi" w:hAnsiTheme="minorHAnsi" w:cs="Times"/>
          <w:lang w:val="en-US"/>
        </w:rPr>
        <w:t>no statistically significant difference b</w:t>
      </w:r>
      <w:r>
        <w:rPr>
          <w:rFonts w:asciiTheme="minorHAnsi" w:hAnsiTheme="minorHAnsi" w:cs="Times"/>
          <w:lang w:val="en-US"/>
        </w:rPr>
        <w:t xml:space="preserve">etween the two treatment groups </w:t>
      </w:r>
      <w:r w:rsidRPr="00097FAE">
        <w:rPr>
          <w:rFonts w:asciiTheme="minorHAnsi" w:hAnsiTheme="minorHAnsi" w:cs="Times"/>
          <w:lang w:val="en-US"/>
        </w:rPr>
        <w:t>using the hierarchical tes</w:t>
      </w:r>
      <w:r>
        <w:rPr>
          <w:rFonts w:asciiTheme="minorHAnsi" w:hAnsiTheme="minorHAnsi" w:cs="Times"/>
          <w:lang w:val="en-US"/>
        </w:rPr>
        <w:t xml:space="preserve">ting procedure were the change </w:t>
      </w:r>
      <w:r w:rsidRPr="00097FAE">
        <w:rPr>
          <w:rFonts w:asciiTheme="minorHAnsi" w:hAnsiTheme="minorHAnsi" w:cs="Times"/>
          <w:lang w:val="en-US"/>
        </w:rPr>
        <w:t>from baseline to Week</w:t>
      </w:r>
      <w:r>
        <w:rPr>
          <w:rFonts w:asciiTheme="minorHAnsi" w:hAnsiTheme="minorHAnsi" w:cs="Times"/>
          <w:lang w:val="en-US"/>
        </w:rPr>
        <w:t xml:space="preserve"> 24 in the FACIT Fatigue score </w:t>
      </w:r>
      <w:r w:rsidRPr="00097FAE">
        <w:rPr>
          <w:rFonts w:asciiTheme="minorHAnsi" w:hAnsiTheme="minorHAnsi" w:cs="Times"/>
          <w:lang w:val="en-US"/>
        </w:rPr>
        <w:t xml:space="preserve">and </w:t>
      </w:r>
      <w:r>
        <w:rPr>
          <w:rFonts w:asciiTheme="minorHAnsi" w:hAnsiTheme="minorHAnsi" w:cs="Times"/>
          <w:lang w:val="en-US"/>
        </w:rPr>
        <w:t>the change from baseline to Week 24 in the SF-36 (MCS) score</w:t>
      </w:r>
      <w:r w:rsidRPr="00097FAE">
        <w:rPr>
          <w:rFonts w:asciiTheme="minorHAnsi" w:hAnsiTheme="minorHAnsi" w:cs="Times"/>
          <w:lang w:val="en-US"/>
        </w:rPr>
        <w:t xml:space="preserve">. The results for the primary efficacy </w:t>
      </w:r>
      <w:r>
        <w:rPr>
          <w:rFonts w:asciiTheme="minorHAnsi" w:hAnsiTheme="minorHAnsi" w:cs="Times"/>
          <w:lang w:val="en-US"/>
        </w:rPr>
        <w:t xml:space="preserve">endpoint and the 8 secondary efficacy endpoints </w:t>
      </w:r>
      <w:r w:rsidRPr="00097FAE">
        <w:rPr>
          <w:rFonts w:asciiTheme="minorHAnsi" w:hAnsiTheme="minorHAnsi" w:cs="Times"/>
          <w:lang w:val="en-US"/>
        </w:rPr>
        <w:t xml:space="preserve">included in the hierarchical testing procedure, listed in the </w:t>
      </w:r>
      <w:r>
        <w:rPr>
          <w:rFonts w:asciiTheme="minorHAnsi" w:hAnsiTheme="minorHAnsi" w:cs="Times"/>
          <w:lang w:val="en-US"/>
        </w:rPr>
        <w:t xml:space="preserve">order </w:t>
      </w:r>
      <w:r w:rsidRPr="00097FAE">
        <w:rPr>
          <w:rFonts w:asciiTheme="minorHAnsi" w:hAnsiTheme="minorHAnsi" w:cs="Times"/>
          <w:lang w:val="en-US"/>
        </w:rPr>
        <w:t xml:space="preserve">in which testing proceeded, are provided </w:t>
      </w:r>
      <w:r>
        <w:rPr>
          <w:rFonts w:asciiTheme="minorHAnsi" w:hAnsiTheme="minorHAnsi" w:cs="Times"/>
          <w:lang w:val="en-US"/>
        </w:rPr>
        <w:t xml:space="preserve">below in Table </w:t>
      </w:r>
      <w:r w:rsidR="00B817F6">
        <w:rPr>
          <w:rFonts w:asciiTheme="minorHAnsi" w:hAnsiTheme="minorHAnsi" w:cs="Times"/>
          <w:lang w:val="en-US"/>
        </w:rPr>
        <w:t>13</w:t>
      </w:r>
      <w:r w:rsidRPr="00097FAE">
        <w:rPr>
          <w:rFonts w:asciiTheme="minorHAnsi" w:hAnsiTheme="minorHAnsi" w:cs="Times"/>
          <w:lang w:val="en-US"/>
        </w:rPr>
        <w:t>.</w:t>
      </w:r>
    </w:p>
    <w:p w:rsidR="002928AB" w:rsidRPr="00097FAE" w:rsidRDefault="002928AB" w:rsidP="00B55A4D">
      <w:pPr>
        <w:pStyle w:val="Tabletitle0"/>
        <w:rPr>
          <w:lang w:eastAsia="ja-JP"/>
        </w:rPr>
      </w:pPr>
      <w:bookmarkStart w:id="136" w:name="_Toc514687830"/>
      <w:r>
        <w:t xml:space="preserve">Table </w:t>
      </w:r>
      <w:r w:rsidR="00B817F6">
        <w:t>13</w:t>
      </w:r>
      <w:r>
        <w:t xml:space="preserve">: </w:t>
      </w:r>
      <w:r w:rsidR="000F5B2C">
        <w:t xml:space="preserve">Study </w:t>
      </w:r>
      <w:r w:rsidRPr="00097FAE">
        <w:rPr>
          <w:lang w:eastAsia="ja-JP"/>
        </w:rPr>
        <w:t>EFC14092</w:t>
      </w:r>
      <w:r w:rsidR="00845119">
        <w:rPr>
          <w:lang w:val="en-US"/>
        </w:rPr>
        <w:t>/</w:t>
      </w:r>
      <w:r w:rsidR="00845119">
        <w:t>MONARCH trial</w:t>
      </w:r>
      <w:r w:rsidR="00845119" w:rsidRPr="00097FAE" w:rsidDel="00845119">
        <w:rPr>
          <w:lang w:eastAsia="ja-JP"/>
        </w:rPr>
        <w:t xml:space="preserve"> </w:t>
      </w:r>
      <w:r w:rsidRPr="00097FAE">
        <w:rPr>
          <w:lang w:eastAsia="ja-JP"/>
        </w:rPr>
        <w:t>Primary and secondary efficacy endpoints pre-specified hierarchical testing order to control for multiplicity, ITT population</w:t>
      </w:r>
      <w:bookmarkEnd w:id="136"/>
    </w:p>
    <w:tbl>
      <w:tblPr>
        <w:tblStyle w:val="TableTGAblue"/>
        <w:tblW w:w="8621" w:type="dxa"/>
        <w:tblLook w:val="04A0" w:firstRow="1" w:lastRow="0" w:firstColumn="1" w:lastColumn="0" w:noHBand="0" w:noVBand="1"/>
      </w:tblPr>
      <w:tblGrid>
        <w:gridCol w:w="2257"/>
        <w:gridCol w:w="1496"/>
        <w:gridCol w:w="65"/>
        <w:gridCol w:w="1375"/>
        <w:gridCol w:w="1788"/>
        <w:gridCol w:w="274"/>
        <w:gridCol w:w="1366"/>
      </w:tblGrid>
      <w:tr w:rsidR="002928AB" w:rsidRPr="00B55A4D" w:rsidTr="00FD15F9">
        <w:trPr>
          <w:cnfStyle w:val="100000000000" w:firstRow="1" w:lastRow="0" w:firstColumn="0" w:lastColumn="0" w:oddVBand="0" w:evenVBand="0" w:oddHBand="0" w:evenHBand="0" w:firstRowFirstColumn="0" w:firstRowLastColumn="0" w:lastRowFirstColumn="0" w:lastRowLastColumn="0"/>
          <w:cantSplit/>
          <w:trHeight w:val="303"/>
        </w:trPr>
        <w:tc>
          <w:tcPr>
            <w:tcW w:w="2257" w:type="dxa"/>
          </w:tcPr>
          <w:p w:rsidR="002928AB" w:rsidRPr="00B55A4D" w:rsidRDefault="002928AB" w:rsidP="00FD15F9">
            <w:pPr>
              <w:ind w:left="0" w:right="0"/>
              <w:rPr>
                <w:sz w:val="20"/>
                <w:szCs w:val="20"/>
              </w:rPr>
            </w:pPr>
            <w:r w:rsidRPr="00B55A4D">
              <w:rPr>
                <w:sz w:val="20"/>
                <w:szCs w:val="20"/>
              </w:rPr>
              <w:t xml:space="preserve">Parameter </w:t>
            </w:r>
          </w:p>
        </w:tc>
        <w:tc>
          <w:tcPr>
            <w:tcW w:w="1561" w:type="dxa"/>
            <w:gridSpan w:val="2"/>
          </w:tcPr>
          <w:p w:rsidR="002928AB" w:rsidRPr="00B55A4D" w:rsidRDefault="002928AB" w:rsidP="00FD15F9">
            <w:pPr>
              <w:ind w:left="0" w:right="0"/>
              <w:rPr>
                <w:sz w:val="20"/>
                <w:szCs w:val="20"/>
              </w:rPr>
            </w:pPr>
            <w:r w:rsidRPr="00B55A4D">
              <w:rPr>
                <w:sz w:val="20"/>
                <w:szCs w:val="20"/>
              </w:rPr>
              <w:t>ADA 40 mg q2w (</w:t>
            </w:r>
            <w:r w:rsidR="007C7C62">
              <w:rPr>
                <w:sz w:val="20"/>
                <w:szCs w:val="20"/>
              </w:rPr>
              <w:t xml:space="preserve">n = </w:t>
            </w:r>
            <w:r w:rsidRPr="00B55A4D">
              <w:rPr>
                <w:sz w:val="20"/>
                <w:szCs w:val="20"/>
              </w:rPr>
              <w:t>185)</w:t>
            </w:r>
          </w:p>
        </w:tc>
        <w:tc>
          <w:tcPr>
            <w:tcW w:w="1375" w:type="dxa"/>
          </w:tcPr>
          <w:p w:rsidR="002928AB" w:rsidRPr="00B55A4D" w:rsidRDefault="002928AB" w:rsidP="00FD15F9">
            <w:pPr>
              <w:ind w:left="0" w:right="0"/>
              <w:rPr>
                <w:sz w:val="20"/>
                <w:szCs w:val="20"/>
              </w:rPr>
            </w:pPr>
            <w:r w:rsidRPr="00B55A4D">
              <w:rPr>
                <w:sz w:val="20"/>
                <w:szCs w:val="20"/>
              </w:rPr>
              <w:t xml:space="preserve">SAR 200 mg </w:t>
            </w:r>
            <w:r w:rsidR="00FD15F9" w:rsidRPr="00B55A4D">
              <w:rPr>
                <w:sz w:val="20"/>
                <w:szCs w:val="20"/>
              </w:rPr>
              <w:t>q2</w:t>
            </w:r>
            <w:r w:rsidR="00FD15F9">
              <w:rPr>
                <w:sz w:val="20"/>
                <w:szCs w:val="20"/>
              </w:rPr>
              <w:t>w</w:t>
            </w:r>
            <w:r w:rsidR="00FD15F9" w:rsidRPr="00B55A4D">
              <w:rPr>
                <w:sz w:val="20"/>
                <w:szCs w:val="20"/>
              </w:rPr>
              <w:t xml:space="preserve"> </w:t>
            </w:r>
            <w:r w:rsidRPr="00B55A4D">
              <w:rPr>
                <w:sz w:val="20"/>
                <w:szCs w:val="20"/>
              </w:rPr>
              <w:t>(</w:t>
            </w:r>
            <w:r w:rsidR="007C7C62">
              <w:rPr>
                <w:sz w:val="20"/>
                <w:szCs w:val="20"/>
              </w:rPr>
              <w:t xml:space="preserve">n = </w:t>
            </w:r>
            <w:r w:rsidRPr="00B55A4D">
              <w:rPr>
                <w:sz w:val="20"/>
                <w:szCs w:val="20"/>
              </w:rPr>
              <w:t>184)</w:t>
            </w:r>
          </w:p>
        </w:tc>
        <w:tc>
          <w:tcPr>
            <w:tcW w:w="2062" w:type="dxa"/>
            <w:gridSpan w:val="2"/>
          </w:tcPr>
          <w:p w:rsidR="002928AB" w:rsidRPr="00B55A4D" w:rsidRDefault="002928AB" w:rsidP="00FD15F9">
            <w:pPr>
              <w:ind w:left="0" w:right="0"/>
              <w:rPr>
                <w:sz w:val="20"/>
                <w:szCs w:val="20"/>
              </w:rPr>
            </w:pPr>
            <w:r w:rsidRPr="00B55A4D">
              <w:rPr>
                <w:sz w:val="20"/>
                <w:szCs w:val="20"/>
              </w:rPr>
              <w:t>SAR</w:t>
            </w:r>
            <w:r w:rsidR="003D2290">
              <w:rPr>
                <w:sz w:val="20"/>
                <w:szCs w:val="20"/>
              </w:rPr>
              <w:t xml:space="preserve"> versus </w:t>
            </w:r>
            <w:r w:rsidRPr="00B55A4D">
              <w:rPr>
                <w:sz w:val="20"/>
                <w:szCs w:val="20"/>
              </w:rPr>
              <w:t>ADA (95% CI)</w:t>
            </w:r>
          </w:p>
        </w:tc>
        <w:tc>
          <w:tcPr>
            <w:tcW w:w="1365" w:type="dxa"/>
          </w:tcPr>
          <w:p w:rsidR="002928AB" w:rsidRPr="00B55A4D" w:rsidRDefault="002928AB" w:rsidP="00FD15F9">
            <w:pPr>
              <w:ind w:left="0" w:right="0"/>
              <w:rPr>
                <w:sz w:val="20"/>
                <w:szCs w:val="20"/>
              </w:rPr>
            </w:pPr>
            <w:r w:rsidRPr="00B55A4D">
              <w:rPr>
                <w:sz w:val="20"/>
                <w:szCs w:val="20"/>
              </w:rPr>
              <w:t>p value</w:t>
            </w:r>
          </w:p>
        </w:tc>
      </w:tr>
      <w:tr w:rsidR="002928AB" w:rsidRPr="00B55A4D" w:rsidTr="00FD15F9">
        <w:trPr>
          <w:trHeight w:val="303"/>
        </w:trPr>
        <w:tc>
          <w:tcPr>
            <w:tcW w:w="8621" w:type="dxa"/>
            <w:gridSpan w:val="7"/>
          </w:tcPr>
          <w:p w:rsidR="002928AB" w:rsidRPr="00B55A4D" w:rsidRDefault="002928AB" w:rsidP="00FD15F9">
            <w:pPr>
              <w:ind w:left="0" w:right="0"/>
              <w:rPr>
                <w:i/>
                <w:sz w:val="20"/>
                <w:szCs w:val="20"/>
              </w:rPr>
            </w:pPr>
            <w:r w:rsidRPr="00B55A4D">
              <w:rPr>
                <w:i/>
                <w:sz w:val="20"/>
                <w:szCs w:val="20"/>
              </w:rPr>
              <w:t>Primary efficacy variable</w:t>
            </w:r>
          </w:p>
        </w:tc>
      </w:tr>
      <w:tr w:rsidR="002928AB" w:rsidRPr="00B55A4D" w:rsidTr="00FD15F9">
        <w:trPr>
          <w:trHeight w:val="303"/>
        </w:trPr>
        <w:tc>
          <w:tcPr>
            <w:tcW w:w="2257" w:type="dxa"/>
          </w:tcPr>
          <w:p w:rsidR="002928AB" w:rsidRPr="00B55A4D" w:rsidRDefault="002928AB" w:rsidP="00FD15F9">
            <w:pPr>
              <w:ind w:left="0" w:right="0"/>
              <w:rPr>
                <w:sz w:val="20"/>
                <w:szCs w:val="20"/>
              </w:rPr>
            </w:pPr>
            <w:r w:rsidRPr="00B55A4D">
              <w:rPr>
                <w:sz w:val="20"/>
                <w:szCs w:val="20"/>
              </w:rPr>
              <w:t>DAS28-ESR score (W24 - BL), LSM (SE)</w:t>
            </w:r>
          </w:p>
        </w:tc>
        <w:tc>
          <w:tcPr>
            <w:tcW w:w="1496" w:type="dxa"/>
          </w:tcPr>
          <w:p w:rsidR="002928AB" w:rsidRPr="00B55A4D" w:rsidRDefault="002928AB" w:rsidP="00FD15F9">
            <w:pPr>
              <w:ind w:left="0" w:right="0"/>
              <w:rPr>
                <w:sz w:val="20"/>
                <w:szCs w:val="20"/>
              </w:rPr>
            </w:pPr>
            <w:r w:rsidRPr="00B55A4D">
              <w:rPr>
                <w:sz w:val="20"/>
                <w:szCs w:val="20"/>
              </w:rPr>
              <w:t>-2.20 (0.106)</w:t>
            </w:r>
          </w:p>
        </w:tc>
        <w:tc>
          <w:tcPr>
            <w:tcW w:w="1440" w:type="dxa"/>
            <w:gridSpan w:val="2"/>
          </w:tcPr>
          <w:p w:rsidR="002928AB" w:rsidRPr="00B55A4D" w:rsidRDefault="002928AB" w:rsidP="00FD15F9">
            <w:pPr>
              <w:ind w:left="0" w:right="0"/>
              <w:rPr>
                <w:sz w:val="20"/>
                <w:szCs w:val="20"/>
              </w:rPr>
            </w:pPr>
            <w:r w:rsidRPr="00B55A4D">
              <w:rPr>
                <w:sz w:val="20"/>
                <w:szCs w:val="20"/>
              </w:rPr>
              <w:t>-3.28 (0.105)</w:t>
            </w:r>
          </w:p>
        </w:tc>
        <w:tc>
          <w:tcPr>
            <w:tcW w:w="1788" w:type="dxa"/>
          </w:tcPr>
          <w:p w:rsidR="002928AB" w:rsidRPr="00B55A4D" w:rsidRDefault="002928AB" w:rsidP="00FD15F9">
            <w:pPr>
              <w:ind w:left="0" w:right="0"/>
              <w:rPr>
                <w:rFonts w:ascii="Calibri" w:hAnsi="Calibri"/>
                <w:sz w:val="20"/>
                <w:szCs w:val="20"/>
              </w:rPr>
            </w:pPr>
            <w:r w:rsidRPr="00B55A4D">
              <w:rPr>
                <w:rFonts w:ascii="Calibri" w:hAnsi="Calibri"/>
                <w:sz w:val="20"/>
                <w:szCs w:val="20"/>
              </w:rPr>
              <w:t>Δ</w:t>
            </w:r>
            <w:r w:rsidRPr="00B55A4D">
              <w:rPr>
                <w:sz w:val="20"/>
                <w:szCs w:val="20"/>
              </w:rPr>
              <w:t xml:space="preserve"> = -1.077 (-1.361, -0.793)</w:t>
            </w:r>
          </w:p>
        </w:tc>
        <w:tc>
          <w:tcPr>
            <w:tcW w:w="1640" w:type="dxa"/>
            <w:gridSpan w:val="2"/>
          </w:tcPr>
          <w:p w:rsidR="002928AB" w:rsidRPr="00B55A4D" w:rsidRDefault="007F1BEB" w:rsidP="00FD15F9">
            <w:pPr>
              <w:ind w:left="0" w:right="0"/>
              <w:rPr>
                <w:sz w:val="20"/>
                <w:szCs w:val="20"/>
              </w:rPr>
            </w:pPr>
            <w:r>
              <w:t>&lt; </w:t>
            </w:r>
            <w:r w:rsidR="002928AB" w:rsidRPr="00B55A4D">
              <w:rPr>
                <w:sz w:val="20"/>
                <w:szCs w:val="20"/>
              </w:rPr>
              <w:t>0.0001</w:t>
            </w:r>
          </w:p>
        </w:tc>
      </w:tr>
      <w:tr w:rsidR="002928AB" w:rsidRPr="00B55A4D" w:rsidTr="00FD15F9">
        <w:trPr>
          <w:trHeight w:val="303"/>
        </w:trPr>
        <w:tc>
          <w:tcPr>
            <w:tcW w:w="8621" w:type="dxa"/>
            <w:gridSpan w:val="7"/>
          </w:tcPr>
          <w:p w:rsidR="002928AB" w:rsidRPr="00B55A4D" w:rsidRDefault="002928AB" w:rsidP="00FD15F9">
            <w:pPr>
              <w:ind w:left="0" w:right="0"/>
              <w:rPr>
                <w:i/>
                <w:sz w:val="20"/>
                <w:szCs w:val="20"/>
              </w:rPr>
            </w:pPr>
            <w:r w:rsidRPr="00B55A4D">
              <w:rPr>
                <w:i/>
                <w:sz w:val="20"/>
                <w:szCs w:val="20"/>
              </w:rPr>
              <w:t>Secondary efficacy variables</w:t>
            </w:r>
          </w:p>
        </w:tc>
      </w:tr>
      <w:tr w:rsidR="002928AB" w:rsidRPr="00B55A4D" w:rsidTr="00FD15F9">
        <w:trPr>
          <w:trHeight w:val="303"/>
        </w:trPr>
        <w:tc>
          <w:tcPr>
            <w:tcW w:w="2257" w:type="dxa"/>
          </w:tcPr>
          <w:p w:rsidR="002928AB" w:rsidRPr="00B55A4D" w:rsidRDefault="002928AB" w:rsidP="00FD15F9">
            <w:pPr>
              <w:ind w:left="0" w:right="0"/>
              <w:rPr>
                <w:sz w:val="20"/>
                <w:szCs w:val="20"/>
              </w:rPr>
            </w:pPr>
            <w:r w:rsidRPr="00B55A4D">
              <w:rPr>
                <w:sz w:val="20"/>
                <w:szCs w:val="20"/>
              </w:rPr>
              <w:t>DAS28-ESR (</w:t>
            </w:r>
            <w:r w:rsidR="007F1BEB">
              <w:t>&lt; </w:t>
            </w:r>
            <w:r w:rsidRPr="00B55A4D">
              <w:rPr>
                <w:sz w:val="20"/>
                <w:szCs w:val="20"/>
              </w:rPr>
              <w:t>2.6) remission W24, %</w:t>
            </w:r>
          </w:p>
        </w:tc>
        <w:tc>
          <w:tcPr>
            <w:tcW w:w="1496" w:type="dxa"/>
          </w:tcPr>
          <w:p w:rsidR="002928AB" w:rsidRPr="00B55A4D" w:rsidRDefault="002928AB" w:rsidP="00FD15F9">
            <w:pPr>
              <w:ind w:left="0" w:right="0"/>
              <w:rPr>
                <w:sz w:val="20"/>
                <w:szCs w:val="20"/>
              </w:rPr>
            </w:pPr>
            <w:r w:rsidRPr="00B55A4D">
              <w:rPr>
                <w:sz w:val="20"/>
                <w:szCs w:val="20"/>
              </w:rPr>
              <w:t>7.0% (</w:t>
            </w:r>
            <w:r w:rsidR="007C7C62">
              <w:rPr>
                <w:sz w:val="20"/>
                <w:szCs w:val="20"/>
              </w:rPr>
              <w:t xml:space="preserve">n = </w:t>
            </w:r>
            <w:r w:rsidRPr="00B55A4D">
              <w:rPr>
                <w:sz w:val="20"/>
                <w:szCs w:val="20"/>
              </w:rPr>
              <w:t>13)</w:t>
            </w:r>
          </w:p>
        </w:tc>
        <w:tc>
          <w:tcPr>
            <w:tcW w:w="1440" w:type="dxa"/>
            <w:gridSpan w:val="2"/>
          </w:tcPr>
          <w:p w:rsidR="002928AB" w:rsidRPr="00B55A4D" w:rsidRDefault="002928AB" w:rsidP="00FD15F9">
            <w:pPr>
              <w:ind w:left="0" w:right="0"/>
              <w:rPr>
                <w:sz w:val="20"/>
                <w:szCs w:val="20"/>
              </w:rPr>
            </w:pPr>
            <w:r w:rsidRPr="00B55A4D">
              <w:rPr>
                <w:sz w:val="20"/>
                <w:szCs w:val="20"/>
              </w:rPr>
              <w:t>26.6% (</w:t>
            </w:r>
            <w:r w:rsidR="007C7C62">
              <w:rPr>
                <w:sz w:val="20"/>
                <w:szCs w:val="20"/>
              </w:rPr>
              <w:t xml:space="preserve">n = </w:t>
            </w:r>
            <w:r w:rsidRPr="00B55A4D">
              <w:rPr>
                <w:sz w:val="20"/>
                <w:szCs w:val="20"/>
              </w:rPr>
              <w:t>49)</w:t>
            </w:r>
          </w:p>
        </w:tc>
        <w:tc>
          <w:tcPr>
            <w:tcW w:w="1788" w:type="dxa"/>
          </w:tcPr>
          <w:p w:rsidR="002928AB" w:rsidRPr="00B55A4D" w:rsidRDefault="002928AB" w:rsidP="00FD15F9">
            <w:pPr>
              <w:ind w:left="0" w:right="0"/>
              <w:rPr>
                <w:sz w:val="20"/>
                <w:szCs w:val="20"/>
              </w:rPr>
            </w:pPr>
            <w:r w:rsidRPr="00B55A4D">
              <w:rPr>
                <w:sz w:val="20"/>
                <w:szCs w:val="20"/>
              </w:rPr>
              <w:t>OR = 4.879 (2.536, 9.389)</w:t>
            </w:r>
          </w:p>
        </w:tc>
        <w:tc>
          <w:tcPr>
            <w:tcW w:w="1640" w:type="dxa"/>
            <w:gridSpan w:val="2"/>
          </w:tcPr>
          <w:p w:rsidR="002928AB" w:rsidRPr="00B55A4D" w:rsidRDefault="007F1BEB" w:rsidP="00FD15F9">
            <w:pPr>
              <w:ind w:left="0" w:right="0"/>
              <w:rPr>
                <w:sz w:val="20"/>
                <w:szCs w:val="20"/>
              </w:rPr>
            </w:pPr>
            <w:r>
              <w:t>&lt; </w:t>
            </w:r>
            <w:r w:rsidR="002928AB" w:rsidRPr="00B55A4D">
              <w:rPr>
                <w:sz w:val="20"/>
                <w:szCs w:val="20"/>
              </w:rPr>
              <w:t>0.001</w:t>
            </w:r>
          </w:p>
        </w:tc>
      </w:tr>
      <w:tr w:rsidR="002928AB" w:rsidRPr="00B55A4D" w:rsidTr="00FD15F9">
        <w:trPr>
          <w:trHeight w:val="303"/>
        </w:trPr>
        <w:tc>
          <w:tcPr>
            <w:tcW w:w="2257" w:type="dxa"/>
          </w:tcPr>
          <w:p w:rsidR="002928AB" w:rsidRPr="00B55A4D" w:rsidRDefault="002928AB" w:rsidP="00FD15F9">
            <w:pPr>
              <w:ind w:left="0" w:right="0"/>
              <w:rPr>
                <w:sz w:val="20"/>
                <w:szCs w:val="20"/>
              </w:rPr>
            </w:pPr>
            <w:r w:rsidRPr="00B55A4D">
              <w:rPr>
                <w:sz w:val="20"/>
                <w:szCs w:val="20"/>
              </w:rPr>
              <w:t>ACR50 response W24, %</w:t>
            </w:r>
          </w:p>
        </w:tc>
        <w:tc>
          <w:tcPr>
            <w:tcW w:w="1496" w:type="dxa"/>
          </w:tcPr>
          <w:p w:rsidR="002928AB" w:rsidRPr="00B55A4D" w:rsidRDefault="002928AB" w:rsidP="00FD15F9">
            <w:pPr>
              <w:ind w:left="0" w:right="0"/>
              <w:rPr>
                <w:sz w:val="20"/>
                <w:szCs w:val="20"/>
              </w:rPr>
            </w:pPr>
            <w:r w:rsidRPr="00B55A4D">
              <w:rPr>
                <w:sz w:val="20"/>
                <w:szCs w:val="20"/>
              </w:rPr>
              <w:t>29.7% (</w:t>
            </w:r>
            <w:r w:rsidR="007C7C62">
              <w:rPr>
                <w:sz w:val="20"/>
                <w:szCs w:val="20"/>
              </w:rPr>
              <w:t xml:space="preserve">n = </w:t>
            </w:r>
            <w:r w:rsidRPr="00B55A4D">
              <w:rPr>
                <w:sz w:val="20"/>
                <w:szCs w:val="20"/>
              </w:rPr>
              <w:t>55)</w:t>
            </w:r>
          </w:p>
        </w:tc>
        <w:tc>
          <w:tcPr>
            <w:tcW w:w="1440" w:type="dxa"/>
            <w:gridSpan w:val="2"/>
          </w:tcPr>
          <w:p w:rsidR="002928AB" w:rsidRPr="00B55A4D" w:rsidRDefault="002928AB" w:rsidP="00FD15F9">
            <w:pPr>
              <w:ind w:left="0" w:right="0"/>
              <w:rPr>
                <w:sz w:val="20"/>
                <w:szCs w:val="20"/>
              </w:rPr>
            </w:pPr>
            <w:r w:rsidRPr="00B55A4D">
              <w:rPr>
                <w:sz w:val="20"/>
                <w:szCs w:val="20"/>
              </w:rPr>
              <w:t>45.7% (</w:t>
            </w:r>
            <w:r w:rsidR="007C7C62">
              <w:rPr>
                <w:sz w:val="20"/>
                <w:szCs w:val="20"/>
              </w:rPr>
              <w:t xml:space="preserve">n = </w:t>
            </w:r>
            <w:r w:rsidRPr="00B55A4D">
              <w:rPr>
                <w:sz w:val="20"/>
                <w:szCs w:val="20"/>
              </w:rPr>
              <w:t>84)</w:t>
            </w:r>
          </w:p>
        </w:tc>
        <w:tc>
          <w:tcPr>
            <w:tcW w:w="1788" w:type="dxa"/>
          </w:tcPr>
          <w:p w:rsidR="002928AB" w:rsidRPr="00B55A4D" w:rsidRDefault="002928AB" w:rsidP="00FD15F9">
            <w:pPr>
              <w:ind w:left="0" w:right="0"/>
              <w:rPr>
                <w:sz w:val="20"/>
                <w:szCs w:val="20"/>
              </w:rPr>
            </w:pPr>
            <w:r w:rsidRPr="00B55A4D">
              <w:rPr>
                <w:sz w:val="20"/>
                <w:szCs w:val="20"/>
              </w:rPr>
              <w:t>OR = 1.976 (1.289, 3.028)</w:t>
            </w:r>
          </w:p>
        </w:tc>
        <w:tc>
          <w:tcPr>
            <w:tcW w:w="1640" w:type="dxa"/>
            <w:gridSpan w:val="2"/>
          </w:tcPr>
          <w:p w:rsidR="002928AB" w:rsidRPr="00B55A4D" w:rsidRDefault="002928AB" w:rsidP="00FD15F9">
            <w:pPr>
              <w:ind w:left="0" w:right="0"/>
              <w:rPr>
                <w:sz w:val="20"/>
                <w:szCs w:val="20"/>
              </w:rPr>
            </w:pPr>
            <w:r w:rsidRPr="00B55A4D">
              <w:rPr>
                <w:sz w:val="20"/>
                <w:szCs w:val="20"/>
              </w:rPr>
              <w:t>= 0.0017</w:t>
            </w:r>
          </w:p>
        </w:tc>
      </w:tr>
      <w:tr w:rsidR="002928AB" w:rsidRPr="00B55A4D" w:rsidTr="00FD15F9">
        <w:trPr>
          <w:trHeight w:val="303"/>
        </w:trPr>
        <w:tc>
          <w:tcPr>
            <w:tcW w:w="2257" w:type="dxa"/>
          </w:tcPr>
          <w:p w:rsidR="002928AB" w:rsidRPr="00B55A4D" w:rsidRDefault="002928AB" w:rsidP="00FD15F9">
            <w:pPr>
              <w:ind w:left="0" w:right="0"/>
              <w:rPr>
                <w:sz w:val="20"/>
                <w:szCs w:val="20"/>
              </w:rPr>
            </w:pPr>
            <w:r w:rsidRPr="00B55A4D">
              <w:rPr>
                <w:sz w:val="20"/>
                <w:szCs w:val="20"/>
              </w:rPr>
              <w:t>ACR70 response W24, %</w:t>
            </w:r>
          </w:p>
        </w:tc>
        <w:tc>
          <w:tcPr>
            <w:tcW w:w="1496" w:type="dxa"/>
          </w:tcPr>
          <w:p w:rsidR="002928AB" w:rsidRPr="00B55A4D" w:rsidRDefault="002928AB" w:rsidP="00FD15F9">
            <w:pPr>
              <w:ind w:left="0" w:right="0"/>
              <w:rPr>
                <w:sz w:val="20"/>
                <w:szCs w:val="20"/>
              </w:rPr>
            </w:pPr>
            <w:r w:rsidRPr="00B55A4D">
              <w:rPr>
                <w:sz w:val="20"/>
                <w:szCs w:val="20"/>
              </w:rPr>
              <w:t>11.9% (</w:t>
            </w:r>
            <w:r w:rsidR="007C7C62">
              <w:rPr>
                <w:sz w:val="20"/>
                <w:szCs w:val="20"/>
              </w:rPr>
              <w:t xml:space="preserve">n = </w:t>
            </w:r>
            <w:r w:rsidRPr="00B55A4D">
              <w:rPr>
                <w:sz w:val="20"/>
                <w:szCs w:val="20"/>
              </w:rPr>
              <w:t>22)</w:t>
            </w:r>
          </w:p>
        </w:tc>
        <w:tc>
          <w:tcPr>
            <w:tcW w:w="1440" w:type="dxa"/>
            <w:gridSpan w:val="2"/>
          </w:tcPr>
          <w:p w:rsidR="002928AB" w:rsidRPr="00B55A4D" w:rsidRDefault="002928AB" w:rsidP="00FD15F9">
            <w:pPr>
              <w:ind w:left="0" w:right="0"/>
              <w:rPr>
                <w:sz w:val="20"/>
                <w:szCs w:val="20"/>
              </w:rPr>
            </w:pPr>
            <w:r w:rsidRPr="00B55A4D">
              <w:rPr>
                <w:sz w:val="20"/>
                <w:szCs w:val="20"/>
              </w:rPr>
              <w:t>23.4% (</w:t>
            </w:r>
            <w:r w:rsidR="007C7C62">
              <w:rPr>
                <w:sz w:val="20"/>
                <w:szCs w:val="20"/>
              </w:rPr>
              <w:t xml:space="preserve">n = </w:t>
            </w:r>
            <w:r w:rsidRPr="00B55A4D">
              <w:rPr>
                <w:sz w:val="20"/>
                <w:szCs w:val="20"/>
              </w:rPr>
              <w:t>43)</w:t>
            </w:r>
          </w:p>
        </w:tc>
        <w:tc>
          <w:tcPr>
            <w:tcW w:w="1788" w:type="dxa"/>
          </w:tcPr>
          <w:p w:rsidR="002928AB" w:rsidRPr="00B55A4D" w:rsidRDefault="002928AB" w:rsidP="00FD15F9">
            <w:pPr>
              <w:ind w:left="0" w:right="0"/>
              <w:rPr>
                <w:sz w:val="20"/>
                <w:szCs w:val="20"/>
              </w:rPr>
            </w:pPr>
            <w:r w:rsidRPr="00B55A4D">
              <w:rPr>
                <w:sz w:val="20"/>
                <w:szCs w:val="20"/>
              </w:rPr>
              <w:t xml:space="preserve">OR = 2.286 (1.300, 4.020) </w:t>
            </w:r>
          </w:p>
        </w:tc>
        <w:tc>
          <w:tcPr>
            <w:tcW w:w="1640" w:type="dxa"/>
            <w:gridSpan w:val="2"/>
          </w:tcPr>
          <w:p w:rsidR="002928AB" w:rsidRPr="00B55A4D" w:rsidRDefault="002928AB" w:rsidP="00FD15F9">
            <w:pPr>
              <w:ind w:left="0" w:right="0"/>
              <w:rPr>
                <w:sz w:val="20"/>
                <w:szCs w:val="20"/>
              </w:rPr>
            </w:pPr>
            <w:r w:rsidRPr="00B55A4D">
              <w:rPr>
                <w:sz w:val="20"/>
                <w:szCs w:val="20"/>
              </w:rPr>
              <w:t>= 0.0036</w:t>
            </w:r>
          </w:p>
        </w:tc>
      </w:tr>
      <w:tr w:rsidR="002928AB" w:rsidRPr="00B55A4D" w:rsidTr="00FD15F9">
        <w:trPr>
          <w:trHeight w:val="303"/>
        </w:trPr>
        <w:tc>
          <w:tcPr>
            <w:tcW w:w="2257" w:type="dxa"/>
          </w:tcPr>
          <w:p w:rsidR="002928AB" w:rsidRPr="00B55A4D" w:rsidRDefault="002928AB" w:rsidP="00FD15F9">
            <w:pPr>
              <w:ind w:left="0" w:right="0"/>
              <w:rPr>
                <w:sz w:val="20"/>
                <w:szCs w:val="20"/>
              </w:rPr>
            </w:pPr>
            <w:r w:rsidRPr="00B55A4D">
              <w:rPr>
                <w:sz w:val="20"/>
                <w:szCs w:val="20"/>
              </w:rPr>
              <w:t>ACR20 response W24, %</w:t>
            </w:r>
          </w:p>
        </w:tc>
        <w:tc>
          <w:tcPr>
            <w:tcW w:w="1496" w:type="dxa"/>
          </w:tcPr>
          <w:p w:rsidR="002928AB" w:rsidRPr="00B55A4D" w:rsidRDefault="002928AB" w:rsidP="00FD15F9">
            <w:pPr>
              <w:ind w:left="0" w:right="0"/>
              <w:rPr>
                <w:sz w:val="20"/>
                <w:szCs w:val="20"/>
              </w:rPr>
            </w:pPr>
            <w:r w:rsidRPr="00B55A4D">
              <w:rPr>
                <w:sz w:val="20"/>
                <w:szCs w:val="20"/>
              </w:rPr>
              <w:t>58.4% (</w:t>
            </w:r>
            <w:r w:rsidR="007C7C62">
              <w:rPr>
                <w:sz w:val="20"/>
                <w:szCs w:val="20"/>
              </w:rPr>
              <w:t xml:space="preserve">n = </w:t>
            </w:r>
            <w:r w:rsidRPr="00B55A4D">
              <w:rPr>
                <w:sz w:val="20"/>
                <w:szCs w:val="20"/>
              </w:rPr>
              <w:t>108)</w:t>
            </w:r>
          </w:p>
        </w:tc>
        <w:tc>
          <w:tcPr>
            <w:tcW w:w="1440" w:type="dxa"/>
            <w:gridSpan w:val="2"/>
          </w:tcPr>
          <w:p w:rsidR="002928AB" w:rsidRPr="00B55A4D" w:rsidRDefault="002928AB" w:rsidP="00FD15F9">
            <w:pPr>
              <w:ind w:left="0" w:right="0"/>
              <w:rPr>
                <w:sz w:val="20"/>
                <w:szCs w:val="20"/>
              </w:rPr>
            </w:pPr>
            <w:r w:rsidRPr="00B55A4D">
              <w:rPr>
                <w:sz w:val="20"/>
                <w:szCs w:val="20"/>
              </w:rPr>
              <w:t>71.7% (</w:t>
            </w:r>
            <w:r w:rsidR="007C7C62">
              <w:rPr>
                <w:sz w:val="20"/>
                <w:szCs w:val="20"/>
              </w:rPr>
              <w:t xml:space="preserve">n = </w:t>
            </w:r>
            <w:r w:rsidRPr="00B55A4D">
              <w:rPr>
                <w:sz w:val="20"/>
                <w:szCs w:val="20"/>
              </w:rPr>
              <w:t>132)</w:t>
            </w:r>
          </w:p>
        </w:tc>
        <w:tc>
          <w:tcPr>
            <w:tcW w:w="1788" w:type="dxa"/>
          </w:tcPr>
          <w:p w:rsidR="002928AB" w:rsidRPr="00B55A4D" w:rsidRDefault="002928AB" w:rsidP="00FD15F9">
            <w:pPr>
              <w:ind w:left="0" w:right="0"/>
              <w:rPr>
                <w:sz w:val="20"/>
                <w:szCs w:val="20"/>
              </w:rPr>
            </w:pPr>
            <w:r w:rsidRPr="00B55A4D">
              <w:rPr>
                <w:sz w:val="20"/>
                <w:szCs w:val="20"/>
              </w:rPr>
              <w:t>OR = 1.800 (1.168, 2.773)</w:t>
            </w:r>
          </w:p>
        </w:tc>
        <w:tc>
          <w:tcPr>
            <w:tcW w:w="1640" w:type="dxa"/>
            <w:gridSpan w:val="2"/>
          </w:tcPr>
          <w:p w:rsidR="002928AB" w:rsidRPr="00B55A4D" w:rsidRDefault="002928AB" w:rsidP="00FD15F9">
            <w:pPr>
              <w:ind w:left="0" w:right="0"/>
              <w:rPr>
                <w:sz w:val="20"/>
                <w:szCs w:val="20"/>
              </w:rPr>
            </w:pPr>
            <w:r w:rsidRPr="00B55A4D">
              <w:rPr>
                <w:sz w:val="20"/>
                <w:szCs w:val="20"/>
              </w:rPr>
              <w:t>= 0.0074</w:t>
            </w:r>
          </w:p>
        </w:tc>
      </w:tr>
      <w:tr w:rsidR="002928AB" w:rsidRPr="00B55A4D" w:rsidTr="00FD15F9">
        <w:trPr>
          <w:trHeight w:val="303"/>
        </w:trPr>
        <w:tc>
          <w:tcPr>
            <w:tcW w:w="2257" w:type="dxa"/>
          </w:tcPr>
          <w:p w:rsidR="002928AB" w:rsidRPr="00B55A4D" w:rsidRDefault="002928AB" w:rsidP="00FD15F9">
            <w:pPr>
              <w:ind w:left="0" w:right="0"/>
              <w:rPr>
                <w:sz w:val="20"/>
                <w:szCs w:val="20"/>
              </w:rPr>
            </w:pPr>
            <w:r w:rsidRPr="00B55A4D">
              <w:rPr>
                <w:sz w:val="20"/>
                <w:szCs w:val="20"/>
              </w:rPr>
              <w:t xml:space="preserve">HAQ-DI score (W24-BL), LSM (SE) </w:t>
            </w:r>
          </w:p>
        </w:tc>
        <w:tc>
          <w:tcPr>
            <w:tcW w:w="1496" w:type="dxa"/>
          </w:tcPr>
          <w:p w:rsidR="002928AB" w:rsidRPr="00B55A4D" w:rsidRDefault="002928AB" w:rsidP="00FD15F9">
            <w:pPr>
              <w:ind w:left="0" w:right="0"/>
              <w:rPr>
                <w:sz w:val="20"/>
                <w:szCs w:val="20"/>
              </w:rPr>
            </w:pPr>
            <w:r w:rsidRPr="00B55A4D">
              <w:rPr>
                <w:sz w:val="20"/>
                <w:szCs w:val="20"/>
              </w:rPr>
              <w:t>-0.43 (0.045)</w:t>
            </w:r>
          </w:p>
        </w:tc>
        <w:tc>
          <w:tcPr>
            <w:tcW w:w="1440" w:type="dxa"/>
            <w:gridSpan w:val="2"/>
          </w:tcPr>
          <w:p w:rsidR="002928AB" w:rsidRPr="00B55A4D" w:rsidRDefault="002928AB" w:rsidP="00FD15F9">
            <w:pPr>
              <w:ind w:left="0" w:right="0"/>
              <w:rPr>
                <w:sz w:val="20"/>
                <w:szCs w:val="20"/>
              </w:rPr>
            </w:pPr>
            <w:r w:rsidRPr="00B55A4D">
              <w:rPr>
                <w:sz w:val="20"/>
                <w:szCs w:val="20"/>
              </w:rPr>
              <w:t>-0.61 (0.045)</w:t>
            </w:r>
          </w:p>
        </w:tc>
        <w:tc>
          <w:tcPr>
            <w:tcW w:w="1788" w:type="dxa"/>
          </w:tcPr>
          <w:p w:rsidR="002928AB" w:rsidRPr="00B55A4D" w:rsidRDefault="002928AB" w:rsidP="00FD15F9">
            <w:pPr>
              <w:ind w:left="0" w:right="0"/>
              <w:rPr>
                <w:sz w:val="20"/>
                <w:szCs w:val="20"/>
              </w:rPr>
            </w:pPr>
            <w:r w:rsidRPr="00B55A4D">
              <w:rPr>
                <w:rFonts w:ascii="Calibri" w:hAnsi="Calibri"/>
                <w:sz w:val="20"/>
                <w:szCs w:val="20"/>
              </w:rPr>
              <w:t>Δ</w:t>
            </w:r>
            <w:r w:rsidRPr="00B55A4D">
              <w:rPr>
                <w:sz w:val="20"/>
                <w:szCs w:val="20"/>
              </w:rPr>
              <w:t xml:space="preserve"> = -0.182 (-0.305, -0.059)</w:t>
            </w:r>
          </w:p>
        </w:tc>
        <w:tc>
          <w:tcPr>
            <w:tcW w:w="1640" w:type="dxa"/>
            <w:gridSpan w:val="2"/>
          </w:tcPr>
          <w:p w:rsidR="002928AB" w:rsidRPr="00B55A4D" w:rsidRDefault="002928AB" w:rsidP="00FD15F9">
            <w:pPr>
              <w:ind w:left="0" w:right="0"/>
              <w:rPr>
                <w:sz w:val="20"/>
                <w:szCs w:val="20"/>
              </w:rPr>
            </w:pPr>
            <w:r w:rsidRPr="00B55A4D">
              <w:rPr>
                <w:sz w:val="20"/>
                <w:szCs w:val="20"/>
              </w:rPr>
              <w:t>= 0.0037</w:t>
            </w:r>
          </w:p>
        </w:tc>
      </w:tr>
      <w:tr w:rsidR="002928AB" w:rsidRPr="00B55A4D" w:rsidTr="00FD15F9">
        <w:trPr>
          <w:trHeight w:val="303"/>
        </w:trPr>
        <w:tc>
          <w:tcPr>
            <w:tcW w:w="2257" w:type="dxa"/>
          </w:tcPr>
          <w:p w:rsidR="002928AB" w:rsidRPr="00B55A4D" w:rsidRDefault="002928AB" w:rsidP="00FD15F9">
            <w:pPr>
              <w:ind w:left="0" w:right="0"/>
              <w:rPr>
                <w:sz w:val="20"/>
                <w:szCs w:val="20"/>
              </w:rPr>
            </w:pPr>
            <w:r w:rsidRPr="00B55A4D">
              <w:rPr>
                <w:sz w:val="20"/>
                <w:szCs w:val="20"/>
              </w:rPr>
              <w:t>SF-36 (PCS) score (W24-BL), LSM (SE)</w:t>
            </w:r>
          </w:p>
        </w:tc>
        <w:tc>
          <w:tcPr>
            <w:tcW w:w="1496" w:type="dxa"/>
          </w:tcPr>
          <w:p w:rsidR="002928AB" w:rsidRPr="00B55A4D" w:rsidRDefault="002928AB" w:rsidP="00FD15F9">
            <w:pPr>
              <w:ind w:left="0" w:right="0"/>
              <w:rPr>
                <w:sz w:val="20"/>
                <w:szCs w:val="20"/>
              </w:rPr>
            </w:pPr>
            <w:r w:rsidRPr="00B55A4D">
              <w:rPr>
                <w:sz w:val="20"/>
                <w:szCs w:val="20"/>
              </w:rPr>
              <w:t>6.09 (0.555)</w:t>
            </w:r>
          </w:p>
        </w:tc>
        <w:tc>
          <w:tcPr>
            <w:tcW w:w="1440" w:type="dxa"/>
            <w:gridSpan w:val="2"/>
          </w:tcPr>
          <w:p w:rsidR="002928AB" w:rsidRPr="00B55A4D" w:rsidRDefault="002928AB" w:rsidP="00FD15F9">
            <w:pPr>
              <w:ind w:left="0" w:right="0"/>
              <w:rPr>
                <w:sz w:val="20"/>
                <w:szCs w:val="20"/>
              </w:rPr>
            </w:pPr>
            <w:r w:rsidRPr="00B55A4D">
              <w:rPr>
                <w:sz w:val="20"/>
                <w:szCs w:val="20"/>
              </w:rPr>
              <w:t>8.74 (0.555)</w:t>
            </w:r>
          </w:p>
        </w:tc>
        <w:tc>
          <w:tcPr>
            <w:tcW w:w="1788" w:type="dxa"/>
          </w:tcPr>
          <w:p w:rsidR="002928AB" w:rsidRPr="00B55A4D" w:rsidRDefault="002928AB" w:rsidP="00FD15F9">
            <w:pPr>
              <w:ind w:left="0" w:right="0"/>
              <w:rPr>
                <w:sz w:val="20"/>
                <w:szCs w:val="20"/>
              </w:rPr>
            </w:pPr>
            <w:r w:rsidRPr="00B55A4D">
              <w:rPr>
                <w:rFonts w:ascii="Calibri" w:hAnsi="Calibri"/>
                <w:sz w:val="20"/>
                <w:szCs w:val="20"/>
              </w:rPr>
              <w:t>Δ</w:t>
            </w:r>
            <w:r w:rsidRPr="00B55A4D">
              <w:rPr>
                <w:sz w:val="20"/>
                <w:szCs w:val="20"/>
              </w:rPr>
              <w:t xml:space="preserve"> = 2.650 (1.147, 4.153)</w:t>
            </w:r>
          </w:p>
        </w:tc>
        <w:tc>
          <w:tcPr>
            <w:tcW w:w="1640" w:type="dxa"/>
            <w:gridSpan w:val="2"/>
          </w:tcPr>
          <w:p w:rsidR="002928AB" w:rsidRPr="00B55A4D" w:rsidRDefault="002928AB" w:rsidP="00FD15F9">
            <w:pPr>
              <w:ind w:left="0" w:right="0"/>
              <w:rPr>
                <w:sz w:val="20"/>
                <w:szCs w:val="20"/>
              </w:rPr>
            </w:pPr>
            <w:r w:rsidRPr="00B55A4D">
              <w:rPr>
                <w:sz w:val="20"/>
                <w:szCs w:val="20"/>
              </w:rPr>
              <w:t>= 0.0006</w:t>
            </w:r>
          </w:p>
        </w:tc>
      </w:tr>
      <w:tr w:rsidR="002928AB" w:rsidRPr="00B55A4D" w:rsidTr="00FD15F9">
        <w:trPr>
          <w:trHeight w:val="1529"/>
        </w:trPr>
        <w:tc>
          <w:tcPr>
            <w:tcW w:w="2257" w:type="dxa"/>
          </w:tcPr>
          <w:p w:rsidR="002928AB" w:rsidRPr="00B55A4D" w:rsidRDefault="002928AB" w:rsidP="00FD15F9">
            <w:pPr>
              <w:ind w:left="0" w:right="0"/>
              <w:rPr>
                <w:sz w:val="20"/>
                <w:szCs w:val="20"/>
              </w:rPr>
            </w:pPr>
            <w:r w:rsidRPr="00B55A4D">
              <w:rPr>
                <w:sz w:val="20"/>
                <w:szCs w:val="20"/>
              </w:rPr>
              <w:lastRenderedPageBreak/>
              <w:t>FACIT Fatigue score (W24-BL), LSM (SE)</w:t>
            </w:r>
          </w:p>
        </w:tc>
        <w:tc>
          <w:tcPr>
            <w:tcW w:w="1496" w:type="dxa"/>
          </w:tcPr>
          <w:p w:rsidR="002928AB" w:rsidRPr="00B55A4D" w:rsidRDefault="002928AB" w:rsidP="00FD15F9">
            <w:pPr>
              <w:ind w:left="0" w:right="0"/>
              <w:rPr>
                <w:sz w:val="20"/>
                <w:szCs w:val="20"/>
              </w:rPr>
            </w:pPr>
            <w:r w:rsidRPr="00B55A4D">
              <w:rPr>
                <w:sz w:val="20"/>
                <w:szCs w:val="20"/>
              </w:rPr>
              <w:t>8.41 (0.709)</w:t>
            </w:r>
          </w:p>
        </w:tc>
        <w:tc>
          <w:tcPr>
            <w:tcW w:w="1440" w:type="dxa"/>
            <w:gridSpan w:val="2"/>
          </w:tcPr>
          <w:p w:rsidR="002928AB" w:rsidRPr="00B55A4D" w:rsidRDefault="002928AB" w:rsidP="00FD15F9">
            <w:pPr>
              <w:ind w:left="0" w:right="0"/>
              <w:rPr>
                <w:sz w:val="20"/>
                <w:szCs w:val="20"/>
              </w:rPr>
            </w:pPr>
            <w:r w:rsidRPr="00B55A4D">
              <w:rPr>
                <w:sz w:val="20"/>
                <w:szCs w:val="20"/>
              </w:rPr>
              <w:t>10.18 (0.701)</w:t>
            </w:r>
          </w:p>
        </w:tc>
        <w:tc>
          <w:tcPr>
            <w:tcW w:w="1788" w:type="dxa"/>
          </w:tcPr>
          <w:p w:rsidR="002928AB" w:rsidRPr="00B55A4D" w:rsidRDefault="002928AB" w:rsidP="00FD15F9">
            <w:pPr>
              <w:ind w:left="0" w:right="0"/>
              <w:rPr>
                <w:rFonts w:ascii="Calibri" w:hAnsi="Calibri"/>
                <w:sz w:val="20"/>
                <w:szCs w:val="20"/>
              </w:rPr>
            </w:pPr>
            <w:r w:rsidRPr="00B55A4D">
              <w:rPr>
                <w:rFonts w:ascii="Calibri" w:hAnsi="Calibri"/>
                <w:sz w:val="20"/>
                <w:szCs w:val="20"/>
              </w:rPr>
              <w:t>Δ</w:t>
            </w:r>
            <w:r w:rsidRPr="00B55A4D">
              <w:rPr>
                <w:sz w:val="20"/>
                <w:szCs w:val="20"/>
              </w:rPr>
              <w:t xml:space="preserve"> = 1.768 (-0.137, 3.674)</w:t>
            </w:r>
          </w:p>
        </w:tc>
        <w:tc>
          <w:tcPr>
            <w:tcW w:w="1640" w:type="dxa"/>
            <w:gridSpan w:val="2"/>
          </w:tcPr>
          <w:p w:rsidR="002928AB" w:rsidRPr="00B55A4D" w:rsidRDefault="002928AB" w:rsidP="00FD15F9">
            <w:pPr>
              <w:ind w:left="0" w:right="0"/>
              <w:rPr>
                <w:sz w:val="20"/>
                <w:szCs w:val="20"/>
              </w:rPr>
            </w:pPr>
            <w:r w:rsidRPr="00B55A4D">
              <w:rPr>
                <w:sz w:val="20"/>
                <w:szCs w:val="20"/>
              </w:rPr>
              <w:t>= 0.0689 (NS)</w:t>
            </w:r>
          </w:p>
        </w:tc>
      </w:tr>
      <w:tr w:rsidR="002928AB" w:rsidRPr="00B55A4D" w:rsidTr="00FD15F9">
        <w:trPr>
          <w:trHeight w:val="1529"/>
        </w:trPr>
        <w:tc>
          <w:tcPr>
            <w:tcW w:w="2257" w:type="dxa"/>
          </w:tcPr>
          <w:p w:rsidR="002928AB" w:rsidRPr="00B55A4D" w:rsidRDefault="002928AB" w:rsidP="00FD15F9">
            <w:pPr>
              <w:ind w:left="0" w:right="0"/>
              <w:rPr>
                <w:sz w:val="20"/>
                <w:szCs w:val="20"/>
              </w:rPr>
            </w:pPr>
            <w:r w:rsidRPr="00B55A4D">
              <w:rPr>
                <w:sz w:val="20"/>
                <w:szCs w:val="20"/>
              </w:rPr>
              <w:t>SF-36 (MCS) score (W24-BL), LSM (SE)</w:t>
            </w:r>
          </w:p>
        </w:tc>
        <w:tc>
          <w:tcPr>
            <w:tcW w:w="1496" w:type="dxa"/>
          </w:tcPr>
          <w:p w:rsidR="002928AB" w:rsidRPr="00B55A4D" w:rsidRDefault="002928AB" w:rsidP="00FD15F9">
            <w:pPr>
              <w:ind w:left="0" w:right="0"/>
              <w:rPr>
                <w:sz w:val="20"/>
                <w:szCs w:val="20"/>
              </w:rPr>
            </w:pPr>
            <w:r w:rsidRPr="00B55A4D">
              <w:rPr>
                <w:sz w:val="20"/>
                <w:szCs w:val="20"/>
              </w:rPr>
              <w:t>6.83 (0.774)</w:t>
            </w:r>
          </w:p>
        </w:tc>
        <w:tc>
          <w:tcPr>
            <w:tcW w:w="1440" w:type="dxa"/>
            <w:gridSpan w:val="2"/>
          </w:tcPr>
          <w:p w:rsidR="002928AB" w:rsidRPr="00B55A4D" w:rsidRDefault="002928AB" w:rsidP="00FD15F9">
            <w:pPr>
              <w:ind w:left="0" w:right="0"/>
              <w:rPr>
                <w:sz w:val="20"/>
                <w:szCs w:val="20"/>
              </w:rPr>
            </w:pPr>
            <w:r w:rsidRPr="00B55A4D">
              <w:rPr>
                <w:sz w:val="20"/>
                <w:szCs w:val="20"/>
              </w:rPr>
              <w:t xml:space="preserve">7.86 (0.773) </w:t>
            </w:r>
          </w:p>
        </w:tc>
        <w:tc>
          <w:tcPr>
            <w:tcW w:w="1788" w:type="dxa"/>
          </w:tcPr>
          <w:p w:rsidR="002928AB" w:rsidRPr="00B55A4D" w:rsidRDefault="002928AB" w:rsidP="00FD15F9">
            <w:pPr>
              <w:ind w:left="0" w:right="0"/>
              <w:rPr>
                <w:sz w:val="20"/>
                <w:szCs w:val="20"/>
              </w:rPr>
            </w:pPr>
            <w:r w:rsidRPr="00B55A4D">
              <w:rPr>
                <w:rFonts w:ascii="Calibri" w:hAnsi="Calibri"/>
                <w:sz w:val="20"/>
                <w:szCs w:val="20"/>
              </w:rPr>
              <w:t>Δ</w:t>
            </w:r>
            <w:r w:rsidRPr="00B55A4D">
              <w:rPr>
                <w:sz w:val="20"/>
                <w:szCs w:val="20"/>
              </w:rPr>
              <w:t xml:space="preserve"> = 1.036 (-1.061, 3.132)</w:t>
            </w:r>
          </w:p>
        </w:tc>
        <w:tc>
          <w:tcPr>
            <w:tcW w:w="1640" w:type="dxa"/>
            <w:gridSpan w:val="2"/>
          </w:tcPr>
          <w:p w:rsidR="002928AB" w:rsidRPr="00B55A4D" w:rsidRDefault="002928AB" w:rsidP="00FD15F9">
            <w:pPr>
              <w:ind w:left="0" w:right="0"/>
              <w:rPr>
                <w:sz w:val="20"/>
                <w:szCs w:val="20"/>
              </w:rPr>
            </w:pPr>
            <w:r w:rsidRPr="00B55A4D">
              <w:rPr>
                <w:sz w:val="20"/>
                <w:szCs w:val="20"/>
              </w:rPr>
              <w:t>= 0.3319 (NS)</w:t>
            </w:r>
          </w:p>
        </w:tc>
      </w:tr>
    </w:tbl>
    <w:p w:rsidR="00AA6B20" w:rsidRDefault="002928AB" w:rsidP="003A337A">
      <w:pPr>
        <w:pStyle w:val="TableDescription"/>
        <w:rPr>
          <w:rFonts w:eastAsia="TimesNewRoman" w:cstheme="minorHAnsi"/>
        </w:rPr>
      </w:pPr>
      <w:r w:rsidRPr="00097FAE">
        <w:rPr>
          <w:lang w:eastAsia="ja-JP"/>
        </w:rPr>
        <w:t xml:space="preserve">Notes: ADA 40 mg q2w = adalimumab 40 mg every 2 weeks; SAR 200 mg = sarilumab 200 mg every 2 weeks; W24 = Week 24; BL = Baseline; LSM (SE) = least square mean (standard error) change </w:t>
      </w:r>
      <w:r w:rsidRPr="003A337A">
        <w:t>from</w:t>
      </w:r>
      <w:r w:rsidRPr="00097FAE">
        <w:rPr>
          <w:lang w:eastAsia="ja-JP"/>
        </w:rPr>
        <w:t xml:space="preserve"> baseline to Week 24; </w:t>
      </w:r>
      <w:r w:rsidRPr="00097FAE">
        <w:rPr>
          <w:rFonts w:eastAsia="TimesNewRoman" w:cstheme="minorHAnsi"/>
        </w:rPr>
        <w:t>Δ = LSM difference (SAR-ADA); OR = odds ratio (SAR/ADA); NS = not statistically significant.</w:t>
      </w:r>
    </w:p>
    <w:p w:rsidR="002928AB" w:rsidRDefault="002928AB" w:rsidP="002928AB">
      <w:pPr>
        <w:rPr>
          <w:rFonts w:asciiTheme="minorHAnsi" w:hAnsiTheme="minorHAnsi" w:cs="Times"/>
          <w:lang w:val="en-US"/>
        </w:rPr>
      </w:pPr>
      <w:r>
        <w:rPr>
          <w:rFonts w:asciiTheme="minorHAnsi" w:hAnsiTheme="minorHAnsi" w:cs="Times"/>
          <w:lang w:val="en-US"/>
        </w:rPr>
        <w:t>T</w:t>
      </w:r>
      <w:r w:rsidRPr="00682797">
        <w:rPr>
          <w:rFonts w:asciiTheme="minorHAnsi" w:hAnsiTheme="minorHAnsi" w:cs="Times"/>
          <w:lang w:val="en-US"/>
        </w:rPr>
        <w:t>he pre-</w:t>
      </w:r>
      <w:r w:rsidRPr="00B817F6">
        <w:rPr>
          <w:rFonts w:asciiTheme="minorHAnsi" w:hAnsiTheme="minorHAnsi" w:cs="Times"/>
          <w:lang w:val="en-US"/>
        </w:rPr>
        <w:t xml:space="preserve">specified subgroup analyses showed that the change from baseline to Week 24 in the DAS28-ESR scores consistently favoured the sarilumab group compared with the adalimumab group (see </w:t>
      </w:r>
      <w:r w:rsidR="000F5B2C">
        <w:rPr>
          <w:rFonts w:asciiTheme="minorHAnsi" w:hAnsiTheme="minorHAnsi" w:cs="Times"/>
          <w:lang w:val="en-US"/>
        </w:rPr>
        <w:t xml:space="preserve">Table </w:t>
      </w:r>
      <w:r w:rsidR="00B817F6" w:rsidRPr="00B817F6">
        <w:rPr>
          <w:rFonts w:asciiTheme="minorHAnsi" w:hAnsiTheme="minorHAnsi" w:cs="Times"/>
          <w:lang w:val="en-US"/>
        </w:rPr>
        <w:t>14</w:t>
      </w:r>
      <w:r w:rsidRPr="00B817F6">
        <w:rPr>
          <w:rFonts w:asciiTheme="minorHAnsi" w:hAnsiTheme="minorHAnsi" w:cs="Times"/>
          <w:lang w:val="en-US"/>
        </w:rPr>
        <w:t xml:space="preserve"> and Figure </w:t>
      </w:r>
      <w:r w:rsidR="008948C4" w:rsidRPr="00B817F6">
        <w:rPr>
          <w:rFonts w:asciiTheme="minorHAnsi" w:hAnsiTheme="minorHAnsi" w:cs="Times"/>
          <w:lang w:val="en-US"/>
        </w:rPr>
        <w:t>7</w:t>
      </w:r>
      <w:r w:rsidRPr="00B817F6">
        <w:rPr>
          <w:rFonts w:asciiTheme="minorHAnsi" w:hAnsiTheme="minorHAnsi" w:cs="Times"/>
          <w:lang w:val="en-US"/>
        </w:rPr>
        <w:t>). There were statistically significant interactions between treatment and baseline CRP (greater</w:t>
      </w:r>
      <w:r>
        <w:rPr>
          <w:rFonts w:asciiTheme="minorHAnsi" w:hAnsiTheme="minorHAnsi" w:cs="Times"/>
          <w:lang w:val="en-US"/>
        </w:rPr>
        <w:t xml:space="preserve"> treatment effect observed in patients with CRP levels </w:t>
      </w:r>
      <w:r w:rsidR="00DD5BCE">
        <w:t>&gt;</w:t>
      </w:r>
      <w:r w:rsidR="007C7C62">
        <w:t xml:space="preserve"> </w:t>
      </w:r>
      <w:r>
        <w:rPr>
          <w:rFonts w:asciiTheme="minorHAnsi" w:hAnsiTheme="minorHAnsi" w:cs="Times"/>
          <w:lang w:val="en-US"/>
        </w:rPr>
        <w:t xml:space="preserve">15 mg/mL) and treatment and baseline BMI (greater treatment effect in patients with BMI </w:t>
      </w:r>
      <w:r w:rsidR="007F1BEB">
        <w:t>&lt; </w:t>
      </w:r>
      <w:r>
        <w:rPr>
          <w:rFonts w:asciiTheme="minorHAnsi" w:hAnsiTheme="minorHAnsi" w:cs="Times"/>
          <w:lang w:val="en-US"/>
        </w:rPr>
        <w:t>25 kg/m</w:t>
      </w:r>
      <w:r w:rsidRPr="00D63A46">
        <w:rPr>
          <w:rFonts w:asciiTheme="minorHAnsi" w:hAnsiTheme="minorHAnsi" w:cs="Times"/>
          <w:vertAlign w:val="superscript"/>
          <w:lang w:val="en-US"/>
        </w:rPr>
        <w:t>2</w:t>
      </w:r>
      <w:r>
        <w:rPr>
          <w:rFonts w:asciiTheme="minorHAnsi" w:hAnsiTheme="minorHAnsi" w:cs="Times"/>
          <w:lang w:val="en-US"/>
        </w:rPr>
        <w:t>).</w:t>
      </w:r>
    </w:p>
    <w:p w:rsidR="00805BFC" w:rsidRPr="00682797" w:rsidRDefault="00805BFC" w:rsidP="008948C4">
      <w:pPr>
        <w:pStyle w:val="FigureTitle"/>
        <w:rPr>
          <w:lang w:val="en-US"/>
        </w:rPr>
      </w:pPr>
      <w:bookmarkStart w:id="137" w:name="_Toc514682711"/>
      <w:r>
        <w:lastRenderedPageBreak/>
        <w:t xml:space="preserve">Figure </w:t>
      </w:r>
      <w:r w:rsidR="008948C4">
        <w:t>7</w:t>
      </w:r>
      <w:r>
        <w:t xml:space="preserve">: </w:t>
      </w:r>
      <w:r w:rsidR="008948C4">
        <w:t xml:space="preserve">Study </w:t>
      </w:r>
      <w:r w:rsidRPr="00682797">
        <w:rPr>
          <w:lang w:val="en-US"/>
        </w:rPr>
        <w:t>EFC14092</w:t>
      </w:r>
      <w:r w:rsidR="00845119">
        <w:rPr>
          <w:lang w:val="en-US"/>
        </w:rPr>
        <w:t>/</w:t>
      </w:r>
      <w:r w:rsidR="00845119">
        <w:t>MONARCH trial</w:t>
      </w:r>
      <w:r w:rsidR="00845119" w:rsidRPr="00682797" w:rsidDel="00845119">
        <w:rPr>
          <w:lang w:val="en-US"/>
        </w:rPr>
        <w:t xml:space="preserve"> </w:t>
      </w:r>
      <w:r w:rsidRPr="00682797">
        <w:rPr>
          <w:lang w:val="en-US"/>
        </w:rPr>
        <w:t>DAS28-ESR change from baseline forest plot at Week 24</w:t>
      </w:r>
      <w:r w:rsidR="00845119">
        <w:rPr>
          <w:lang w:val="en-US"/>
        </w:rPr>
        <w:t>;</w:t>
      </w:r>
      <w:r w:rsidRPr="00682797">
        <w:rPr>
          <w:lang w:val="en-US"/>
        </w:rPr>
        <w:t xml:space="preserve"> ITT population</w:t>
      </w:r>
      <w:bookmarkEnd w:id="137"/>
    </w:p>
    <w:p w:rsidR="00805BFC" w:rsidRDefault="008948C4" w:rsidP="00B817F6">
      <w:pPr>
        <w:rPr>
          <w:sz w:val="18"/>
          <w:szCs w:val="18"/>
          <w:lang w:val="en-US"/>
        </w:rPr>
      </w:pPr>
      <w:r>
        <w:rPr>
          <w:noProof/>
          <w:lang w:eastAsia="en-AU"/>
        </w:rPr>
        <w:drawing>
          <wp:inline distT="0" distB="0" distL="0" distR="0" wp14:anchorId="1626E55A" wp14:editId="6D3973FA">
            <wp:extent cx="5351764" cy="5574182"/>
            <wp:effectExtent l="0" t="0" r="1905" b="7620"/>
            <wp:docPr id="13" name="Picture 13" descr="EFC14092 DAS28-ESR change from baseline forest plot at Week 24, ITT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Lst>
                    </a:blip>
                    <a:stretch>
                      <a:fillRect/>
                    </a:stretch>
                  </pic:blipFill>
                  <pic:spPr>
                    <a:xfrm>
                      <a:off x="0" y="0"/>
                      <a:ext cx="5351099" cy="5573489"/>
                    </a:xfrm>
                    <a:prstGeom prst="rect">
                      <a:avLst/>
                    </a:prstGeom>
                  </pic:spPr>
                </pic:pic>
              </a:graphicData>
            </a:graphic>
          </wp:inline>
        </w:drawing>
      </w:r>
    </w:p>
    <w:p w:rsidR="00D75C1B" w:rsidRPr="00A22CB9" w:rsidRDefault="00D75C1B" w:rsidP="00D75C1B">
      <w:pPr>
        <w:pStyle w:val="Tabletitle0"/>
        <w:rPr>
          <w:lang w:val="en-US"/>
        </w:rPr>
      </w:pPr>
      <w:r>
        <w:lastRenderedPageBreak/>
        <w:t xml:space="preserve">Table 14: Study </w:t>
      </w:r>
      <w:r>
        <w:rPr>
          <w:lang w:val="en-US"/>
        </w:rPr>
        <w:t>EFC</w:t>
      </w:r>
      <w:r w:rsidRPr="00F2451B">
        <w:rPr>
          <w:lang w:val="en-US"/>
        </w:rPr>
        <w:t>14092</w:t>
      </w:r>
      <w:r w:rsidR="00845119">
        <w:rPr>
          <w:lang w:val="en-US"/>
        </w:rPr>
        <w:t>/</w:t>
      </w:r>
      <w:r w:rsidR="00845119">
        <w:t>MONARCH trial</w:t>
      </w:r>
      <w:r w:rsidR="00845119" w:rsidRPr="00F2451B" w:rsidDel="00845119">
        <w:rPr>
          <w:lang w:val="en-US"/>
        </w:rPr>
        <w:t xml:space="preserve"> </w:t>
      </w:r>
      <w:r w:rsidRPr="00F2451B">
        <w:rPr>
          <w:lang w:val="en-US"/>
        </w:rPr>
        <w:t>Subgroup analyses of change from baseline in DAS28-ESR s</w:t>
      </w:r>
      <w:r>
        <w:rPr>
          <w:lang w:val="en-US"/>
        </w:rPr>
        <w:t>core to Week 24</w:t>
      </w:r>
      <w:r w:rsidR="00845119">
        <w:rPr>
          <w:lang w:val="en-US"/>
        </w:rPr>
        <w:t>;</w:t>
      </w:r>
      <w:r>
        <w:rPr>
          <w:lang w:val="en-US"/>
        </w:rPr>
        <w:t xml:space="preserve"> ITT population</w:t>
      </w:r>
    </w:p>
    <w:p w:rsidR="00D75C1B" w:rsidRDefault="00D75C1B" w:rsidP="00D75C1B">
      <w:r>
        <w:rPr>
          <w:noProof/>
          <w:lang w:eastAsia="en-AU"/>
        </w:rPr>
        <w:drawing>
          <wp:inline distT="0" distB="0" distL="0" distR="0" wp14:anchorId="50233D33" wp14:editId="72EF9F45">
            <wp:extent cx="5350744" cy="6063022"/>
            <wp:effectExtent l="0" t="0" r="0" b="0"/>
            <wp:docPr id="2274" name="Picture 1" descr="Study EFC14092  Subgroup analyses of change from baseline in DAS28-ESR score to Week 24, ITT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51203" cy="6063542"/>
                    </a:xfrm>
                    <a:prstGeom prst="rect">
                      <a:avLst/>
                    </a:prstGeom>
                    <a:noFill/>
                    <a:ln>
                      <a:noFill/>
                    </a:ln>
                  </pic:spPr>
                </pic:pic>
              </a:graphicData>
            </a:graphic>
          </wp:inline>
        </w:drawing>
      </w:r>
      <w:bookmarkStart w:id="138" w:name="_Toc514687874"/>
    </w:p>
    <w:p w:rsidR="00D75C1B" w:rsidRPr="00D75C1B" w:rsidRDefault="0092547B" w:rsidP="00D75C1B">
      <w:pPr>
        <w:pStyle w:val="Tabletitle0"/>
        <w:keepNext w:val="0"/>
        <w:rPr>
          <w:lang w:val="en-US"/>
        </w:rPr>
      </w:pPr>
      <w:r>
        <w:lastRenderedPageBreak/>
        <w:t xml:space="preserve">Table </w:t>
      </w:r>
      <w:r w:rsidR="00B817F6">
        <w:t>14</w:t>
      </w:r>
      <w:r w:rsidR="00845119">
        <w:t xml:space="preserve"> (</w:t>
      </w:r>
      <w:r w:rsidR="00D75C1B">
        <w:t>continued</w:t>
      </w:r>
      <w:r w:rsidR="00845119">
        <w:t>)</w:t>
      </w:r>
      <w:r>
        <w:t xml:space="preserve">: </w:t>
      </w:r>
      <w:r w:rsidR="00D75C1B">
        <w:t xml:space="preserve">Study </w:t>
      </w:r>
      <w:r w:rsidRPr="00D75C1B">
        <w:rPr>
          <w:lang w:val="en-US"/>
        </w:rPr>
        <w:t>EFC14092</w:t>
      </w:r>
      <w:r w:rsidR="00845119">
        <w:rPr>
          <w:lang w:val="en-US"/>
        </w:rPr>
        <w:t>/</w:t>
      </w:r>
      <w:r w:rsidR="00845119">
        <w:t>MONARCH trial</w:t>
      </w:r>
      <w:r w:rsidR="00845119" w:rsidRPr="00D75C1B" w:rsidDel="00845119">
        <w:rPr>
          <w:lang w:val="en-US"/>
        </w:rPr>
        <w:t xml:space="preserve"> </w:t>
      </w:r>
      <w:r w:rsidRPr="00D75C1B">
        <w:rPr>
          <w:lang w:val="en-US"/>
        </w:rPr>
        <w:t>Subgroup analyses of change from baseline in DAS28-ESR score to Week 24</w:t>
      </w:r>
      <w:r w:rsidR="00845119">
        <w:rPr>
          <w:lang w:val="en-US"/>
        </w:rPr>
        <w:t>;</w:t>
      </w:r>
      <w:r w:rsidR="00845119" w:rsidRPr="00D75C1B">
        <w:rPr>
          <w:lang w:val="en-US"/>
        </w:rPr>
        <w:t xml:space="preserve"> </w:t>
      </w:r>
      <w:r w:rsidRPr="00D75C1B">
        <w:rPr>
          <w:lang w:val="en-US"/>
        </w:rPr>
        <w:t>ITT population</w:t>
      </w:r>
      <w:bookmarkEnd w:id="138"/>
      <w:r>
        <w:rPr>
          <w:noProof/>
          <w:lang w:eastAsia="en-AU"/>
        </w:rPr>
        <w:drawing>
          <wp:inline distT="0" distB="0" distL="0" distR="0" wp14:anchorId="6DBE20C9" wp14:editId="31FCAF7D">
            <wp:extent cx="4959466" cy="6686092"/>
            <wp:effectExtent l="0" t="0" r="0" b="0"/>
            <wp:docPr id="14" name="Picture 2" descr="Study EFC14092 Subgroup analyses of change from baseline in DAS28-ESR score to Week 24,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962689" cy="6690437"/>
                    </a:xfrm>
                    <a:prstGeom prst="rect">
                      <a:avLst/>
                    </a:prstGeom>
                    <a:noFill/>
                    <a:ln>
                      <a:noFill/>
                    </a:ln>
                  </pic:spPr>
                </pic:pic>
              </a:graphicData>
            </a:graphic>
          </wp:inline>
        </w:drawing>
      </w:r>
    </w:p>
    <w:p w:rsidR="0092547B" w:rsidRPr="00A22CB9" w:rsidRDefault="0092547B" w:rsidP="00D75C1B">
      <w:pPr>
        <w:pStyle w:val="Tabletitle0"/>
        <w:keepLines/>
        <w:rPr>
          <w:lang w:val="en-US"/>
        </w:rPr>
      </w:pPr>
      <w:r w:rsidRPr="00A22CB9">
        <w:rPr>
          <w:lang w:val="en-US"/>
        </w:rPr>
        <w:lastRenderedPageBreak/>
        <w:t xml:space="preserve">Table </w:t>
      </w:r>
      <w:r w:rsidR="00D75C1B">
        <w:rPr>
          <w:lang w:val="en-US"/>
        </w:rPr>
        <w:t>14</w:t>
      </w:r>
      <w:r w:rsidRPr="00A22CB9">
        <w:rPr>
          <w:lang w:val="en-US"/>
        </w:rPr>
        <w:t xml:space="preserve"> (continued): </w:t>
      </w:r>
      <w:r w:rsidR="00D75C1B">
        <w:rPr>
          <w:lang w:val="en-US"/>
        </w:rPr>
        <w:t xml:space="preserve">Study </w:t>
      </w:r>
      <w:r>
        <w:rPr>
          <w:lang w:val="en-US"/>
        </w:rPr>
        <w:t>EFC</w:t>
      </w:r>
      <w:r w:rsidRPr="00A22CB9">
        <w:rPr>
          <w:lang w:val="en-US"/>
        </w:rPr>
        <w:t>14092</w:t>
      </w:r>
      <w:r w:rsidR="00845119">
        <w:rPr>
          <w:lang w:val="en-US"/>
        </w:rPr>
        <w:t>/</w:t>
      </w:r>
      <w:r w:rsidR="00845119">
        <w:t>MONARCH trial</w:t>
      </w:r>
      <w:r w:rsidR="00845119" w:rsidRPr="00A22CB9" w:rsidDel="00845119">
        <w:rPr>
          <w:lang w:val="en-US"/>
        </w:rPr>
        <w:t xml:space="preserve"> </w:t>
      </w:r>
      <w:r w:rsidRPr="00A22CB9">
        <w:rPr>
          <w:lang w:val="en-US"/>
        </w:rPr>
        <w:t>Subgroup analyses of change from baseline in DAS28-ESR score to Week 24</w:t>
      </w:r>
      <w:r w:rsidR="00845119">
        <w:rPr>
          <w:lang w:val="en-US"/>
        </w:rPr>
        <w:t>;</w:t>
      </w:r>
      <w:r w:rsidRPr="00A22CB9">
        <w:rPr>
          <w:lang w:val="en-US"/>
        </w:rPr>
        <w:t xml:space="preserve"> ITT population</w:t>
      </w:r>
    </w:p>
    <w:p w:rsidR="00D75C1B" w:rsidRDefault="0092547B" w:rsidP="00D75C1B">
      <w:pPr>
        <w:pStyle w:val="Tabletitle0"/>
        <w:keepNext w:val="0"/>
        <w:rPr>
          <w:lang w:val="en-US"/>
        </w:rPr>
      </w:pPr>
      <w:r>
        <w:rPr>
          <w:noProof/>
          <w:lang w:eastAsia="en-AU"/>
        </w:rPr>
        <w:drawing>
          <wp:inline distT="0" distB="0" distL="0" distR="0" wp14:anchorId="45E51A9D" wp14:editId="013AC877">
            <wp:extent cx="5036243" cy="6596882"/>
            <wp:effectExtent l="0" t="0" r="0" b="0"/>
            <wp:docPr id="18" name="Picture 3" descr="Study EFC14092 Subgroup analyses of change from baseline in DAS28-ESR score to Week 24,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41282" cy="6603483"/>
                    </a:xfrm>
                    <a:prstGeom prst="rect">
                      <a:avLst/>
                    </a:prstGeom>
                    <a:noFill/>
                    <a:ln>
                      <a:noFill/>
                    </a:ln>
                  </pic:spPr>
                </pic:pic>
              </a:graphicData>
            </a:graphic>
          </wp:inline>
        </w:drawing>
      </w:r>
    </w:p>
    <w:p w:rsidR="0092547B" w:rsidRPr="0092547B" w:rsidRDefault="0092547B" w:rsidP="00D75C1B">
      <w:pPr>
        <w:pStyle w:val="Tabletitle0"/>
        <w:keepLines/>
        <w:rPr>
          <w:lang w:val="en-US"/>
        </w:rPr>
      </w:pPr>
      <w:r w:rsidRPr="0092547B">
        <w:rPr>
          <w:lang w:val="en-US"/>
        </w:rPr>
        <w:lastRenderedPageBreak/>
        <w:t xml:space="preserve">Table </w:t>
      </w:r>
      <w:r w:rsidR="00D75C1B">
        <w:rPr>
          <w:lang w:val="en-US"/>
        </w:rPr>
        <w:t xml:space="preserve">14 </w:t>
      </w:r>
      <w:r w:rsidRPr="0092547B">
        <w:rPr>
          <w:lang w:val="en-US"/>
        </w:rPr>
        <w:t xml:space="preserve">(continued): </w:t>
      </w:r>
      <w:r w:rsidR="00D75C1B">
        <w:rPr>
          <w:lang w:val="en-US"/>
        </w:rPr>
        <w:t xml:space="preserve">Study </w:t>
      </w:r>
      <w:r w:rsidRPr="0092547B">
        <w:rPr>
          <w:lang w:val="en-US"/>
        </w:rPr>
        <w:t>EFC14092</w:t>
      </w:r>
      <w:r w:rsidR="00845119">
        <w:rPr>
          <w:lang w:val="en-US"/>
        </w:rPr>
        <w:t>/</w:t>
      </w:r>
      <w:r w:rsidR="00845119">
        <w:t>MONARCH trial</w:t>
      </w:r>
      <w:r w:rsidR="00845119" w:rsidRPr="0092547B" w:rsidDel="00845119">
        <w:rPr>
          <w:lang w:val="en-US"/>
        </w:rPr>
        <w:t xml:space="preserve"> </w:t>
      </w:r>
      <w:r w:rsidRPr="0092547B">
        <w:rPr>
          <w:lang w:val="en-US"/>
        </w:rPr>
        <w:t>Subgroup analyses of change from baseline in DAS28-ESR score to Week 24</w:t>
      </w:r>
      <w:r w:rsidR="00845119">
        <w:rPr>
          <w:lang w:val="en-US"/>
        </w:rPr>
        <w:t>;</w:t>
      </w:r>
      <w:r w:rsidRPr="0092547B">
        <w:rPr>
          <w:lang w:val="en-US"/>
        </w:rPr>
        <w:t xml:space="preserve"> ITT population</w:t>
      </w:r>
    </w:p>
    <w:p w:rsidR="0092547B" w:rsidRDefault="0092547B" w:rsidP="00D75C1B">
      <w:pPr>
        <w:rPr>
          <w:lang w:val="en-US"/>
        </w:rPr>
      </w:pPr>
      <w:r>
        <w:rPr>
          <w:noProof/>
          <w:lang w:eastAsia="en-AU"/>
        </w:rPr>
        <w:drawing>
          <wp:inline distT="0" distB="0" distL="0" distR="0" wp14:anchorId="47291F06" wp14:editId="0F97FFF3">
            <wp:extent cx="5383988" cy="3147706"/>
            <wp:effectExtent l="0" t="0" r="7620" b="0"/>
            <wp:docPr id="15" name="Picture 4" descr="Study EFC14092 Subgroup analyses of change from baseline in DAS28-ESR score to Week 24,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84450" cy="3147976"/>
                    </a:xfrm>
                    <a:prstGeom prst="rect">
                      <a:avLst/>
                    </a:prstGeom>
                    <a:noFill/>
                    <a:ln>
                      <a:noFill/>
                    </a:ln>
                  </pic:spPr>
                </pic:pic>
              </a:graphicData>
            </a:graphic>
          </wp:inline>
        </w:drawing>
      </w:r>
    </w:p>
    <w:p w:rsidR="002928AB" w:rsidRDefault="002928AB" w:rsidP="002928AB">
      <w:pPr>
        <w:rPr>
          <w:rFonts w:asciiTheme="minorHAnsi" w:hAnsiTheme="minorHAnsi" w:cs="Times"/>
          <w:lang w:val="en-US"/>
        </w:rPr>
      </w:pPr>
      <w:r w:rsidRPr="005D5019">
        <w:rPr>
          <w:rFonts w:asciiTheme="minorHAnsi" w:hAnsiTheme="minorHAnsi" w:cs="Times"/>
          <w:lang w:val="en-US"/>
        </w:rPr>
        <w:t xml:space="preserve">The </w:t>
      </w:r>
      <w:r w:rsidRPr="003A337A">
        <w:rPr>
          <w:rFonts w:asciiTheme="minorHAnsi" w:hAnsiTheme="minorHAnsi" w:cs="Times"/>
          <w:lang w:val="en-US"/>
        </w:rPr>
        <w:t>strengths</w:t>
      </w:r>
      <w:r w:rsidRPr="005D5019">
        <w:rPr>
          <w:rFonts w:asciiTheme="minorHAnsi" w:hAnsiTheme="minorHAnsi" w:cs="Times"/>
          <w:b/>
          <w:lang w:val="en-US"/>
        </w:rPr>
        <w:t xml:space="preserve"> </w:t>
      </w:r>
      <w:r w:rsidRPr="005D5019">
        <w:rPr>
          <w:rFonts w:asciiTheme="minorHAnsi" w:hAnsiTheme="minorHAnsi" w:cs="Times"/>
          <w:lang w:val="en-US"/>
        </w:rPr>
        <w:t xml:space="preserve">of the sarilumab monotherapy benefit data based on </w:t>
      </w:r>
      <w:r w:rsidR="003D46BB">
        <w:rPr>
          <w:rFonts w:asciiTheme="minorHAnsi" w:hAnsiTheme="minorHAnsi"/>
          <w:lang w:val="en-US"/>
        </w:rPr>
        <w:t>Study EFC14092</w:t>
      </w:r>
      <w:r w:rsidR="00845119">
        <w:rPr>
          <w:rFonts w:asciiTheme="minorHAnsi" w:hAnsiTheme="minorHAnsi"/>
          <w:lang w:val="en-US"/>
        </w:rPr>
        <w:t>/</w:t>
      </w:r>
      <w:r w:rsidRPr="005D5019">
        <w:rPr>
          <w:rFonts w:asciiTheme="minorHAnsi" w:hAnsiTheme="minorHAnsi" w:cs="Times"/>
          <w:lang w:val="en-US"/>
        </w:rPr>
        <w:t xml:space="preserve">MONARCH </w:t>
      </w:r>
      <w:r w:rsidR="00845119">
        <w:rPr>
          <w:rFonts w:asciiTheme="minorHAnsi" w:hAnsiTheme="minorHAnsi" w:cs="Times"/>
          <w:lang w:val="en-US"/>
        </w:rPr>
        <w:t xml:space="preserve">trial </w:t>
      </w:r>
      <w:r w:rsidRPr="005D5019">
        <w:rPr>
          <w:rFonts w:asciiTheme="minorHAnsi" w:hAnsiTheme="minorHAnsi" w:cs="Times"/>
          <w:lang w:val="en-US"/>
        </w:rPr>
        <w:t>are:</w:t>
      </w:r>
    </w:p>
    <w:p w:rsidR="00AA6B20" w:rsidRPr="003A337A" w:rsidRDefault="003D46BB" w:rsidP="00F147C9">
      <w:pPr>
        <w:pStyle w:val="Numberbullet0"/>
        <w:numPr>
          <w:ilvl w:val="0"/>
          <w:numId w:val="22"/>
        </w:numPr>
        <w:rPr>
          <w:lang w:val="en-US"/>
        </w:rPr>
      </w:pPr>
      <w:r>
        <w:rPr>
          <w:lang w:val="en-US"/>
        </w:rPr>
        <w:t>S</w:t>
      </w:r>
      <w:r w:rsidR="002928AB" w:rsidRPr="003A337A">
        <w:rPr>
          <w:lang w:val="en-US"/>
        </w:rPr>
        <w:t>election of adalimumab as the active control, given that the drug is approved for treatment of the proposed indication;</w:t>
      </w:r>
    </w:p>
    <w:p w:rsidR="00AA6B20" w:rsidRDefault="003D46BB" w:rsidP="003A337A">
      <w:pPr>
        <w:pStyle w:val="Numberbullet0"/>
        <w:rPr>
          <w:lang w:val="en-US"/>
        </w:rPr>
      </w:pPr>
      <w:r>
        <w:rPr>
          <w:lang w:val="en-US"/>
        </w:rPr>
        <w:t>R</w:t>
      </w:r>
      <w:r w:rsidR="002928AB" w:rsidRPr="005D5019">
        <w:rPr>
          <w:lang w:val="en-US"/>
        </w:rPr>
        <w:t xml:space="preserve">obust demonstration of the statistically significant superiority of sarilumab compared with adalimumab </w:t>
      </w:r>
      <w:r w:rsidR="002928AB">
        <w:rPr>
          <w:lang w:val="en-US"/>
        </w:rPr>
        <w:t>(p</w:t>
      </w:r>
      <w:r w:rsidR="00FD15F9">
        <w:rPr>
          <w:lang w:val="en-US"/>
        </w:rPr>
        <w:t xml:space="preserve"> </w:t>
      </w:r>
      <w:r w:rsidR="002928AB">
        <w:rPr>
          <w:lang w:val="en-US"/>
        </w:rPr>
        <w:t xml:space="preserve">value </w:t>
      </w:r>
      <w:r w:rsidR="007F1BEB">
        <w:t>&lt; </w:t>
      </w:r>
      <w:r w:rsidR="002928AB">
        <w:rPr>
          <w:lang w:val="en-US"/>
        </w:rPr>
        <w:t xml:space="preserve">0.0001) </w:t>
      </w:r>
      <w:r w:rsidR="002928AB" w:rsidRPr="005D5019">
        <w:rPr>
          <w:lang w:val="en-US"/>
        </w:rPr>
        <w:t>based on the primary efficacy endpoint of change from baseline in DAS28-ESR at Week 24;</w:t>
      </w:r>
    </w:p>
    <w:p w:rsidR="00AA6B20" w:rsidRDefault="003D46BB" w:rsidP="003A337A">
      <w:pPr>
        <w:pStyle w:val="Numberbullet0"/>
        <w:rPr>
          <w:lang w:val="en-US"/>
        </w:rPr>
      </w:pPr>
      <w:r>
        <w:rPr>
          <w:lang w:val="en-US"/>
        </w:rPr>
        <w:t>C</w:t>
      </w:r>
      <w:r w:rsidR="002928AB" w:rsidRPr="005D5019">
        <w:rPr>
          <w:lang w:val="en-US"/>
        </w:rPr>
        <w:t xml:space="preserve">linically meaningful difference of 1.077 </w:t>
      </w:r>
      <w:r w:rsidR="002928AB" w:rsidRPr="005D5019">
        <w:rPr>
          <w:rFonts w:eastAsiaTheme="minorHAnsi" w:cs="TimesNewRomanPSMT"/>
        </w:rPr>
        <w:t xml:space="preserve">in DAS28-ESR </w:t>
      </w:r>
      <w:r w:rsidR="002928AB">
        <w:rPr>
          <w:rFonts w:eastAsiaTheme="minorHAnsi" w:cs="TimesNewRomanPSMT"/>
        </w:rPr>
        <w:t xml:space="preserve">in favour of </w:t>
      </w:r>
      <w:r w:rsidR="002928AB" w:rsidRPr="005D5019">
        <w:rPr>
          <w:lang w:val="en-US"/>
        </w:rPr>
        <w:t>sarilumab</w:t>
      </w:r>
      <w:r w:rsidR="002928AB">
        <w:rPr>
          <w:lang w:val="en-US"/>
        </w:rPr>
        <w:t xml:space="preserve"> compared with </w:t>
      </w:r>
      <w:r w:rsidR="002928AB" w:rsidRPr="005D5019">
        <w:rPr>
          <w:lang w:val="en-US"/>
        </w:rPr>
        <w:t>adalimumab</w:t>
      </w:r>
      <w:r w:rsidR="002928AB">
        <w:rPr>
          <w:lang w:val="en-US"/>
        </w:rPr>
        <w:t>,</w:t>
      </w:r>
      <w:r w:rsidR="002928AB" w:rsidRPr="005D5019">
        <w:rPr>
          <w:lang w:val="en-US"/>
        </w:rPr>
        <w:t xml:space="preserve"> given that the sample size was based on a pre-specified clinically relevant difference between the two treatments of 0.6;</w:t>
      </w:r>
    </w:p>
    <w:p w:rsidR="00AA6B20" w:rsidRDefault="003D46BB" w:rsidP="003A337A">
      <w:pPr>
        <w:pStyle w:val="Numberbullet0"/>
        <w:rPr>
          <w:lang w:val="en-US"/>
        </w:rPr>
      </w:pPr>
      <w:r>
        <w:rPr>
          <w:lang w:val="en-US"/>
        </w:rPr>
        <w:t>B</w:t>
      </w:r>
      <w:r w:rsidR="002928AB" w:rsidRPr="005D5019">
        <w:rPr>
          <w:lang w:val="en-US"/>
        </w:rPr>
        <w:t>enefits of sarilumab compared with adalimumab were statistically significantly better for 6 of the 8 secondary efficacy endpoints assessed using a pre-specified hierarchical testing procedure to control the overall alpha error rate at the 0.05 level;</w:t>
      </w:r>
    </w:p>
    <w:p w:rsidR="00AA6B20" w:rsidRDefault="003D46BB" w:rsidP="003A337A">
      <w:pPr>
        <w:pStyle w:val="Numberbullet0"/>
        <w:rPr>
          <w:lang w:val="en-US"/>
        </w:rPr>
      </w:pPr>
      <w:r>
        <w:rPr>
          <w:lang w:val="en-US"/>
        </w:rPr>
        <w:t>P</w:t>
      </w:r>
      <w:r w:rsidR="002928AB" w:rsidRPr="005D5019">
        <w:rPr>
          <w:lang w:val="en-US"/>
        </w:rPr>
        <w:t>re-specified subgroup analyses showed that the change from baseline to Week 24 in the DAS28-ESR scores consistently favoured sari</w:t>
      </w:r>
      <w:r w:rsidR="002928AB">
        <w:rPr>
          <w:lang w:val="en-US"/>
        </w:rPr>
        <w:t>lumab compared with adalimumab.</w:t>
      </w:r>
    </w:p>
    <w:p w:rsidR="00AA6B20" w:rsidRDefault="002928AB" w:rsidP="002928AB">
      <w:pPr>
        <w:rPr>
          <w:rFonts w:asciiTheme="minorHAnsi" w:hAnsiTheme="minorHAnsi"/>
          <w:lang w:val="en-US"/>
        </w:rPr>
      </w:pPr>
      <w:r>
        <w:rPr>
          <w:rFonts w:asciiTheme="minorHAnsi" w:hAnsiTheme="minorHAnsi"/>
          <w:lang w:val="en-US"/>
        </w:rPr>
        <w:t xml:space="preserve">The </w:t>
      </w:r>
      <w:r w:rsidRPr="003A337A">
        <w:rPr>
          <w:rFonts w:asciiTheme="minorHAnsi" w:hAnsiTheme="minorHAnsi"/>
          <w:lang w:val="en-US"/>
        </w:rPr>
        <w:t>limitations and uncertainties</w:t>
      </w:r>
      <w:r>
        <w:rPr>
          <w:rFonts w:asciiTheme="minorHAnsi" w:hAnsiTheme="minorHAnsi"/>
          <w:b/>
          <w:lang w:val="en-US"/>
        </w:rPr>
        <w:t xml:space="preserve"> </w:t>
      </w:r>
      <w:r>
        <w:rPr>
          <w:rFonts w:asciiTheme="minorHAnsi" w:hAnsiTheme="minorHAnsi"/>
          <w:lang w:val="en-US"/>
        </w:rPr>
        <w:t xml:space="preserve">of the sarilumab monotherapy benefit data based on </w:t>
      </w:r>
      <w:r w:rsidR="003D46BB">
        <w:rPr>
          <w:rFonts w:asciiTheme="minorHAnsi" w:hAnsiTheme="minorHAnsi"/>
          <w:lang w:val="en-US"/>
        </w:rPr>
        <w:t>Study EFC14092</w:t>
      </w:r>
      <w:r w:rsidR="00845119">
        <w:rPr>
          <w:rFonts w:asciiTheme="minorHAnsi" w:hAnsiTheme="minorHAnsi"/>
          <w:lang w:val="en-US"/>
        </w:rPr>
        <w:t>/</w:t>
      </w:r>
      <w:r>
        <w:rPr>
          <w:rFonts w:asciiTheme="minorHAnsi" w:hAnsiTheme="minorHAnsi"/>
          <w:lang w:val="en-US"/>
        </w:rPr>
        <w:t xml:space="preserve">MONARCH </w:t>
      </w:r>
      <w:r w:rsidR="00845119">
        <w:rPr>
          <w:rFonts w:asciiTheme="minorHAnsi" w:hAnsiTheme="minorHAnsi"/>
          <w:lang w:val="en-US"/>
        </w:rPr>
        <w:t xml:space="preserve">trial </w:t>
      </w:r>
      <w:r>
        <w:rPr>
          <w:rFonts w:asciiTheme="minorHAnsi" w:hAnsiTheme="minorHAnsi"/>
          <w:lang w:val="en-US"/>
        </w:rPr>
        <w:t>are:</w:t>
      </w:r>
    </w:p>
    <w:p w:rsidR="00AA6B20" w:rsidRPr="003A337A" w:rsidRDefault="003D46BB" w:rsidP="00F147C9">
      <w:pPr>
        <w:pStyle w:val="Numberbullet0"/>
        <w:numPr>
          <w:ilvl w:val="0"/>
          <w:numId w:val="23"/>
        </w:numPr>
        <w:rPr>
          <w:lang w:val="en-US"/>
        </w:rPr>
      </w:pPr>
      <w:r>
        <w:rPr>
          <w:lang w:val="en-US"/>
        </w:rPr>
        <w:t>N</w:t>
      </w:r>
      <w:r w:rsidR="002928AB" w:rsidRPr="003A337A">
        <w:rPr>
          <w:lang w:val="en-US"/>
        </w:rPr>
        <w:t>o data assessing the benefits of sarilumab compared with adalimumab for treatment lasting longer than 24</w:t>
      </w:r>
      <w:r w:rsidR="003A337A">
        <w:rPr>
          <w:lang w:val="en-US"/>
        </w:rPr>
        <w:t xml:space="preserve"> </w:t>
      </w:r>
      <w:r w:rsidR="002928AB" w:rsidRPr="003A337A">
        <w:rPr>
          <w:lang w:val="en-US"/>
        </w:rPr>
        <w:t>weeks;</w:t>
      </w:r>
    </w:p>
    <w:p w:rsidR="00AA6B20" w:rsidRDefault="003D46BB" w:rsidP="003A337A">
      <w:pPr>
        <w:pStyle w:val="Numberbullet0"/>
        <w:rPr>
          <w:rFonts w:eastAsia="Times New Roman"/>
        </w:rPr>
      </w:pPr>
      <w:r>
        <w:rPr>
          <w:rFonts w:eastAsia="Times New Roman"/>
        </w:rPr>
        <w:t>N</w:t>
      </w:r>
      <w:r w:rsidR="002928AB">
        <w:rPr>
          <w:rFonts w:eastAsia="Times New Roman"/>
        </w:rPr>
        <w:t>o monotherapy data assessing the effects of sarilumab on inhibiting progression of structural joint damage; and</w:t>
      </w:r>
    </w:p>
    <w:p w:rsidR="00AA6B20" w:rsidRDefault="003D46BB" w:rsidP="003A337A">
      <w:pPr>
        <w:pStyle w:val="Numberbullet0"/>
        <w:rPr>
          <w:rFonts w:eastAsia="Times New Roman"/>
        </w:rPr>
      </w:pPr>
      <w:r>
        <w:rPr>
          <w:rFonts w:eastAsia="Times New Roman"/>
        </w:rPr>
        <w:t>N</w:t>
      </w:r>
      <w:r w:rsidR="002928AB">
        <w:rPr>
          <w:rFonts w:eastAsia="Times New Roman"/>
        </w:rPr>
        <w:t>o data assessing the benefits of sarilumab 150 mg q2w.</w:t>
      </w:r>
    </w:p>
    <w:p w:rsidR="00AA6B20" w:rsidRPr="00485E22" w:rsidRDefault="002928AB" w:rsidP="00485E22">
      <w:r w:rsidRPr="00845119">
        <w:t xml:space="preserve">The updated results for the long-term </w:t>
      </w:r>
      <w:r w:rsidR="003D2290" w:rsidRPr="00845119">
        <w:t>Study LTS</w:t>
      </w:r>
      <w:r w:rsidRPr="00845119">
        <w:t>11210 included efficacy data in 111</w:t>
      </w:r>
      <w:r w:rsidR="00845119" w:rsidRPr="00845119">
        <w:t> </w:t>
      </w:r>
      <w:r w:rsidRPr="00845119">
        <w:t xml:space="preserve">patients treated with sarilumab monotherapy at a dose of 200 mg q2w. In </w:t>
      </w:r>
      <w:r w:rsidR="003D2290" w:rsidRPr="00845119">
        <w:t>Study</w:t>
      </w:r>
      <w:r w:rsidR="00845119" w:rsidRPr="00845119">
        <w:t> </w:t>
      </w:r>
      <w:r w:rsidR="003D2290" w:rsidRPr="00845119">
        <w:t>LTS</w:t>
      </w:r>
      <w:r w:rsidRPr="00845119">
        <w:t xml:space="preserve">11210, the assessment of efficacy was a secondary objective and all efficacy analyses were descriptive. All sarilumab monotherapy patients in </w:t>
      </w:r>
      <w:r w:rsidR="003D2290" w:rsidRPr="00485E22">
        <w:t>Study LTS</w:t>
      </w:r>
      <w:r w:rsidRPr="00485E22">
        <w:t xml:space="preserve">11210 were from </w:t>
      </w:r>
      <w:r w:rsidR="00894642" w:rsidRPr="00485E22">
        <w:t>Study EFC</w:t>
      </w:r>
      <w:r w:rsidRPr="00485E22">
        <w:t xml:space="preserve">13752. In </w:t>
      </w:r>
      <w:r w:rsidR="00894642" w:rsidRPr="00485E22">
        <w:t>Study EFC</w:t>
      </w:r>
      <w:r w:rsidRPr="00485E22">
        <w:t xml:space="preserve">13752, patients were exposed to 24 weeks treatment </w:t>
      </w:r>
      <w:r w:rsidRPr="00485E22">
        <w:lastRenderedPageBreak/>
        <w:t xml:space="preserve">with sarilumab monotherapy before being enrolled in the long-term extension </w:t>
      </w:r>
      <w:r w:rsidR="003D2290" w:rsidRPr="00485E22">
        <w:t>Study LTS</w:t>
      </w:r>
      <w:r w:rsidRPr="00485E22">
        <w:t xml:space="preserve">11210. At </w:t>
      </w:r>
      <w:r w:rsidR="00FD15F9" w:rsidRPr="00485E22">
        <w:t>enrolment</w:t>
      </w:r>
      <w:r w:rsidRPr="00485E22">
        <w:t xml:space="preserve">, an almost equal number of patients from </w:t>
      </w:r>
      <w:r w:rsidR="00894642" w:rsidRPr="00485E22">
        <w:t>Study EFC</w:t>
      </w:r>
      <w:r w:rsidRPr="00485E22">
        <w:t xml:space="preserve">13752 were receiving sarilumab 150 mg q2w (48.6% </w:t>
      </w:r>
      <w:r w:rsidR="00845119" w:rsidRPr="00485E22">
        <w:t>(</w:t>
      </w:r>
      <w:r w:rsidR="007C7C62">
        <w:t xml:space="preserve">n = </w:t>
      </w:r>
      <w:r w:rsidRPr="00485E22">
        <w:t>54</w:t>
      </w:r>
      <w:r w:rsidR="00845119" w:rsidRPr="00485E22">
        <w:t>)</w:t>
      </w:r>
      <w:r w:rsidRPr="00485E22">
        <w:t xml:space="preserve">) or sarilumab 200 mg q2w (51.4% </w:t>
      </w:r>
      <w:r w:rsidR="00845119" w:rsidRPr="00485E22">
        <w:t>(</w:t>
      </w:r>
      <w:r w:rsidR="007C7C62">
        <w:t xml:space="preserve">n = </w:t>
      </w:r>
      <w:r w:rsidRPr="00485E22">
        <w:t>57</w:t>
      </w:r>
      <w:r w:rsidR="00845119" w:rsidRPr="00485E22">
        <w:t>)</w:t>
      </w:r>
      <w:r w:rsidRPr="00485E22">
        <w:t xml:space="preserve">). The efficacy results from Week 0 through to Week 48 of </w:t>
      </w:r>
      <w:r w:rsidR="003D2290" w:rsidRPr="00485E22">
        <w:t>Study LTS</w:t>
      </w:r>
      <w:r w:rsidRPr="00485E22">
        <w:t xml:space="preserve">11210 in the 111 patients treated with sarilumab 200 mg q2w are summarised below in Table </w:t>
      </w:r>
      <w:r w:rsidR="00D75C1B" w:rsidRPr="00485E22">
        <w:t>15</w:t>
      </w:r>
      <w:r w:rsidRPr="00485E22">
        <w:t>. The open-label data demonstrated that response and remission can be maintained with sarilumab 200 mg q2w for 48 weeks of extension treatment.</w:t>
      </w:r>
    </w:p>
    <w:p w:rsidR="002928AB" w:rsidRPr="00B64E55" w:rsidRDefault="002928AB" w:rsidP="00B55A4D">
      <w:pPr>
        <w:pStyle w:val="TableTitle"/>
        <w:rPr>
          <w:rFonts w:ascii="TimesNewRomanPSMT" w:eastAsiaTheme="minorHAnsi" w:hAnsi="TimesNewRomanPSMT" w:cs="TimesNewRomanPSMT"/>
        </w:rPr>
      </w:pPr>
      <w:bookmarkStart w:id="139" w:name="_Toc514687831"/>
      <w:r>
        <w:t xml:space="preserve">Table </w:t>
      </w:r>
      <w:r w:rsidR="00D75C1B">
        <w:t>15</w:t>
      </w:r>
      <w:r w:rsidR="000F5B2C">
        <w:t xml:space="preserve">: Study </w:t>
      </w:r>
      <w:r w:rsidRPr="00B64E55">
        <w:t xml:space="preserve">LTS11210 </w:t>
      </w:r>
      <w:r w:rsidR="00845119">
        <w:t>P</w:t>
      </w:r>
      <w:r w:rsidRPr="00B64E55">
        <w:t xml:space="preserve">ercentage of patients with ACR response and DAS remission (DAS-CRP </w:t>
      </w:r>
      <w:r w:rsidR="007F1BEB">
        <w:t>&lt; </w:t>
      </w:r>
      <w:r w:rsidRPr="00B64E55">
        <w:t>2.6)</w:t>
      </w:r>
      <w:r>
        <w:t xml:space="preserve"> in the sarilumab 200 mg q2w monotherapy population</w:t>
      </w:r>
      <w:bookmarkEnd w:id="139"/>
    </w:p>
    <w:tbl>
      <w:tblPr>
        <w:tblStyle w:val="TableTGAblue"/>
        <w:tblW w:w="8428" w:type="dxa"/>
        <w:tblLook w:val="04A0" w:firstRow="1" w:lastRow="0" w:firstColumn="1" w:lastColumn="0" w:noHBand="0" w:noVBand="1"/>
      </w:tblPr>
      <w:tblGrid>
        <w:gridCol w:w="1158"/>
        <w:gridCol w:w="1718"/>
        <w:gridCol w:w="1674"/>
        <w:gridCol w:w="2027"/>
        <w:gridCol w:w="1851"/>
      </w:tblGrid>
      <w:tr w:rsidR="002928AB" w:rsidRPr="009753CF" w:rsidTr="00091017">
        <w:trPr>
          <w:cnfStyle w:val="100000000000" w:firstRow="1" w:lastRow="0" w:firstColumn="0" w:lastColumn="0" w:oddVBand="0" w:evenVBand="0" w:oddHBand="0" w:evenHBand="0" w:firstRowFirstColumn="0" w:firstRowLastColumn="0" w:lastRowFirstColumn="0" w:lastRowLastColumn="0"/>
          <w:cantSplit/>
          <w:trHeight w:val="669"/>
        </w:trPr>
        <w:tc>
          <w:tcPr>
            <w:tcW w:w="1158" w:type="dxa"/>
          </w:tcPr>
          <w:p w:rsidR="002928AB" w:rsidRPr="00B55A4D" w:rsidRDefault="002928AB" w:rsidP="00091017">
            <w:pPr>
              <w:ind w:left="0" w:right="0"/>
              <w:rPr>
                <w:sz w:val="20"/>
                <w:szCs w:val="20"/>
              </w:rPr>
            </w:pPr>
            <w:r w:rsidRPr="00B55A4D">
              <w:rPr>
                <w:sz w:val="20"/>
                <w:szCs w:val="20"/>
              </w:rPr>
              <w:t xml:space="preserve">Week </w:t>
            </w:r>
          </w:p>
        </w:tc>
        <w:tc>
          <w:tcPr>
            <w:tcW w:w="1718" w:type="dxa"/>
          </w:tcPr>
          <w:p w:rsidR="002928AB" w:rsidRPr="00B55A4D" w:rsidRDefault="002928AB" w:rsidP="00091017">
            <w:pPr>
              <w:ind w:left="0" w:right="0"/>
              <w:rPr>
                <w:sz w:val="20"/>
                <w:szCs w:val="20"/>
              </w:rPr>
            </w:pPr>
            <w:r w:rsidRPr="00B55A4D">
              <w:rPr>
                <w:sz w:val="20"/>
                <w:szCs w:val="20"/>
              </w:rPr>
              <w:t>ACR20</w:t>
            </w:r>
          </w:p>
        </w:tc>
        <w:tc>
          <w:tcPr>
            <w:tcW w:w="1674" w:type="dxa"/>
          </w:tcPr>
          <w:p w:rsidR="002928AB" w:rsidRPr="00B55A4D" w:rsidRDefault="002928AB" w:rsidP="00091017">
            <w:pPr>
              <w:ind w:left="0" w:right="0"/>
              <w:rPr>
                <w:sz w:val="20"/>
                <w:szCs w:val="20"/>
              </w:rPr>
            </w:pPr>
            <w:r w:rsidRPr="00B55A4D">
              <w:rPr>
                <w:sz w:val="20"/>
                <w:szCs w:val="20"/>
              </w:rPr>
              <w:t>ACR50</w:t>
            </w:r>
          </w:p>
        </w:tc>
        <w:tc>
          <w:tcPr>
            <w:tcW w:w="2027" w:type="dxa"/>
          </w:tcPr>
          <w:p w:rsidR="002928AB" w:rsidRPr="00B55A4D" w:rsidRDefault="002928AB" w:rsidP="00091017">
            <w:pPr>
              <w:ind w:left="0" w:right="0"/>
              <w:rPr>
                <w:sz w:val="20"/>
                <w:szCs w:val="20"/>
              </w:rPr>
            </w:pPr>
            <w:r w:rsidRPr="00B55A4D">
              <w:rPr>
                <w:sz w:val="20"/>
                <w:szCs w:val="20"/>
              </w:rPr>
              <w:t>ACR70</w:t>
            </w:r>
          </w:p>
        </w:tc>
        <w:tc>
          <w:tcPr>
            <w:tcW w:w="1851" w:type="dxa"/>
          </w:tcPr>
          <w:p w:rsidR="002928AB" w:rsidRPr="00B55A4D" w:rsidRDefault="002928AB" w:rsidP="00091017">
            <w:pPr>
              <w:ind w:left="0" w:right="0"/>
              <w:rPr>
                <w:sz w:val="20"/>
                <w:szCs w:val="20"/>
              </w:rPr>
            </w:pPr>
            <w:r w:rsidRPr="00B55A4D">
              <w:rPr>
                <w:sz w:val="20"/>
                <w:szCs w:val="20"/>
              </w:rPr>
              <w:t xml:space="preserve">DAS28 remission </w:t>
            </w:r>
          </w:p>
        </w:tc>
      </w:tr>
      <w:tr w:rsidR="002928AB" w:rsidRPr="009753CF" w:rsidTr="00091017">
        <w:trPr>
          <w:trHeight w:val="669"/>
        </w:trPr>
        <w:tc>
          <w:tcPr>
            <w:tcW w:w="1158" w:type="dxa"/>
          </w:tcPr>
          <w:p w:rsidR="002928AB" w:rsidRPr="00B55A4D" w:rsidRDefault="002928AB" w:rsidP="00091017">
            <w:pPr>
              <w:ind w:left="0" w:right="0"/>
              <w:rPr>
                <w:sz w:val="20"/>
                <w:szCs w:val="20"/>
              </w:rPr>
            </w:pPr>
            <w:r w:rsidRPr="00B55A4D">
              <w:rPr>
                <w:sz w:val="20"/>
                <w:szCs w:val="20"/>
              </w:rPr>
              <w:t xml:space="preserve">Week 0 </w:t>
            </w:r>
          </w:p>
        </w:tc>
        <w:tc>
          <w:tcPr>
            <w:tcW w:w="1718" w:type="dxa"/>
          </w:tcPr>
          <w:p w:rsidR="002928AB" w:rsidRPr="00B55A4D" w:rsidRDefault="002928AB" w:rsidP="00091017">
            <w:pPr>
              <w:ind w:left="0" w:right="0"/>
              <w:rPr>
                <w:sz w:val="20"/>
                <w:szCs w:val="20"/>
              </w:rPr>
            </w:pPr>
            <w:r w:rsidRPr="00B55A4D">
              <w:rPr>
                <w:sz w:val="20"/>
                <w:szCs w:val="20"/>
              </w:rPr>
              <w:t>91/111 (82.0%)</w:t>
            </w:r>
          </w:p>
        </w:tc>
        <w:tc>
          <w:tcPr>
            <w:tcW w:w="1674" w:type="dxa"/>
          </w:tcPr>
          <w:p w:rsidR="002928AB" w:rsidRPr="00B55A4D" w:rsidRDefault="002928AB" w:rsidP="00091017">
            <w:pPr>
              <w:ind w:left="0" w:right="0"/>
              <w:rPr>
                <w:sz w:val="20"/>
                <w:szCs w:val="20"/>
              </w:rPr>
            </w:pPr>
            <w:r w:rsidRPr="00B55A4D">
              <w:rPr>
                <w:sz w:val="20"/>
                <w:szCs w:val="20"/>
              </w:rPr>
              <w:t>65/11 (58.6%)</w:t>
            </w:r>
          </w:p>
        </w:tc>
        <w:tc>
          <w:tcPr>
            <w:tcW w:w="2027" w:type="dxa"/>
          </w:tcPr>
          <w:p w:rsidR="002928AB" w:rsidRPr="00B55A4D" w:rsidRDefault="002928AB" w:rsidP="00091017">
            <w:pPr>
              <w:ind w:left="0" w:right="0"/>
              <w:rPr>
                <w:sz w:val="20"/>
                <w:szCs w:val="20"/>
              </w:rPr>
            </w:pPr>
            <w:r w:rsidRPr="00B55A4D">
              <w:rPr>
                <w:sz w:val="20"/>
                <w:szCs w:val="20"/>
              </w:rPr>
              <w:t>36/11 (32.4%)</w:t>
            </w:r>
          </w:p>
        </w:tc>
        <w:tc>
          <w:tcPr>
            <w:tcW w:w="1851" w:type="dxa"/>
          </w:tcPr>
          <w:p w:rsidR="002928AB" w:rsidRPr="00B55A4D" w:rsidRDefault="002928AB" w:rsidP="00091017">
            <w:pPr>
              <w:ind w:left="0" w:right="0"/>
              <w:rPr>
                <w:sz w:val="20"/>
                <w:szCs w:val="20"/>
              </w:rPr>
            </w:pPr>
            <w:r w:rsidRPr="00B55A4D">
              <w:rPr>
                <w:sz w:val="20"/>
                <w:szCs w:val="20"/>
              </w:rPr>
              <w:t>51/110 (46.4%)</w:t>
            </w:r>
          </w:p>
        </w:tc>
      </w:tr>
      <w:tr w:rsidR="002928AB" w:rsidRPr="009753CF" w:rsidTr="00091017">
        <w:trPr>
          <w:trHeight w:val="669"/>
        </w:trPr>
        <w:tc>
          <w:tcPr>
            <w:tcW w:w="1158" w:type="dxa"/>
          </w:tcPr>
          <w:p w:rsidR="002928AB" w:rsidRPr="00B55A4D" w:rsidRDefault="002928AB" w:rsidP="00091017">
            <w:pPr>
              <w:ind w:left="0" w:right="0"/>
              <w:rPr>
                <w:sz w:val="20"/>
                <w:szCs w:val="20"/>
              </w:rPr>
            </w:pPr>
            <w:r w:rsidRPr="00B55A4D">
              <w:rPr>
                <w:sz w:val="20"/>
                <w:szCs w:val="20"/>
              </w:rPr>
              <w:t xml:space="preserve">Week 24 </w:t>
            </w:r>
          </w:p>
        </w:tc>
        <w:tc>
          <w:tcPr>
            <w:tcW w:w="1718" w:type="dxa"/>
          </w:tcPr>
          <w:p w:rsidR="002928AB" w:rsidRPr="00B55A4D" w:rsidRDefault="002928AB" w:rsidP="00091017">
            <w:pPr>
              <w:ind w:left="0" w:right="0"/>
              <w:rPr>
                <w:sz w:val="20"/>
                <w:szCs w:val="20"/>
              </w:rPr>
            </w:pPr>
            <w:r w:rsidRPr="00B55A4D">
              <w:rPr>
                <w:sz w:val="20"/>
                <w:szCs w:val="20"/>
              </w:rPr>
              <w:t>96/109 (88.1%)</w:t>
            </w:r>
          </w:p>
        </w:tc>
        <w:tc>
          <w:tcPr>
            <w:tcW w:w="1674" w:type="dxa"/>
          </w:tcPr>
          <w:p w:rsidR="002928AB" w:rsidRPr="00B55A4D" w:rsidRDefault="002928AB" w:rsidP="00091017">
            <w:pPr>
              <w:ind w:left="0" w:right="0"/>
              <w:rPr>
                <w:sz w:val="20"/>
                <w:szCs w:val="20"/>
              </w:rPr>
            </w:pPr>
            <w:r w:rsidRPr="00B55A4D">
              <w:rPr>
                <w:sz w:val="20"/>
                <w:szCs w:val="20"/>
              </w:rPr>
              <w:t>70/109 (64.2%)</w:t>
            </w:r>
          </w:p>
        </w:tc>
        <w:tc>
          <w:tcPr>
            <w:tcW w:w="2027" w:type="dxa"/>
          </w:tcPr>
          <w:p w:rsidR="002928AB" w:rsidRPr="00B55A4D" w:rsidRDefault="002928AB" w:rsidP="00091017">
            <w:pPr>
              <w:ind w:left="0" w:right="0"/>
              <w:rPr>
                <w:sz w:val="20"/>
                <w:szCs w:val="20"/>
              </w:rPr>
            </w:pPr>
            <w:r w:rsidRPr="00B55A4D">
              <w:rPr>
                <w:sz w:val="20"/>
                <w:szCs w:val="20"/>
              </w:rPr>
              <w:t>40/107 (37.4%)</w:t>
            </w:r>
          </w:p>
        </w:tc>
        <w:tc>
          <w:tcPr>
            <w:tcW w:w="1851" w:type="dxa"/>
          </w:tcPr>
          <w:p w:rsidR="002928AB" w:rsidRPr="00B55A4D" w:rsidRDefault="002928AB" w:rsidP="00091017">
            <w:pPr>
              <w:ind w:left="0" w:right="0"/>
              <w:rPr>
                <w:sz w:val="20"/>
                <w:szCs w:val="20"/>
              </w:rPr>
            </w:pPr>
            <w:r w:rsidRPr="00B55A4D">
              <w:rPr>
                <w:sz w:val="20"/>
                <w:szCs w:val="20"/>
              </w:rPr>
              <w:t>65/109 (59.6%)</w:t>
            </w:r>
          </w:p>
        </w:tc>
      </w:tr>
      <w:tr w:rsidR="002928AB" w:rsidRPr="009753CF" w:rsidTr="00091017">
        <w:trPr>
          <w:trHeight w:val="681"/>
        </w:trPr>
        <w:tc>
          <w:tcPr>
            <w:tcW w:w="1158" w:type="dxa"/>
          </w:tcPr>
          <w:p w:rsidR="002928AB" w:rsidRPr="00B55A4D" w:rsidRDefault="002928AB" w:rsidP="00091017">
            <w:pPr>
              <w:keepLines/>
              <w:tabs>
                <w:tab w:val="left" w:pos="851"/>
              </w:tabs>
              <w:ind w:left="0" w:right="0"/>
              <w:rPr>
                <w:sz w:val="20"/>
                <w:szCs w:val="20"/>
              </w:rPr>
            </w:pPr>
            <w:r w:rsidRPr="00B55A4D">
              <w:rPr>
                <w:sz w:val="20"/>
                <w:szCs w:val="20"/>
              </w:rPr>
              <w:t xml:space="preserve">Week 48 </w:t>
            </w:r>
          </w:p>
        </w:tc>
        <w:tc>
          <w:tcPr>
            <w:tcW w:w="1718" w:type="dxa"/>
          </w:tcPr>
          <w:p w:rsidR="002928AB" w:rsidRPr="00B55A4D" w:rsidRDefault="002928AB" w:rsidP="00091017">
            <w:pPr>
              <w:keepLines/>
              <w:tabs>
                <w:tab w:val="left" w:pos="851"/>
              </w:tabs>
              <w:ind w:left="0" w:right="0"/>
              <w:rPr>
                <w:sz w:val="20"/>
                <w:szCs w:val="20"/>
              </w:rPr>
            </w:pPr>
            <w:r w:rsidRPr="00B55A4D">
              <w:rPr>
                <w:sz w:val="20"/>
                <w:szCs w:val="20"/>
              </w:rPr>
              <w:t>27/30 (90.0%)</w:t>
            </w:r>
          </w:p>
        </w:tc>
        <w:tc>
          <w:tcPr>
            <w:tcW w:w="1674" w:type="dxa"/>
          </w:tcPr>
          <w:p w:rsidR="002928AB" w:rsidRPr="00B55A4D" w:rsidRDefault="002928AB" w:rsidP="00091017">
            <w:pPr>
              <w:keepLines/>
              <w:tabs>
                <w:tab w:val="left" w:pos="851"/>
              </w:tabs>
              <w:ind w:left="0" w:right="0"/>
              <w:rPr>
                <w:sz w:val="20"/>
                <w:szCs w:val="20"/>
              </w:rPr>
            </w:pPr>
            <w:r w:rsidRPr="00B55A4D">
              <w:rPr>
                <w:sz w:val="20"/>
                <w:szCs w:val="20"/>
              </w:rPr>
              <w:t>22/30 (73.3%)</w:t>
            </w:r>
          </w:p>
        </w:tc>
        <w:tc>
          <w:tcPr>
            <w:tcW w:w="2027" w:type="dxa"/>
          </w:tcPr>
          <w:p w:rsidR="002928AB" w:rsidRPr="00B55A4D" w:rsidRDefault="002928AB" w:rsidP="00091017">
            <w:pPr>
              <w:keepLines/>
              <w:tabs>
                <w:tab w:val="left" w:pos="851"/>
              </w:tabs>
              <w:ind w:left="0" w:right="0"/>
              <w:rPr>
                <w:sz w:val="20"/>
                <w:szCs w:val="20"/>
              </w:rPr>
            </w:pPr>
            <w:r w:rsidRPr="00B55A4D">
              <w:rPr>
                <w:sz w:val="20"/>
                <w:szCs w:val="20"/>
              </w:rPr>
              <w:t>12/28 (42.9%)</w:t>
            </w:r>
          </w:p>
        </w:tc>
        <w:tc>
          <w:tcPr>
            <w:tcW w:w="1851" w:type="dxa"/>
          </w:tcPr>
          <w:p w:rsidR="002928AB" w:rsidRPr="00B55A4D" w:rsidRDefault="002928AB" w:rsidP="00091017">
            <w:pPr>
              <w:keepLines/>
              <w:tabs>
                <w:tab w:val="left" w:pos="851"/>
              </w:tabs>
              <w:ind w:left="0" w:right="0"/>
              <w:rPr>
                <w:sz w:val="20"/>
                <w:szCs w:val="20"/>
              </w:rPr>
            </w:pPr>
            <w:r w:rsidRPr="00B55A4D">
              <w:rPr>
                <w:sz w:val="20"/>
                <w:szCs w:val="20"/>
              </w:rPr>
              <w:t>16/30 (53.3%)</w:t>
            </w:r>
          </w:p>
        </w:tc>
      </w:tr>
    </w:tbl>
    <w:p w:rsidR="002928AB" w:rsidRPr="003A337A" w:rsidRDefault="002928AB" w:rsidP="004A1A01">
      <w:pPr>
        <w:pStyle w:val="TableDescription"/>
      </w:pPr>
      <w:r w:rsidRPr="003A337A">
        <w:t>Note: The number (n) represents the subset of the total number of patients who had the response. The denominator (/N1) for each parameter within a treatment group is the number of patients for the treatment group who had that parameter assessed. ACR20/50/70 response = at least 20%/50%/70% improvements from baseline in both TJC and SJC, and in at least 3 of the 5 components (HAQ-DI score, CRP and 3 VAS assessments). A patient was not counted at a visit if there were insufficient information to determinate ACR20/50/70 response or non-response.</w:t>
      </w:r>
    </w:p>
    <w:p w:rsidR="00AA6B20" w:rsidRDefault="002928AB" w:rsidP="002928AB">
      <w:pPr>
        <w:rPr>
          <w:rFonts w:asciiTheme="minorHAnsi" w:eastAsia="Times New Roman" w:hAnsiTheme="minorHAnsi"/>
        </w:rPr>
      </w:pPr>
      <w:r>
        <w:rPr>
          <w:rFonts w:asciiTheme="minorHAnsi" w:eastAsia="Times New Roman" w:hAnsiTheme="minorHAnsi"/>
        </w:rPr>
        <w:t>Overall, it is considered that the strengths of the data supporting the benefits of sarilumab 200 mg q2w as monotherapy for the proposed indication outweigh the limitation and uncertainties of the data.</w:t>
      </w:r>
    </w:p>
    <w:p w:rsidR="00AA6B20" w:rsidRDefault="002928AB" w:rsidP="003A337A">
      <w:pPr>
        <w:pStyle w:val="Heading5"/>
        <w:rPr>
          <w:lang w:val="en-US"/>
        </w:rPr>
      </w:pPr>
      <w:r w:rsidRPr="00B64E55">
        <w:rPr>
          <w:lang w:val="en-US"/>
        </w:rPr>
        <w:t>Sarilumab in combination with conventional DMARDs (</w:t>
      </w:r>
      <w:proofErr w:type="spellStart"/>
      <w:r w:rsidRPr="00B64E55">
        <w:rPr>
          <w:lang w:val="en-US"/>
        </w:rPr>
        <w:t>cDMARDs</w:t>
      </w:r>
      <w:proofErr w:type="spellEnd"/>
      <w:r w:rsidRPr="00B64E55">
        <w:rPr>
          <w:lang w:val="en-US"/>
        </w:rPr>
        <w:t>)</w:t>
      </w:r>
    </w:p>
    <w:p w:rsidR="002928AB" w:rsidRPr="005D5019" w:rsidRDefault="002928AB" w:rsidP="002928AB">
      <w:pPr>
        <w:rPr>
          <w:rFonts w:asciiTheme="minorHAnsi" w:hAnsiTheme="minorHAnsi"/>
          <w:lang w:val="en-US"/>
        </w:rPr>
      </w:pPr>
      <w:r w:rsidRPr="00B64E55">
        <w:rPr>
          <w:rFonts w:asciiTheme="minorHAnsi" w:hAnsiTheme="minorHAnsi"/>
          <w:lang w:val="en-US"/>
        </w:rPr>
        <w:t>The benefits of sarilumab in combi</w:t>
      </w:r>
      <w:r>
        <w:rPr>
          <w:rFonts w:asciiTheme="minorHAnsi" w:hAnsiTheme="minorHAnsi"/>
          <w:lang w:val="en-US"/>
        </w:rPr>
        <w:t xml:space="preserve">nation with non-biologic DMARDs are favourable </w:t>
      </w:r>
      <w:r w:rsidRPr="005D5019">
        <w:rPr>
          <w:rFonts w:asciiTheme="minorHAnsi" w:hAnsiTheme="minorHAnsi"/>
          <w:lang w:val="en-US"/>
        </w:rPr>
        <w:t xml:space="preserve">for the treatment of </w:t>
      </w:r>
      <w:r>
        <w:rPr>
          <w:rFonts w:asciiTheme="minorHAnsi" w:hAnsiTheme="minorHAnsi"/>
          <w:lang w:val="en-US"/>
        </w:rPr>
        <w:t xml:space="preserve">adult </w:t>
      </w:r>
      <w:r w:rsidRPr="005D5019">
        <w:rPr>
          <w:rFonts w:asciiTheme="minorHAnsi" w:hAnsiTheme="minorHAnsi"/>
          <w:lang w:val="en-US"/>
        </w:rPr>
        <w:t xml:space="preserve">patients </w:t>
      </w:r>
      <w:r>
        <w:rPr>
          <w:sz w:val="23"/>
          <w:szCs w:val="23"/>
        </w:rPr>
        <w:t>with moderate to severe RA who have had an inadequate response to, or are intolerant of, one or more DMARDs</w:t>
      </w:r>
      <w:r>
        <w:rPr>
          <w:color w:val="00AF4F"/>
          <w:sz w:val="23"/>
          <w:szCs w:val="23"/>
        </w:rPr>
        <w:t>.</w:t>
      </w:r>
    </w:p>
    <w:p w:rsidR="00AA6B20" w:rsidRDefault="002928AB" w:rsidP="002928AB">
      <w:r w:rsidRPr="00B64E55">
        <w:t xml:space="preserve">The benefits of both doses of sarilumab (150 mg q2w and 200 mg q2w) in combination with MTX and with </w:t>
      </w:r>
      <w:proofErr w:type="spellStart"/>
      <w:r>
        <w:t>c</w:t>
      </w:r>
      <w:r w:rsidRPr="00B64E55">
        <w:t>DMARD</w:t>
      </w:r>
      <w:proofErr w:type="spellEnd"/>
      <w:r w:rsidRPr="00B64E55">
        <w:t xml:space="preserve"> </w:t>
      </w:r>
      <w:r>
        <w:t xml:space="preserve">not limited to MTX </w:t>
      </w:r>
      <w:r w:rsidRPr="00B64E55">
        <w:t>have been satisfactori</w:t>
      </w:r>
      <w:r>
        <w:t xml:space="preserve">ly demonstrated in </w:t>
      </w:r>
      <w:r w:rsidR="00B84DC4">
        <w:t>S</w:t>
      </w:r>
      <w:r>
        <w:t xml:space="preserve">tudies EFC11072 (MOBILITY) </w:t>
      </w:r>
      <w:r w:rsidRPr="00B64E55">
        <w:t>and EFC10832 (TARGET), respectively.</w:t>
      </w:r>
    </w:p>
    <w:p w:rsidR="002928AB" w:rsidRPr="008950BD" w:rsidRDefault="00B55A4D" w:rsidP="00B55A4D">
      <w:pPr>
        <w:pStyle w:val="Heading6"/>
      </w:pPr>
      <w:r>
        <w:t>Study EFC11072 (MOBILITY)</w:t>
      </w:r>
    </w:p>
    <w:p w:rsidR="00AA6B20" w:rsidRDefault="002928AB" w:rsidP="002928AB">
      <w:pPr>
        <w:widowControl w:val="0"/>
        <w:autoSpaceDE w:val="0"/>
        <w:autoSpaceDN w:val="0"/>
        <w:adjustRightInd w:val="0"/>
        <w:rPr>
          <w:rFonts w:asciiTheme="minorHAnsi" w:hAnsiTheme="minorHAnsi"/>
          <w:lang w:val="en-US"/>
        </w:rPr>
      </w:pPr>
      <w:r w:rsidRPr="008950BD">
        <w:t xml:space="preserve">The efficacy data from the pivotal </w:t>
      </w:r>
      <w:r w:rsidR="001470FB">
        <w:t>Phase III</w:t>
      </w:r>
      <w:r w:rsidRPr="008950BD">
        <w:t xml:space="preserve"> </w:t>
      </w:r>
      <w:r w:rsidR="00894642">
        <w:t>Study EFC</w:t>
      </w:r>
      <w:r w:rsidRPr="008950BD">
        <w:rPr>
          <w:rFonts w:asciiTheme="minorHAnsi" w:hAnsiTheme="minorHAnsi"/>
          <w:lang w:val="en-US"/>
        </w:rPr>
        <w:t>11072 (MOBILITY), Part B, satisfactorily demonstrated the efficacy of both doses of sarilumab (150 mg q2w</w:t>
      </w:r>
      <w:r>
        <w:rPr>
          <w:rFonts w:asciiTheme="minorHAnsi" w:hAnsiTheme="minorHAnsi"/>
          <w:lang w:val="en-US"/>
        </w:rPr>
        <w:t xml:space="preserve"> [</w:t>
      </w:r>
      <w:r w:rsidR="007C7C62">
        <w:rPr>
          <w:rFonts w:asciiTheme="minorHAnsi" w:hAnsiTheme="minorHAnsi"/>
          <w:lang w:val="en-US"/>
        </w:rPr>
        <w:t xml:space="preserve">n = </w:t>
      </w:r>
      <w:r>
        <w:rPr>
          <w:rFonts w:asciiTheme="minorHAnsi" w:hAnsiTheme="minorHAnsi"/>
          <w:lang w:val="en-US"/>
        </w:rPr>
        <w:t xml:space="preserve">400] </w:t>
      </w:r>
      <w:r w:rsidRPr="008950BD">
        <w:rPr>
          <w:rFonts w:asciiTheme="minorHAnsi" w:hAnsiTheme="minorHAnsi"/>
          <w:lang w:val="en-US"/>
        </w:rPr>
        <w:t>and 200 mg q2w</w:t>
      </w:r>
      <w:r>
        <w:rPr>
          <w:rFonts w:asciiTheme="minorHAnsi" w:hAnsiTheme="minorHAnsi"/>
          <w:lang w:val="en-US"/>
        </w:rPr>
        <w:t xml:space="preserve"> </w:t>
      </w:r>
      <w:r w:rsidR="00845119">
        <w:rPr>
          <w:rFonts w:asciiTheme="minorHAnsi" w:hAnsiTheme="minorHAnsi"/>
          <w:lang w:val="en-US"/>
        </w:rPr>
        <w:t>(</w:t>
      </w:r>
      <w:r w:rsidR="007C7C62">
        <w:rPr>
          <w:rFonts w:asciiTheme="minorHAnsi" w:hAnsiTheme="minorHAnsi"/>
          <w:lang w:val="en-US"/>
        </w:rPr>
        <w:t xml:space="preserve">n = </w:t>
      </w:r>
      <w:r>
        <w:rPr>
          <w:rFonts w:asciiTheme="minorHAnsi" w:hAnsiTheme="minorHAnsi"/>
          <w:lang w:val="en-US"/>
        </w:rPr>
        <w:t>399</w:t>
      </w:r>
      <w:r w:rsidRPr="008950BD">
        <w:rPr>
          <w:rFonts w:asciiTheme="minorHAnsi" w:hAnsiTheme="minorHAnsi"/>
          <w:lang w:val="en-US"/>
        </w:rPr>
        <w:t>)</w:t>
      </w:r>
      <w:r w:rsidR="00FD15F9">
        <w:rPr>
          <w:rFonts w:asciiTheme="minorHAnsi" w:hAnsiTheme="minorHAnsi"/>
          <w:lang w:val="en-US"/>
        </w:rPr>
        <w:t>)</w:t>
      </w:r>
      <w:r w:rsidRPr="008950BD">
        <w:rPr>
          <w:rFonts w:asciiTheme="minorHAnsi" w:hAnsiTheme="minorHAnsi"/>
          <w:lang w:val="en-US"/>
        </w:rPr>
        <w:t xml:space="preserve"> in combination with MTX compared with </w:t>
      </w:r>
      <w:r>
        <w:rPr>
          <w:rFonts w:asciiTheme="minorHAnsi" w:hAnsiTheme="minorHAnsi"/>
          <w:lang w:val="en-US"/>
        </w:rPr>
        <w:t xml:space="preserve">placebo </w:t>
      </w:r>
      <w:r w:rsidRPr="008950BD">
        <w:rPr>
          <w:rFonts w:asciiTheme="minorHAnsi" w:hAnsiTheme="minorHAnsi"/>
          <w:lang w:val="en-US"/>
        </w:rPr>
        <w:t>(</w:t>
      </w:r>
      <w:r w:rsidR="007C7C62">
        <w:rPr>
          <w:rFonts w:asciiTheme="minorHAnsi" w:hAnsiTheme="minorHAnsi"/>
          <w:lang w:val="en-US"/>
        </w:rPr>
        <w:t xml:space="preserve">n = </w:t>
      </w:r>
      <w:r w:rsidRPr="008950BD">
        <w:rPr>
          <w:rFonts w:asciiTheme="minorHAnsi" w:hAnsiTheme="minorHAnsi"/>
          <w:lang w:val="en-US"/>
        </w:rPr>
        <w:t xml:space="preserve">398). The results for the three co-primary efficacy endpoints and for the key secondary efficacy endpoint are summarised below in Table </w:t>
      </w:r>
      <w:r w:rsidR="00B84DC4">
        <w:rPr>
          <w:rFonts w:asciiTheme="minorHAnsi" w:hAnsiTheme="minorHAnsi"/>
          <w:lang w:val="en-US"/>
        </w:rPr>
        <w:t>1</w:t>
      </w:r>
      <w:r w:rsidR="00D75C1B">
        <w:rPr>
          <w:rFonts w:asciiTheme="minorHAnsi" w:hAnsiTheme="minorHAnsi"/>
          <w:lang w:val="en-US"/>
        </w:rPr>
        <w:t>6</w:t>
      </w:r>
      <w:r w:rsidRPr="008950BD">
        <w:rPr>
          <w:rFonts w:asciiTheme="minorHAnsi" w:hAnsiTheme="minorHAnsi"/>
          <w:lang w:val="en-US"/>
        </w:rPr>
        <w:t>.</w:t>
      </w:r>
    </w:p>
    <w:p w:rsidR="002928AB" w:rsidRPr="008950BD" w:rsidRDefault="002928AB" w:rsidP="00B55A4D">
      <w:pPr>
        <w:pStyle w:val="Tabletitle0"/>
        <w:rPr>
          <w:lang w:val="en-US"/>
        </w:rPr>
      </w:pPr>
      <w:bookmarkStart w:id="140" w:name="_Toc514687832"/>
      <w:r>
        <w:lastRenderedPageBreak/>
        <w:t xml:space="preserve">Table </w:t>
      </w:r>
      <w:r w:rsidR="00B84DC4">
        <w:t>1</w:t>
      </w:r>
      <w:r w:rsidR="00D75C1B">
        <w:t>6</w:t>
      </w:r>
      <w:r>
        <w:t xml:space="preserve">: </w:t>
      </w:r>
      <w:r w:rsidR="000F5B2C">
        <w:t xml:space="preserve">Study </w:t>
      </w:r>
      <w:r w:rsidRPr="008950BD">
        <w:rPr>
          <w:lang w:val="en-US"/>
        </w:rPr>
        <w:t xml:space="preserve">EFC11072 Part B </w:t>
      </w:r>
      <w:r>
        <w:rPr>
          <w:lang w:val="en-US"/>
        </w:rPr>
        <w:t>Results for the three c</w:t>
      </w:r>
      <w:r w:rsidRPr="008950BD">
        <w:rPr>
          <w:lang w:val="en-US"/>
        </w:rPr>
        <w:t xml:space="preserve">o-primary </w:t>
      </w:r>
      <w:r>
        <w:rPr>
          <w:lang w:val="en-US"/>
        </w:rPr>
        <w:t xml:space="preserve">efficacy endpoints and </w:t>
      </w:r>
      <w:r w:rsidRPr="008950BD">
        <w:rPr>
          <w:lang w:val="en-US"/>
        </w:rPr>
        <w:t>key secondary efficacy endpoint</w:t>
      </w:r>
      <w:bookmarkEnd w:id="140"/>
    </w:p>
    <w:p w:rsidR="00AA6B20" w:rsidRDefault="002928AB" w:rsidP="002928AB">
      <w:pPr>
        <w:rPr>
          <w:rFonts w:asciiTheme="minorHAnsi" w:eastAsiaTheme="minorHAnsi" w:hAnsiTheme="minorHAnsi" w:cs="Arial Narrow"/>
          <w:sz w:val="18"/>
          <w:szCs w:val="18"/>
          <w:lang w:val="en-US"/>
        </w:rPr>
      </w:pPr>
      <w:r>
        <w:rPr>
          <w:noProof/>
          <w:lang w:eastAsia="en-AU"/>
        </w:rPr>
        <w:drawing>
          <wp:inline distT="0" distB="0" distL="0" distR="0" wp14:anchorId="5542D941" wp14:editId="00957380">
            <wp:extent cx="4726202" cy="3738067"/>
            <wp:effectExtent l="0" t="0" r="0" b="0"/>
            <wp:docPr id="23" name="Picture 3" descr="EFC11072 Part B Results for the three co-primary efficacy endpoints and key secondary efficacy end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28473" cy="3739864"/>
                    </a:xfrm>
                    <a:prstGeom prst="rect">
                      <a:avLst/>
                    </a:prstGeom>
                    <a:noFill/>
                    <a:ln>
                      <a:noFill/>
                    </a:ln>
                  </pic:spPr>
                </pic:pic>
              </a:graphicData>
            </a:graphic>
          </wp:inline>
        </w:drawing>
      </w:r>
    </w:p>
    <w:p w:rsidR="00AA6B20" w:rsidRDefault="002928AB" w:rsidP="002928AB">
      <w:pPr>
        <w:widowControl w:val="0"/>
        <w:autoSpaceDE w:val="0"/>
        <w:autoSpaceDN w:val="0"/>
        <w:adjustRightInd w:val="0"/>
        <w:rPr>
          <w:rFonts w:asciiTheme="minorHAnsi" w:hAnsiTheme="minorHAnsi"/>
          <w:lang w:val="en-US"/>
        </w:rPr>
      </w:pPr>
      <w:r w:rsidRPr="008950BD">
        <w:rPr>
          <w:rFonts w:asciiTheme="minorHAnsi" w:hAnsiTheme="minorHAnsi"/>
          <w:lang w:val="en-US"/>
        </w:rPr>
        <w:t xml:space="preserve">The results for the three </w:t>
      </w:r>
      <w:proofErr w:type="gramStart"/>
      <w:r w:rsidRPr="008950BD">
        <w:rPr>
          <w:rFonts w:asciiTheme="minorHAnsi" w:hAnsiTheme="minorHAnsi"/>
          <w:lang w:val="en-US"/>
        </w:rPr>
        <w:t>co-primary</w:t>
      </w:r>
      <w:proofErr w:type="gramEnd"/>
      <w:r w:rsidRPr="008950BD">
        <w:rPr>
          <w:rFonts w:asciiTheme="minorHAnsi" w:hAnsiTheme="minorHAnsi"/>
          <w:lang w:val="en-US"/>
        </w:rPr>
        <w:t xml:space="preserve"> and the key secondary efficacy endpoint for both sarilumab doses were supported by the numerous secondary efficacy endpoints, all of which demonstrated num</w:t>
      </w:r>
      <w:r>
        <w:rPr>
          <w:rFonts w:asciiTheme="minorHAnsi" w:hAnsiTheme="minorHAnsi"/>
          <w:lang w:val="en-US"/>
        </w:rPr>
        <w:t>erical superiority of both doses</w:t>
      </w:r>
      <w:r w:rsidRPr="008950BD">
        <w:rPr>
          <w:rFonts w:asciiTheme="minorHAnsi" w:hAnsiTheme="minorHAnsi"/>
          <w:lang w:val="en-US"/>
        </w:rPr>
        <w:t xml:space="preserve"> of sarilumab in combination</w:t>
      </w:r>
      <w:r>
        <w:rPr>
          <w:rFonts w:asciiTheme="minorHAnsi" w:hAnsiTheme="minorHAnsi"/>
          <w:lang w:val="en-US"/>
        </w:rPr>
        <w:t xml:space="preserve"> with MTX compared with </w:t>
      </w:r>
      <w:r w:rsidRPr="00D75C1B">
        <w:rPr>
          <w:rFonts w:asciiTheme="minorHAnsi" w:hAnsiTheme="minorHAnsi"/>
          <w:lang w:val="en-US"/>
        </w:rPr>
        <w:t>placebo (see Table 17).</w:t>
      </w:r>
    </w:p>
    <w:p w:rsidR="00805BFC" w:rsidRPr="00E41A24" w:rsidRDefault="00805BFC" w:rsidP="00D75C1B">
      <w:pPr>
        <w:pStyle w:val="Tabletitle0"/>
        <w:keepLines/>
        <w:rPr>
          <w:lang w:val="en-US"/>
        </w:rPr>
      </w:pPr>
      <w:bookmarkStart w:id="141" w:name="_Toc514687795"/>
      <w:r>
        <w:lastRenderedPageBreak/>
        <w:t>Table</w:t>
      </w:r>
      <w:r w:rsidR="00D75C1B">
        <w:t xml:space="preserve"> 17</w:t>
      </w:r>
      <w:r>
        <w:t xml:space="preserve">: </w:t>
      </w:r>
      <w:r w:rsidR="00D75C1B">
        <w:t xml:space="preserve">Study </w:t>
      </w:r>
      <w:r w:rsidRPr="00097FAE">
        <w:rPr>
          <w:lang w:val="en-US"/>
        </w:rPr>
        <w:t>EFC11072 Part B Summary secondary efficacy endpoints results</w:t>
      </w:r>
      <w:bookmarkEnd w:id="141"/>
    </w:p>
    <w:p w:rsidR="00805BFC" w:rsidRDefault="00D75C1B" w:rsidP="00956323">
      <w:pPr>
        <w:rPr>
          <w:rFonts w:asciiTheme="minorHAnsi" w:eastAsiaTheme="minorHAnsi" w:hAnsiTheme="minorHAnsi"/>
          <w:lang w:val="en-US"/>
        </w:rPr>
      </w:pPr>
      <w:r>
        <w:rPr>
          <w:noProof/>
          <w:lang w:eastAsia="en-AU"/>
        </w:rPr>
        <w:drawing>
          <wp:inline distT="0" distB="0" distL="0" distR="0" wp14:anchorId="7C8D74BC" wp14:editId="59C44A5B">
            <wp:extent cx="4598751" cy="5669280"/>
            <wp:effectExtent l="0" t="0" r="0" b="7620"/>
            <wp:docPr id="913" name="Picture 913" descr="EFC11072 Part B - Summary secondary efficacy endpoints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BEBA8EAE-BF5A-486C-A8C5-ECC9F3942E4B}">
                          <a14:imgProps xmlns:a14="http://schemas.microsoft.com/office/drawing/2010/main">
                            <a14:imgLayer r:embed="rId44">
                              <a14:imgEffect>
                                <a14:sharpenSoften amount="50000"/>
                              </a14:imgEffect>
                            </a14:imgLayer>
                          </a14:imgProps>
                        </a:ext>
                      </a:extLst>
                    </a:blip>
                    <a:stretch>
                      <a:fillRect/>
                    </a:stretch>
                  </pic:blipFill>
                  <pic:spPr>
                    <a:xfrm>
                      <a:off x="0" y="0"/>
                      <a:ext cx="4599963" cy="5670774"/>
                    </a:xfrm>
                    <a:prstGeom prst="rect">
                      <a:avLst/>
                    </a:prstGeom>
                  </pic:spPr>
                </pic:pic>
              </a:graphicData>
            </a:graphic>
          </wp:inline>
        </w:drawing>
      </w:r>
    </w:p>
    <w:p w:rsidR="002928AB" w:rsidRPr="00B84DC4" w:rsidRDefault="00B55A4D" w:rsidP="00B84DC4">
      <w:pPr>
        <w:pStyle w:val="Heading6"/>
      </w:pPr>
      <w:r>
        <w:rPr>
          <w:lang w:val="en-US"/>
        </w:rPr>
        <w:t>Study EFC10832 (TARGET)</w:t>
      </w:r>
    </w:p>
    <w:p w:rsidR="00AA6B20" w:rsidRDefault="002928AB" w:rsidP="002928AB">
      <w:pPr>
        <w:widowControl w:val="0"/>
        <w:autoSpaceDE w:val="0"/>
        <w:autoSpaceDN w:val="0"/>
        <w:adjustRightInd w:val="0"/>
        <w:rPr>
          <w:rFonts w:asciiTheme="minorHAnsi" w:hAnsiTheme="minorHAnsi"/>
          <w:lang w:val="en-US"/>
        </w:rPr>
      </w:pPr>
      <w:r>
        <w:rPr>
          <w:rFonts w:asciiTheme="minorHAnsi" w:hAnsiTheme="minorHAnsi"/>
          <w:lang w:val="en-US"/>
        </w:rPr>
        <w:t xml:space="preserve">The efficacy data from the pivotal </w:t>
      </w:r>
      <w:r w:rsidR="001470FB">
        <w:rPr>
          <w:rFonts w:asciiTheme="minorHAnsi" w:hAnsiTheme="minorHAnsi"/>
          <w:lang w:val="en-US"/>
        </w:rPr>
        <w:t>Phase III</w:t>
      </w:r>
      <w:r>
        <w:rPr>
          <w:rFonts w:asciiTheme="minorHAnsi" w:hAnsiTheme="minorHAnsi"/>
          <w:lang w:val="en-US"/>
        </w:rPr>
        <w:t xml:space="preserve"> </w:t>
      </w:r>
      <w:r w:rsidR="00894642">
        <w:rPr>
          <w:rFonts w:asciiTheme="minorHAnsi" w:hAnsiTheme="minorHAnsi"/>
          <w:lang w:val="en-US"/>
        </w:rPr>
        <w:t>Study EFC</w:t>
      </w:r>
      <w:r w:rsidRPr="00097FAE">
        <w:rPr>
          <w:rFonts w:asciiTheme="minorHAnsi" w:hAnsiTheme="minorHAnsi"/>
          <w:lang w:val="en-US"/>
        </w:rPr>
        <w:t>10832 (TARGET</w:t>
      </w:r>
      <w:r w:rsidR="003A36D9">
        <w:rPr>
          <w:rFonts w:asciiTheme="minorHAnsi" w:hAnsiTheme="minorHAnsi"/>
          <w:lang w:val="en-US"/>
        </w:rPr>
        <w:t xml:space="preserve"> trial</w:t>
      </w:r>
      <w:r w:rsidRPr="00097FAE">
        <w:rPr>
          <w:rFonts w:asciiTheme="minorHAnsi" w:hAnsiTheme="minorHAnsi"/>
          <w:lang w:val="en-US"/>
        </w:rPr>
        <w:t>)</w:t>
      </w:r>
      <w:r>
        <w:rPr>
          <w:rFonts w:asciiTheme="minorHAnsi" w:hAnsiTheme="minorHAnsi"/>
          <w:lang w:val="en-US"/>
        </w:rPr>
        <w:t xml:space="preserve"> satisfactorily demonstrated the efficacy of both doses of sarilumab (150 mg q2w </w:t>
      </w:r>
      <w:r w:rsidR="003A36D9">
        <w:rPr>
          <w:rFonts w:asciiTheme="minorHAnsi" w:hAnsiTheme="minorHAnsi"/>
          <w:lang w:val="en-US"/>
        </w:rPr>
        <w:t>(</w:t>
      </w:r>
      <w:r w:rsidR="007C7C62">
        <w:rPr>
          <w:rFonts w:asciiTheme="minorHAnsi" w:hAnsiTheme="minorHAnsi"/>
          <w:lang w:val="en-US"/>
        </w:rPr>
        <w:t xml:space="preserve">n = </w:t>
      </w:r>
      <w:r>
        <w:rPr>
          <w:rFonts w:asciiTheme="minorHAnsi" w:hAnsiTheme="minorHAnsi"/>
          <w:lang w:val="en-US"/>
        </w:rPr>
        <w:t>181</w:t>
      </w:r>
      <w:r w:rsidR="003A36D9">
        <w:rPr>
          <w:rFonts w:asciiTheme="minorHAnsi" w:hAnsiTheme="minorHAnsi"/>
          <w:lang w:val="en-US"/>
        </w:rPr>
        <w:t>)</w:t>
      </w:r>
      <w:r>
        <w:rPr>
          <w:rFonts w:asciiTheme="minorHAnsi" w:hAnsiTheme="minorHAnsi"/>
          <w:lang w:val="en-US"/>
        </w:rPr>
        <w:t xml:space="preserve"> and 200 mg q2w </w:t>
      </w:r>
      <w:r w:rsidR="003A36D9">
        <w:rPr>
          <w:rFonts w:asciiTheme="minorHAnsi" w:hAnsiTheme="minorHAnsi"/>
          <w:lang w:val="en-US"/>
        </w:rPr>
        <w:t>(</w:t>
      </w:r>
      <w:r w:rsidR="007C7C62">
        <w:rPr>
          <w:rFonts w:asciiTheme="minorHAnsi" w:hAnsiTheme="minorHAnsi"/>
          <w:lang w:val="en-US"/>
        </w:rPr>
        <w:t xml:space="preserve">n = </w:t>
      </w:r>
      <w:r>
        <w:rPr>
          <w:rFonts w:asciiTheme="minorHAnsi" w:hAnsiTheme="minorHAnsi"/>
          <w:lang w:val="en-US"/>
        </w:rPr>
        <w:t>184</w:t>
      </w:r>
      <w:r w:rsidR="003A36D9">
        <w:rPr>
          <w:rFonts w:asciiTheme="minorHAnsi" w:hAnsiTheme="minorHAnsi"/>
          <w:lang w:val="en-US"/>
        </w:rPr>
        <w:t>)</w:t>
      </w:r>
      <w:r>
        <w:rPr>
          <w:rFonts w:asciiTheme="minorHAnsi" w:hAnsiTheme="minorHAnsi"/>
          <w:lang w:val="en-US"/>
        </w:rPr>
        <w:t>) in combination with DMARD compared with placebo (</w:t>
      </w:r>
      <w:r w:rsidR="007C7C62">
        <w:rPr>
          <w:rFonts w:asciiTheme="minorHAnsi" w:hAnsiTheme="minorHAnsi"/>
          <w:lang w:val="en-US"/>
        </w:rPr>
        <w:t xml:space="preserve">n = </w:t>
      </w:r>
      <w:r>
        <w:rPr>
          <w:rFonts w:asciiTheme="minorHAnsi" w:hAnsiTheme="minorHAnsi"/>
          <w:lang w:val="en-US"/>
        </w:rPr>
        <w:t>181). In this study, a</w:t>
      </w:r>
      <w:r w:rsidRPr="00097FAE">
        <w:rPr>
          <w:rFonts w:asciiTheme="minorHAnsi" w:hAnsiTheme="minorHAnsi"/>
          <w:lang w:val="en-US"/>
        </w:rPr>
        <w:t xml:space="preserve">ll patients had previously been treated with TNF-α </w:t>
      </w:r>
      <w:proofErr w:type="gramStart"/>
      <w:r w:rsidRPr="00097FAE">
        <w:rPr>
          <w:rFonts w:asciiTheme="minorHAnsi" w:hAnsiTheme="minorHAnsi"/>
          <w:lang w:val="en-US"/>
        </w:rPr>
        <w:t>antagonists</w:t>
      </w:r>
      <w:proofErr w:type="gramEnd"/>
      <w:r w:rsidRPr="00097FAE">
        <w:rPr>
          <w:rFonts w:asciiTheme="minorHAnsi" w:hAnsiTheme="minorHAnsi"/>
          <w:lang w:val="en-US"/>
        </w:rPr>
        <w:t xml:space="preserve">, mostly etanercept (32.6%), adalimumab </w:t>
      </w:r>
      <w:r>
        <w:rPr>
          <w:rFonts w:asciiTheme="minorHAnsi" w:hAnsiTheme="minorHAnsi"/>
          <w:lang w:val="en-US"/>
        </w:rPr>
        <w:t xml:space="preserve">(28.6%), or infliximab (15.9%) and the </w:t>
      </w:r>
      <w:r w:rsidRPr="00097FAE">
        <w:rPr>
          <w:rFonts w:asciiTheme="minorHAnsi" w:hAnsiTheme="minorHAnsi"/>
          <w:lang w:val="en-US"/>
        </w:rPr>
        <w:t xml:space="preserve">majority </w:t>
      </w:r>
      <w:r>
        <w:rPr>
          <w:rFonts w:asciiTheme="minorHAnsi" w:hAnsiTheme="minorHAnsi"/>
          <w:lang w:val="en-US"/>
        </w:rPr>
        <w:t xml:space="preserve">of patients </w:t>
      </w:r>
      <w:r w:rsidRPr="00097FAE">
        <w:rPr>
          <w:rFonts w:asciiTheme="minorHAnsi" w:hAnsiTheme="minorHAnsi"/>
          <w:lang w:val="en-US"/>
        </w:rPr>
        <w:t xml:space="preserve">(92.3%) had a history of inadequate response to </w:t>
      </w:r>
      <w:r>
        <w:rPr>
          <w:rFonts w:asciiTheme="minorHAnsi" w:hAnsiTheme="minorHAnsi"/>
          <w:lang w:val="en-US"/>
        </w:rPr>
        <w:t>prior TNF-α antagonist therapy. In addition, a</w:t>
      </w:r>
      <w:r w:rsidRPr="00097FAE">
        <w:rPr>
          <w:rFonts w:asciiTheme="minorHAnsi" w:hAnsiTheme="minorHAnsi"/>
          <w:lang w:val="en-US"/>
        </w:rPr>
        <w:t xml:space="preserve">t baseline, approximately 21% of patients </w:t>
      </w:r>
      <w:r>
        <w:rPr>
          <w:rFonts w:asciiTheme="minorHAnsi" w:hAnsiTheme="minorHAnsi"/>
          <w:lang w:val="en-US"/>
        </w:rPr>
        <w:t>had been t</w:t>
      </w:r>
      <w:r w:rsidRPr="00097FAE">
        <w:rPr>
          <w:rFonts w:asciiTheme="minorHAnsi" w:hAnsiTheme="minorHAnsi"/>
          <w:lang w:val="en-US"/>
        </w:rPr>
        <w:t>reated with 1 or more DMARDs other than MTX.</w:t>
      </w:r>
      <w:r>
        <w:rPr>
          <w:rFonts w:asciiTheme="minorHAnsi" w:hAnsiTheme="minorHAnsi" w:cs="Times"/>
          <w:lang w:val="en-US"/>
        </w:rPr>
        <w:t xml:space="preserve"> </w:t>
      </w:r>
      <w:r w:rsidRPr="008950BD">
        <w:rPr>
          <w:rFonts w:asciiTheme="minorHAnsi" w:hAnsiTheme="minorHAnsi"/>
          <w:lang w:val="en-US"/>
        </w:rPr>
        <w:t xml:space="preserve">The results for the </w:t>
      </w:r>
      <w:r>
        <w:rPr>
          <w:rFonts w:asciiTheme="minorHAnsi" w:hAnsiTheme="minorHAnsi"/>
          <w:lang w:val="en-US"/>
        </w:rPr>
        <w:t xml:space="preserve">two co-primary </w:t>
      </w:r>
      <w:r w:rsidR="00F549B4">
        <w:rPr>
          <w:rFonts w:asciiTheme="minorHAnsi" w:hAnsiTheme="minorHAnsi"/>
          <w:lang w:val="en-US"/>
        </w:rPr>
        <w:t xml:space="preserve">endpoints </w:t>
      </w:r>
      <w:r w:rsidRPr="008950BD">
        <w:rPr>
          <w:rFonts w:asciiTheme="minorHAnsi" w:hAnsiTheme="minorHAnsi"/>
          <w:lang w:val="en-US"/>
        </w:rPr>
        <w:t>are summarised below in Table</w:t>
      </w:r>
      <w:r w:rsidR="003A36D9">
        <w:rPr>
          <w:rFonts w:asciiTheme="minorHAnsi" w:hAnsiTheme="minorHAnsi"/>
          <w:lang w:val="en-US"/>
        </w:rPr>
        <w:t> </w:t>
      </w:r>
      <w:r w:rsidR="00B84DC4">
        <w:rPr>
          <w:rFonts w:asciiTheme="minorHAnsi" w:hAnsiTheme="minorHAnsi"/>
          <w:lang w:val="en-US"/>
        </w:rPr>
        <w:t>1</w:t>
      </w:r>
      <w:r w:rsidR="00D75C1B">
        <w:rPr>
          <w:rFonts w:asciiTheme="minorHAnsi" w:hAnsiTheme="minorHAnsi"/>
          <w:lang w:val="en-US"/>
        </w:rPr>
        <w:t>8</w:t>
      </w:r>
      <w:r w:rsidRPr="008950BD">
        <w:rPr>
          <w:rFonts w:asciiTheme="minorHAnsi" w:hAnsiTheme="minorHAnsi"/>
          <w:lang w:val="en-US"/>
        </w:rPr>
        <w:t>.</w:t>
      </w:r>
    </w:p>
    <w:p w:rsidR="00FD15F9" w:rsidRDefault="002928AB" w:rsidP="00B55A4D">
      <w:pPr>
        <w:pStyle w:val="Tabletitle0"/>
      </w:pPr>
      <w:bookmarkStart w:id="142" w:name="_Toc514687833"/>
      <w:r w:rsidRPr="00FD15F9">
        <w:lastRenderedPageBreak/>
        <w:t xml:space="preserve">Table </w:t>
      </w:r>
      <w:r w:rsidR="00B84DC4" w:rsidRPr="00FD15F9">
        <w:t>1</w:t>
      </w:r>
      <w:r w:rsidR="00D75C1B" w:rsidRPr="00FD15F9">
        <w:t>8</w:t>
      </w:r>
      <w:r w:rsidRPr="00FD15F9">
        <w:t xml:space="preserve">: </w:t>
      </w:r>
      <w:r w:rsidR="000F5B2C" w:rsidRPr="00FD15F9">
        <w:t xml:space="preserve">Study </w:t>
      </w:r>
      <w:r w:rsidRPr="00FD15F9">
        <w:t>EFC10832 Results for the two co-primary efficacy endpoints</w:t>
      </w:r>
      <w:bookmarkEnd w:id="142"/>
    </w:p>
    <w:p w:rsidR="002928AB" w:rsidRPr="001569B7" w:rsidRDefault="001569B7" w:rsidP="00FD15F9">
      <w:r>
        <w:rPr>
          <w:noProof/>
          <w:lang w:eastAsia="en-AU"/>
        </w:rPr>
        <w:drawing>
          <wp:inline distT="0" distB="0" distL="0" distR="0" wp14:anchorId="4C6EE0A6" wp14:editId="0E6F3F06">
            <wp:extent cx="5400040" cy="3087715"/>
            <wp:effectExtent l="0" t="0" r="0" b="0"/>
            <wp:docPr id="16" name="Picture 16" descr="Study EFC10832 Results for the two co-primary efficacy end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400040" cy="3087715"/>
                    </a:xfrm>
                    <a:prstGeom prst="rect">
                      <a:avLst/>
                    </a:prstGeom>
                  </pic:spPr>
                </pic:pic>
              </a:graphicData>
            </a:graphic>
          </wp:inline>
        </w:drawing>
      </w:r>
    </w:p>
    <w:p w:rsidR="002928AB" w:rsidRDefault="002928AB" w:rsidP="002928AB">
      <w:pPr>
        <w:widowControl w:val="0"/>
        <w:autoSpaceDE w:val="0"/>
        <w:autoSpaceDN w:val="0"/>
        <w:adjustRightInd w:val="0"/>
        <w:rPr>
          <w:rFonts w:asciiTheme="minorHAnsi" w:eastAsiaTheme="minorHAnsi" w:hAnsiTheme="minorHAnsi"/>
          <w:lang w:val="en-US"/>
        </w:rPr>
      </w:pPr>
      <w:r w:rsidRPr="00097FAE">
        <w:rPr>
          <w:rFonts w:asciiTheme="minorHAnsi" w:eastAsiaTheme="minorHAnsi" w:hAnsiTheme="minorHAnsi"/>
          <w:lang w:val="en-US"/>
        </w:rPr>
        <w:t xml:space="preserve">The </w:t>
      </w:r>
      <w:r>
        <w:rPr>
          <w:rFonts w:asciiTheme="minorHAnsi" w:eastAsiaTheme="minorHAnsi" w:hAnsiTheme="minorHAnsi"/>
          <w:lang w:val="en-US"/>
        </w:rPr>
        <w:t xml:space="preserve">study included a number of secondary efficacy endpoints, and the results for these endpoints for both doses of sarilumab in combination with DMARDs </w:t>
      </w:r>
      <w:r w:rsidRPr="00097FAE">
        <w:rPr>
          <w:rFonts w:asciiTheme="minorHAnsi" w:eastAsiaTheme="minorHAnsi" w:hAnsiTheme="minorHAnsi"/>
          <w:lang w:val="en-US"/>
        </w:rPr>
        <w:t xml:space="preserve">were consistent with </w:t>
      </w:r>
      <w:r>
        <w:rPr>
          <w:rFonts w:asciiTheme="minorHAnsi" w:eastAsiaTheme="minorHAnsi" w:hAnsiTheme="minorHAnsi"/>
          <w:lang w:val="en-US"/>
        </w:rPr>
        <w:t xml:space="preserve">the results for the </w:t>
      </w:r>
      <w:r w:rsidRPr="00097FAE">
        <w:rPr>
          <w:rFonts w:asciiTheme="minorHAnsi" w:eastAsiaTheme="minorHAnsi" w:hAnsiTheme="minorHAnsi"/>
          <w:lang w:val="en-US"/>
        </w:rPr>
        <w:t xml:space="preserve">two co-primary </w:t>
      </w:r>
      <w:r w:rsidRPr="00D75C1B">
        <w:rPr>
          <w:rFonts w:asciiTheme="minorHAnsi" w:eastAsiaTheme="minorHAnsi" w:hAnsiTheme="minorHAnsi"/>
          <w:lang w:val="en-US"/>
        </w:rPr>
        <w:t>efficacy endpoints (see Table 19).</w:t>
      </w:r>
    </w:p>
    <w:p w:rsidR="00805BFC" w:rsidRPr="00097FAE" w:rsidRDefault="00805BFC" w:rsidP="00D75C1B">
      <w:pPr>
        <w:pStyle w:val="Tabletitle0"/>
        <w:rPr>
          <w:rFonts w:eastAsiaTheme="minorHAnsi"/>
          <w:lang w:val="en-US"/>
        </w:rPr>
      </w:pPr>
      <w:bookmarkStart w:id="143" w:name="_Toc514687797"/>
      <w:r>
        <w:t xml:space="preserve">Table </w:t>
      </w:r>
      <w:r w:rsidR="00D75C1B">
        <w:t>19</w:t>
      </w:r>
      <w:r>
        <w:t xml:space="preserve">: </w:t>
      </w:r>
      <w:r w:rsidR="00D75C1B">
        <w:t xml:space="preserve">Study </w:t>
      </w:r>
      <w:r w:rsidRPr="00097FAE">
        <w:t>EFC10832 Hierarchical testing order for the two co-primary efficacy endpoints and th</w:t>
      </w:r>
      <w:r>
        <w:t>e secondary efficacy endpoints</w:t>
      </w:r>
      <w:r w:rsidR="003A36D9">
        <w:t>;</w:t>
      </w:r>
      <w:r>
        <w:t xml:space="preserve"> ITT population</w:t>
      </w:r>
      <w:bookmarkEnd w:id="143"/>
    </w:p>
    <w:p w:rsidR="00805BFC" w:rsidRDefault="00805BFC" w:rsidP="00805BFC">
      <w:r>
        <w:rPr>
          <w:noProof/>
          <w:lang w:eastAsia="en-AU"/>
        </w:rPr>
        <w:drawing>
          <wp:inline distT="0" distB="0" distL="0" distR="0" wp14:anchorId="7F829374" wp14:editId="4F5FBDBA">
            <wp:extent cx="4818914" cy="3386937"/>
            <wp:effectExtent l="0" t="0" r="1270" b="4445"/>
            <wp:docPr id="2272" name="Picture 19" descr="Study EFC10832 Hierarchical testing order for the two co-primary efficacy endpoints and the secondary efficacy endpoints, ITT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a:extLst>
                        <a:ext uri="{BEBA8EAE-BF5A-486C-A8C5-ECC9F3942E4B}">
                          <a14:imgProps xmlns:a14="http://schemas.microsoft.com/office/drawing/2010/main">
                            <a14:imgLayer r:embed="rId4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816132" cy="3384982"/>
                    </a:xfrm>
                    <a:prstGeom prst="rect">
                      <a:avLst/>
                    </a:prstGeom>
                    <a:noFill/>
                    <a:ln>
                      <a:noFill/>
                    </a:ln>
                  </pic:spPr>
                </pic:pic>
              </a:graphicData>
            </a:graphic>
          </wp:inline>
        </w:drawing>
      </w:r>
    </w:p>
    <w:p w:rsidR="00AA6B20" w:rsidRDefault="002928AB" w:rsidP="00D75C1B">
      <w:pPr>
        <w:pStyle w:val="Heading6"/>
        <w:rPr>
          <w:lang w:val="en-US"/>
        </w:rPr>
      </w:pPr>
      <w:r w:rsidRPr="009753CF">
        <w:rPr>
          <w:lang w:val="en-US"/>
        </w:rPr>
        <w:t xml:space="preserve">Study LTS11210 </w:t>
      </w:r>
      <w:r w:rsidR="00B84DC4">
        <w:rPr>
          <w:lang w:val="en-US"/>
        </w:rPr>
        <w:t>L</w:t>
      </w:r>
      <w:r w:rsidRPr="009753CF">
        <w:rPr>
          <w:lang w:val="en-US"/>
        </w:rPr>
        <w:t>ong-term data</w:t>
      </w:r>
    </w:p>
    <w:p w:rsidR="002928AB" w:rsidRPr="00B64E55" w:rsidRDefault="002928AB" w:rsidP="002928AB">
      <w:pPr>
        <w:autoSpaceDE w:val="0"/>
        <w:autoSpaceDN w:val="0"/>
        <w:adjustRightInd w:val="0"/>
        <w:rPr>
          <w:rFonts w:asciiTheme="minorHAnsi" w:eastAsiaTheme="minorHAnsi" w:hAnsiTheme="minorHAnsi" w:cs="TimesNewRomanPSMT"/>
        </w:rPr>
      </w:pPr>
      <w:r w:rsidRPr="00B64E55">
        <w:rPr>
          <w:rFonts w:asciiTheme="minorHAnsi" w:eastAsiaTheme="minorHAnsi" w:hAnsiTheme="minorHAnsi" w:cs="TimesNewRomanPSMT"/>
        </w:rPr>
        <w:t>Updated long-term response and remission data were provided in the re-submission for treated patients in the sarilumab + DMARD group</w:t>
      </w:r>
      <w:r>
        <w:rPr>
          <w:rFonts w:asciiTheme="minorHAnsi" w:eastAsiaTheme="minorHAnsi" w:hAnsiTheme="minorHAnsi" w:cs="TimesNewRomanPSMT"/>
        </w:rPr>
        <w:t xml:space="preserve"> from </w:t>
      </w:r>
      <w:r w:rsidRPr="00B64E55">
        <w:rPr>
          <w:rFonts w:asciiTheme="minorHAnsi" w:eastAsiaTheme="minorHAnsi" w:hAnsiTheme="minorHAnsi" w:cs="TimesNewRomanPSMT"/>
        </w:rPr>
        <w:t xml:space="preserve">the ongoing open-label </w:t>
      </w:r>
      <w:r w:rsidR="003D2290">
        <w:rPr>
          <w:rFonts w:asciiTheme="minorHAnsi" w:eastAsiaTheme="minorHAnsi" w:hAnsiTheme="minorHAnsi" w:cs="TimesNewRomanPSMT"/>
        </w:rPr>
        <w:t>Study LTS</w:t>
      </w:r>
      <w:r w:rsidRPr="00B64E55">
        <w:rPr>
          <w:rFonts w:asciiTheme="minorHAnsi" w:eastAsiaTheme="minorHAnsi" w:hAnsiTheme="minorHAnsi" w:cs="TimesNewRomanPSMT"/>
        </w:rPr>
        <w:t xml:space="preserve">11210 through to the cut-off </w:t>
      </w:r>
      <w:proofErr w:type="gramStart"/>
      <w:r w:rsidRPr="00B64E55">
        <w:rPr>
          <w:rFonts w:asciiTheme="minorHAnsi" w:eastAsiaTheme="minorHAnsi" w:hAnsiTheme="minorHAnsi" w:cs="TimesNewRomanPSMT"/>
        </w:rPr>
        <w:t>date</w:t>
      </w:r>
      <w:proofErr w:type="gramEnd"/>
      <w:r w:rsidRPr="00B64E55">
        <w:rPr>
          <w:rFonts w:asciiTheme="minorHAnsi" w:eastAsiaTheme="minorHAnsi" w:hAnsiTheme="minorHAnsi" w:cs="TimesNewRomanPSMT"/>
        </w:rPr>
        <w:t xml:space="preserve"> of 25 January 2016</w:t>
      </w:r>
      <w:r>
        <w:rPr>
          <w:rFonts w:asciiTheme="minorHAnsi" w:eastAsiaTheme="minorHAnsi" w:hAnsiTheme="minorHAnsi" w:cs="TimesNewRomanPSMT"/>
        </w:rPr>
        <w:t xml:space="preserve">. </w:t>
      </w:r>
      <w:r w:rsidRPr="00B64E55">
        <w:rPr>
          <w:rFonts w:asciiTheme="minorHAnsi" w:eastAsiaTheme="minorHAnsi" w:hAnsiTheme="minorHAnsi" w:cs="TimesNewRomanPSMT"/>
        </w:rPr>
        <w:t xml:space="preserve">In this </w:t>
      </w:r>
      <w:r>
        <w:rPr>
          <w:rFonts w:asciiTheme="minorHAnsi" w:eastAsiaTheme="minorHAnsi" w:hAnsiTheme="minorHAnsi" w:cs="TimesNewRomanPSMT"/>
        </w:rPr>
        <w:t xml:space="preserve">study, </w:t>
      </w:r>
      <w:r w:rsidRPr="00B64E55">
        <w:rPr>
          <w:rFonts w:asciiTheme="minorHAnsi" w:eastAsiaTheme="minorHAnsi" w:hAnsiTheme="minorHAnsi" w:cs="TimesNewRomanPSMT"/>
        </w:rPr>
        <w:t xml:space="preserve">evaluation of efficacy is a secondary objective and all efficacy analyses were descriptive. Patients who </w:t>
      </w:r>
      <w:r w:rsidRPr="00B64E55">
        <w:rPr>
          <w:rFonts w:asciiTheme="minorHAnsi" w:eastAsiaTheme="minorHAnsi" w:hAnsiTheme="minorHAnsi" w:cs="TimesNewRomanPSMT"/>
        </w:rPr>
        <w:lastRenderedPageBreak/>
        <w:t xml:space="preserve">were enrolled in this study prior to </w:t>
      </w:r>
      <w:r w:rsidR="001470FB">
        <w:rPr>
          <w:rFonts w:asciiTheme="minorHAnsi" w:eastAsiaTheme="minorHAnsi" w:hAnsiTheme="minorHAnsi" w:cs="TimesNewRomanPSMT"/>
        </w:rPr>
        <w:t>Phase III</w:t>
      </w:r>
      <w:r w:rsidRPr="00B64E55">
        <w:rPr>
          <w:rFonts w:asciiTheme="minorHAnsi" w:eastAsiaTheme="minorHAnsi" w:hAnsiTheme="minorHAnsi" w:cs="TimesNewRomanPSMT"/>
        </w:rPr>
        <w:t xml:space="preserve"> dose selection were treated with </w:t>
      </w:r>
      <w:proofErr w:type="spellStart"/>
      <w:r w:rsidRPr="00B64E55">
        <w:rPr>
          <w:rFonts w:asciiTheme="minorHAnsi" w:eastAsiaTheme="minorHAnsi" w:hAnsiTheme="minorHAnsi" w:cs="TimesNewRomanPSMT"/>
        </w:rPr>
        <w:t>sarilumab</w:t>
      </w:r>
      <w:proofErr w:type="spellEnd"/>
      <w:r w:rsidRPr="00B64E55">
        <w:rPr>
          <w:rFonts w:asciiTheme="minorHAnsi" w:eastAsiaTheme="minorHAnsi" w:hAnsiTheme="minorHAnsi" w:cs="TimesNewRomanPSMT"/>
        </w:rPr>
        <w:t xml:space="preserve"> 150 mg </w:t>
      </w:r>
      <w:proofErr w:type="spellStart"/>
      <w:r w:rsidRPr="00B64E55">
        <w:rPr>
          <w:rFonts w:asciiTheme="minorHAnsi" w:eastAsiaTheme="minorHAnsi" w:hAnsiTheme="minorHAnsi" w:cs="TimesNewRomanPSMT"/>
        </w:rPr>
        <w:t>qw</w:t>
      </w:r>
      <w:proofErr w:type="spellEnd"/>
      <w:r w:rsidRPr="00B64E55">
        <w:rPr>
          <w:rFonts w:asciiTheme="minorHAnsi" w:eastAsiaTheme="minorHAnsi" w:hAnsiTheme="minorHAnsi" w:cs="TimesNewRomanPSMT"/>
        </w:rPr>
        <w:t xml:space="preserve">, which was the highest dose regimen assessed in </w:t>
      </w:r>
      <w:r w:rsidR="00B84DC4">
        <w:rPr>
          <w:rFonts w:asciiTheme="minorHAnsi" w:eastAsiaTheme="minorHAnsi" w:hAnsiTheme="minorHAnsi" w:cs="TimesNewRomanPSMT"/>
        </w:rPr>
        <w:t xml:space="preserve">Study </w:t>
      </w:r>
      <w:r w:rsidRPr="00B64E55">
        <w:rPr>
          <w:rFonts w:asciiTheme="minorHAnsi" w:eastAsiaTheme="minorHAnsi" w:hAnsiTheme="minorHAnsi" w:cs="TimesNewRomanPSMT"/>
        </w:rPr>
        <w:t xml:space="preserve">EFC11072. After dose selection for the </w:t>
      </w:r>
      <w:r w:rsidR="001470FB">
        <w:rPr>
          <w:rFonts w:asciiTheme="minorHAnsi" w:eastAsiaTheme="minorHAnsi" w:hAnsiTheme="minorHAnsi" w:cs="TimesNewRomanPSMT"/>
        </w:rPr>
        <w:t>Phase III</w:t>
      </w:r>
      <w:r w:rsidRPr="00B64E55">
        <w:rPr>
          <w:rFonts w:asciiTheme="minorHAnsi" w:eastAsiaTheme="minorHAnsi" w:hAnsiTheme="minorHAnsi" w:cs="TimesNewRomanPSMT"/>
        </w:rPr>
        <w:t xml:space="preserve"> program, all patients either switched to, or continued to receive, sarilumab 200 mg q2w. The </w:t>
      </w:r>
      <w:r>
        <w:rPr>
          <w:rFonts w:asciiTheme="minorHAnsi" w:eastAsiaTheme="minorHAnsi" w:hAnsiTheme="minorHAnsi" w:cs="TimesNewRomanPSMT"/>
        </w:rPr>
        <w:t xml:space="preserve">sarilumab </w:t>
      </w:r>
      <w:r w:rsidRPr="00B64E55">
        <w:rPr>
          <w:rFonts w:asciiTheme="minorHAnsi" w:eastAsiaTheme="minorHAnsi" w:hAnsiTheme="minorHAnsi" w:cs="TimesNewRomanPSMT"/>
        </w:rPr>
        <w:t xml:space="preserve">200 mg q2w dose of sarilumab could have been reduced to </w:t>
      </w:r>
      <w:r>
        <w:rPr>
          <w:rFonts w:asciiTheme="minorHAnsi" w:eastAsiaTheme="minorHAnsi" w:hAnsiTheme="minorHAnsi" w:cs="TimesNewRomanPSMT"/>
        </w:rPr>
        <w:t xml:space="preserve">sarilumab </w:t>
      </w:r>
      <w:r w:rsidRPr="00B64E55">
        <w:rPr>
          <w:rFonts w:asciiTheme="minorHAnsi" w:eastAsiaTheme="minorHAnsi" w:hAnsiTheme="minorHAnsi" w:cs="TimesNewRomanPSMT"/>
        </w:rPr>
        <w:t>150 mg q2w for se</w:t>
      </w:r>
      <w:r>
        <w:rPr>
          <w:rFonts w:asciiTheme="minorHAnsi" w:eastAsiaTheme="minorHAnsi" w:hAnsiTheme="minorHAnsi" w:cs="TimesNewRomanPSMT"/>
        </w:rPr>
        <w:t xml:space="preserve">lected laboratory abnormalities or for </w:t>
      </w:r>
      <w:r w:rsidRPr="00B64E55">
        <w:rPr>
          <w:rFonts w:asciiTheme="minorHAnsi" w:eastAsiaTheme="minorHAnsi" w:hAnsiTheme="minorHAnsi" w:cs="TimesNewRomanPSMT"/>
        </w:rPr>
        <w:t>other reasons based on the clinical</w:t>
      </w:r>
      <w:r>
        <w:rPr>
          <w:rFonts w:asciiTheme="minorHAnsi" w:eastAsiaTheme="minorHAnsi" w:hAnsiTheme="minorHAnsi" w:cs="TimesNewRomanPSMT"/>
        </w:rPr>
        <w:t xml:space="preserve"> judgement of the investigator.</w:t>
      </w:r>
    </w:p>
    <w:p w:rsidR="002928AB" w:rsidRDefault="002928AB" w:rsidP="00B55A4D">
      <w:pPr>
        <w:autoSpaceDE w:val="0"/>
        <w:autoSpaceDN w:val="0"/>
        <w:adjustRightInd w:val="0"/>
        <w:spacing w:before="0" w:after="0" w:line="240" w:lineRule="auto"/>
        <w:rPr>
          <w:b/>
          <w:sz w:val="18"/>
          <w:szCs w:val="18"/>
        </w:rPr>
      </w:pPr>
      <w:r w:rsidRPr="00B64E55">
        <w:rPr>
          <w:rFonts w:asciiTheme="minorHAnsi" w:eastAsiaTheme="minorHAnsi" w:hAnsiTheme="minorHAnsi" w:cs="TimesNewRomanPSMT"/>
        </w:rPr>
        <w:t xml:space="preserve">A total of 1912 patients were enrolled in </w:t>
      </w:r>
      <w:r w:rsidR="003D2290">
        <w:rPr>
          <w:rFonts w:asciiTheme="minorHAnsi" w:eastAsiaTheme="minorHAnsi" w:hAnsiTheme="minorHAnsi" w:cs="TimesNewRomanPSMT"/>
        </w:rPr>
        <w:t>Study LTS</w:t>
      </w:r>
      <w:r w:rsidRPr="00B64E55">
        <w:rPr>
          <w:rFonts w:asciiTheme="minorHAnsi" w:eastAsiaTheme="minorHAnsi" w:hAnsiTheme="minorHAnsi" w:cs="TimesNewRomanPSMT"/>
        </w:rPr>
        <w:t>11210, and 1910 patients were treated with sarilumab + DMARD. A total of 537 (28.1%) patients permanently discontinued the study and 326 (17.1%)</w:t>
      </w:r>
      <w:r>
        <w:rPr>
          <w:rFonts w:asciiTheme="minorHAnsi" w:eastAsiaTheme="minorHAnsi" w:hAnsiTheme="minorHAnsi" w:cs="TimesNewRomanPSMT"/>
        </w:rPr>
        <w:t xml:space="preserve"> </w:t>
      </w:r>
      <w:r w:rsidRPr="00B64E55">
        <w:rPr>
          <w:rFonts w:asciiTheme="minorHAnsi" w:eastAsiaTheme="minorHAnsi" w:hAnsiTheme="minorHAnsi" w:cs="TimesNewRomanPSMT"/>
        </w:rPr>
        <w:t xml:space="preserve">of these patients discontinued </w:t>
      </w:r>
      <w:r>
        <w:rPr>
          <w:rFonts w:asciiTheme="minorHAnsi" w:eastAsiaTheme="minorHAnsi" w:hAnsiTheme="minorHAnsi" w:cs="TimesNewRomanPSMT"/>
        </w:rPr>
        <w:t>d</w:t>
      </w:r>
      <w:r w:rsidRPr="00B64E55">
        <w:rPr>
          <w:rFonts w:asciiTheme="minorHAnsi" w:eastAsiaTheme="minorHAnsi" w:hAnsiTheme="minorHAnsi" w:cs="TimesNewRomanPSMT"/>
        </w:rPr>
        <w:t xml:space="preserve">ue to AEs. </w:t>
      </w:r>
      <w:r>
        <w:rPr>
          <w:rFonts w:asciiTheme="minorHAnsi" w:eastAsiaTheme="minorHAnsi" w:hAnsiTheme="minorHAnsi" w:cs="TimesNewRomanPSMT"/>
        </w:rPr>
        <w:t xml:space="preserve">For the </w:t>
      </w:r>
      <w:proofErr w:type="spellStart"/>
      <w:r>
        <w:rPr>
          <w:rFonts w:asciiTheme="minorHAnsi" w:eastAsiaTheme="minorHAnsi" w:hAnsiTheme="minorHAnsi" w:cs="TimesNewRomanPSMT"/>
        </w:rPr>
        <w:t>sarilumab</w:t>
      </w:r>
      <w:proofErr w:type="spellEnd"/>
      <w:r>
        <w:rPr>
          <w:rFonts w:asciiTheme="minorHAnsi" w:eastAsiaTheme="minorHAnsi" w:hAnsiTheme="minorHAnsi" w:cs="TimesNewRomanPSMT"/>
        </w:rPr>
        <w:t xml:space="preserve"> + </w:t>
      </w:r>
      <w:proofErr w:type="spellStart"/>
      <w:r>
        <w:rPr>
          <w:rFonts w:asciiTheme="minorHAnsi" w:eastAsiaTheme="minorHAnsi" w:hAnsiTheme="minorHAnsi" w:cs="TimesNewRomanPSMT"/>
        </w:rPr>
        <w:t>cDMARD</w:t>
      </w:r>
      <w:proofErr w:type="spellEnd"/>
      <w:r>
        <w:rPr>
          <w:rFonts w:asciiTheme="minorHAnsi" w:eastAsiaTheme="minorHAnsi" w:hAnsiTheme="minorHAnsi" w:cs="TimesNewRomanPSMT"/>
        </w:rPr>
        <w:t xml:space="preserve"> patients enrolled in this study the </w:t>
      </w:r>
      <w:r w:rsidRPr="00B64E55">
        <w:rPr>
          <w:rFonts w:asciiTheme="minorHAnsi" w:eastAsiaTheme="minorHAnsi" w:hAnsiTheme="minorHAnsi" w:cs="TimesNewRomanPSMT"/>
        </w:rPr>
        <w:t xml:space="preserve">response and remission rates were maintained from Week 24 through to Week 264. The sponsor comments that the initial increase </w:t>
      </w:r>
      <w:r>
        <w:rPr>
          <w:rFonts w:asciiTheme="minorHAnsi" w:eastAsiaTheme="minorHAnsi" w:hAnsiTheme="minorHAnsi" w:cs="TimesNewRomanPSMT"/>
        </w:rPr>
        <w:t xml:space="preserve">in response and remission rates </w:t>
      </w:r>
      <w:r w:rsidRPr="00B64E55">
        <w:rPr>
          <w:rFonts w:asciiTheme="minorHAnsi" w:eastAsiaTheme="minorHAnsi" w:hAnsiTheme="minorHAnsi" w:cs="TimesNewRomanPSMT"/>
        </w:rPr>
        <w:t xml:space="preserve">from Week 0 to Week 24 is possibly due to the contribution of patients randomised to placebo + MTX in </w:t>
      </w:r>
      <w:r w:rsidR="00B84DC4">
        <w:rPr>
          <w:rFonts w:asciiTheme="minorHAnsi" w:eastAsiaTheme="minorHAnsi" w:hAnsiTheme="minorHAnsi" w:cs="TimesNewRomanPSMT"/>
        </w:rPr>
        <w:t>S</w:t>
      </w:r>
      <w:r w:rsidRPr="00B64E55">
        <w:rPr>
          <w:rFonts w:asciiTheme="minorHAnsi" w:eastAsiaTheme="minorHAnsi" w:hAnsiTheme="minorHAnsi" w:cs="TimesNewRomanPSMT"/>
        </w:rPr>
        <w:t xml:space="preserve">tudy ECF11210 who initiated treatment with sarilumab + DMARD from Week 0 of </w:t>
      </w:r>
      <w:r w:rsidR="003D2290">
        <w:rPr>
          <w:rFonts w:asciiTheme="minorHAnsi" w:eastAsiaTheme="minorHAnsi" w:hAnsiTheme="minorHAnsi" w:cs="TimesNewRomanPSMT"/>
        </w:rPr>
        <w:t>Study LTS</w:t>
      </w:r>
      <w:r w:rsidRPr="00B64E55">
        <w:rPr>
          <w:rFonts w:asciiTheme="minorHAnsi" w:eastAsiaTheme="minorHAnsi" w:hAnsiTheme="minorHAnsi" w:cs="TimesNewRomanPSMT"/>
        </w:rPr>
        <w:t xml:space="preserve">11210. The updated efficacy data are summarised below in Table </w:t>
      </w:r>
      <w:r w:rsidR="00D75C1B">
        <w:rPr>
          <w:rFonts w:asciiTheme="minorHAnsi" w:eastAsiaTheme="minorHAnsi" w:hAnsiTheme="minorHAnsi" w:cs="TimesNewRomanPSMT"/>
        </w:rPr>
        <w:t>20</w:t>
      </w:r>
      <w:r w:rsidRPr="00B64E55">
        <w:rPr>
          <w:rFonts w:asciiTheme="minorHAnsi" w:eastAsiaTheme="minorHAnsi" w:hAnsiTheme="minorHAnsi" w:cs="TimesNewRomanPSMT"/>
        </w:rPr>
        <w:t>.</w:t>
      </w:r>
    </w:p>
    <w:p w:rsidR="002928AB" w:rsidRPr="00B64E55" w:rsidRDefault="002928AB" w:rsidP="00B55A4D">
      <w:pPr>
        <w:pStyle w:val="Tabletitle0"/>
        <w:rPr>
          <w:rFonts w:ascii="TimesNewRomanPSMT" w:eastAsiaTheme="minorHAnsi" w:hAnsi="TimesNewRomanPSMT" w:cs="TimesNewRomanPSMT"/>
        </w:rPr>
      </w:pPr>
      <w:bookmarkStart w:id="144" w:name="_Toc514687834"/>
      <w:r>
        <w:t xml:space="preserve">Table </w:t>
      </w:r>
      <w:r w:rsidR="00D75C1B">
        <w:t>20</w:t>
      </w:r>
      <w:r>
        <w:t xml:space="preserve">: </w:t>
      </w:r>
      <w:r w:rsidR="000F5B2C">
        <w:t xml:space="preserve">Study </w:t>
      </w:r>
      <w:r w:rsidRPr="00B64E55">
        <w:t xml:space="preserve">LTS11210 percentage of patients with ACR response and DAS remission (DAS-CRP </w:t>
      </w:r>
      <w:r w:rsidR="007F1BEB">
        <w:t>&lt; </w:t>
      </w:r>
      <w:r w:rsidRPr="00B64E55">
        <w:t>2.6)</w:t>
      </w:r>
      <w:bookmarkEnd w:id="144"/>
    </w:p>
    <w:tbl>
      <w:tblPr>
        <w:tblStyle w:val="TableTGAblue"/>
        <w:tblW w:w="0" w:type="auto"/>
        <w:tblLayout w:type="fixed"/>
        <w:tblLook w:val="04A0" w:firstRow="1" w:lastRow="0" w:firstColumn="1" w:lastColumn="0" w:noHBand="0" w:noVBand="1"/>
      </w:tblPr>
      <w:tblGrid>
        <w:gridCol w:w="1500"/>
        <w:gridCol w:w="1672"/>
        <w:gridCol w:w="1663"/>
        <w:gridCol w:w="1862"/>
        <w:gridCol w:w="1873"/>
      </w:tblGrid>
      <w:tr w:rsidR="002928AB" w:rsidRPr="00B55A4D" w:rsidTr="001569B7">
        <w:trPr>
          <w:cnfStyle w:val="100000000000" w:firstRow="1" w:lastRow="0" w:firstColumn="0" w:lastColumn="0" w:oddVBand="0" w:evenVBand="0" w:oddHBand="0" w:evenHBand="0" w:firstRowFirstColumn="0" w:firstRowLastColumn="0" w:lastRowFirstColumn="0" w:lastRowLastColumn="0"/>
          <w:cantSplit/>
          <w:trHeight w:val="712"/>
        </w:trPr>
        <w:tc>
          <w:tcPr>
            <w:tcW w:w="1500" w:type="dxa"/>
          </w:tcPr>
          <w:p w:rsidR="002928AB" w:rsidRPr="00B55A4D" w:rsidRDefault="002928AB" w:rsidP="00B55A4D">
            <w:pPr>
              <w:rPr>
                <w:sz w:val="20"/>
                <w:szCs w:val="20"/>
              </w:rPr>
            </w:pPr>
            <w:r w:rsidRPr="00B55A4D">
              <w:rPr>
                <w:sz w:val="20"/>
                <w:szCs w:val="20"/>
              </w:rPr>
              <w:t xml:space="preserve">Week </w:t>
            </w:r>
          </w:p>
        </w:tc>
        <w:tc>
          <w:tcPr>
            <w:tcW w:w="1672" w:type="dxa"/>
          </w:tcPr>
          <w:p w:rsidR="002928AB" w:rsidRPr="00B55A4D" w:rsidRDefault="002928AB" w:rsidP="00B55A4D">
            <w:pPr>
              <w:rPr>
                <w:sz w:val="20"/>
                <w:szCs w:val="20"/>
              </w:rPr>
            </w:pPr>
            <w:r w:rsidRPr="00B55A4D">
              <w:rPr>
                <w:sz w:val="20"/>
                <w:szCs w:val="20"/>
              </w:rPr>
              <w:t>ACR20</w:t>
            </w:r>
          </w:p>
        </w:tc>
        <w:tc>
          <w:tcPr>
            <w:tcW w:w="1663" w:type="dxa"/>
          </w:tcPr>
          <w:p w:rsidR="002928AB" w:rsidRPr="00B55A4D" w:rsidRDefault="002928AB" w:rsidP="00B55A4D">
            <w:pPr>
              <w:rPr>
                <w:sz w:val="20"/>
                <w:szCs w:val="20"/>
              </w:rPr>
            </w:pPr>
            <w:r w:rsidRPr="00B55A4D">
              <w:rPr>
                <w:sz w:val="20"/>
                <w:szCs w:val="20"/>
              </w:rPr>
              <w:t>ACR50</w:t>
            </w:r>
          </w:p>
        </w:tc>
        <w:tc>
          <w:tcPr>
            <w:tcW w:w="1862" w:type="dxa"/>
          </w:tcPr>
          <w:p w:rsidR="002928AB" w:rsidRPr="00B55A4D" w:rsidRDefault="002928AB" w:rsidP="00B55A4D">
            <w:pPr>
              <w:rPr>
                <w:sz w:val="20"/>
                <w:szCs w:val="20"/>
              </w:rPr>
            </w:pPr>
            <w:r w:rsidRPr="00B55A4D">
              <w:rPr>
                <w:sz w:val="20"/>
                <w:szCs w:val="20"/>
              </w:rPr>
              <w:t>ACR70</w:t>
            </w:r>
          </w:p>
        </w:tc>
        <w:tc>
          <w:tcPr>
            <w:tcW w:w="1873" w:type="dxa"/>
          </w:tcPr>
          <w:p w:rsidR="002928AB" w:rsidRPr="00B55A4D" w:rsidRDefault="002928AB" w:rsidP="00B55A4D">
            <w:pPr>
              <w:rPr>
                <w:sz w:val="20"/>
                <w:szCs w:val="20"/>
              </w:rPr>
            </w:pPr>
            <w:r w:rsidRPr="00B55A4D">
              <w:rPr>
                <w:sz w:val="20"/>
                <w:szCs w:val="20"/>
              </w:rPr>
              <w:t>DAS28 remission</w:t>
            </w:r>
          </w:p>
        </w:tc>
      </w:tr>
      <w:tr w:rsidR="002928AB" w:rsidRPr="00B55A4D" w:rsidTr="001569B7">
        <w:trPr>
          <w:trHeight w:val="701"/>
        </w:trPr>
        <w:tc>
          <w:tcPr>
            <w:tcW w:w="1500" w:type="dxa"/>
          </w:tcPr>
          <w:p w:rsidR="002928AB" w:rsidRPr="00B55A4D" w:rsidRDefault="002928AB" w:rsidP="00B55A4D">
            <w:pPr>
              <w:rPr>
                <w:sz w:val="20"/>
                <w:szCs w:val="20"/>
              </w:rPr>
            </w:pPr>
            <w:r w:rsidRPr="00B55A4D">
              <w:rPr>
                <w:sz w:val="20"/>
                <w:szCs w:val="20"/>
              </w:rPr>
              <w:t xml:space="preserve">Week 0 </w:t>
            </w:r>
          </w:p>
        </w:tc>
        <w:tc>
          <w:tcPr>
            <w:tcW w:w="1672" w:type="dxa"/>
          </w:tcPr>
          <w:p w:rsidR="002928AB" w:rsidRPr="00B55A4D" w:rsidRDefault="002928AB" w:rsidP="00B55A4D">
            <w:pPr>
              <w:rPr>
                <w:sz w:val="20"/>
                <w:szCs w:val="20"/>
              </w:rPr>
            </w:pPr>
            <w:r w:rsidRPr="00B55A4D">
              <w:rPr>
                <w:sz w:val="20"/>
                <w:szCs w:val="20"/>
              </w:rPr>
              <w:t>1318/1898 (69.4%)</w:t>
            </w:r>
          </w:p>
        </w:tc>
        <w:tc>
          <w:tcPr>
            <w:tcW w:w="1663" w:type="dxa"/>
          </w:tcPr>
          <w:p w:rsidR="002928AB" w:rsidRPr="00B55A4D" w:rsidRDefault="002928AB" w:rsidP="00B55A4D">
            <w:pPr>
              <w:rPr>
                <w:sz w:val="20"/>
                <w:szCs w:val="20"/>
              </w:rPr>
            </w:pPr>
            <w:r w:rsidRPr="00B55A4D">
              <w:rPr>
                <w:sz w:val="20"/>
                <w:szCs w:val="20"/>
              </w:rPr>
              <w:t>824/1897 (43.4%)</w:t>
            </w:r>
          </w:p>
        </w:tc>
        <w:tc>
          <w:tcPr>
            <w:tcW w:w="1862" w:type="dxa"/>
          </w:tcPr>
          <w:p w:rsidR="002928AB" w:rsidRPr="00B55A4D" w:rsidRDefault="002928AB" w:rsidP="00B55A4D">
            <w:pPr>
              <w:rPr>
                <w:sz w:val="20"/>
                <w:szCs w:val="20"/>
              </w:rPr>
            </w:pPr>
            <w:r w:rsidRPr="00B55A4D">
              <w:rPr>
                <w:sz w:val="20"/>
                <w:szCs w:val="20"/>
              </w:rPr>
              <w:t>435/1901 (22.9%)</w:t>
            </w:r>
          </w:p>
        </w:tc>
        <w:tc>
          <w:tcPr>
            <w:tcW w:w="1873" w:type="dxa"/>
          </w:tcPr>
          <w:p w:rsidR="002928AB" w:rsidRPr="00B55A4D" w:rsidRDefault="002928AB" w:rsidP="00B55A4D">
            <w:pPr>
              <w:rPr>
                <w:sz w:val="20"/>
                <w:szCs w:val="20"/>
              </w:rPr>
            </w:pPr>
            <w:r w:rsidRPr="00B55A4D">
              <w:rPr>
                <w:sz w:val="20"/>
                <w:szCs w:val="20"/>
              </w:rPr>
              <w:t>569/1873 (30.4%)</w:t>
            </w:r>
          </w:p>
        </w:tc>
      </w:tr>
      <w:tr w:rsidR="002928AB" w:rsidRPr="00B55A4D" w:rsidTr="001569B7">
        <w:trPr>
          <w:trHeight w:val="701"/>
        </w:trPr>
        <w:tc>
          <w:tcPr>
            <w:tcW w:w="1500" w:type="dxa"/>
          </w:tcPr>
          <w:p w:rsidR="002928AB" w:rsidRPr="00B55A4D" w:rsidRDefault="002928AB" w:rsidP="00B55A4D">
            <w:pPr>
              <w:rPr>
                <w:sz w:val="20"/>
                <w:szCs w:val="20"/>
              </w:rPr>
            </w:pPr>
            <w:r w:rsidRPr="00B55A4D">
              <w:rPr>
                <w:sz w:val="20"/>
                <w:szCs w:val="20"/>
              </w:rPr>
              <w:t xml:space="preserve">Week 24 </w:t>
            </w:r>
          </w:p>
        </w:tc>
        <w:tc>
          <w:tcPr>
            <w:tcW w:w="1672" w:type="dxa"/>
          </w:tcPr>
          <w:p w:rsidR="002928AB" w:rsidRPr="00B55A4D" w:rsidRDefault="002928AB" w:rsidP="00B55A4D">
            <w:pPr>
              <w:rPr>
                <w:sz w:val="20"/>
                <w:szCs w:val="20"/>
              </w:rPr>
            </w:pPr>
            <w:r w:rsidRPr="00B55A4D">
              <w:rPr>
                <w:sz w:val="20"/>
                <w:szCs w:val="20"/>
              </w:rPr>
              <w:t>1482/1787 (82.9%)</w:t>
            </w:r>
          </w:p>
        </w:tc>
        <w:tc>
          <w:tcPr>
            <w:tcW w:w="1663" w:type="dxa"/>
          </w:tcPr>
          <w:p w:rsidR="002928AB" w:rsidRPr="00B55A4D" w:rsidRDefault="002928AB" w:rsidP="00B55A4D">
            <w:pPr>
              <w:rPr>
                <w:sz w:val="20"/>
                <w:szCs w:val="20"/>
              </w:rPr>
            </w:pPr>
            <w:r w:rsidRPr="00B55A4D">
              <w:rPr>
                <w:sz w:val="20"/>
                <w:szCs w:val="20"/>
              </w:rPr>
              <w:t>1078/1782 (60.5%)</w:t>
            </w:r>
          </w:p>
        </w:tc>
        <w:tc>
          <w:tcPr>
            <w:tcW w:w="1862" w:type="dxa"/>
          </w:tcPr>
          <w:p w:rsidR="002928AB" w:rsidRPr="00B55A4D" w:rsidRDefault="002928AB" w:rsidP="00B55A4D">
            <w:pPr>
              <w:rPr>
                <w:sz w:val="20"/>
                <w:szCs w:val="20"/>
              </w:rPr>
            </w:pPr>
            <w:r w:rsidRPr="00B55A4D">
              <w:rPr>
                <w:sz w:val="20"/>
                <w:szCs w:val="20"/>
              </w:rPr>
              <w:t>690/1781 (38.7%)</w:t>
            </w:r>
          </w:p>
        </w:tc>
        <w:tc>
          <w:tcPr>
            <w:tcW w:w="1873" w:type="dxa"/>
          </w:tcPr>
          <w:p w:rsidR="002928AB" w:rsidRPr="00B55A4D" w:rsidRDefault="002928AB" w:rsidP="00B55A4D">
            <w:pPr>
              <w:rPr>
                <w:sz w:val="20"/>
                <w:szCs w:val="20"/>
              </w:rPr>
            </w:pPr>
            <w:r w:rsidRPr="00B55A4D">
              <w:rPr>
                <w:sz w:val="20"/>
                <w:szCs w:val="20"/>
              </w:rPr>
              <w:t>899/1778 (50.6%)</w:t>
            </w:r>
          </w:p>
        </w:tc>
      </w:tr>
      <w:tr w:rsidR="002928AB" w:rsidRPr="00B55A4D" w:rsidTr="001569B7">
        <w:trPr>
          <w:trHeight w:val="701"/>
        </w:trPr>
        <w:tc>
          <w:tcPr>
            <w:tcW w:w="1500" w:type="dxa"/>
          </w:tcPr>
          <w:p w:rsidR="002928AB" w:rsidRPr="00B55A4D" w:rsidRDefault="002928AB" w:rsidP="00B55A4D">
            <w:pPr>
              <w:rPr>
                <w:sz w:val="20"/>
                <w:szCs w:val="20"/>
              </w:rPr>
            </w:pPr>
            <w:r w:rsidRPr="00B55A4D">
              <w:rPr>
                <w:sz w:val="20"/>
                <w:szCs w:val="20"/>
              </w:rPr>
              <w:t xml:space="preserve">Week 48 </w:t>
            </w:r>
          </w:p>
        </w:tc>
        <w:tc>
          <w:tcPr>
            <w:tcW w:w="1672" w:type="dxa"/>
          </w:tcPr>
          <w:p w:rsidR="002928AB" w:rsidRPr="00B55A4D" w:rsidRDefault="002928AB" w:rsidP="00B55A4D">
            <w:pPr>
              <w:rPr>
                <w:sz w:val="20"/>
                <w:szCs w:val="20"/>
              </w:rPr>
            </w:pPr>
            <w:r w:rsidRPr="00B55A4D">
              <w:rPr>
                <w:sz w:val="20"/>
                <w:szCs w:val="20"/>
              </w:rPr>
              <w:t>1379/1662 (83.0%)</w:t>
            </w:r>
          </w:p>
        </w:tc>
        <w:tc>
          <w:tcPr>
            <w:tcW w:w="1663" w:type="dxa"/>
          </w:tcPr>
          <w:p w:rsidR="002928AB" w:rsidRPr="00B55A4D" w:rsidRDefault="002928AB" w:rsidP="00B55A4D">
            <w:pPr>
              <w:rPr>
                <w:sz w:val="20"/>
                <w:szCs w:val="20"/>
              </w:rPr>
            </w:pPr>
            <w:r w:rsidRPr="00B55A4D">
              <w:rPr>
                <w:sz w:val="20"/>
                <w:szCs w:val="20"/>
              </w:rPr>
              <w:t>1037/1656 (62.6%)</w:t>
            </w:r>
          </w:p>
        </w:tc>
        <w:tc>
          <w:tcPr>
            <w:tcW w:w="1862" w:type="dxa"/>
          </w:tcPr>
          <w:p w:rsidR="002928AB" w:rsidRPr="00B55A4D" w:rsidRDefault="002928AB" w:rsidP="00B55A4D">
            <w:pPr>
              <w:rPr>
                <w:sz w:val="20"/>
                <w:szCs w:val="20"/>
              </w:rPr>
            </w:pPr>
            <w:r w:rsidRPr="00B55A4D">
              <w:rPr>
                <w:sz w:val="20"/>
                <w:szCs w:val="20"/>
              </w:rPr>
              <w:t>673/1654 (40.7%)</w:t>
            </w:r>
          </w:p>
        </w:tc>
        <w:tc>
          <w:tcPr>
            <w:tcW w:w="1873" w:type="dxa"/>
          </w:tcPr>
          <w:p w:rsidR="002928AB" w:rsidRPr="00B55A4D" w:rsidRDefault="002928AB" w:rsidP="00B55A4D">
            <w:pPr>
              <w:rPr>
                <w:sz w:val="20"/>
                <w:szCs w:val="20"/>
              </w:rPr>
            </w:pPr>
            <w:r w:rsidRPr="00B55A4D">
              <w:rPr>
                <w:sz w:val="20"/>
                <w:szCs w:val="20"/>
              </w:rPr>
              <w:t>887/1654 (53.6%)</w:t>
            </w:r>
          </w:p>
        </w:tc>
      </w:tr>
      <w:tr w:rsidR="002928AB" w:rsidRPr="00B55A4D" w:rsidTr="001569B7">
        <w:trPr>
          <w:trHeight w:val="712"/>
        </w:trPr>
        <w:tc>
          <w:tcPr>
            <w:tcW w:w="1500" w:type="dxa"/>
          </w:tcPr>
          <w:p w:rsidR="002928AB" w:rsidRPr="00B55A4D" w:rsidRDefault="002928AB" w:rsidP="00B55A4D">
            <w:pPr>
              <w:rPr>
                <w:sz w:val="20"/>
                <w:szCs w:val="20"/>
              </w:rPr>
            </w:pPr>
            <w:r w:rsidRPr="00B55A4D">
              <w:rPr>
                <w:sz w:val="20"/>
                <w:szCs w:val="20"/>
              </w:rPr>
              <w:t xml:space="preserve">Week 96 </w:t>
            </w:r>
          </w:p>
        </w:tc>
        <w:tc>
          <w:tcPr>
            <w:tcW w:w="1672" w:type="dxa"/>
          </w:tcPr>
          <w:p w:rsidR="002928AB" w:rsidRPr="00B55A4D" w:rsidRDefault="002928AB" w:rsidP="00B55A4D">
            <w:pPr>
              <w:rPr>
                <w:sz w:val="20"/>
                <w:szCs w:val="20"/>
              </w:rPr>
            </w:pPr>
            <w:r w:rsidRPr="00B55A4D">
              <w:rPr>
                <w:sz w:val="20"/>
                <w:szCs w:val="20"/>
              </w:rPr>
              <w:t>975/1146 (85.1%)</w:t>
            </w:r>
          </w:p>
        </w:tc>
        <w:tc>
          <w:tcPr>
            <w:tcW w:w="1663" w:type="dxa"/>
          </w:tcPr>
          <w:p w:rsidR="002928AB" w:rsidRPr="00B55A4D" w:rsidRDefault="002928AB" w:rsidP="00B55A4D">
            <w:pPr>
              <w:rPr>
                <w:sz w:val="20"/>
                <w:szCs w:val="20"/>
              </w:rPr>
            </w:pPr>
            <w:r w:rsidRPr="00B55A4D">
              <w:rPr>
                <w:sz w:val="20"/>
                <w:szCs w:val="20"/>
              </w:rPr>
              <w:t>749/1145 (65.4%)</w:t>
            </w:r>
          </w:p>
        </w:tc>
        <w:tc>
          <w:tcPr>
            <w:tcW w:w="1862" w:type="dxa"/>
          </w:tcPr>
          <w:p w:rsidR="002928AB" w:rsidRPr="00B55A4D" w:rsidRDefault="002928AB" w:rsidP="00B55A4D">
            <w:pPr>
              <w:rPr>
                <w:sz w:val="20"/>
                <w:szCs w:val="20"/>
              </w:rPr>
            </w:pPr>
            <w:r w:rsidRPr="00B55A4D">
              <w:rPr>
                <w:sz w:val="20"/>
                <w:szCs w:val="20"/>
              </w:rPr>
              <w:t>493/1144 (43.1%)</w:t>
            </w:r>
          </w:p>
        </w:tc>
        <w:tc>
          <w:tcPr>
            <w:tcW w:w="1873" w:type="dxa"/>
          </w:tcPr>
          <w:p w:rsidR="002928AB" w:rsidRPr="00B55A4D" w:rsidRDefault="002928AB" w:rsidP="00B55A4D">
            <w:pPr>
              <w:rPr>
                <w:sz w:val="20"/>
                <w:szCs w:val="20"/>
              </w:rPr>
            </w:pPr>
            <w:r w:rsidRPr="00B55A4D">
              <w:rPr>
                <w:sz w:val="20"/>
                <w:szCs w:val="20"/>
              </w:rPr>
              <w:t>658/1139 (57.8%)</w:t>
            </w:r>
          </w:p>
        </w:tc>
      </w:tr>
      <w:tr w:rsidR="002928AB" w:rsidRPr="00B55A4D" w:rsidTr="001569B7">
        <w:trPr>
          <w:trHeight w:val="701"/>
        </w:trPr>
        <w:tc>
          <w:tcPr>
            <w:tcW w:w="1500" w:type="dxa"/>
          </w:tcPr>
          <w:p w:rsidR="002928AB" w:rsidRPr="00B55A4D" w:rsidRDefault="002928AB" w:rsidP="00B55A4D">
            <w:pPr>
              <w:rPr>
                <w:sz w:val="20"/>
                <w:szCs w:val="20"/>
              </w:rPr>
            </w:pPr>
            <w:r w:rsidRPr="00B55A4D">
              <w:rPr>
                <w:sz w:val="20"/>
                <w:szCs w:val="20"/>
              </w:rPr>
              <w:t xml:space="preserve">Week 144 </w:t>
            </w:r>
          </w:p>
        </w:tc>
        <w:tc>
          <w:tcPr>
            <w:tcW w:w="1672" w:type="dxa"/>
          </w:tcPr>
          <w:p w:rsidR="002928AB" w:rsidRPr="00B55A4D" w:rsidRDefault="002928AB" w:rsidP="00B55A4D">
            <w:pPr>
              <w:rPr>
                <w:sz w:val="20"/>
                <w:szCs w:val="20"/>
              </w:rPr>
            </w:pPr>
            <w:r w:rsidRPr="00B55A4D">
              <w:rPr>
                <w:sz w:val="20"/>
                <w:szCs w:val="20"/>
              </w:rPr>
              <w:t>519/599 (86.6%)</w:t>
            </w:r>
          </w:p>
        </w:tc>
        <w:tc>
          <w:tcPr>
            <w:tcW w:w="1663" w:type="dxa"/>
          </w:tcPr>
          <w:p w:rsidR="002928AB" w:rsidRPr="00B55A4D" w:rsidRDefault="002928AB" w:rsidP="00B55A4D">
            <w:pPr>
              <w:rPr>
                <w:sz w:val="20"/>
                <w:szCs w:val="20"/>
              </w:rPr>
            </w:pPr>
            <w:r w:rsidRPr="00B55A4D">
              <w:rPr>
                <w:sz w:val="20"/>
                <w:szCs w:val="20"/>
              </w:rPr>
              <w:t>391/596 (65.6%)</w:t>
            </w:r>
          </w:p>
        </w:tc>
        <w:tc>
          <w:tcPr>
            <w:tcW w:w="1862" w:type="dxa"/>
          </w:tcPr>
          <w:p w:rsidR="002928AB" w:rsidRPr="00B55A4D" w:rsidRDefault="002928AB" w:rsidP="00B55A4D">
            <w:pPr>
              <w:rPr>
                <w:sz w:val="20"/>
                <w:szCs w:val="20"/>
              </w:rPr>
            </w:pPr>
            <w:r w:rsidRPr="00B55A4D">
              <w:rPr>
                <w:sz w:val="20"/>
                <w:szCs w:val="20"/>
              </w:rPr>
              <w:t>268/594 (45.1%)</w:t>
            </w:r>
          </w:p>
        </w:tc>
        <w:tc>
          <w:tcPr>
            <w:tcW w:w="1873" w:type="dxa"/>
          </w:tcPr>
          <w:p w:rsidR="002928AB" w:rsidRPr="00B55A4D" w:rsidRDefault="002928AB" w:rsidP="00B55A4D">
            <w:pPr>
              <w:rPr>
                <w:sz w:val="20"/>
                <w:szCs w:val="20"/>
              </w:rPr>
            </w:pPr>
            <w:r w:rsidRPr="00B55A4D">
              <w:rPr>
                <w:sz w:val="20"/>
                <w:szCs w:val="20"/>
              </w:rPr>
              <w:t>335/594 (56.4%)</w:t>
            </w:r>
          </w:p>
        </w:tc>
      </w:tr>
      <w:tr w:rsidR="002928AB" w:rsidRPr="00B55A4D" w:rsidTr="001569B7">
        <w:trPr>
          <w:trHeight w:val="701"/>
        </w:trPr>
        <w:tc>
          <w:tcPr>
            <w:tcW w:w="1500" w:type="dxa"/>
          </w:tcPr>
          <w:p w:rsidR="002928AB" w:rsidRPr="00B55A4D" w:rsidRDefault="002928AB" w:rsidP="00B55A4D">
            <w:pPr>
              <w:rPr>
                <w:sz w:val="20"/>
                <w:szCs w:val="20"/>
              </w:rPr>
            </w:pPr>
            <w:r w:rsidRPr="00B55A4D">
              <w:rPr>
                <w:sz w:val="20"/>
                <w:szCs w:val="20"/>
              </w:rPr>
              <w:t xml:space="preserve">Week 192 </w:t>
            </w:r>
          </w:p>
        </w:tc>
        <w:tc>
          <w:tcPr>
            <w:tcW w:w="1672" w:type="dxa"/>
          </w:tcPr>
          <w:p w:rsidR="002928AB" w:rsidRPr="00B55A4D" w:rsidRDefault="002928AB" w:rsidP="00B55A4D">
            <w:pPr>
              <w:rPr>
                <w:sz w:val="20"/>
                <w:szCs w:val="20"/>
              </w:rPr>
            </w:pPr>
            <w:r w:rsidRPr="00B55A4D">
              <w:rPr>
                <w:sz w:val="20"/>
                <w:szCs w:val="20"/>
              </w:rPr>
              <w:t>179/204 (87.7%)</w:t>
            </w:r>
          </w:p>
        </w:tc>
        <w:tc>
          <w:tcPr>
            <w:tcW w:w="1663" w:type="dxa"/>
          </w:tcPr>
          <w:p w:rsidR="002928AB" w:rsidRPr="00B55A4D" w:rsidRDefault="002928AB" w:rsidP="00B55A4D">
            <w:pPr>
              <w:rPr>
                <w:sz w:val="20"/>
                <w:szCs w:val="20"/>
              </w:rPr>
            </w:pPr>
            <w:r w:rsidRPr="00B55A4D">
              <w:rPr>
                <w:sz w:val="20"/>
                <w:szCs w:val="20"/>
              </w:rPr>
              <w:t>141/204 (69.1%)</w:t>
            </w:r>
          </w:p>
        </w:tc>
        <w:tc>
          <w:tcPr>
            <w:tcW w:w="1862" w:type="dxa"/>
          </w:tcPr>
          <w:p w:rsidR="002928AB" w:rsidRPr="00B55A4D" w:rsidRDefault="002928AB" w:rsidP="00B55A4D">
            <w:pPr>
              <w:rPr>
                <w:sz w:val="20"/>
                <w:szCs w:val="20"/>
              </w:rPr>
            </w:pPr>
            <w:r w:rsidRPr="00B55A4D">
              <w:rPr>
                <w:sz w:val="20"/>
                <w:szCs w:val="20"/>
              </w:rPr>
              <w:t>102/203 (50.2%)</w:t>
            </w:r>
          </w:p>
        </w:tc>
        <w:tc>
          <w:tcPr>
            <w:tcW w:w="1873" w:type="dxa"/>
          </w:tcPr>
          <w:p w:rsidR="002928AB" w:rsidRPr="00B55A4D" w:rsidRDefault="002928AB" w:rsidP="00B55A4D">
            <w:pPr>
              <w:rPr>
                <w:sz w:val="20"/>
                <w:szCs w:val="20"/>
              </w:rPr>
            </w:pPr>
            <w:r w:rsidRPr="00B55A4D">
              <w:rPr>
                <w:sz w:val="20"/>
                <w:szCs w:val="20"/>
              </w:rPr>
              <w:t>123/203 (60.6%)</w:t>
            </w:r>
          </w:p>
        </w:tc>
      </w:tr>
      <w:tr w:rsidR="002928AB" w:rsidRPr="00B55A4D" w:rsidTr="001569B7">
        <w:trPr>
          <w:trHeight w:val="701"/>
        </w:trPr>
        <w:tc>
          <w:tcPr>
            <w:tcW w:w="1500" w:type="dxa"/>
          </w:tcPr>
          <w:p w:rsidR="002928AB" w:rsidRPr="00B55A4D" w:rsidRDefault="002928AB" w:rsidP="00B55A4D">
            <w:pPr>
              <w:rPr>
                <w:sz w:val="20"/>
                <w:szCs w:val="20"/>
              </w:rPr>
            </w:pPr>
            <w:r w:rsidRPr="00B55A4D">
              <w:rPr>
                <w:sz w:val="20"/>
                <w:szCs w:val="20"/>
              </w:rPr>
              <w:t xml:space="preserve">Week 216 </w:t>
            </w:r>
          </w:p>
        </w:tc>
        <w:tc>
          <w:tcPr>
            <w:tcW w:w="1672" w:type="dxa"/>
          </w:tcPr>
          <w:p w:rsidR="002928AB" w:rsidRPr="00B55A4D" w:rsidRDefault="002928AB" w:rsidP="00B55A4D">
            <w:pPr>
              <w:rPr>
                <w:sz w:val="20"/>
                <w:szCs w:val="20"/>
              </w:rPr>
            </w:pPr>
            <w:r w:rsidRPr="00B55A4D">
              <w:rPr>
                <w:sz w:val="20"/>
                <w:szCs w:val="20"/>
              </w:rPr>
              <w:t>163/183 (89.1%)</w:t>
            </w:r>
          </w:p>
        </w:tc>
        <w:tc>
          <w:tcPr>
            <w:tcW w:w="1663" w:type="dxa"/>
          </w:tcPr>
          <w:p w:rsidR="002928AB" w:rsidRPr="00B55A4D" w:rsidRDefault="002928AB" w:rsidP="00B55A4D">
            <w:pPr>
              <w:rPr>
                <w:sz w:val="20"/>
                <w:szCs w:val="20"/>
              </w:rPr>
            </w:pPr>
            <w:r w:rsidRPr="00B55A4D">
              <w:rPr>
                <w:sz w:val="20"/>
                <w:szCs w:val="20"/>
              </w:rPr>
              <w:t>132/183 (72.1%)</w:t>
            </w:r>
          </w:p>
        </w:tc>
        <w:tc>
          <w:tcPr>
            <w:tcW w:w="1862" w:type="dxa"/>
          </w:tcPr>
          <w:p w:rsidR="002928AB" w:rsidRPr="00B55A4D" w:rsidRDefault="002928AB" w:rsidP="00B55A4D">
            <w:pPr>
              <w:rPr>
                <w:sz w:val="20"/>
                <w:szCs w:val="20"/>
              </w:rPr>
            </w:pPr>
            <w:r w:rsidRPr="00B55A4D">
              <w:rPr>
                <w:sz w:val="20"/>
                <w:szCs w:val="20"/>
              </w:rPr>
              <w:t>88/180 (48.9%)</w:t>
            </w:r>
          </w:p>
        </w:tc>
        <w:tc>
          <w:tcPr>
            <w:tcW w:w="1873" w:type="dxa"/>
          </w:tcPr>
          <w:p w:rsidR="002928AB" w:rsidRPr="00B55A4D" w:rsidRDefault="002928AB" w:rsidP="00B55A4D">
            <w:pPr>
              <w:rPr>
                <w:sz w:val="20"/>
                <w:szCs w:val="20"/>
              </w:rPr>
            </w:pPr>
            <w:r w:rsidRPr="00B55A4D">
              <w:rPr>
                <w:sz w:val="20"/>
                <w:szCs w:val="20"/>
              </w:rPr>
              <w:t>114/180 (63.3%)</w:t>
            </w:r>
          </w:p>
        </w:tc>
      </w:tr>
      <w:tr w:rsidR="002928AB" w:rsidRPr="00B55A4D" w:rsidTr="001569B7">
        <w:trPr>
          <w:trHeight w:val="712"/>
        </w:trPr>
        <w:tc>
          <w:tcPr>
            <w:tcW w:w="1500" w:type="dxa"/>
          </w:tcPr>
          <w:p w:rsidR="002928AB" w:rsidRPr="00B55A4D" w:rsidRDefault="002928AB" w:rsidP="00B55A4D">
            <w:pPr>
              <w:rPr>
                <w:sz w:val="20"/>
                <w:szCs w:val="20"/>
              </w:rPr>
            </w:pPr>
            <w:r w:rsidRPr="00B55A4D">
              <w:rPr>
                <w:sz w:val="20"/>
                <w:szCs w:val="20"/>
              </w:rPr>
              <w:t xml:space="preserve">Week 240 </w:t>
            </w:r>
          </w:p>
        </w:tc>
        <w:tc>
          <w:tcPr>
            <w:tcW w:w="1672" w:type="dxa"/>
          </w:tcPr>
          <w:p w:rsidR="002928AB" w:rsidRPr="00B55A4D" w:rsidRDefault="002928AB" w:rsidP="00B55A4D">
            <w:pPr>
              <w:rPr>
                <w:sz w:val="20"/>
                <w:szCs w:val="20"/>
              </w:rPr>
            </w:pPr>
            <w:r w:rsidRPr="00B55A4D">
              <w:rPr>
                <w:sz w:val="20"/>
                <w:szCs w:val="20"/>
              </w:rPr>
              <w:t>110/125 (88.0%)</w:t>
            </w:r>
          </w:p>
        </w:tc>
        <w:tc>
          <w:tcPr>
            <w:tcW w:w="1663" w:type="dxa"/>
          </w:tcPr>
          <w:p w:rsidR="002928AB" w:rsidRPr="00B55A4D" w:rsidRDefault="002928AB" w:rsidP="00B55A4D">
            <w:pPr>
              <w:rPr>
                <w:sz w:val="20"/>
                <w:szCs w:val="20"/>
              </w:rPr>
            </w:pPr>
            <w:r w:rsidRPr="00B55A4D">
              <w:rPr>
                <w:sz w:val="20"/>
                <w:szCs w:val="20"/>
              </w:rPr>
              <w:t>89/125 (71.2%)</w:t>
            </w:r>
          </w:p>
        </w:tc>
        <w:tc>
          <w:tcPr>
            <w:tcW w:w="1862" w:type="dxa"/>
          </w:tcPr>
          <w:p w:rsidR="002928AB" w:rsidRPr="00B55A4D" w:rsidRDefault="002928AB" w:rsidP="00B55A4D">
            <w:pPr>
              <w:rPr>
                <w:sz w:val="20"/>
                <w:szCs w:val="20"/>
              </w:rPr>
            </w:pPr>
            <w:r w:rsidRPr="00B55A4D">
              <w:rPr>
                <w:sz w:val="20"/>
                <w:szCs w:val="20"/>
              </w:rPr>
              <w:t>64/122 (52.5%)</w:t>
            </w:r>
          </w:p>
        </w:tc>
        <w:tc>
          <w:tcPr>
            <w:tcW w:w="1873" w:type="dxa"/>
          </w:tcPr>
          <w:p w:rsidR="002928AB" w:rsidRPr="00B55A4D" w:rsidRDefault="002928AB" w:rsidP="00B55A4D">
            <w:pPr>
              <w:rPr>
                <w:sz w:val="20"/>
                <w:szCs w:val="20"/>
              </w:rPr>
            </w:pPr>
            <w:r w:rsidRPr="00B55A4D">
              <w:rPr>
                <w:sz w:val="20"/>
                <w:szCs w:val="20"/>
              </w:rPr>
              <w:t>85/124 (68.5%)</w:t>
            </w:r>
          </w:p>
        </w:tc>
      </w:tr>
      <w:tr w:rsidR="002928AB" w:rsidRPr="00B55A4D" w:rsidTr="001569B7">
        <w:trPr>
          <w:trHeight w:val="712"/>
        </w:trPr>
        <w:tc>
          <w:tcPr>
            <w:tcW w:w="1500" w:type="dxa"/>
          </w:tcPr>
          <w:p w:rsidR="002928AB" w:rsidRPr="00B55A4D" w:rsidRDefault="002928AB" w:rsidP="00B55A4D">
            <w:pPr>
              <w:rPr>
                <w:sz w:val="20"/>
                <w:szCs w:val="20"/>
              </w:rPr>
            </w:pPr>
            <w:r w:rsidRPr="00B55A4D">
              <w:rPr>
                <w:sz w:val="20"/>
                <w:szCs w:val="20"/>
              </w:rPr>
              <w:t xml:space="preserve">Week 264 </w:t>
            </w:r>
          </w:p>
        </w:tc>
        <w:tc>
          <w:tcPr>
            <w:tcW w:w="1672" w:type="dxa"/>
          </w:tcPr>
          <w:p w:rsidR="002928AB" w:rsidRPr="00B55A4D" w:rsidRDefault="002928AB" w:rsidP="00B55A4D">
            <w:pPr>
              <w:rPr>
                <w:sz w:val="20"/>
                <w:szCs w:val="20"/>
              </w:rPr>
            </w:pPr>
            <w:r w:rsidRPr="00B55A4D">
              <w:rPr>
                <w:sz w:val="20"/>
                <w:szCs w:val="20"/>
              </w:rPr>
              <w:t>37/41 (90.2%)</w:t>
            </w:r>
          </w:p>
        </w:tc>
        <w:tc>
          <w:tcPr>
            <w:tcW w:w="1663" w:type="dxa"/>
          </w:tcPr>
          <w:p w:rsidR="002928AB" w:rsidRPr="00B55A4D" w:rsidRDefault="002928AB" w:rsidP="00B55A4D">
            <w:pPr>
              <w:rPr>
                <w:sz w:val="20"/>
                <w:szCs w:val="20"/>
              </w:rPr>
            </w:pPr>
            <w:r w:rsidRPr="00B55A4D">
              <w:rPr>
                <w:sz w:val="20"/>
                <w:szCs w:val="20"/>
              </w:rPr>
              <w:t>25/43 (58.1%)</w:t>
            </w:r>
          </w:p>
        </w:tc>
        <w:tc>
          <w:tcPr>
            <w:tcW w:w="1862" w:type="dxa"/>
          </w:tcPr>
          <w:p w:rsidR="002928AB" w:rsidRPr="00B55A4D" w:rsidRDefault="002928AB" w:rsidP="00B55A4D">
            <w:pPr>
              <w:rPr>
                <w:sz w:val="20"/>
                <w:szCs w:val="20"/>
              </w:rPr>
            </w:pPr>
            <w:r w:rsidRPr="00B55A4D">
              <w:rPr>
                <w:sz w:val="20"/>
                <w:szCs w:val="20"/>
              </w:rPr>
              <w:t>18/42 (42.9%)</w:t>
            </w:r>
          </w:p>
        </w:tc>
        <w:tc>
          <w:tcPr>
            <w:tcW w:w="1873" w:type="dxa"/>
          </w:tcPr>
          <w:p w:rsidR="002928AB" w:rsidRPr="00B55A4D" w:rsidRDefault="002928AB" w:rsidP="00B55A4D">
            <w:pPr>
              <w:rPr>
                <w:sz w:val="20"/>
                <w:szCs w:val="20"/>
              </w:rPr>
            </w:pPr>
            <w:r w:rsidRPr="00B55A4D">
              <w:rPr>
                <w:sz w:val="20"/>
                <w:szCs w:val="20"/>
              </w:rPr>
              <w:t>23/39 (59.0%)</w:t>
            </w:r>
          </w:p>
        </w:tc>
      </w:tr>
    </w:tbl>
    <w:p w:rsidR="002928AB" w:rsidRPr="00D23F46" w:rsidRDefault="002928AB" w:rsidP="00B84DC4">
      <w:pPr>
        <w:pStyle w:val="TableDescription"/>
      </w:pPr>
      <w:r w:rsidRPr="00D23F46">
        <w:t>Note: The number (n) represents the subset of the total number of patients who had the response. The denominator (/N1) for each parameter within a treatment group is the number of patients for the treatment group who had that parameter assessed. ACR20/50/70 response = at least 20%/50%/70% improvements from baseline in both TJC and SJC, and in at least 3 of the 5 components (HAQ-DI score, CRP and 3 VAS assessments). A patient was not counted at a visit if there were insufficient information to determinate ACR20/50/70 response or non-response.</w:t>
      </w:r>
    </w:p>
    <w:p w:rsidR="00AA6B20" w:rsidRDefault="002928AB" w:rsidP="002928AB">
      <w:pPr>
        <w:autoSpaceDE w:val="0"/>
        <w:autoSpaceDN w:val="0"/>
        <w:adjustRightInd w:val="0"/>
        <w:rPr>
          <w:rFonts w:asciiTheme="minorHAnsi" w:eastAsiaTheme="minorHAnsi" w:hAnsiTheme="minorHAnsi" w:cs="TimesNewRomanPSMT"/>
        </w:rPr>
      </w:pPr>
      <w:r>
        <w:rPr>
          <w:rFonts w:asciiTheme="minorHAnsi" w:eastAsiaTheme="minorHAnsi" w:hAnsiTheme="minorHAnsi" w:cs="TimesNewRomanPSMT"/>
        </w:rPr>
        <w:lastRenderedPageBreak/>
        <w:t xml:space="preserve">Study LTS1121 included an assessment of radiological progression of joint damage in patients treated with sarilumab based of the </w:t>
      </w:r>
      <w:r w:rsidRPr="00B64E55">
        <w:rPr>
          <w:rFonts w:asciiTheme="minorHAnsi" w:eastAsiaTheme="minorHAnsi" w:hAnsiTheme="minorHAnsi" w:cs="TimesNewRomanPSMT"/>
        </w:rPr>
        <w:t xml:space="preserve">Sharp score method modified by van der </w:t>
      </w:r>
      <w:proofErr w:type="spellStart"/>
      <w:r w:rsidRPr="00B64E55">
        <w:rPr>
          <w:rFonts w:asciiTheme="minorHAnsi" w:eastAsiaTheme="minorHAnsi" w:hAnsiTheme="minorHAnsi" w:cs="TimesNewRomanPSMT"/>
        </w:rPr>
        <w:t>Heijde</w:t>
      </w:r>
      <w:proofErr w:type="spellEnd"/>
      <w:r w:rsidRPr="00B64E55">
        <w:rPr>
          <w:rFonts w:asciiTheme="minorHAnsi" w:eastAsiaTheme="minorHAnsi" w:hAnsiTheme="minorHAnsi" w:cs="TimesNewRomanPSMT"/>
        </w:rPr>
        <w:t xml:space="preserve"> (</w:t>
      </w:r>
      <w:proofErr w:type="spellStart"/>
      <w:r w:rsidRPr="00B64E55">
        <w:rPr>
          <w:rFonts w:asciiTheme="minorHAnsi" w:eastAsiaTheme="minorHAnsi" w:hAnsiTheme="minorHAnsi" w:cs="TimesNewRomanPSMT"/>
        </w:rPr>
        <w:t>mTSS</w:t>
      </w:r>
      <w:proofErr w:type="spellEnd"/>
      <w:r w:rsidRPr="00B64E55">
        <w:rPr>
          <w:rFonts w:asciiTheme="minorHAnsi" w:eastAsiaTheme="minorHAnsi" w:hAnsiTheme="minorHAnsi" w:cs="TimesNewRomanPSMT"/>
        </w:rPr>
        <w:t>)</w:t>
      </w:r>
      <w:r>
        <w:rPr>
          <w:rFonts w:asciiTheme="minorHAnsi" w:eastAsiaTheme="minorHAnsi" w:hAnsiTheme="minorHAnsi" w:cs="TimesNewRomanPSMT"/>
        </w:rPr>
        <w:t xml:space="preserve">. </w:t>
      </w:r>
      <w:r w:rsidRPr="00B64E55">
        <w:rPr>
          <w:rFonts w:asciiTheme="minorHAnsi" w:eastAsiaTheme="minorHAnsi" w:hAnsiTheme="minorHAnsi" w:cs="TimesNewRomanPSMT"/>
        </w:rPr>
        <w:t xml:space="preserve">The </w:t>
      </w:r>
      <w:proofErr w:type="spellStart"/>
      <w:r>
        <w:rPr>
          <w:rFonts w:asciiTheme="minorHAnsi" w:eastAsiaTheme="minorHAnsi" w:hAnsiTheme="minorHAnsi" w:cs="TimesNewRomanPSMT"/>
        </w:rPr>
        <w:t>mTSS</w:t>
      </w:r>
      <w:proofErr w:type="spellEnd"/>
      <w:r>
        <w:rPr>
          <w:rFonts w:asciiTheme="minorHAnsi" w:eastAsiaTheme="minorHAnsi" w:hAnsiTheme="minorHAnsi" w:cs="TimesNewRomanPSMT"/>
        </w:rPr>
        <w:t xml:space="preserve"> </w:t>
      </w:r>
      <w:r w:rsidRPr="00B64E55">
        <w:rPr>
          <w:rFonts w:asciiTheme="minorHAnsi" w:eastAsiaTheme="minorHAnsi" w:hAnsiTheme="minorHAnsi" w:cs="TimesNewRomanPSMT"/>
        </w:rPr>
        <w:t xml:space="preserve">quantifies the extent of bone erosion for 44 joints and joint space narrowing for 42 joints, with higher scores representing greater damage. The </w:t>
      </w:r>
      <w:proofErr w:type="spellStart"/>
      <w:r w:rsidRPr="00B64E55">
        <w:rPr>
          <w:rFonts w:asciiTheme="minorHAnsi" w:eastAsiaTheme="minorHAnsi" w:hAnsiTheme="minorHAnsi" w:cs="TimesNewRomanPSMT"/>
        </w:rPr>
        <w:t>mTSS</w:t>
      </w:r>
      <w:proofErr w:type="spellEnd"/>
      <w:r w:rsidRPr="00B64E55">
        <w:rPr>
          <w:rFonts w:asciiTheme="minorHAnsi" w:eastAsiaTheme="minorHAnsi" w:hAnsiTheme="minorHAnsi" w:cs="TimesNewRomanPSMT"/>
        </w:rPr>
        <w:t xml:space="preserve"> is the sum of the scores from both the </w:t>
      </w:r>
      <w:r>
        <w:rPr>
          <w:rFonts w:asciiTheme="minorHAnsi" w:eastAsiaTheme="minorHAnsi" w:hAnsiTheme="minorHAnsi" w:cs="TimesNewRomanPSMT"/>
        </w:rPr>
        <w:t xml:space="preserve">bone </w:t>
      </w:r>
      <w:r w:rsidRPr="00B64E55">
        <w:rPr>
          <w:rFonts w:asciiTheme="minorHAnsi" w:eastAsiaTheme="minorHAnsi" w:hAnsiTheme="minorHAnsi" w:cs="TimesNewRomanPSMT"/>
        </w:rPr>
        <w:t>erosion score and the</w:t>
      </w:r>
      <w:r>
        <w:rPr>
          <w:rFonts w:asciiTheme="minorHAnsi" w:eastAsiaTheme="minorHAnsi" w:hAnsiTheme="minorHAnsi" w:cs="TimesNewRomanPSMT"/>
        </w:rPr>
        <w:t xml:space="preserve"> </w:t>
      </w:r>
      <w:r w:rsidRPr="00B64E55">
        <w:rPr>
          <w:rFonts w:asciiTheme="minorHAnsi" w:eastAsiaTheme="minorHAnsi" w:hAnsiTheme="minorHAnsi" w:cs="TimesNewRomanPSMT"/>
        </w:rPr>
        <w:t xml:space="preserve">joint space narrowing score, for a maximum score of 448. X-ray data were only collected for patients who entered </w:t>
      </w:r>
      <w:r w:rsidR="003D2290">
        <w:rPr>
          <w:rFonts w:asciiTheme="minorHAnsi" w:eastAsiaTheme="minorHAnsi" w:hAnsiTheme="minorHAnsi" w:cs="TimesNewRomanPSMT"/>
        </w:rPr>
        <w:t>Study LTS</w:t>
      </w:r>
      <w:r>
        <w:rPr>
          <w:rFonts w:asciiTheme="minorHAnsi" w:eastAsiaTheme="minorHAnsi" w:hAnsiTheme="minorHAnsi" w:cs="TimesNewRomanPSMT"/>
        </w:rPr>
        <w:t xml:space="preserve">1121 </w:t>
      </w:r>
      <w:r w:rsidRPr="00B64E55">
        <w:rPr>
          <w:rFonts w:asciiTheme="minorHAnsi" w:eastAsiaTheme="minorHAnsi" w:hAnsiTheme="minorHAnsi" w:cs="TimesNewRomanPSMT"/>
        </w:rPr>
        <w:t>fr</w:t>
      </w:r>
      <w:r>
        <w:rPr>
          <w:rFonts w:asciiTheme="minorHAnsi" w:eastAsiaTheme="minorHAnsi" w:hAnsiTheme="minorHAnsi" w:cs="TimesNewRomanPSMT"/>
        </w:rPr>
        <w:t xml:space="preserve">om </w:t>
      </w:r>
      <w:r w:rsidR="00894642">
        <w:rPr>
          <w:rFonts w:asciiTheme="minorHAnsi" w:eastAsiaTheme="minorHAnsi" w:hAnsiTheme="minorHAnsi" w:cs="TimesNewRomanPSMT"/>
        </w:rPr>
        <w:t>Study EFC</w:t>
      </w:r>
      <w:r>
        <w:rPr>
          <w:rFonts w:asciiTheme="minorHAnsi" w:eastAsiaTheme="minorHAnsi" w:hAnsiTheme="minorHAnsi" w:cs="TimesNewRomanPSMT"/>
        </w:rPr>
        <w:t xml:space="preserve">11072, as these </w:t>
      </w:r>
      <w:r w:rsidRPr="00B64E55">
        <w:rPr>
          <w:rFonts w:asciiTheme="minorHAnsi" w:eastAsiaTheme="minorHAnsi" w:hAnsiTheme="minorHAnsi" w:cs="TimesNewRomanPSMT"/>
        </w:rPr>
        <w:t xml:space="preserve">patients had X-rays performed in the initial study. All of these subjects received MTX in the initial study and were expected to continue to receive MTX in </w:t>
      </w:r>
      <w:r w:rsidR="003D2290">
        <w:rPr>
          <w:rFonts w:asciiTheme="minorHAnsi" w:eastAsiaTheme="minorHAnsi" w:hAnsiTheme="minorHAnsi" w:cs="TimesNewRomanPSMT"/>
        </w:rPr>
        <w:t>Study LTS</w:t>
      </w:r>
      <w:r w:rsidRPr="00B64E55">
        <w:rPr>
          <w:rFonts w:asciiTheme="minorHAnsi" w:eastAsiaTheme="minorHAnsi" w:hAnsiTheme="minorHAnsi" w:cs="TimesNewRomanPSMT"/>
        </w:rPr>
        <w:t>11210.</w:t>
      </w:r>
    </w:p>
    <w:p w:rsidR="00B55A4D" w:rsidRDefault="002928AB" w:rsidP="00B55A4D">
      <w:pPr>
        <w:autoSpaceDE w:val="0"/>
        <w:autoSpaceDN w:val="0"/>
        <w:adjustRightInd w:val="0"/>
        <w:rPr>
          <w:rFonts w:asciiTheme="minorHAnsi" w:eastAsiaTheme="minorHAnsi" w:hAnsiTheme="minorHAnsi" w:cs="TimesNewRomanPSMT"/>
        </w:rPr>
      </w:pPr>
      <w:r w:rsidRPr="00B64E55">
        <w:rPr>
          <w:rFonts w:asciiTheme="minorHAnsi" w:eastAsiaTheme="minorHAnsi" w:hAnsiTheme="minorHAnsi" w:cs="TimesNewRomanPSMT"/>
        </w:rPr>
        <w:t>In the updated 3</w:t>
      </w:r>
      <w:r w:rsidR="00B84DC4">
        <w:rPr>
          <w:rFonts w:asciiTheme="minorHAnsi" w:eastAsiaTheme="minorHAnsi" w:hAnsiTheme="minorHAnsi" w:cs="TimesNewRomanPSMT"/>
        </w:rPr>
        <w:t xml:space="preserve"> </w:t>
      </w:r>
      <w:r w:rsidRPr="00B64E55">
        <w:rPr>
          <w:rFonts w:asciiTheme="minorHAnsi" w:eastAsiaTheme="minorHAnsi" w:hAnsiTheme="minorHAnsi" w:cs="TimesNewRomanPSMT"/>
        </w:rPr>
        <w:t xml:space="preserve">year analysis of the </w:t>
      </w:r>
      <w:proofErr w:type="spellStart"/>
      <w:r>
        <w:rPr>
          <w:rFonts w:asciiTheme="minorHAnsi" w:eastAsiaTheme="minorHAnsi" w:hAnsiTheme="minorHAnsi" w:cs="TimesNewRomanPSMT"/>
        </w:rPr>
        <w:t>mTSS</w:t>
      </w:r>
      <w:proofErr w:type="spellEnd"/>
      <w:r w:rsidRPr="00B64E55">
        <w:rPr>
          <w:rFonts w:asciiTheme="minorHAnsi" w:eastAsiaTheme="minorHAnsi" w:hAnsiTheme="minorHAnsi" w:cs="TimesNewRomanPSMT"/>
        </w:rPr>
        <w:t>, the score increased by 2.14 units from ba</w:t>
      </w:r>
      <w:r>
        <w:rPr>
          <w:rFonts w:asciiTheme="minorHAnsi" w:eastAsiaTheme="minorHAnsi" w:hAnsiTheme="minorHAnsi" w:cs="TimesNewRomanPSMT"/>
        </w:rPr>
        <w:t xml:space="preserve">seline to </w:t>
      </w:r>
      <w:r w:rsidR="00B84DC4">
        <w:rPr>
          <w:rFonts w:asciiTheme="minorHAnsi" w:eastAsiaTheme="minorHAnsi" w:hAnsiTheme="minorHAnsi" w:cs="TimesNewRomanPSMT"/>
        </w:rPr>
        <w:t>Y</w:t>
      </w:r>
      <w:r>
        <w:rPr>
          <w:rFonts w:asciiTheme="minorHAnsi" w:eastAsiaTheme="minorHAnsi" w:hAnsiTheme="minorHAnsi" w:cs="TimesNewRomanPSMT"/>
        </w:rPr>
        <w:t>ear 3. In the 2</w:t>
      </w:r>
      <w:r w:rsidR="00B84DC4">
        <w:rPr>
          <w:rFonts w:asciiTheme="minorHAnsi" w:eastAsiaTheme="minorHAnsi" w:hAnsiTheme="minorHAnsi" w:cs="TimesNewRomanPSMT"/>
        </w:rPr>
        <w:t xml:space="preserve"> </w:t>
      </w:r>
      <w:r>
        <w:rPr>
          <w:rFonts w:asciiTheme="minorHAnsi" w:eastAsiaTheme="minorHAnsi" w:hAnsiTheme="minorHAnsi" w:cs="TimesNewRomanPSMT"/>
        </w:rPr>
        <w:t>year</w:t>
      </w:r>
      <w:r w:rsidRPr="00B64E55">
        <w:rPr>
          <w:rFonts w:asciiTheme="minorHAnsi" w:eastAsiaTheme="minorHAnsi" w:hAnsiTheme="minorHAnsi" w:cs="TimesNewRomanPSMT"/>
        </w:rPr>
        <w:t xml:space="preserve"> analysis of </w:t>
      </w:r>
      <w:proofErr w:type="spellStart"/>
      <w:r w:rsidRPr="00B64E55">
        <w:rPr>
          <w:rFonts w:asciiTheme="minorHAnsi" w:eastAsiaTheme="minorHAnsi" w:hAnsiTheme="minorHAnsi" w:cs="TimesNewRomanPSMT"/>
        </w:rPr>
        <w:t>mTSS</w:t>
      </w:r>
      <w:proofErr w:type="spellEnd"/>
      <w:r w:rsidRPr="00B64E55">
        <w:rPr>
          <w:rFonts w:asciiTheme="minorHAnsi" w:eastAsiaTheme="minorHAnsi" w:hAnsiTheme="minorHAnsi" w:cs="TimesNewRomanPSMT"/>
        </w:rPr>
        <w:t xml:space="preserve"> provided in the initial CER, the score increased by 1.34 units from baseline to </w:t>
      </w:r>
      <w:r w:rsidR="00B84DC4">
        <w:rPr>
          <w:rFonts w:asciiTheme="minorHAnsi" w:eastAsiaTheme="minorHAnsi" w:hAnsiTheme="minorHAnsi" w:cs="TimesNewRomanPSMT"/>
        </w:rPr>
        <w:t>Y</w:t>
      </w:r>
      <w:r w:rsidRPr="00B64E55">
        <w:rPr>
          <w:rFonts w:asciiTheme="minorHAnsi" w:eastAsiaTheme="minorHAnsi" w:hAnsiTheme="minorHAnsi" w:cs="TimesNewRomanPSMT"/>
        </w:rPr>
        <w:t xml:space="preserve">ear 2. Patients who discontinued between </w:t>
      </w:r>
      <w:r w:rsidR="00B84DC4">
        <w:rPr>
          <w:rFonts w:asciiTheme="minorHAnsi" w:eastAsiaTheme="minorHAnsi" w:hAnsiTheme="minorHAnsi" w:cs="TimesNewRomanPSMT"/>
        </w:rPr>
        <w:t>Y</w:t>
      </w:r>
      <w:r w:rsidRPr="00B64E55">
        <w:rPr>
          <w:rFonts w:asciiTheme="minorHAnsi" w:eastAsiaTheme="minorHAnsi" w:hAnsiTheme="minorHAnsi" w:cs="TimesNewRomanPSMT"/>
        </w:rPr>
        <w:t xml:space="preserve">ear 1 and 2 were eligible to </w:t>
      </w:r>
      <w:r w:rsidR="00B84DC4">
        <w:rPr>
          <w:rFonts w:asciiTheme="minorHAnsi" w:eastAsiaTheme="minorHAnsi" w:hAnsiTheme="minorHAnsi" w:cs="TimesNewRomanPSMT"/>
        </w:rPr>
        <w:t>have data extrapolated for the Y</w:t>
      </w:r>
      <w:r w:rsidRPr="00B64E55">
        <w:rPr>
          <w:rFonts w:asciiTheme="minorHAnsi" w:eastAsiaTheme="minorHAnsi" w:hAnsiTheme="minorHAnsi" w:cs="TimesNewRomanPSMT"/>
        </w:rPr>
        <w:t xml:space="preserve">ear 2 analysis but not the </w:t>
      </w:r>
      <w:r w:rsidR="00B84DC4">
        <w:rPr>
          <w:rFonts w:asciiTheme="minorHAnsi" w:eastAsiaTheme="minorHAnsi" w:hAnsiTheme="minorHAnsi" w:cs="TimesNewRomanPSMT"/>
        </w:rPr>
        <w:t>Y</w:t>
      </w:r>
      <w:r w:rsidRPr="00B64E55">
        <w:rPr>
          <w:rFonts w:asciiTheme="minorHAnsi" w:eastAsiaTheme="minorHAnsi" w:hAnsiTheme="minorHAnsi" w:cs="TimesNewRomanPSMT"/>
        </w:rPr>
        <w:t xml:space="preserve">ear 3 analysis. The results for the </w:t>
      </w:r>
      <w:r w:rsidR="00B84DC4">
        <w:rPr>
          <w:rFonts w:asciiTheme="minorHAnsi" w:eastAsiaTheme="minorHAnsi" w:hAnsiTheme="minorHAnsi" w:cs="TimesNewRomanPSMT"/>
        </w:rPr>
        <w:t>Y</w:t>
      </w:r>
      <w:r w:rsidRPr="00B64E55">
        <w:rPr>
          <w:rFonts w:asciiTheme="minorHAnsi" w:eastAsiaTheme="minorHAnsi" w:hAnsiTheme="minorHAnsi" w:cs="TimesNewRomanPSMT"/>
        </w:rPr>
        <w:t>ear 3 analysis are summarise</w:t>
      </w:r>
      <w:r>
        <w:rPr>
          <w:rFonts w:asciiTheme="minorHAnsi" w:eastAsiaTheme="minorHAnsi" w:hAnsiTheme="minorHAnsi" w:cs="TimesNewRomanPSMT"/>
        </w:rPr>
        <w:t>d belo</w:t>
      </w:r>
      <w:r w:rsidR="00B55A4D">
        <w:rPr>
          <w:rFonts w:asciiTheme="minorHAnsi" w:eastAsiaTheme="minorHAnsi" w:hAnsiTheme="minorHAnsi" w:cs="TimesNewRomanPSMT"/>
        </w:rPr>
        <w:t xml:space="preserve">w in Table </w:t>
      </w:r>
      <w:r w:rsidR="00D75C1B">
        <w:rPr>
          <w:rFonts w:asciiTheme="minorHAnsi" w:eastAsiaTheme="minorHAnsi" w:hAnsiTheme="minorHAnsi" w:cs="TimesNewRomanPSMT"/>
        </w:rPr>
        <w:t>21</w:t>
      </w:r>
      <w:r w:rsidR="00B55A4D">
        <w:rPr>
          <w:rFonts w:asciiTheme="minorHAnsi" w:eastAsiaTheme="minorHAnsi" w:hAnsiTheme="minorHAnsi" w:cs="TimesNewRomanPSMT"/>
        </w:rPr>
        <w:t>.</w:t>
      </w:r>
      <w:bookmarkStart w:id="145" w:name="_Toc514687835"/>
    </w:p>
    <w:p w:rsidR="002928AB" w:rsidRPr="00B64E55" w:rsidRDefault="002928AB" w:rsidP="00B55A4D">
      <w:pPr>
        <w:pStyle w:val="Tabletitle0"/>
        <w:rPr>
          <w:lang w:val="en-US"/>
        </w:rPr>
      </w:pPr>
      <w:r>
        <w:t xml:space="preserve">Table </w:t>
      </w:r>
      <w:r w:rsidR="00D75C1B">
        <w:t>21</w:t>
      </w:r>
      <w:r>
        <w:t xml:space="preserve">: </w:t>
      </w:r>
      <w:r w:rsidR="000F5B2C">
        <w:t xml:space="preserve">Study </w:t>
      </w:r>
      <w:r w:rsidRPr="00B64E55">
        <w:rPr>
          <w:lang w:val="en-US"/>
        </w:rPr>
        <w:t>LTS11210 Change from</w:t>
      </w:r>
      <w:r>
        <w:rPr>
          <w:lang w:val="en-US"/>
        </w:rPr>
        <w:t xml:space="preserve"> baseline in the </w:t>
      </w:r>
      <w:proofErr w:type="spellStart"/>
      <w:r>
        <w:rPr>
          <w:lang w:val="en-US"/>
        </w:rPr>
        <w:t>mTSS</w:t>
      </w:r>
      <w:proofErr w:type="spellEnd"/>
      <w:r>
        <w:rPr>
          <w:lang w:val="en-US"/>
        </w:rPr>
        <w:t xml:space="preserve"> at </w:t>
      </w:r>
      <w:r w:rsidR="003A36D9">
        <w:rPr>
          <w:lang w:val="en-US"/>
        </w:rPr>
        <w:t xml:space="preserve">Year </w:t>
      </w:r>
      <w:r>
        <w:rPr>
          <w:lang w:val="en-US"/>
        </w:rPr>
        <w:t>3</w:t>
      </w:r>
      <w:r w:rsidR="003A36D9">
        <w:rPr>
          <w:lang w:val="en-US"/>
        </w:rPr>
        <w:t>;</w:t>
      </w:r>
      <w:r w:rsidRPr="00B64E55">
        <w:rPr>
          <w:lang w:val="en-US"/>
        </w:rPr>
        <w:t xml:space="preserve"> patients from </w:t>
      </w:r>
      <w:r w:rsidR="003A36D9">
        <w:rPr>
          <w:lang w:val="en-US"/>
        </w:rPr>
        <w:t xml:space="preserve">Study </w:t>
      </w:r>
      <w:r w:rsidRPr="00B64E55">
        <w:rPr>
          <w:lang w:val="en-US"/>
        </w:rPr>
        <w:t>EFC11072, Part B</w:t>
      </w:r>
      <w:bookmarkEnd w:id="145"/>
    </w:p>
    <w:p w:rsidR="00B84DC4" w:rsidRDefault="00B55A4D" w:rsidP="00B55A4D">
      <w:r>
        <w:rPr>
          <w:noProof/>
          <w:lang w:eastAsia="en-AU"/>
        </w:rPr>
        <w:drawing>
          <wp:inline distT="0" distB="0" distL="0" distR="0" wp14:anchorId="26FE7AB0" wp14:editId="0BB57DEB">
            <wp:extent cx="4271910" cy="4688114"/>
            <wp:effectExtent l="0" t="0" r="0" b="0"/>
            <wp:docPr id="31" name="Picture 31" descr="LTS11210 Change from baseline in the mTSS at year 3, patients from EFC11072, Part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extLst>
                        <a:ext uri="{BEBA8EAE-BF5A-486C-A8C5-ECC9F3942E4B}">
                          <a14:imgProps xmlns:a14="http://schemas.microsoft.com/office/drawing/2010/main">
                            <a14:imgLayer r:embed="rId49">
                              <a14:imgEffect>
                                <a14:sharpenSoften amount="50000"/>
                              </a14:imgEffect>
                            </a14:imgLayer>
                          </a14:imgProps>
                        </a:ext>
                      </a:extLst>
                    </a:blip>
                    <a:srcRect t="1365"/>
                    <a:stretch/>
                  </pic:blipFill>
                  <pic:spPr bwMode="auto">
                    <a:xfrm>
                      <a:off x="0" y="0"/>
                      <a:ext cx="4272483" cy="4688743"/>
                    </a:xfrm>
                    <a:prstGeom prst="rect">
                      <a:avLst/>
                    </a:prstGeom>
                    <a:ln>
                      <a:noFill/>
                    </a:ln>
                    <a:extLst>
                      <a:ext uri="{53640926-AAD7-44D8-BBD7-CCE9431645EC}">
                        <a14:shadowObscured xmlns:a14="http://schemas.microsoft.com/office/drawing/2010/main"/>
                      </a:ext>
                    </a:extLst>
                  </pic:spPr>
                </pic:pic>
              </a:graphicData>
            </a:graphic>
          </wp:inline>
        </w:drawing>
      </w:r>
    </w:p>
    <w:p w:rsidR="002928AB" w:rsidRPr="00B911ED" w:rsidRDefault="002928AB" w:rsidP="00485E22">
      <w:pPr>
        <w:pStyle w:val="TableDescription"/>
      </w:pPr>
      <w:r w:rsidRPr="00B911ED">
        <w:t xml:space="preserve">X-ray data are collected for patients from </w:t>
      </w:r>
      <w:r w:rsidR="00B84DC4">
        <w:t xml:space="preserve">Study </w:t>
      </w:r>
      <w:r w:rsidRPr="00B911ED">
        <w:t>EFC11072 Part B Cohort 2 and Cohort 1 selected dose arms only.</w:t>
      </w:r>
      <w:r w:rsidR="00B55A4D">
        <w:t xml:space="preserve"> </w:t>
      </w:r>
      <w:r w:rsidR="007C7C62">
        <w:t xml:space="preserve">N = </w:t>
      </w:r>
      <w:r w:rsidRPr="00B911ED">
        <w:t xml:space="preserve">number of patients who had the </w:t>
      </w:r>
      <w:r w:rsidR="00B84DC4">
        <w:t>X</w:t>
      </w:r>
      <w:r w:rsidRPr="00B911ED">
        <w:t xml:space="preserve">-ray data from Campaign 2 with study duration </w:t>
      </w:r>
      <w:r>
        <w:t xml:space="preserve">more than 48 weeks in </w:t>
      </w:r>
      <w:r w:rsidR="00B84DC4">
        <w:t xml:space="preserve">Study </w:t>
      </w:r>
      <w:r>
        <w:t>LTS11210</w:t>
      </w:r>
      <w:r w:rsidR="003A36D9">
        <w:t>;</w:t>
      </w:r>
      <w:r>
        <w:t xml:space="preserve"> a</w:t>
      </w:r>
      <w:r w:rsidR="003A36D9">
        <w:t>)</w:t>
      </w:r>
      <w:r>
        <w:t xml:space="preserve"> </w:t>
      </w:r>
      <w:r w:rsidR="00DD2390">
        <w:t>MTX</w:t>
      </w:r>
      <w:r w:rsidRPr="00B911ED">
        <w:t xml:space="preserve"> was the only allowed DMARD received by patients prior to enrolling in </w:t>
      </w:r>
      <w:r w:rsidR="00F549B4">
        <w:t>Study</w:t>
      </w:r>
      <w:r w:rsidRPr="00B911ED">
        <w:t xml:space="preserve"> LTS11210.</w:t>
      </w:r>
      <w:r w:rsidR="00B55A4D">
        <w:t xml:space="preserve"> </w:t>
      </w:r>
      <w:r w:rsidRPr="00B911ED">
        <w:t>Modified total Sharp score = the sum of bone erosion scores from 44 joints and joint space narrowing scores</w:t>
      </w:r>
      <w:r>
        <w:t xml:space="preserve"> from 42 joints, with a maximum score 448. </w:t>
      </w:r>
      <w:r w:rsidRPr="00B911ED">
        <w:t>The linear extrapolation method is used to impute missing Week</w:t>
      </w:r>
      <w:r>
        <w:t xml:space="preserve"> 96 modified total Sharp score. </w:t>
      </w:r>
      <w:r w:rsidRPr="00B911ED">
        <w:t xml:space="preserve">The Year 3 analysis included baseline from </w:t>
      </w:r>
      <w:r w:rsidR="00B84DC4">
        <w:t xml:space="preserve">Study </w:t>
      </w:r>
      <w:r w:rsidRPr="00B911ED">
        <w:t xml:space="preserve">EFC11072, Weeks 48 and 96 of </w:t>
      </w:r>
      <w:r w:rsidR="00B84DC4">
        <w:t xml:space="preserve">Study </w:t>
      </w:r>
      <w:r w:rsidRPr="00B911ED">
        <w:t>LTS11210 and any unsched</w:t>
      </w:r>
      <w:r>
        <w:t xml:space="preserve">uled visits between Week 48 and </w:t>
      </w:r>
      <w:r w:rsidRPr="00B911ED">
        <w:t>Week 96.</w:t>
      </w:r>
    </w:p>
    <w:p w:rsidR="00AA6B20" w:rsidRDefault="002928AB" w:rsidP="002928AB">
      <w:pPr>
        <w:autoSpaceDE w:val="0"/>
        <w:autoSpaceDN w:val="0"/>
        <w:adjustRightInd w:val="0"/>
        <w:rPr>
          <w:rFonts w:asciiTheme="minorHAnsi" w:eastAsiaTheme="minorHAnsi" w:hAnsiTheme="minorHAnsi" w:cs="TimesNewRomanPSMT"/>
        </w:rPr>
      </w:pPr>
      <w:r w:rsidRPr="00B64E55">
        <w:rPr>
          <w:rFonts w:asciiTheme="minorHAnsi" w:eastAsiaTheme="minorHAnsi" w:hAnsiTheme="minorHAnsi" w:cs="TimesNewRomanPSMT"/>
        </w:rPr>
        <w:lastRenderedPageBreak/>
        <w:t xml:space="preserve">A change from baseline in the </w:t>
      </w:r>
      <w:proofErr w:type="spellStart"/>
      <w:r w:rsidRPr="00B64E55">
        <w:rPr>
          <w:rFonts w:asciiTheme="minorHAnsi" w:eastAsiaTheme="minorHAnsi" w:hAnsiTheme="minorHAnsi" w:cs="TimesNewRomanPSMT"/>
        </w:rPr>
        <w:t>mTS</w:t>
      </w:r>
      <w:r>
        <w:rPr>
          <w:rFonts w:asciiTheme="minorHAnsi" w:eastAsiaTheme="minorHAnsi" w:hAnsiTheme="minorHAnsi" w:cs="TimesNewRomanPSMT"/>
        </w:rPr>
        <w:t>S</w:t>
      </w:r>
      <w:proofErr w:type="spellEnd"/>
      <w:r>
        <w:rPr>
          <w:rFonts w:asciiTheme="minorHAnsi" w:eastAsiaTheme="minorHAnsi" w:hAnsiTheme="minorHAnsi" w:cs="TimesNewRomanPSMT"/>
        </w:rPr>
        <w:t xml:space="preserve"> score of </w:t>
      </w:r>
      <w:r w:rsidR="00DD5BCE">
        <w:rPr>
          <w:rFonts w:asciiTheme="minorHAnsi" w:eastAsiaTheme="minorHAnsi" w:hAnsiTheme="minorHAnsi" w:cs="TimesNewRomanPSMT"/>
        </w:rPr>
        <w:t>≤</w:t>
      </w:r>
      <w:r w:rsidR="007C7C62">
        <w:rPr>
          <w:rFonts w:asciiTheme="minorHAnsi" w:eastAsiaTheme="minorHAnsi" w:hAnsiTheme="minorHAnsi" w:cs="TimesNewRomanPSMT"/>
        </w:rPr>
        <w:t xml:space="preserve"> </w:t>
      </w:r>
      <w:r>
        <w:rPr>
          <w:rFonts w:asciiTheme="minorHAnsi" w:eastAsiaTheme="minorHAnsi" w:hAnsiTheme="minorHAnsi" w:cs="TimesNewRomanPSMT"/>
        </w:rPr>
        <w:t xml:space="preserve">0 is considered to represent </w:t>
      </w:r>
      <w:r w:rsidRPr="00B64E55">
        <w:rPr>
          <w:rFonts w:asciiTheme="minorHAnsi" w:eastAsiaTheme="minorHAnsi" w:hAnsiTheme="minorHAnsi" w:cs="TimesNewRomanPSMT"/>
        </w:rPr>
        <w:t>no progression</w:t>
      </w:r>
      <w:r>
        <w:rPr>
          <w:rFonts w:asciiTheme="minorHAnsi" w:eastAsiaTheme="minorHAnsi" w:hAnsiTheme="minorHAnsi" w:cs="TimesNewRomanPSMT"/>
        </w:rPr>
        <w:t xml:space="preserve"> of radiological joint damage. </w:t>
      </w:r>
      <w:r w:rsidRPr="00B64E55">
        <w:rPr>
          <w:rFonts w:asciiTheme="minorHAnsi" w:eastAsiaTheme="minorHAnsi" w:hAnsiTheme="minorHAnsi" w:cs="TimesNewRomanPSMT"/>
        </w:rPr>
        <w:t>In the 2</w:t>
      </w:r>
      <w:r w:rsidR="00B84DC4">
        <w:rPr>
          <w:rFonts w:asciiTheme="minorHAnsi" w:eastAsiaTheme="minorHAnsi" w:hAnsiTheme="minorHAnsi" w:cs="TimesNewRomanPSMT"/>
        </w:rPr>
        <w:t xml:space="preserve"> </w:t>
      </w:r>
      <w:r w:rsidRPr="00B64E55">
        <w:rPr>
          <w:rFonts w:asciiTheme="minorHAnsi" w:eastAsiaTheme="minorHAnsi" w:hAnsiTheme="minorHAnsi" w:cs="TimesNewRomanPSMT"/>
        </w:rPr>
        <w:t>year analysis (</w:t>
      </w:r>
      <w:r w:rsidR="00B84DC4">
        <w:rPr>
          <w:rFonts w:asciiTheme="minorHAnsi" w:eastAsiaTheme="minorHAnsi" w:hAnsiTheme="minorHAnsi" w:cs="TimesNewRomanPSMT"/>
        </w:rPr>
        <w:t xml:space="preserve">Study </w:t>
      </w:r>
      <w:r w:rsidRPr="00B64E55">
        <w:rPr>
          <w:rFonts w:asciiTheme="minorHAnsi" w:eastAsiaTheme="minorHAnsi" w:hAnsiTheme="minorHAnsi" w:cs="TimesNewRomanPSMT"/>
        </w:rPr>
        <w:t xml:space="preserve">LTSS11210), the rate of non-progression </w:t>
      </w:r>
      <w:r>
        <w:rPr>
          <w:rFonts w:asciiTheme="minorHAnsi" w:eastAsiaTheme="minorHAnsi" w:hAnsiTheme="minorHAnsi" w:cs="TimesNewRomanPSMT"/>
        </w:rPr>
        <w:t xml:space="preserve">changed minimally from Year 1 </w:t>
      </w:r>
      <w:r w:rsidRPr="00B64E55">
        <w:rPr>
          <w:rFonts w:asciiTheme="minorHAnsi" w:eastAsiaTheme="minorHAnsi" w:hAnsiTheme="minorHAnsi" w:cs="TimesNewRomanPSMT"/>
        </w:rPr>
        <w:t>to Year 2 (51.9% and 51.2%, respectively).</w:t>
      </w:r>
      <w:r>
        <w:rPr>
          <w:rFonts w:asciiTheme="minorHAnsi" w:eastAsiaTheme="minorHAnsi" w:hAnsiTheme="minorHAnsi" w:cs="TimesNewRomanPSMT"/>
        </w:rPr>
        <w:t xml:space="preserve"> </w:t>
      </w:r>
      <w:r w:rsidRPr="00B64E55">
        <w:rPr>
          <w:rFonts w:asciiTheme="minorHAnsi" w:eastAsiaTheme="minorHAnsi" w:hAnsiTheme="minorHAnsi" w:cs="TimesNewRomanPSMT"/>
        </w:rPr>
        <w:t>In the 3</w:t>
      </w:r>
      <w:r w:rsidR="00B84DC4">
        <w:rPr>
          <w:rFonts w:asciiTheme="minorHAnsi" w:eastAsiaTheme="minorHAnsi" w:hAnsiTheme="minorHAnsi" w:cs="TimesNewRomanPSMT"/>
        </w:rPr>
        <w:t xml:space="preserve"> </w:t>
      </w:r>
      <w:r w:rsidRPr="00B64E55">
        <w:rPr>
          <w:rFonts w:asciiTheme="minorHAnsi" w:eastAsiaTheme="minorHAnsi" w:hAnsiTheme="minorHAnsi" w:cs="TimesNewRomanPSMT"/>
        </w:rPr>
        <w:t>year analysis, the rate of non-progression also changed minimally from Year 2 to Year 3 (46.6% to 44.2%, respectively</w:t>
      </w:r>
      <w:r>
        <w:rPr>
          <w:rFonts w:asciiTheme="minorHAnsi" w:eastAsiaTheme="minorHAnsi" w:hAnsiTheme="minorHAnsi" w:cs="TimesNewRomanPSMT"/>
        </w:rPr>
        <w:t>). The sponsor commented that the results demonstrate a sustained effect of sarilumab on prevention of structural joint damage.</w:t>
      </w:r>
    </w:p>
    <w:p w:rsidR="002928AB" w:rsidRPr="00B64E55" w:rsidRDefault="002928AB" w:rsidP="002928AB">
      <w:pPr>
        <w:autoSpaceDE w:val="0"/>
        <w:autoSpaceDN w:val="0"/>
        <w:adjustRightInd w:val="0"/>
        <w:rPr>
          <w:rFonts w:asciiTheme="minorHAnsi" w:eastAsiaTheme="minorHAnsi" w:hAnsiTheme="minorHAnsi" w:cs="TimesNewRomanPSMT"/>
        </w:rPr>
      </w:pPr>
      <w:r w:rsidRPr="00B64E55">
        <w:rPr>
          <w:rFonts w:asciiTheme="minorHAnsi" w:eastAsiaTheme="minorHAnsi" w:hAnsiTheme="minorHAnsi" w:cs="TimesNewRomanPSMT"/>
        </w:rPr>
        <w:t>The joint erosion score is a summary of erosion severity in 32 joints of the hands and 12</w:t>
      </w:r>
      <w:r w:rsidR="003A36D9">
        <w:rPr>
          <w:rFonts w:asciiTheme="minorHAnsi" w:eastAsiaTheme="minorHAnsi" w:hAnsiTheme="minorHAnsi" w:cs="TimesNewRomanPSMT"/>
        </w:rPr>
        <w:t> </w:t>
      </w:r>
      <w:r w:rsidRPr="00B64E55">
        <w:rPr>
          <w:rFonts w:asciiTheme="minorHAnsi" w:eastAsiaTheme="minorHAnsi" w:hAnsiTheme="minorHAnsi" w:cs="TimesNewRomanPSMT"/>
        </w:rPr>
        <w:t xml:space="preserve">joints of the feet. Each joint is scored, according to the surface area involved, from 0 to 5 for hand joints and 0 to 10 for </w:t>
      </w:r>
      <w:r>
        <w:rPr>
          <w:rFonts w:asciiTheme="minorHAnsi" w:eastAsiaTheme="minorHAnsi" w:hAnsiTheme="minorHAnsi" w:cs="TimesNewRomanPSMT"/>
        </w:rPr>
        <w:t xml:space="preserve">foot </w:t>
      </w:r>
      <w:r w:rsidRPr="00B64E55">
        <w:rPr>
          <w:rFonts w:asciiTheme="minorHAnsi" w:eastAsiaTheme="minorHAnsi" w:hAnsiTheme="minorHAnsi" w:cs="TimesNewRomanPSMT"/>
        </w:rPr>
        <w:t>the joints. The maximum erosion score (5 for the hand and 10 for the foot) indicates extensive loss of bone from more than one half of the articulating bone</w:t>
      </w:r>
      <w:r>
        <w:rPr>
          <w:rFonts w:asciiTheme="minorHAnsi" w:eastAsiaTheme="minorHAnsi" w:hAnsiTheme="minorHAnsi" w:cs="TimesNewRomanPSMT"/>
        </w:rPr>
        <w:t>s</w:t>
      </w:r>
      <w:r w:rsidRPr="00B64E55">
        <w:rPr>
          <w:rFonts w:asciiTheme="minorHAnsi" w:eastAsiaTheme="minorHAnsi" w:hAnsiTheme="minorHAnsi" w:cs="TimesNewRomanPSMT"/>
        </w:rPr>
        <w:t>. A score of 0 in either the han</w:t>
      </w:r>
      <w:r>
        <w:rPr>
          <w:rFonts w:asciiTheme="minorHAnsi" w:eastAsiaTheme="minorHAnsi" w:hAnsiTheme="minorHAnsi" w:cs="TimesNewRomanPSMT"/>
        </w:rPr>
        <w:t xml:space="preserve">d or foot indicates no erosion. </w:t>
      </w:r>
      <w:r w:rsidRPr="00B64E55">
        <w:rPr>
          <w:rFonts w:asciiTheme="minorHAnsi" w:eastAsiaTheme="minorHAnsi" w:hAnsiTheme="minorHAnsi" w:cs="TimesNewRomanPSMT"/>
        </w:rPr>
        <w:t>The maximum erosion score is 280 (160 in the han</w:t>
      </w:r>
      <w:r>
        <w:rPr>
          <w:rFonts w:asciiTheme="minorHAnsi" w:eastAsiaTheme="minorHAnsi" w:hAnsiTheme="minorHAnsi" w:cs="TimesNewRomanPSMT"/>
        </w:rPr>
        <w:t xml:space="preserve">ds and 120 in the feet). </w:t>
      </w:r>
      <w:r w:rsidRPr="00B64E55">
        <w:rPr>
          <w:rFonts w:asciiTheme="minorHAnsi" w:eastAsiaTheme="minorHAnsi" w:hAnsiTheme="minorHAnsi" w:cs="TimesNewRomanPSMT"/>
          <w:color w:val="000000"/>
        </w:rPr>
        <w:t>In the 2</w:t>
      </w:r>
      <w:r w:rsidR="00B84DC4">
        <w:rPr>
          <w:rFonts w:asciiTheme="minorHAnsi" w:eastAsiaTheme="minorHAnsi" w:hAnsiTheme="minorHAnsi" w:cs="TimesNewRomanPSMT"/>
          <w:color w:val="000000"/>
        </w:rPr>
        <w:t xml:space="preserve"> </w:t>
      </w:r>
      <w:r w:rsidRPr="00B64E55">
        <w:rPr>
          <w:rFonts w:asciiTheme="minorHAnsi" w:eastAsiaTheme="minorHAnsi" w:hAnsiTheme="minorHAnsi" w:cs="TimesNewRomanPSMT"/>
          <w:color w:val="000000"/>
        </w:rPr>
        <w:t>year analysis (</w:t>
      </w:r>
      <w:r w:rsidR="00B84DC4">
        <w:rPr>
          <w:rFonts w:asciiTheme="minorHAnsi" w:eastAsiaTheme="minorHAnsi" w:hAnsiTheme="minorHAnsi" w:cs="TimesNewRomanPSMT"/>
          <w:color w:val="000000"/>
        </w:rPr>
        <w:t xml:space="preserve">Study </w:t>
      </w:r>
      <w:r w:rsidRPr="00B64E55">
        <w:rPr>
          <w:rFonts w:asciiTheme="minorHAnsi" w:eastAsiaTheme="minorHAnsi" w:hAnsiTheme="minorHAnsi" w:cs="TimesNewRomanPSMT"/>
          <w:color w:val="000000"/>
        </w:rPr>
        <w:t>LTS11210), mean erosion scores changed minimally between Year 1 and Year 2 (21.64 and 21.83, respectively).</w:t>
      </w:r>
      <w:r w:rsidRPr="00B64E55">
        <w:rPr>
          <w:rFonts w:asciiTheme="minorHAnsi" w:eastAsiaTheme="minorHAnsi" w:hAnsiTheme="minorHAnsi" w:cs="TimesNewRomanPSMT"/>
        </w:rPr>
        <w:t xml:space="preserve"> In the 3</w:t>
      </w:r>
      <w:r w:rsidR="00B84DC4">
        <w:rPr>
          <w:rFonts w:asciiTheme="minorHAnsi" w:eastAsiaTheme="minorHAnsi" w:hAnsiTheme="minorHAnsi" w:cs="TimesNewRomanPSMT"/>
        </w:rPr>
        <w:t xml:space="preserve"> </w:t>
      </w:r>
      <w:r w:rsidRPr="00B64E55">
        <w:rPr>
          <w:rFonts w:asciiTheme="minorHAnsi" w:eastAsiaTheme="minorHAnsi" w:hAnsiTheme="minorHAnsi" w:cs="TimesNewRomanPSMT"/>
        </w:rPr>
        <w:t>year analysis (</w:t>
      </w:r>
      <w:r w:rsidR="00B84DC4">
        <w:rPr>
          <w:rFonts w:asciiTheme="minorHAnsi" w:eastAsiaTheme="minorHAnsi" w:hAnsiTheme="minorHAnsi" w:cs="TimesNewRomanPSMT"/>
          <w:color w:val="000000"/>
        </w:rPr>
        <w:t>Study</w:t>
      </w:r>
      <w:r w:rsidR="00B84DC4" w:rsidRPr="00B64E55">
        <w:rPr>
          <w:rFonts w:asciiTheme="minorHAnsi" w:eastAsiaTheme="minorHAnsi" w:hAnsiTheme="minorHAnsi" w:cs="TimesNewRomanPSMT"/>
        </w:rPr>
        <w:t xml:space="preserve"> </w:t>
      </w:r>
      <w:r w:rsidRPr="00B64E55">
        <w:rPr>
          <w:rFonts w:asciiTheme="minorHAnsi" w:eastAsiaTheme="minorHAnsi" w:hAnsiTheme="minorHAnsi" w:cs="TimesNewRomanPSMT"/>
        </w:rPr>
        <w:t xml:space="preserve">LTS11210), mean erosion scores </w:t>
      </w:r>
      <w:r>
        <w:rPr>
          <w:rFonts w:asciiTheme="minorHAnsi" w:eastAsiaTheme="minorHAnsi" w:hAnsiTheme="minorHAnsi" w:cs="TimesNewRomanPSMT"/>
        </w:rPr>
        <w:t xml:space="preserve">also </w:t>
      </w:r>
      <w:r w:rsidRPr="00B64E55">
        <w:rPr>
          <w:rFonts w:asciiTheme="minorHAnsi" w:eastAsiaTheme="minorHAnsi" w:hAnsiTheme="minorHAnsi" w:cs="TimesNewRomanPSMT"/>
        </w:rPr>
        <w:t>changed minimally between Year 2 and Year 3 (22.46 and 22.56, respectively).</w:t>
      </w:r>
    </w:p>
    <w:p w:rsidR="002928AB" w:rsidRPr="0018196E" w:rsidRDefault="002928AB" w:rsidP="002928AB">
      <w:pPr>
        <w:autoSpaceDE w:val="0"/>
        <w:autoSpaceDN w:val="0"/>
        <w:adjustRightInd w:val="0"/>
        <w:rPr>
          <w:rFonts w:asciiTheme="minorHAnsi" w:eastAsiaTheme="minorHAnsi" w:hAnsiTheme="minorHAnsi" w:cs="TimesNewRomanPSMT"/>
        </w:rPr>
      </w:pPr>
      <w:r w:rsidRPr="00B64E55">
        <w:rPr>
          <w:rFonts w:asciiTheme="minorHAnsi" w:eastAsiaTheme="minorHAnsi" w:hAnsiTheme="minorHAnsi" w:cs="TimesNewRomanPSMT"/>
        </w:rPr>
        <w:t>The joint space narrowing score summarises the severity of joint space narrowing in 30</w:t>
      </w:r>
      <w:r w:rsidR="003A36D9">
        <w:rPr>
          <w:rFonts w:asciiTheme="minorHAnsi" w:eastAsiaTheme="minorHAnsi" w:hAnsiTheme="minorHAnsi" w:cs="TimesNewRomanPSMT"/>
        </w:rPr>
        <w:t> </w:t>
      </w:r>
      <w:r w:rsidRPr="00B64E55">
        <w:rPr>
          <w:rFonts w:asciiTheme="minorHAnsi" w:eastAsiaTheme="minorHAnsi" w:hAnsiTheme="minorHAnsi" w:cs="TimesNewRomanPSMT"/>
        </w:rPr>
        <w:t>joints of the hands and 12 joints of the feet. Assessment of joint space narrowing for each hand (15 joints per hand) and foot (6 joints per foot), including subluxati</w:t>
      </w:r>
      <w:r>
        <w:rPr>
          <w:rFonts w:asciiTheme="minorHAnsi" w:eastAsiaTheme="minorHAnsi" w:hAnsiTheme="minorHAnsi" w:cs="TimesNewRomanPSMT"/>
        </w:rPr>
        <w:t xml:space="preserve">on, is scored from 0 to 4, with 0 </w:t>
      </w:r>
      <w:r w:rsidRPr="00B64E55">
        <w:rPr>
          <w:rFonts w:asciiTheme="minorHAnsi" w:eastAsiaTheme="minorHAnsi" w:hAnsiTheme="minorHAnsi" w:cs="TimesNewRomanPSMT"/>
        </w:rPr>
        <w:t>indicating no/normal joint space narrowing and 4 indicating complete loss of joint space, b</w:t>
      </w:r>
      <w:r>
        <w:rPr>
          <w:rFonts w:asciiTheme="minorHAnsi" w:eastAsiaTheme="minorHAnsi" w:hAnsiTheme="minorHAnsi" w:cs="TimesNewRomanPSMT"/>
        </w:rPr>
        <w:t xml:space="preserve">ony </w:t>
      </w:r>
      <w:proofErr w:type="spellStart"/>
      <w:r w:rsidRPr="00B64E55">
        <w:rPr>
          <w:rFonts w:asciiTheme="minorHAnsi" w:eastAsiaTheme="minorHAnsi" w:hAnsiTheme="minorHAnsi" w:cs="TimesNewRomanPSMT"/>
        </w:rPr>
        <w:t>ankylosis</w:t>
      </w:r>
      <w:proofErr w:type="spellEnd"/>
      <w:r w:rsidRPr="00B64E55">
        <w:rPr>
          <w:rFonts w:asciiTheme="minorHAnsi" w:eastAsiaTheme="minorHAnsi" w:hAnsiTheme="minorHAnsi" w:cs="TimesNewRomanPSMT"/>
        </w:rPr>
        <w:t xml:space="preserve"> or </w:t>
      </w:r>
      <w:r>
        <w:rPr>
          <w:rFonts w:asciiTheme="minorHAnsi" w:eastAsiaTheme="minorHAnsi" w:hAnsiTheme="minorHAnsi" w:cs="TimesNewRomanPSMT"/>
        </w:rPr>
        <w:t>sub</w:t>
      </w:r>
      <w:r w:rsidRPr="00B64E55">
        <w:rPr>
          <w:rFonts w:asciiTheme="minorHAnsi" w:eastAsiaTheme="minorHAnsi" w:hAnsiTheme="minorHAnsi" w:cs="TimesNewRomanPSMT"/>
        </w:rPr>
        <w:t>luxation. Thus, the maximum joint space narrowing score is 168</w:t>
      </w:r>
      <w:r>
        <w:rPr>
          <w:rFonts w:asciiTheme="minorHAnsi" w:eastAsiaTheme="minorHAnsi" w:hAnsiTheme="minorHAnsi" w:cs="TimesNewRomanPSMT"/>
        </w:rPr>
        <w:t xml:space="preserve">. </w:t>
      </w:r>
      <w:r w:rsidRPr="00B64E55">
        <w:rPr>
          <w:rFonts w:asciiTheme="minorHAnsi" w:eastAsiaTheme="minorHAnsi" w:hAnsiTheme="minorHAnsi" w:cs="TimesNewRomanPSMT"/>
          <w:color w:val="000000"/>
        </w:rPr>
        <w:t>In the 2</w:t>
      </w:r>
      <w:r w:rsidR="00B84DC4">
        <w:rPr>
          <w:rFonts w:asciiTheme="minorHAnsi" w:eastAsiaTheme="minorHAnsi" w:hAnsiTheme="minorHAnsi" w:cs="TimesNewRomanPSMT"/>
          <w:color w:val="000000"/>
        </w:rPr>
        <w:t xml:space="preserve"> </w:t>
      </w:r>
      <w:r w:rsidRPr="00B64E55">
        <w:rPr>
          <w:rFonts w:asciiTheme="minorHAnsi" w:eastAsiaTheme="minorHAnsi" w:hAnsiTheme="minorHAnsi" w:cs="TimesNewRomanPSMT"/>
          <w:color w:val="000000"/>
        </w:rPr>
        <w:t>year analysis (</w:t>
      </w:r>
      <w:r w:rsidR="00B84DC4">
        <w:rPr>
          <w:rFonts w:asciiTheme="minorHAnsi" w:eastAsiaTheme="minorHAnsi" w:hAnsiTheme="minorHAnsi" w:cs="TimesNewRomanPSMT"/>
          <w:color w:val="000000"/>
        </w:rPr>
        <w:t>Study</w:t>
      </w:r>
      <w:r w:rsidR="00B84DC4" w:rsidRPr="00B64E55">
        <w:rPr>
          <w:rFonts w:asciiTheme="minorHAnsi" w:eastAsiaTheme="minorHAnsi" w:hAnsiTheme="minorHAnsi" w:cs="TimesNewRomanPSMT"/>
          <w:color w:val="000000"/>
        </w:rPr>
        <w:t xml:space="preserve"> </w:t>
      </w:r>
      <w:r w:rsidRPr="00B64E55">
        <w:rPr>
          <w:rFonts w:asciiTheme="minorHAnsi" w:eastAsiaTheme="minorHAnsi" w:hAnsiTheme="minorHAnsi" w:cs="TimesNewRomanPSMT"/>
          <w:color w:val="000000"/>
        </w:rPr>
        <w:t>LTS11210), mean joint space narrowing scores increased slightly between Year 1 and Year 2 (25.29 and 25.40, respectively). In the 3</w:t>
      </w:r>
      <w:r w:rsidR="00B84DC4">
        <w:rPr>
          <w:rFonts w:asciiTheme="minorHAnsi" w:eastAsiaTheme="minorHAnsi" w:hAnsiTheme="minorHAnsi" w:cs="TimesNewRomanPSMT"/>
          <w:color w:val="000000"/>
        </w:rPr>
        <w:t xml:space="preserve"> </w:t>
      </w:r>
      <w:r w:rsidRPr="00B64E55">
        <w:rPr>
          <w:rFonts w:asciiTheme="minorHAnsi" w:eastAsiaTheme="minorHAnsi" w:hAnsiTheme="minorHAnsi" w:cs="TimesNewRomanPSMT"/>
          <w:color w:val="000000"/>
        </w:rPr>
        <w:t>year analysis (</w:t>
      </w:r>
      <w:r w:rsidR="00B84DC4">
        <w:rPr>
          <w:rFonts w:asciiTheme="minorHAnsi" w:eastAsiaTheme="minorHAnsi" w:hAnsiTheme="minorHAnsi" w:cs="TimesNewRomanPSMT"/>
          <w:color w:val="000000"/>
        </w:rPr>
        <w:t>Study</w:t>
      </w:r>
      <w:r w:rsidR="00B84DC4" w:rsidRPr="00B64E55">
        <w:rPr>
          <w:rFonts w:asciiTheme="minorHAnsi" w:eastAsiaTheme="minorHAnsi" w:hAnsiTheme="minorHAnsi" w:cs="TimesNewRomanPSMT"/>
          <w:color w:val="000000"/>
        </w:rPr>
        <w:t xml:space="preserve"> </w:t>
      </w:r>
      <w:r w:rsidRPr="00B64E55">
        <w:rPr>
          <w:rFonts w:asciiTheme="minorHAnsi" w:eastAsiaTheme="minorHAnsi" w:hAnsiTheme="minorHAnsi" w:cs="TimesNewRomanPSMT"/>
          <w:color w:val="000000"/>
        </w:rPr>
        <w:t xml:space="preserve">LTS11210), mean joint space narrowing scores </w:t>
      </w:r>
      <w:r>
        <w:rPr>
          <w:rFonts w:asciiTheme="minorHAnsi" w:eastAsiaTheme="minorHAnsi" w:hAnsiTheme="minorHAnsi" w:cs="TimesNewRomanPSMT"/>
          <w:color w:val="000000"/>
        </w:rPr>
        <w:t xml:space="preserve">also </w:t>
      </w:r>
      <w:r w:rsidRPr="00B64E55">
        <w:rPr>
          <w:rFonts w:asciiTheme="minorHAnsi" w:eastAsiaTheme="minorHAnsi" w:hAnsiTheme="minorHAnsi" w:cs="TimesNewRomanPSMT"/>
          <w:color w:val="000000"/>
        </w:rPr>
        <w:t>increa</w:t>
      </w:r>
      <w:r>
        <w:rPr>
          <w:rFonts w:asciiTheme="minorHAnsi" w:eastAsiaTheme="minorHAnsi" w:hAnsiTheme="minorHAnsi" w:cs="TimesNewRomanPSMT"/>
          <w:color w:val="000000"/>
        </w:rPr>
        <w:t xml:space="preserve">sed slightly between Year 2 and </w:t>
      </w:r>
      <w:r w:rsidRPr="00B64E55">
        <w:rPr>
          <w:rFonts w:asciiTheme="minorHAnsi" w:eastAsiaTheme="minorHAnsi" w:hAnsiTheme="minorHAnsi" w:cs="TimesNewRomanPSMT"/>
          <w:color w:val="000000"/>
        </w:rPr>
        <w:t>Year 3 (27.25 and 27.56, respectively).</w:t>
      </w:r>
    </w:p>
    <w:p w:rsidR="002928AB" w:rsidRDefault="002928AB" w:rsidP="00B84DC4">
      <w:pPr>
        <w:pStyle w:val="Heading5"/>
        <w:rPr>
          <w:lang w:val="en-US"/>
        </w:rPr>
      </w:pPr>
      <w:r>
        <w:rPr>
          <w:lang w:val="en-US"/>
        </w:rPr>
        <w:t>Comparative benefits of the 150 mg and 200 mg q2w doses</w:t>
      </w:r>
    </w:p>
    <w:p w:rsidR="00AA6B20" w:rsidRDefault="002928AB" w:rsidP="002928AB">
      <w:pPr>
        <w:rPr>
          <w:rFonts w:asciiTheme="minorHAnsi" w:hAnsiTheme="minorHAnsi"/>
          <w:lang w:val="en-US"/>
        </w:rPr>
      </w:pPr>
      <w:r>
        <w:rPr>
          <w:rFonts w:asciiTheme="minorHAnsi" w:hAnsiTheme="minorHAnsi"/>
          <w:lang w:val="en-US"/>
        </w:rPr>
        <w:t>The sponsor has proposed that sarilumab treatment (monotherapy and in combination with DMARD) should be initiated with sarilumab 200 mg q2w and reduced to sarilumab 150 mg q2w in the event of neutro</w:t>
      </w:r>
      <w:r w:rsidR="001E2D44">
        <w:rPr>
          <w:rFonts w:asciiTheme="minorHAnsi" w:hAnsiTheme="minorHAnsi"/>
          <w:lang w:val="en-US"/>
        </w:rPr>
        <w:t>paenia</w:t>
      </w:r>
      <w:r>
        <w:rPr>
          <w:rFonts w:asciiTheme="minorHAnsi" w:hAnsiTheme="minorHAnsi"/>
          <w:lang w:val="en-US"/>
        </w:rPr>
        <w:t>, thrombocyto</w:t>
      </w:r>
      <w:r w:rsidR="001E2D44">
        <w:rPr>
          <w:rFonts w:asciiTheme="minorHAnsi" w:hAnsiTheme="minorHAnsi"/>
          <w:lang w:val="en-US"/>
        </w:rPr>
        <w:t>paenia</w:t>
      </w:r>
      <w:r>
        <w:rPr>
          <w:rFonts w:asciiTheme="minorHAnsi" w:hAnsiTheme="minorHAnsi"/>
          <w:lang w:val="en-US"/>
        </w:rPr>
        <w:t xml:space="preserve"> and ALT increased.</w:t>
      </w:r>
    </w:p>
    <w:p w:rsidR="00AA6B20" w:rsidRDefault="002928AB" w:rsidP="002928AB">
      <w:pPr>
        <w:rPr>
          <w:rFonts w:asciiTheme="minorHAnsi" w:hAnsiTheme="minorHAnsi"/>
          <w:lang w:val="en-US"/>
        </w:rPr>
      </w:pPr>
      <w:r>
        <w:rPr>
          <w:rFonts w:asciiTheme="minorHAnsi" w:hAnsiTheme="minorHAnsi"/>
          <w:lang w:val="en-US"/>
        </w:rPr>
        <w:t>The pivotal monotherapy study (</w:t>
      </w:r>
      <w:r w:rsidR="00B84DC4">
        <w:rPr>
          <w:rFonts w:asciiTheme="minorHAnsi" w:eastAsiaTheme="minorHAnsi" w:hAnsiTheme="minorHAnsi" w:cs="TimesNewRomanPSMT"/>
          <w:color w:val="000000"/>
        </w:rPr>
        <w:t>Study</w:t>
      </w:r>
      <w:r w:rsidR="00B84DC4">
        <w:rPr>
          <w:rFonts w:asciiTheme="minorHAnsi" w:hAnsiTheme="minorHAnsi"/>
          <w:lang w:val="en-US"/>
        </w:rPr>
        <w:t xml:space="preserve"> </w:t>
      </w:r>
      <w:r>
        <w:rPr>
          <w:rFonts w:asciiTheme="minorHAnsi" w:hAnsiTheme="minorHAnsi"/>
          <w:lang w:val="en-US"/>
        </w:rPr>
        <w:t>EFC14092</w:t>
      </w:r>
      <w:r w:rsidR="003A36D9">
        <w:rPr>
          <w:rFonts w:asciiTheme="minorHAnsi" w:hAnsiTheme="minorHAnsi"/>
          <w:lang w:val="en-US"/>
        </w:rPr>
        <w:t>/</w:t>
      </w:r>
      <w:r w:rsidR="001F3EAD">
        <w:t>MONARCH</w:t>
      </w:r>
      <w:r w:rsidR="003A36D9">
        <w:t xml:space="preserve"> trial</w:t>
      </w:r>
      <w:r>
        <w:rPr>
          <w:rFonts w:asciiTheme="minorHAnsi" w:hAnsiTheme="minorHAnsi"/>
          <w:lang w:val="en-US"/>
        </w:rPr>
        <w:t xml:space="preserve">) satisfactorily demonstrated greater efficacy in the sarilumab q2w group than in the adalimumab 40 mg q2w group. However, there were no data in this study evaluating the efficacy of monotherapy 150 mg q2W. Overall, it is considered that the submitted data support initiation of monotherapy treatment with sarilumab 200 mg q2w with dose reduction to 150 mg q2w in the event of toxicity. The long-term extension data from </w:t>
      </w:r>
      <w:r w:rsidR="003D2290">
        <w:rPr>
          <w:rFonts w:asciiTheme="minorHAnsi" w:hAnsiTheme="minorHAnsi"/>
          <w:lang w:val="en-US"/>
        </w:rPr>
        <w:t>Study LTS</w:t>
      </w:r>
      <w:r>
        <w:rPr>
          <w:rFonts w:asciiTheme="minorHAnsi" w:hAnsiTheme="minorHAnsi"/>
          <w:lang w:val="en-US"/>
        </w:rPr>
        <w:t>11210 showed that patients (</w:t>
      </w:r>
      <w:r w:rsidR="007C7C62">
        <w:rPr>
          <w:rFonts w:asciiTheme="minorHAnsi" w:hAnsiTheme="minorHAnsi"/>
          <w:lang w:val="en-US"/>
        </w:rPr>
        <w:t xml:space="preserve">n = </w:t>
      </w:r>
      <w:r>
        <w:rPr>
          <w:rFonts w:asciiTheme="minorHAnsi" w:hAnsiTheme="minorHAnsi"/>
          <w:lang w:val="en-US"/>
        </w:rPr>
        <w:t>111) who had been initially treated with sarilumab 150 mg q2w or 200 mg q2w for 24 weeks could satisfactorily maintain response and remission when treated with sarilumab 200 mg q2w (reducing to 150 q2w in case of toxicity) for up to an additional 48 weeks of open-label treatment.</w:t>
      </w:r>
    </w:p>
    <w:p w:rsidR="00AA6B20" w:rsidRDefault="002928AB" w:rsidP="002928AB">
      <w:pPr>
        <w:rPr>
          <w:rFonts w:asciiTheme="minorHAnsi" w:hAnsiTheme="minorHAnsi"/>
          <w:lang w:val="en-US"/>
        </w:rPr>
      </w:pPr>
      <w:r>
        <w:rPr>
          <w:rFonts w:asciiTheme="minorHAnsi" w:hAnsiTheme="minorHAnsi"/>
          <w:lang w:val="en-US"/>
        </w:rPr>
        <w:t>The two pivotal studies comparing sarilumab (150 mg q2w and 200 mg q2w) in combination with MTX (</w:t>
      </w:r>
      <w:r w:rsidR="00B84DC4">
        <w:rPr>
          <w:rFonts w:asciiTheme="minorHAnsi" w:eastAsiaTheme="minorHAnsi" w:hAnsiTheme="minorHAnsi" w:cs="TimesNewRomanPSMT"/>
          <w:color w:val="000000"/>
        </w:rPr>
        <w:t>Study</w:t>
      </w:r>
      <w:r w:rsidR="00B84DC4">
        <w:rPr>
          <w:rFonts w:asciiTheme="minorHAnsi" w:hAnsiTheme="minorHAnsi"/>
          <w:lang w:val="en-US"/>
        </w:rPr>
        <w:t xml:space="preserve"> </w:t>
      </w:r>
      <w:r>
        <w:rPr>
          <w:rFonts w:asciiTheme="minorHAnsi" w:hAnsiTheme="minorHAnsi"/>
          <w:lang w:val="en-US"/>
        </w:rPr>
        <w:t xml:space="preserve">EFC11072, Part B) or </w:t>
      </w:r>
      <w:proofErr w:type="spellStart"/>
      <w:r>
        <w:rPr>
          <w:rFonts w:asciiTheme="minorHAnsi" w:hAnsiTheme="minorHAnsi"/>
          <w:lang w:val="en-US"/>
        </w:rPr>
        <w:t>cDMARD</w:t>
      </w:r>
      <w:proofErr w:type="spellEnd"/>
      <w:r>
        <w:rPr>
          <w:rFonts w:asciiTheme="minorHAnsi" w:hAnsiTheme="minorHAnsi"/>
          <w:lang w:val="en-US"/>
        </w:rPr>
        <w:t xml:space="preserve"> not limited to MTX (</w:t>
      </w:r>
      <w:r w:rsidR="00B84DC4">
        <w:rPr>
          <w:rFonts w:asciiTheme="minorHAnsi" w:eastAsiaTheme="minorHAnsi" w:hAnsiTheme="minorHAnsi" w:cs="TimesNewRomanPSMT"/>
          <w:color w:val="000000"/>
        </w:rPr>
        <w:t>Study</w:t>
      </w:r>
      <w:r w:rsidR="003A36D9">
        <w:rPr>
          <w:rFonts w:asciiTheme="minorHAnsi" w:hAnsiTheme="minorHAnsi"/>
          <w:lang w:val="en-US"/>
        </w:rPr>
        <w:t> </w:t>
      </w:r>
      <w:r>
        <w:rPr>
          <w:rFonts w:asciiTheme="minorHAnsi" w:hAnsiTheme="minorHAnsi"/>
          <w:lang w:val="en-US"/>
        </w:rPr>
        <w:t xml:space="preserve">EFC10832) showed that both doses of sarilumab had significantly greater efficacy than placebo. Comparison between both sarilumab doses showed that the efficacy of the higher sarilumab dose (200 mg q2w) was numerically better than the efficacy of the lower sarilumab dose (150 mg q2w) for the three co-primary efficacy endpoints and the major secondary endpoint in </w:t>
      </w:r>
      <w:r w:rsidR="00894642">
        <w:rPr>
          <w:rFonts w:asciiTheme="minorHAnsi" w:hAnsiTheme="minorHAnsi"/>
          <w:lang w:val="en-US"/>
        </w:rPr>
        <w:t>Study EFC</w:t>
      </w:r>
      <w:r>
        <w:rPr>
          <w:rFonts w:asciiTheme="minorHAnsi" w:hAnsiTheme="minorHAnsi"/>
          <w:lang w:val="en-US"/>
        </w:rPr>
        <w:t xml:space="preserve">11072 Part B, and for the two co-primary efficacy endpoints in </w:t>
      </w:r>
      <w:r w:rsidR="00894642">
        <w:rPr>
          <w:rFonts w:asciiTheme="minorHAnsi" w:hAnsiTheme="minorHAnsi"/>
          <w:lang w:val="en-US"/>
        </w:rPr>
        <w:t>Study EFC</w:t>
      </w:r>
      <w:r>
        <w:rPr>
          <w:rFonts w:asciiTheme="minorHAnsi" w:hAnsiTheme="minorHAnsi"/>
          <w:lang w:val="en-US"/>
        </w:rPr>
        <w:t>10832. This pattern was consistently observed in both studies for the numerous secondary efficacy endpoints. However, in neither of two pivotal studies was the comparative efficacy of the two sarilumab dose regimens formally analysed, with all comparisons between the two dose regimens being descriptive rather than inferential.</w:t>
      </w:r>
    </w:p>
    <w:p w:rsidR="00AA6B20" w:rsidRDefault="002928AB" w:rsidP="002928AB">
      <w:pPr>
        <w:autoSpaceDE w:val="0"/>
        <w:autoSpaceDN w:val="0"/>
        <w:adjustRightInd w:val="0"/>
        <w:spacing w:before="0" w:after="0" w:line="240" w:lineRule="auto"/>
        <w:rPr>
          <w:rFonts w:cs="Times"/>
          <w:lang w:val="en-US"/>
        </w:rPr>
      </w:pPr>
      <w:r>
        <w:rPr>
          <w:rFonts w:asciiTheme="minorHAnsi" w:hAnsiTheme="minorHAnsi"/>
          <w:lang w:val="en-US"/>
        </w:rPr>
        <w:lastRenderedPageBreak/>
        <w:t>In support of initiating treatment with the higher sarilumab dose (</w:t>
      </w:r>
      <w:r w:rsidR="003D46BB">
        <w:rPr>
          <w:rFonts w:asciiTheme="minorHAnsi" w:hAnsiTheme="minorHAnsi"/>
          <w:lang w:val="en-US"/>
        </w:rPr>
        <w:t>20</w:t>
      </w:r>
      <w:r>
        <w:rPr>
          <w:rFonts w:asciiTheme="minorHAnsi" w:hAnsiTheme="minorHAnsi"/>
          <w:lang w:val="en-US"/>
        </w:rPr>
        <w:t xml:space="preserve">0 mg q2w) rather than the lower sarilumab dose (150 mg q2w), </w:t>
      </w:r>
      <w:r>
        <w:rPr>
          <w:rFonts w:cs="Times"/>
          <w:lang w:val="en-US"/>
        </w:rPr>
        <w:t>the</w:t>
      </w:r>
      <w:r w:rsidRPr="00097FAE">
        <w:rPr>
          <w:rFonts w:cs="Times"/>
          <w:lang w:val="en-US"/>
        </w:rPr>
        <w:t xml:space="preserve"> sponsor </w:t>
      </w:r>
      <w:r>
        <w:rPr>
          <w:rFonts w:cs="Times"/>
          <w:lang w:val="en-US"/>
        </w:rPr>
        <w:t>reviewed the</w:t>
      </w:r>
      <w:r w:rsidRPr="00097FAE">
        <w:rPr>
          <w:rFonts w:cs="Times"/>
          <w:lang w:val="en-US"/>
        </w:rPr>
        <w:t xml:space="preserve"> 3 year data from </w:t>
      </w:r>
      <w:r>
        <w:rPr>
          <w:rFonts w:cs="Times"/>
          <w:lang w:val="en-US"/>
        </w:rPr>
        <w:t xml:space="preserve">the long-term </w:t>
      </w:r>
      <w:r w:rsidR="003D2290">
        <w:rPr>
          <w:rFonts w:cs="Times"/>
          <w:lang w:val="en-US"/>
        </w:rPr>
        <w:t>Study LTS</w:t>
      </w:r>
      <w:r w:rsidRPr="00097FAE">
        <w:rPr>
          <w:rFonts w:cs="Times"/>
          <w:lang w:val="en-US"/>
        </w:rPr>
        <w:t xml:space="preserve">11210 relating to radiological progression of structural joint damage (mean change from baseline in </w:t>
      </w:r>
      <w:proofErr w:type="spellStart"/>
      <w:r w:rsidRPr="00097FAE">
        <w:rPr>
          <w:rFonts w:cs="Times"/>
          <w:lang w:val="en-US"/>
        </w:rPr>
        <w:t>mTSS</w:t>
      </w:r>
      <w:proofErr w:type="spellEnd"/>
      <w:r w:rsidRPr="00097FAE">
        <w:rPr>
          <w:rFonts w:cs="Times"/>
          <w:lang w:val="en-US"/>
        </w:rPr>
        <w:t xml:space="preserve">) in patients from </w:t>
      </w:r>
      <w:r w:rsidR="00894642">
        <w:rPr>
          <w:rFonts w:cs="Times"/>
          <w:lang w:val="en-US"/>
        </w:rPr>
        <w:t>Study EFC</w:t>
      </w:r>
      <w:r>
        <w:rPr>
          <w:rFonts w:cs="Times"/>
          <w:lang w:val="en-US"/>
        </w:rPr>
        <w:t>11072 Part B (MOBILITY</w:t>
      </w:r>
      <w:r w:rsidR="003A36D9">
        <w:rPr>
          <w:rFonts w:cs="Times"/>
          <w:lang w:val="en-US"/>
        </w:rPr>
        <w:t xml:space="preserve"> trial</w:t>
      </w:r>
      <w:r>
        <w:rPr>
          <w:rFonts w:cs="Times"/>
          <w:lang w:val="en-US"/>
        </w:rPr>
        <w:t xml:space="preserve">) </w:t>
      </w:r>
      <w:r w:rsidRPr="00097FAE">
        <w:rPr>
          <w:rFonts w:cs="Times"/>
          <w:lang w:val="en-US"/>
        </w:rPr>
        <w:t>who entered the long-term extension study</w:t>
      </w:r>
      <w:r>
        <w:rPr>
          <w:rFonts w:cs="Times"/>
          <w:lang w:val="en-US"/>
        </w:rPr>
        <w:t xml:space="preserve"> and continued treatment with sarilumab 200 mg q2w in combination with </w:t>
      </w:r>
      <w:proofErr w:type="spellStart"/>
      <w:r>
        <w:rPr>
          <w:rFonts w:cs="Times"/>
          <w:lang w:val="en-US"/>
        </w:rPr>
        <w:t>cDMARD</w:t>
      </w:r>
      <w:proofErr w:type="spellEnd"/>
      <w:r>
        <w:rPr>
          <w:rFonts w:cs="Times"/>
          <w:lang w:val="en-US"/>
        </w:rPr>
        <w:t xml:space="preserve">. These data were reviewed by the ACM in April 2017. The sponsor commented that, </w:t>
      </w:r>
      <w:r w:rsidRPr="00097FAE">
        <w:rPr>
          <w:rFonts w:cs="Times"/>
          <w:lang w:val="en-US"/>
        </w:rPr>
        <w:t xml:space="preserve">despite all patients receiving sarilumab 200 mg q2W on entry into </w:t>
      </w:r>
      <w:r w:rsidR="003D2290">
        <w:rPr>
          <w:rFonts w:cs="Times"/>
          <w:lang w:val="en-US"/>
        </w:rPr>
        <w:t>Study LTS</w:t>
      </w:r>
      <w:r w:rsidRPr="00097FAE">
        <w:rPr>
          <w:rFonts w:cs="Times"/>
          <w:lang w:val="en-US"/>
        </w:rPr>
        <w:t>11210</w:t>
      </w:r>
      <w:r>
        <w:rPr>
          <w:rFonts w:cs="Times"/>
          <w:lang w:val="en-US"/>
        </w:rPr>
        <w:t xml:space="preserve"> from </w:t>
      </w:r>
      <w:r w:rsidR="00894642">
        <w:rPr>
          <w:rFonts w:cs="Times"/>
          <w:lang w:val="en-US"/>
        </w:rPr>
        <w:t>Study EFC</w:t>
      </w:r>
      <w:r>
        <w:rPr>
          <w:rFonts w:cs="Times"/>
          <w:lang w:val="en-US"/>
        </w:rPr>
        <w:t>11072</w:t>
      </w:r>
      <w:r w:rsidRPr="00097FAE">
        <w:rPr>
          <w:rFonts w:cs="Times"/>
          <w:lang w:val="en-US"/>
        </w:rPr>
        <w:t xml:space="preserve">, patients who were </w:t>
      </w:r>
      <w:r>
        <w:rPr>
          <w:rFonts w:cs="Times"/>
          <w:lang w:val="en-US"/>
        </w:rPr>
        <w:t xml:space="preserve">initially </w:t>
      </w:r>
      <w:r w:rsidRPr="00097FAE">
        <w:rPr>
          <w:rFonts w:cs="Times"/>
          <w:lang w:val="en-US"/>
        </w:rPr>
        <w:t xml:space="preserve">randomised to 200 mg </w:t>
      </w:r>
      <w:r>
        <w:rPr>
          <w:rFonts w:cs="Times"/>
          <w:lang w:val="en-US"/>
        </w:rPr>
        <w:t xml:space="preserve">q2w </w:t>
      </w:r>
      <w:r w:rsidRPr="00097FAE">
        <w:rPr>
          <w:rFonts w:cs="Times"/>
          <w:lang w:val="en-US"/>
        </w:rPr>
        <w:t>at baseline (</w:t>
      </w:r>
      <w:r w:rsidR="003A36D9">
        <w:rPr>
          <w:rFonts w:cs="Times"/>
          <w:lang w:val="en-US"/>
        </w:rPr>
        <w:t xml:space="preserve">Study </w:t>
      </w:r>
      <w:r>
        <w:rPr>
          <w:rFonts w:cs="Times"/>
          <w:lang w:val="en-US"/>
        </w:rPr>
        <w:t>EFC</w:t>
      </w:r>
      <w:r w:rsidRPr="00097FAE">
        <w:rPr>
          <w:rFonts w:cs="Times"/>
          <w:lang w:val="en-US"/>
        </w:rPr>
        <w:t xml:space="preserve">11072) continued to have better radiologic outcomes than patients who were </w:t>
      </w:r>
      <w:r>
        <w:rPr>
          <w:rFonts w:cs="Times"/>
          <w:lang w:val="en-US"/>
        </w:rPr>
        <w:t xml:space="preserve">initially </w:t>
      </w:r>
      <w:r w:rsidRPr="00097FAE">
        <w:rPr>
          <w:rFonts w:cs="Times"/>
          <w:lang w:val="en-US"/>
        </w:rPr>
        <w:t xml:space="preserve">randomised to 150 mg </w:t>
      </w:r>
      <w:r>
        <w:rPr>
          <w:rFonts w:cs="Times"/>
          <w:lang w:val="en-US"/>
        </w:rPr>
        <w:t>q2w at baseline (</w:t>
      </w:r>
      <w:r w:rsidR="003A36D9">
        <w:rPr>
          <w:rFonts w:cs="Times"/>
          <w:lang w:val="en-US"/>
        </w:rPr>
        <w:t xml:space="preserve">Study </w:t>
      </w:r>
      <w:r>
        <w:rPr>
          <w:rFonts w:cs="Times"/>
          <w:lang w:val="en-US"/>
        </w:rPr>
        <w:t>EFC</w:t>
      </w:r>
      <w:r w:rsidRPr="00097FAE">
        <w:rPr>
          <w:rFonts w:cs="Times"/>
          <w:lang w:val="en-US"/>
        </w:rPr>
        <w:t>11072) at all time-points up to an</w:t>
      </w:r>
      <w:r>
        <w:rPr>
          <w:rFonts w:cs="Times"/>
          <w:lang w:val="en-US"/>
        </w:rPr>
        <w:t>d</w:t>
      </w:r>
      <w:r w:rsidRPr="00097FAE">
        <w:rPr>
          <w:rFonts w:cs="Times"/>
          <w:lang w:val="en-US"/>
        </w:rPr>
        <w:t xml:space="preserve"> including </w:t>
      </w:r>
      <w:r w:rsidR="00B84DC4">
        <w:rPr>
          <w:rFonts w:cs="Times"/>
          <w:lang w:val="en-US"/>
        </w:rPr>
        <w:t>Y</w:t>
      </w:r>
      <w:r w:rsidRPr="00097FAE">
        <w:rPr>
          <w:rFonts w:cs="Times"/>
          <w:lang w:val="en-US"/>
        </w:rPr>
        <w:t>ear 3.</w:t>
      </w:r>
    </w:p>
    <w:p w:rsidR="00AA6B20" w:rsidRDefault="002928AB" w:rsidP="002928AB">
      <w:pPr>
        <w:rPr>
          <w:rFonts w:cs="Times"/>
          <w:lang w:val="en-US"/>
        </w:rPr>
      </w:pPr>
      <w:r>
        <w:rPr>
          <w:rFonts w:cs="Times"/>
          <w:lang w:val="en-US"/>
        </w:rPr>
        <w:t xml:space="preserve">Overall, the data </w:t>
      </w:r>
      <w:r w:rsidRPr="00097FAE">
        <w:rPr>
          <w:rFonts w:cs="Times"/>
          <w:lang w:val="en-US"/>
        </w:rPr>
        <w:t xml:space="preserve">showed that progression of radiological structural joint damage was less marked in patients </w:t>
      </w:r>
      <w:r>
        <w:rPr>
          <w:rFonts w:cs="Times"/>
          <w:lang w:val="en-US"/>
        </w:rPr>
        <w:t>initiating treatment</w:t>
      </w:r>
      <w:r w:rsidRPr="00097FAE">
        <w:rPr>
          <w:rFonts w:cs="Times"/>
          <w:lang w:val="en-US"/>
        </w:rPr>
        <w:t xml:space="preserve"> with </w:t>
      </w:r>
      <w:r>
        <w:rPr>
          <w:rFonts w:cs="Times"/>
          <w:lang w:val="en-US"/>
        </w:rPr>
        <w:t xml:space="preserve">sarilumab </w:t>
      </w:r>
      <w:r w:rsidRPr="00097FAE">
        <w:rPr>
          <w:rFonts w:cs="Times"/>
          <w:lang w:val="en-US"/>
        </w:rPr>
        <w:t xml:space="preserve">200 mg q2w and </w:t>
      </w:r>
      <w:r>
        <w:rPr>
          <w:rFonts w:cs="Times"/>
          <w:lang w:val="en-US"/>
        </w:rPr>
        <w:t>continuing</w:t>
      </w:r>
      <w:r w:rsidRPr="00097FAE">
        <w:rPr>
          <w:rFonts w:cs="Times"/>
          <w:lang w:val="en-US"/>
        </w:rPr>
        <w:t xml:space="preserve"> at this dose than in patients </w:t>
      </w:r>
      <w:r>
        <w:rPr>
          <w:rFonts w:cs="Times"/>
          <w:lang w:val="en-US"/>
        </w:rPr>
        <w:t xml:space="preserve">initiating treatment with sarilumab </w:t>
      </w:r>
      <w:r w:rsidRPr="00097FAE">
        <w:rPr>
          <w:rFonts w:cs="Times"/>
          <w:lang w:val="en-US"/>
        </w:rPr>
        <w:t>150 mg</w:t>
      </w:r>
      <w:r>
        <w:rPr>
          <w:rFonts w:cs="Times"/>
          <w:lang w:val="en-US"/>
        </w:rPr>
        <w:t xml:space="preserve"> q2w and subsequently increasing the sarilumab dose </w:t>
      </w:r>
      <w:r w:rsidRPr="00097FAE">
        <w:rPr>
          <w:rFonts w:cs="Times"/>
          <w:lang w:val="en-US"/>
        </w:rPr>
        <w:t>to 200 mg q2</w:t>
      </w:r>
      <w:r>
        <w:rPr>
          <w:rFonts w:cs="Times"/>
          <w:lang w:val="en-US"/>
        </w:rPr>
        <w:t xml:space="preserve">w. The results for the mean change from baseline through to Week 148 for those patients from </w:t>
      </w:r>
      <w:r w:rsidR="00894642">
        <w:rPr>
          <w:rFonts w:cs="Times"/>
          <w:lang w:val="en-US"/>
        </w:rPr>
        <w:t>Study EFC</w:t>
      </w:r>
      <w:r>
        <w:rPr>
          <w:rFonts w:cs="Times"/>
          <w:lang w:val="en-US"/>
        </w:rPr>
        <w:t>11072 Part B entering after 52 weeks treatment and continuing treatment in LTS11210 for an additional 96</w:t>
      </w:r>
      <w:r w:rsidR="00FD15F9">
        <w:rPr>
          <w:rFonts w:cs="Times"/>
          <w:lang w:val="en-US"/>
        </w:rPr>
        <w:t> </w:t>
      </w:r>
      <w:r>
        <w:rPr>
          <w:rFonts w:cs="Times"/>
          <w:lang w:val="en-US"/>
        </w:rPr>
        <w:t xml:space="preserve">weeks (total of 148 weeks treatment from baseline) </w:t>
      </w:r>
      <w:r w:rsidR="00B84DC4">
        <w:rPr>
          <w:rFonts w:cs="Times"/>
          <w:lang w:val="en-US"/>
        </w:rPr>
        <w:t xml:space="preserve">are summarised below in Figure </w:t>
      </w:r>
      <w:r w:rsidR="008948C4">
        <w:rPr>
          <w:rFonts w:cs="Times"/>
          <w:lang w:val="en-US"/>
        </w:rPr>
        <w:t>8</w:t>
      </w:r>
      <w:r>
        <w:rPr>
          <w:rFonts w:cs="Times"/>
          <w:lang w:val="en-US"/>
        </w:rPr>
        <w:t>.</w:t>
      </w:r>
    </w:p>
    <w:p w:rsidR="002928AB" w:rsidRPr="00097FAE" w:rsidRDefault="002928AB" w:rsidP="008948C4">
      <w:pPr>
        <w:pStyle w:val="FigureTitle"/>
        <w:rPr>
          <w:lang w:val="en-US"/>
        </w:rPr>
      </w:pPr>
      <w:bookmarkStart w:id="146" w:name="_Toc514682704"/>
      <w:r>
        <w:t xml:space="preserve">Figure </w:t>
      </w:r>
      <w:r w:rsidR="008948C4">
        <w:t>8:</w:t>
      </w:r>
      <w:r>
        <w:t xml:space="preserve"> </w:t>
      </w:r>
      <w:r w:rsidR="003A36D9">
        <w:t xml:space="preserve">Study </w:t>
      </w:r>
      <w:r w:rsidRPr="00097FAE">
        <w:rPr>
          <w:lang w:val="en-US"/>
        </w:rPr>
        <w:t xml:space="preserve">LTS11210 Mean change from baseline in </w:t>
      </w:r>
      <w:proofErr w:type="spellStart"/>
      <w:r w:rsidRPr="00097FAE">
        <w:rPr>
          <w:lang w:val="en-US"/>
        </w:rPr>
        <w:t>mTSS</w:t>
      </w:r>
      <w:proofErr w:type="spellEnd"/>
      <w:r w:rsidRPr="00097FAE">
        <w:rPr>
          <w:lang w:val="en-US"/>
        </w:rPr>
        <w:t xml:space="preserve"> </w:t>
      </w:r>
      <w:r>
        <w:rPr>
          <w:lang w:val="en-US"/>
        </w:rPr>
        <w:t>in the 3</w:t>
      </w:r>
      <w:r w:rsidR="00B55A4D">
        <w:rPr>
          <w:lang w:val="en-US"/>
        </w:rPr>
        <w:t xml:space="preserve"> </w:t>
      </w:r>
      <w:r>
        <w:rPr>
          <w:lang w:val="en-US"/>
        </w:rPr>
        <w:t>year analysis</w:t>
      </w:r>
      <w:r w:rsidR="003A36D9">
        <w:rPr>
          <w:lang w:val="en-US"/>
        </w:rPr>
        <w:t>;</w:t>
      </w:r>
      <w:r w:rsidRPr="00097FAE">
        <w:rPr>
          <w:lang w:val="en-US"/>
        </w:rPr>
        <w:t xml:space="preserve"> ITT population</w:t>
      </w:r>
      <w:bookmarkEnd w:id="146"/>
    </w:p>
    <w:p w:rsidR="002928AB" w:rsidRDefault="002928AB" w:rsidP="002928AB">
      <w:pPr>
        <w:widowControl w:val="0"/>
        <w:autoSpaceDE w:val="0"/>
        <w:autoSpaceDN w:val="0"/>
        <w:adjustRightInd w:val="0"/>
        <w:spacing w:before="0" w:after="240" w:line="240" w:lineRule="auto"/>
        <w:rPr>
          <w:rFonts w:ascii="Times" w:eastAsiaTheme="minorHAnsi" w:hAnsi="Times" w:cs="Times"/>
          <w:sz w:val="24"/>
          <w:szCs w:val="24"/>
          <w:lang w:val="en-US"/>
        </w:rPr>
      </w:pPr>
      <w:r>
        <w:rPr>
          <w:noProof/>
          <w:lang w:eastAsia="en-AU"/>
        </w:rPr>
        <w:drawing>
          <wp:inline distT="0" distB="0" distL="0" distR="0" wp14:anchorId="4CAC5AE4" wp14:editId="0B27B15A">
            <wp:extent cx="5032800" cy="2757600"/>
            <wp:effectExtent l="0" t="0" r="0" b="5080"/>
            <wp:docPr id="2273" name="Picture 1" descr="LTS11210 Mean change from baseline in mTSS in the 3-year analysis,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lum bright="-20000" contrast="40000"/>
                      <a:extLst>
                        <a:ext uri="{28A0092B-C50C-407E-A947-70E740481C1C}">
                          <a14:useLocalDpi xmlns:a14="http://schemas.microsoft.com/office/drawing/2010/main" val="0"/>
                        </a:ext>
                      </a:extLst>
                    </a:blip>
                    <a:srcRect/>
                    <a:stretch>
                      <a:fillRect/>
                    </a:stretch>
                  </pic:blipFill>
                  <pic:spPr bwMode="auto">
                    <a:xfrm>
                      <a:off x="0" y="0"/>
                      <a:ext cx="5032800" cy="2757600"/>
                    </a:xfrm>
                    <a:prstGeom prst="rect">
                      <a:avLst/>
                    </a:prstGeom>
                    <a:noFill/>
                    <a:ln>
                      <a:noFill/>
                    </a:ln>
                  </pic:spPr>
                </pic:pic>
              </a:graphicData>
            </a:graphic>
          </wp:inline>
        </w:drawing>
      </w:r>
    </w:p>
    <w:p w:rsidR="00AA6B20" w:rsidRDefault="002928AB" w:rsidP="002928AB">
      <w:pPr>
        <w:rPr>
          <w:lang w:val="en-US"/>
        </w:rPr>
      </w:pPr>
      <w:r>
        <w:rPr>
          <w:lang w:val="en-US"/>
        </w:rPr>
        <w:t xml:space="preserve">In </w:t>
      </w:r>
      <w:r w:rsidR="003D2290">
        <w:rPr>
          <w:lang w:val="en-US"/>
        </w:rPr>
        <w:t>Study LTS</w:t>
      </w:r>
      <w:r>
        <w:rPr>
          <w:lang w:val="en-US"/>
        </w:rPr>
        <w:t>11210, t</w:t>
      </w:r>
      <w:r w:rsidRPr="00716194">
        <w:rPr>
          <w:lang w:val="en-US"/>
        </w:rPr>
        <w:t xml:space="preserve">he mean change from baseline in </w:t>
      </w:r>
      <w:proofErr w:type="spellStart"/>
      <w:r w:rsidRPr="00716194">
        <w:rPr>
          <w:lang w:val="en-US"/>
        </w:rPr>
        <w:t>mTSS</w:t>
      </w:r>
      <w:proofErr w:type="spellEnd"/>
      <w:r w:rsidRPr="00716194">
        <w:rPr>
          <w:lang w:val="en-US"/>
        </w:rPr>
        <w:t xml:space="preserve"> at Week 148 (Year</w:t>
      </w:r>
      <w:r>
        <w:rPr>
          <w:lang w:val="en-US"/>
        </w:rPr>
        <w:t xml:space="preserve"> 3) was greatest (greatest </w:t>
      </w:r>
      <w:r w:rsidRPr="00716194">
        <w:rPr>
          <w:lang w:val="en-US"/>
        </w:rPr>
        <w:t>progression</w:t>
      </w:r>
      <w:r>
        <w:rPr>
          <w:lang w:val="en-US"/>
        </w:rPr>
        <w:t xml:space="preserve"> in joint damage</w:t>
      </w:r>
      <w:r w:rsidRPr="00716194">
        <w:rPr>
          <w:lang w:val="en-US"/>
        </w:rPr>
        <w:t>) in patients initially treated with placebo</w:t>
      </w:r>
      <w:r>
        <w:rPr>
          <w:lang w:val="en-US"/>
        </w:rPr>
        <w:t xml:space="preserve"> + MTX</w:t>
      </w:r>
      <w:r w:rsidRPr="00716194">
        <w:rPr>
          <w:lang w:val="en-US"/>
        </w:rPr>
        <w:t xml:space="preserve"> </w:t>
      </w:r>
      <w:r>
        <w:rPr>
          <w:lang w:val="en-US"/>
        </w:rPr>
        <w:t xml:space="preserve">in </w:t>
      </w:r>
      <w:r w:rsidR="00894642">
        <w:rPr>
          <w:lang w:val="en-US"/>
        </w:rPr>
        <w:t>Study EFC</w:t>
      </w:r>
      <w:r>
        <w:rPr>
          <w:lang w:val="en-US"/>
        </w:rPr>
        <w:t xml:space="preserve">11072, Part B, </w:t>
      </w:r>
      <w:r w:rsidRPr="00716194">
        <w:rPr>
          <w:lang w:val="en-US"/>
        </w:rPr>
        <w:t>and smallest (least progression</w:t>
      </w:r>
      <w:r>
        <w:rPr>
          <w:lang w:val="en-US"/>
        </w:rPr>
        <w:t xml:space="preserve"> in joint damage</w:t>
      </w:r>
      <w:r w:rsidRPr="00716194">
        <w:rPr>
          <w:lang w:val="en-US"/>
        </w:rPr>
        <w:t>) in patients initially tr</w:t>
      </w:r>
      <w:r>
        <w:rPr>
          <w:lang w:val="en-US"/>
        </w:rPr>
        <w:t xml:space="preserve">eated with sarilumab 200 mg q2w + MTX, with the mean change in patients initially treated with sarilumab 150 mg q2w + MTX falling between the other two treatment groups. </w:t>
      </w:r>
      <w:r w:rsidRPr="00716194">
        <w:rPr>
          <w:lang w:val="en-US"/>
        </w:rPr>
        <w:t xml:space="preserve">The results are summarised below in Table </w:t>
      </w:r>
      <w:r w:rsidR="00D75C1B">
        <w:rPr>
          <w:lang w:val="en-US"/>
        </w:rPr>
        <w:t>22</w:t>
      </w:r>
      <w:r>
        <w:rPr>
          <w:lang w:val="en-US"/>
        </w:rPr>
        <w:t>.</w:t>
      </w:r>
    </w:p>
    <w:p w:rsidR="002928AB" w:rsidRPr="009B05A6" w:rsidRDefault="002928AB" w:rsidP="001A7C72">
      <w:pPr>
        <w:pStyle w:val="Tabletitle0"/>
        <w:rPr>
          <w:lang w:val="en-US"/>
        </w:rPr>
      </w:pPr>
      <w:bookmarkStart w:id="147" w:name="_Toc514687836"/>
      <w:r>
        <w:lastRenderedPageBreak/>
        <w:t xml:space="preserve">Table </w:t>
      </w:r>
      <w:r w:rsidR="00D75C1B">
        <w:t>22</w:t>
      </w:r>
      <w:r>
        <w:t xml:space="preserve">: </w:t>
      </w:r>
      <w:r w:rsidRPr="00716194">
        <w:rPr>
          <w:lang w:val="en-US"/>
        </w:rPr>
        <w:t xml:space="preserve">Mean change from baseline in the </w:t>
      </w:r>
      <w:proofErr w:type="spellStart"/>
      <w:r w:rsidRPr="00716194">
        <w:rPr>
          <w:lang w:val="en-US"/>
        </w:rPr>
        <w:t>mTSS</w:t>
      </w:r>
      <w:proofErr w:type="spellEnd"/>
      <w:r w:rsidRPr="00716194">
        <w:rPr>
          <w:lang w:val="en-US"/>
        </w:rPr>
        <w:t xml:space="preserve"> at Week 148 from baseline for patients entering </w:t>
      </w:r>
      <w:r w:rsidR="003D2290">
        <w:rPr>
          <w:lang w:val="en-US"/>
        </w:rPr>
        <w:t>Study LTS</w:t>
      </w:r>
      <w:r w:rsidRPr="00716194">
        <w:rPr>
          <w:lang w:val="en-US"/>
        </w:rPr>
        <w:t xml:space="preserve">11210 from </w:t>
      </w:r>
      <w:r w:rsidR="00894642">
        <w:rPr>
          <w:lang w:val="en-US"/>
        </w:rPr>
        <w:t>Study EFC</w:t>
      </w:r>
      <w:r w:rsidRPr="00716194">
        <w:rPr>
          <w:lang w:val="en-US"/>
        </w:rPr>
        <w:t>11072</w:t>
      </w:r>
      <w:r>
        <w:rPr>
          <w:lang w:val="en-US"/>
        </w:rPr>
        <w:t xml:space="preserve"> in the 3 year analysis</w:t>
      </w:r>
      <w:r w:rsidR="003A36D9">
        <w:rPr>
          <w:lang w:val="en-US"/>
        </w:rPr>
        <w:t>;</w:t>
      </w:r>
      <w:r w:rsidR="003A36D9" w:rsidRPr="00716194">
        <w:rPr>
          <w:lang w:val="en-US"/>
        </w:rPr>
        <w:t xml:space="preserve"> </w:t>
      </w:r>
      <w:r w:rsidRPr="00716194">
        <w:rPr>
          <w:lang w:val="en-US"/>
        </w:rPr>
        <w:t>ITT population</w:t>
      </w:r>
      <w:bookmarkEnd w:id="147"/>
    </w:p>
    <w:tbl>
      <w:tblPr>
        <w:tblStyle w:val="TableTGAblue"/>
        <w:tblW w:w="8601" w:type="dxa"/>
        <w:tblLook w:val="04A0" w:firstRow="1" w:lastRow="0" w:firstColumn="1" w:lastColumn="0" w:noHBand="0" w:noVBand="1"/>
      </w:tblPr>
      <w:tblGrid>
        <w:gridCol w:w="2396"/>
        <w:gridCol w:w="1754"/>
        <w:gridCol w:w="2158"/>
        <w:gridCol w:w="2293"/>
      </w:tblGrid>
      <w:tr w:rsidR="002928AB" w:rsidRPr="006609A4" w:rsidTr="00FD15F9">
        <w:trPr>
          <w:cnfStyle w:val="100000000000" w:firstRow="1" w:lastRow="0" w:firstColumn="0" w:lastColumn="0" w:oddVBand="0" w:evenVBand="0" w:oddHBand="0" w:evenHBand="0" w:firstRowFirstColumn="0" w:firstRowLastColumn="0" w:lastRowFirstColumn="0" w:lastRowLastColumn="0"/>
          <w:trHeight w:val="956"/>
        </w:trPr>
        <w:tc>
          <w:tcPr>
            <w:tcW w:w="2396" w:type="dxa"/>
          </w:tcPr>
          <w:p w:rsidR="002928AB" w:rsidRPr="001A7C72" w:rsidRDefault="002928AB" w:rsidP="001A7C72">
            <w:pPr>
              <w:rPr>
                <w:sz w:val="20"/>
                <w:szCs w:val="20"/>
                <w:lang w:val="en-US"/>
              </w:rPr>
            </w:pPr>
            <w:proofErr w:type="spellStart"/>
            <w:r w:rsidRPr="001A7C72">
              <w:rPr>
                <w:sz w:val="20"/>
                <w:szCs w:val="20"/>
                <w:lang w:val="en-US"/>
              </w:rPr>
              <w:t>mTSS</w:t>
            </w:r>
            <w:proofErr w:type="spellEnd"/>
            <w:r w:rsidRPr="001A7C72">
              <w:rPr>
                <w:sz w:val="20"/>
                <w:szCs w:val="20"/>
                <w:lang w:val="en-US"/>
              </w:rPr>
              <w:t xml:space="preserve"> (score 0-448)</w:t>
            </w:r>
          </w:p>
        </w:tc>
        <w:tc>
          <w:tcPr>
            <w:tcW w:w="1754" w:type="dxa"/>
          </w:tcPr>
          <w:p w:rsidR="002928AB" w:rsidRPr="001A7C72" w:rsidRDefault="002928AB" w:rsidP="001A7C72">
            <w:pPr>
              <w:rPr>
                <w:sz w:val="20"/>
                <w:szCs w:val="20"/>
                <w:lang w:val="en-US"/>
              </w:rPr>
            </w:pPr>
            <w:r w:rsidRPr="001A7C72">
              <w:rPr>
                <w:sz w:val="20"/>
                <w:szCs w:val="20"/>
                <w:lang w:val="en-US"/>
              </w:rPr>
              <w:t>Placebo + MTX (</w:t>
            </w:r>
            <w:r w:rsidR="007C7C62">
              <w:rPr>
                <w:sz w:val="20"/>
                <w:szCs w:val="20"/>
                <w:lang w:val="en-US"/>
              </w:rPr>
              <w:t xml:space="preserve">n = </w:t>
            </w:r>
            <w:r w:rsidRPr="001A7C72">
              <w:rPr>
                <w:sz w:val="20"/>
                <w:szCs w:val="20"/>
                <w:lang w:val="en-US"/>
              </w:rPr>
              <w:t>237)</w:t>
            </w:r>
          </w:p>
        </w:tc>
        <w:tc>
          <w:tcPr>
            <w:tcW w:w="2158" w:type="dxa"/>
          </w:tcPr>
          <w:p w:rsidR="002928AB" w:rsidRPr="001A7C72" w:rsidRDefault="002928AB" w:rsidP="001A7C72">
            <w:pPr>
              <w:rPr>
                <w:sz w:val="20"/>
                <w:szCs w:val="20"/>
                <w:lang w:val="en-US"/>
              </w:rPr>
            </w:pPr>
            <w:r w:rsidRPr="001A7C72">
              <w:rPr>
                <w:sz w:val="20"/>
                <w:szCs w:val="20"/>
                <w:lang w:val="en-US"/>
              </w:rPr>
              <w:t>SAR 150 mg q2w + MTX (</w:t>
            </w:r>
            <w:r w:rsidR="007C7C62">
              <w:rPr>
                <w:sz w:val="20"/>
                <w:szCs w:val="20"/>
                <w:lang w:val="en-US"/>
              </w:rPr>
              <w:t xml:space="preserve">n = </w:t>
            </w:r>
            <w:r w:rsidRPr="001A7C72">
              <w:rPr>
                <w:sz w:val="20"/>
                <w:szCs w:val="20"/>
                <w:lang w:val="en-US"/>
              </w:rPr>
              <w:t>228)</w:t>
            </w:r>
          </w:p>
        </w:tc>
        <w:tc>
          <w:tcPr>
            <w:tcW w:w="2293" w:type="dxa"/>
          </w:tcPr>
          <w:p w:rsidR="002928AB" w:rsidRPr="001A7C72" w:rsidRDefault="002928AB" w:rsidP="001A7C72">
            <w:pPr>
              <w:rPr>
                <w:sz w:val="20"/>
                <w:szCs w:val="20"/>
                <w:lang w:val="en-US"/>
              </w:rPr>
            </w:pPr>
            <w:r w:rsidRPr="001A7C72">
              <w:rPr>
                <w:sz w:val="20"/>
                <w:szCs w:val="20"/>
                <w:lang w:val="en-US"/>
              </w:rPr>
              <w:t>SAR 200 mg q2w + MTX (</w:t>
            </w:r>
            <w:r w:rsidR="007C7C62">
              <w:rPr>
                <w:sz w:val="20"/>
                <w:szCs w:val="20"/>
                <w:lang w:val="en-US"/>
              </w:rPr>
              <w:t xml:space="preserve">n = </w:t>
            </w:r>
            <w:r w:rsidRPr="001A7C72">
              <w:rPr>
                <w:sz w:val="20"/>
                <w:szCs w:val="20"/>
                <w:lang w:val="en-US"/>
              </w:rPr>
              <w:t>239)</w:t>
            </w:r>
          </w:p>
        </w:tc>
      </w:tr>
      <w:tr w:rsidR="002928AB" w:rsidRPr="006609A4" w:rsidTr="00FD15F9">
        <w:trPr>
          <w:trHeight w:val="472"/>
        </w:trPr>
        <w:tc>
          <w:tcPr>
            <w:tcW w:w="2396" w:type="dxa"/>
          </w:tcPr>
          <w:p w:rsidR="002928AB" w:rsidRPr="001A7C72" w:rsidRDefault="002928AB" w:rsidP="00FE6E98">
            <w:pPr>
              <w:rPr>
                <w:sz w:val="20"/>
                <w:szCs w:val="20"/>
                <w:lang w:val="en-US"/>
              </w:rPr>
            </w:pPr>
            <w:r w:rsidRPr="001A7C72">
              <w:rPr>
                <w:sz w:val="20"/>
                <w:szCs w:val="20"/>
                <w:lang w:val="en-US"/>
              </w:rPr>
              <w:t xml:space="preserve">Mean (SD) Week 148 </w:t>
            </w:r>
          </w:p>
        </w:tc>
        <w:tc>
          <w:tcPr>
            <w:tcW w:w="1754" w:type="dxa"/>
          </w:tcPr>
          <w:p w:rsidR="002928AB" w:rsidRPr="001A7C72" w:rsidRDefault="002928AB" w:rsidP="001A7C72">
            <w:pPr>
              <w:rPr>
                <w:sz w:val="20"/>
                <w:szCs w:val="20"/>
                <w:lang w:val="en-US"/>
              </w:rPr>
            </w:pPr>
            <w:r w:rsidRPr="001A7C72">
              <w:rPr>
                <w:rFonts w:eastAsiaTheme="minorHAnsi"/>
                <w:sz w:val="20"/>
                <w:szCs w:val="20"/>
              </w:rPr>
              <w:t>52.77 (64.19)</w:t>
            </w:r>
          </w:p>
        </w:tc>
        <w:tc>
          <w:tcPr>
            <w:tcW w:w="2158" w:type="dxa"/>
          </w:tcPr>
          <w:p w:rsidR="002928AB" w:rsidRPr="001A7C72" w:rsidRDefault="002928AB" w:rsidP="001A7C72">
            <w:pPr>
              <w:rPr>
                <w:sz w:val="20"/>
                <w:szCs w:val="20"/>
                <w:lang w:val="en-US"/>
              </w:rPr>
            </w:pPr>
            <w:r w:rsidRPr="001A7C72">
              <w:rPr>
                <w:rFonts w:eastAsiaTheme="minorHAnsi"/>
                <w:sz w:val="20"/>
                <w:szCs w:val="20"/>
              </w:rPr>
              <w:t>51.06 (57.80)</w:t>
            </w:r>
          </w:p>
        </w:tc>
        <w:tc>
          <w:tcPr>
            <w:tcW w:w="2293" w:type="dxa"/>
          </w:tcPr>
          <w:p w:rsidR="002928AB" w:rsidRPr="001A7C72" w:rsidRDefault="002928AB" w:rsidP="001A7C72">
            <w:pPr>
              <w:rPr>
                <w:sz w:val="20"/>
                <w:szCs w:val="20"/>
                <w:lang w:val="en-US"/>
              </w:rPr>
            </w:pPr>
            <w:r w:rsidRPr="001A7C72">
              <w:rPr>
                <w:rFonts w:eastAsiaTheme="minorHAnsi"/>
                <w:sz w:val="20"/>
                <w:szCs w:val="20"/>
              </w:rPr>
              <w:t>47.03 (57.61)</w:t>
            </w:r>
          </w:p>
        </w:tc>
      </w:tr>
      <w:tr w:rsidR="002928AB" w:rsidRPr="006609A4" w:rsidTr="00FD15F9">
        <w:trPr>
          <w:trHeight w:val="726"/>
        </w:trPr>
        <w:tc>
          <w:tcPr>
            <w:tcW w:w="2396" w:type="dxa"/>
          </w:tcPr>
          <w:p w:rsidR="002928AB" w:rsidRPr="001A7C72" w:rsidRDefault="002928AB" w:rsidP="001A7C72">
            <w:pPr>
              <w:rPr>
                <w:sz w:val="20"/>
                <w:szCs w:val="20"/>
                <w:lang w:val="en-US"/>
              </w:rPr>
            </w:pPr>
            <w:r w:rsidRPr="001A7C72">
              <w:rPr>
                <w:sz w:val="20"/>
                <w:szCs w:val="20"/>
                <w:lang w:val="en-US"/>
              </w:rPr>
              <w:t>Mean (SD) change -baseline to Week 148</w:t>
            </w:r>
          </w:p>
        </w:tc>
        <w:tc>
          <w:tcPr>
            <w:tcW w:w="1754" w:type="dxa"/>
          </w:tcPr>
          <w:p w:rsidR="002928AB" w:rsidRPr="001A7C72" w:rsidRDefault="002928AB" w:rsidP="001A7C72">
            <w:pPr>
              <w:rPr>
                <w:sz w:val="20"/>
                <w:szCs w:val="20"/>
                <w:lang w:val="en-US"/>
              </w:rPr>
            </w:pPr>
            <w:r w:rsidRPr="001A7C72">
              <w:rPr>
                <w:rFonts w:eastAsiaTheme="minorHAnsi"/>
                <w:sz w:val="20"/>
                <w:szCs w:val="20"/>
              </w:rPr>
              <w:t>3.30 (7.18)</w:t>
            </w:r>
          </w:p>
        </w:tc>
        <w:tc>
          <w:tcPr>
            <w:tcW w:w="2158" w:type="dxa"/>
          </w:tcPr>
          <w:p w:rsidR="002928AB" w:rsidRPr="001A7C72" w:rsidRDefault="002928AB" w:rsidP="001A7C72">
            <w:pPr>
              <w:rPr>
                <w:sz w:val="20"/>
                <w:szCs w:val="20"/>
                <w:lang w:val="en-US"/>
              </w:rPr>
            </w:pPr>
            <w:r w:rsidRPr="001A7C72">
              <w:rPr>
                <w:rFonts w:eastAsiaTheme="minorHAnsi"/>
                <w:sz w:val="20"/>
                <w:szCs w:val="20"/>
              </w:rPr>
              <w:t>1.87 (6.76)</w:t>
            </w:r>
          </w:p>
        </w:tc>
        <w:tc>
          <w:tcPr>
            <w:tcW w:w="2293" w:type="dxa"/>
          </w:tcPr>
          <w:p w:rsidR="002928AB" w:rsidRPr="001A7C72" w:rsidRDefault="002928AB" w:rsidP="001A7C72">
            <w:pPr>
              <w:rPr>
                <w:sz w:val="20"/>
                <w:szCs w:val="20"/>
                <w:lang w:val="en-US"/>
              </w:rPr>
            </w:pPr>
            <w:r w:rsidRPr="001A7C72">
              <w:rPr>
                <w:rFonts w:eastAsiaTheme="minorHAnsi"/>
                <w:sz w:val="20"/>
                <w:szCs w:val="20"/>
              </w:rPr>
              <w:t xml:space="preserve">0.79 (5.38); </w:t>
            </w:r>
            <w:r w:rsidR="007C7C62">
              <w:rPr>
                <w:rFonts w:eastAsiaTheme="minorHAnsi"/>
                <w:sz w:val="20"/>
                <w:szCs w:val="20"/>
              </w:rPr>
              <w:t xml:space="preserve">n = </w:t>
            </w:r>
            <w:r w:rsidRPr="001A7C72">
              <w:rPr>
                <w:rFonts w:eastAsiaTheme="minorHAnsi"/>
                <w:sz w:val="20"/>
                <w:szCs w:val="20"/>
              </w:rPr>
              <w:t>239</w:t>
            </w:r>
          </w:p>
        </w:tc>
      </w:tr>
      <w:tr w:rsidR="002928AB" w:rsidRPr="006609A4" w:rsidTr="00FD15F9">
        <w:trPr>
          <w:trHeight w:val="507"/>
        </w:trPr>
        <w:tc>
          <w:tcPr>
            <w:tcW w:w="2396" w:type="dxa"/>
          </w:tcPr>
          <w:p w:rsidR="002928AB" w:rsidRPr="001A7C72" w:rsidRDefault="002928AB" w:rsidP="001A7C72">
            <w:pPr>
              <w:rPr>
                <w:sz w:val="20"/>
                <w:szCs w:val="20"/>
                <w:lang w:val="en-US"/>
              </w:rPr>
            </w:pPr>
            <w:r w:rsidRPr="001A7C72">
              <w:rPr>
                <w:sz w:val="20"/>
                <w:szCs w:val="20"/>
                <w:lang w:val="en-US"/>
              </w:rPr>
              <w:t>p</w:t>
            </w:r>
            <w:r w:rsidR="003D2290">
              <w:rPr>
                <w:sz w:val="20"/>
                <w:szCs w:val="20"/>
                <w:lang w:val="en-US"/>
              </w:rPr>
              <w:t xml:space="preserve"> versus </w:t>
            </w:r>
            <w:r w:rsidRPr="001A7C72">
              <w:rPr>
                <w:sz w:val="20"/>
                <w:szCs w:val="20"/>
                <w:lang w:val="en-US"/>
              </w:rPr>
              <w:t>placebo</w:t>
            </w:r>
          </w:p>
        </w:tc>
        <w:tc>
          <w:tcPr>
            <w:tcW w:w="1754" w:type="dxa"/>
          </w:tcPr>
          <w:p w:rsidR="002928AB" w:rsidRPr="001A7C72" w:rsidRDefault="002928AB" w:rsidP="001A7C72">
            <w:pPr>
              <w:rPr>
                <w:sz w:val="20"/>
                <w:szCs w:val="20"/>
                <w:lang w:val="en-US"/>
              </w:rPr>
            </w:pPr>
            <w:r w:rsidRPr="001A7C72">
              <w:rPr>
                <w:sz w:val="20"/>
                <w:szCs w:val="20"/>
                <w:lang w:val="en-US"/>
              </w:rPr>
              <w:t>-</w:t>
            </w:r>
          </w:p>
        </w:tc>
        <w:tc>
          <w:tcPr>
            <w:tcW w:w="2158" w:type="dxa"/>
          </w:tcPr>
          <w:p w:rsidR="002928AB" w:rsidRPr="001A7C72" w:rsidRDefault="002928AB" w:rsidP="001A7C72">
            <w:pPr>
              <w:rPr>
                <w:sz w:val="20"/>
                <w:szCs w:val="20"/>
                <w:lang w:val="en-US"/>
              </w:rPr>
            </w:pPr>
            <w:r w:rsidRPr="001A7C72">
              <w:rPr>
                <w:sz w:val="20"/>
                <w:szCs w:val="20"/>
                <w:lang w:val="en-US"/>
              </w:rPr>
              <w:t>0.0057</w:t>
            </w:r>
          </w:p>
        </w:tc>
        <w:tc>
          <w:tcPr>
            <w:tcW w:w="2293" w:type="dxa"/>
          </w:tcPr>
          <w:p w:rsidR="002928AB" w:rsidRPr="001A7C72" w:rsidRDefault="007F1BEB" w:rsidP="001A7C72">
            <w:pPr>
              <w:rPr>
                <w:sz w:val="20"/>
                <w:szCs w:val="20"/>
                <w:lang w:val="en-US"/>
              </w:rPr>
            </w:pPr>
            <w:r>
              <w:t>&lt; </w:t>
            </w:r>
            <w:r w:rsidR="002928AB" w:rsidRPr="001A7C72">
              <w:rPr>
                <w:sz w:val="20"/>
                <w:szCs w:val="20"/>
                <w:lang w:val="en-US"/>
              </w:rPr>
              <w:t>0.0001</w:t>
            </w:r>
          </w:p>
        </w:tc>
      </w:tr>
    </w:tbl>
    <w:p w:rsidR="00AA6B20" w:rsidRPr="001E2D44" w:rsidRDefault="002928AB" w:rsidP="001E2D44">
      <w:pPr>
        <w:pStyle w:val="TableDescription"/>
      </w:pPr>
      <w:proofErr w:type="spellStart"/>
      <w:r w:rsidRPr="001E2D44">
        <w:t>mTSS</w:t>
      </w:r>
      <w:proofErr w:type="spellEnd"/>
      <w:r w:rsidRPr="001E2D44">
        <w:t xml:space="preserve"> = modified total Sharp score (the sum of bone erosion scores from 44 joints and joint space narrowing scores from 42 joints, with a maximum score 448). Data collected after treatment discontinuation or starting rescue medication are used as observed. The linear extrapolation method is used to impute missing </w:t>
      </w:r>
      <w:proofErr w:type="spellStart"/>
      <w:r w:rsidRPr="001E2D44">
        <w:t>mTSS</w:t>
      </w:r>
      <w:proofErr w:type="spellEnd"/>
      <w:r w:rsidRPr="001E2D44">
        <w:t xml:space="preserve">. Treatment for 148 weeks = treatment for 52 weeks in </w:t>
      </w:r>
      <w:r w:rsidR="003A36D9">
        <w:t xml:space="preserve">Study </w:t>
      </w:r>
      <w:r w:rsidRPr="001E2D44">
        <w:t xml:space="preserve">EFC11072 + treatment for 96 weeks in </w:t>
      </w:r>
      <w:r w:rsidR="003A36D9">
        <w:t xml:space="preserve">Study </w:t>
      </w:r>
      <w:r w:rsidRPr="001E2D44">
        <w:t>LTS11210.</w:t>
      </w:r>
    </w:p>
    <w:p w:rsidR="002928AB" w:rsidRDefault="002928AB" w:rsidP="002928AB">
      <w:pPr>
        <w:rPr>
          <w:lang w:val="en-US"/>
        </w:rPr>
      </w:pPr>
      <w:r>
        <w:rPr>
          <w:lang w:val="en-US"/>
        </w:rPr>
        <w:t xml:space="preserve">In </w:t>
      </w:r>
      <w:r w:rsidR="001E2D44">
        <w:rPr>
          <w:lang w:val="en-US"/>
        </w:rPr>
        <w:t>the</w:t>
      </w:r>
      <w:r>
        <w:rPr>
          <w:lang w:val="en-US"/>
        </w:rPr>
        <w:t xml:space="preserve"> </w:t>
      </w:r>
      <w:r w:rsidR="00FE6E98">
        <w:rPr>
          <w:lang w:val="en-US"/>
        </w:rPr>
        <w:t>Delegate’s r</w:t>
      </w:r>
      <w:r w:rsidRPr="001E2D44">
        <w:rPr>
          <w:lang w:val="en-US"/>
        </w:rPr>
        <w:t>equest for ACM Advice</w:t>
      </w:r>
      <w:r>
        <w:rPr>
          <w:lang w:val="en-US"/>
        </w:rPr>
        <w:t xml:space="preserve"> of March 2017 the Delegate noted that a significant radiographic benefit out to </w:t>
      </w:r>
      <w:r w:rsidR="001E2D44">
        <w:rPr>
          <w:lang w:val="en-US"/>
        </w:rPr>
        <w:t>W</w:t>
      </w:r>
      <w:r>
        <w:rPr>
          <w:lang w:val="en-US"/>
        </w:rPr>
        <w:t xml:space="preserve">eek 148 was observed for patients initiating treatment with sarilumab 200 mg q2w + MTX compared with either sarilumab 150 mg q2w + MTX or placebo + MTX. However the Delegate commented that the numerical differences across the treatment groups in the change from baseline in </w:t>
      </w:r>
      <w:proofErr w:type="spellStart"/>
      <w:r>
        <w:rPr>
          <w:lang w:val="en-US"/>
        </w:rPr>
        <w:t>mTSS</w:t>
      </w:r>
      <w:proofErr w:type="spellEnd"/>
      <w:r>
        <w:rPr>
          <w:lang w:val="en-US"/>
        </w:rPr>
        <w:t xml:space="preserve"> were small, and that the minimum clinically important difference in </w:t>
      </w:r>
      <w:proofErr w:type="spellStart"/>
      <w:r>
        <w:rPr>
          <w:lang w:val="en-US"/>
        </w:rPr>
        <w:t>mTSS</w:t>
      </w:r>
      <w:proofErr w:type="spellEnd"/>
      <w:r>
        <w:rPr>
          <w:lang w:val="en-US"/>
        </w:rPr>
        <w:t xml:space="preserve"> is generally stated to be 5</w:t>
      </w:r>
      <w:r w:rsidR="00FD15F9">
        <w:rPr>
          <w:lang w:val="en-US"/>
        </w:rPr>
        <w:t> </w:t>
      </w:r>
      <w:r>
        <w:rPr>
          <w:lang w:val="en-US"/>
        </w:rPr>
        <w:t>units.</w:t>
      </w:r>
    </w:p>
    <w:p w:rsidR="00AA6B20" w:rsidRDefault="002928AB" w:rsidP="002928AB">
      <w:pPr>
        <w:rPr>
          <w:sz w:val="23"/>
          <w:szCs w:val="23"/>
        </w:rPr>
      </w:pPr>
      <w:r w:rsidRPr="00B64E55">
        <w:rPr>
          <w:lang w:val="en-US"/>
        </w:rPr>
        <w:t xml:space="preserve">Based on the totality of the data establishing the benefits of sarilumab for the treatment of </w:t>
      </w:r>
      <w:r w:rsidRPr="00B64E55">
        <w:rPr>
          <w:sz w:val="23"/>
          <w:szCs w:val="23"/>
        </w:rPr>
        <w:t xml:space="preserve">moderate to severe RA in adult patients who have had an inadequate response </w:t>
      </w:r>
      <w:r>
        <w:rPr>
          <w:sz w:val="23"/>
          <w:szCs w:val="23"/>
        </w:rPr>
        <w:t xml:space="preserve">to, </w:t>
      </w:r>
      <w:r w:rsidRPr="00B64E55">
        <w:rPr>
          <w:sz w:val="23"/>
          <w:szCs w:val="23"/>
        </w:rPr>
        <w:t xml:space="preserve">or intolerance </w:t>
      </w:r>
      <w:r>
        <w:rPr>
          <w:sz w:val="23"/>
          <w:szCs w:val="23"/>
        </w:rPr>
        <w:t xml:space="preserve">for, </w:t>
      </w:r>
      <w:r w:rsidRPr="00B64E55">
        <w:rPr>
          <w:sz w:val="23"/>
          <w:szCs w:val="23"/>
        </w:rPr>
        <w:t xml:space="preserve">one or more DMARDs, it is </w:t>
      </w:r>
      <w:r>
        <w:rPr>
          <w:sz w:val="23"/>
          <w:szCs w:val="23"/>
        </w:rPr>
        <w:t xml:space="preserve">considered </w:t>
      </w:r>
      <w:r w:rsidRPr="00B64E55">
        <w:rPr>
          <w:sz w:val="23"/>
          <w:szCs w:val="23"/>
        </w:rPr>
        <w:t>that treatment be initiated with the 200 mg q2w dose with the option to decrease the dose to 150 mg q2w in the event of toxicity at the higher dose.</w:t>
      </w:r>
    </w:p>
    <w:p w:rsidR="002928AB" w:rsidRDefault="002928AB" w:rsidP="001A7C72">
      <w:pPr>
        <w:pStyle w:val="Heading4"/>
      </w:pPr>
      <w:bookmarkStart w:id="148" w:name="_Toc236802596"/>
      <w:bookmarkStart w:id="149" w:name="_Toc241374334"/>
      <w:bookmarkStart w:id="150" w:name="_Ref272160964"/>
      <w:bookmarkStart w:id="151" w:name="_Toc272414694"/>
      <w:bookmarkStart w:id="152" w:name="_Toc290888558"/>
      <w:bookmarkStart w:id="153" w:name="_Toc416353773"/>
      <w:bookmarkStart w:id="154" w:name="_Toc421005315"/>
      <w:bookmarkStart w:id="155" w:name="_Toc432079186"/>
      <w:bookmarkStart w:id="156" w:name="_Toc432080759"/>
      <w:bookmarkStart w:id="157" w:name="_Toc514682541"/>
      <w:r w:rsidRPr="000D5752">
        <w:t>First round assessment of risks</w:t>
      </w:r>
      <w:bookmarkEnd w:id="148"/>
      <w:bookmarkEnd w:id="149"/>
      <w:bookmarkEnd w:id="150"/>
      <w:bookmarkEnd w:id="151"/>
      <w:bookmarkEnd w:id="152"/>
      <w:bookmarkEnd w:id="153"/>
      <w:bookmarkEnd w:id="154"/>
      <w:bookmarkEnd w:id="155"/>
      <w:bookmarkEnd w:id="156"/>
      <w:bookmarkEnd w:id="157"/>
    </w:p>
    <w:p w:rsidR="00AA6B20" w:rsidRDefault="002928AB" w:rsidP="001A7C72">
      <w:pPr>
        <w:pStyle w:val="Heading5"/>
      </w:pPr>
      <w:r>
        <w:t>Sarilumab monotherapy</w:t>
      </w:r>
    </w:p>
    <w:p w:rsidR="00AA6B20" w:rsidRDefault="002928AB" w:rsidP="002928AB">
      <w:pPr>
        <w:rPr>
          <w:lang w:val="en-US"/>
        </w:rPr>
      </w:pPr>
      <w:r>
        <w:rPr>
          <w:lang w:val="en-US"/>
        </w:rPr>
        <w:t xml:space="preserve">The risks associated with sarilumab 200 mg q2w monotherapy reviewed in this section are from the pivotal </w:t>
      </w:r>
      <w:r w:rsidR="001470FB">
        <w:rPr>
          <w:lang w:val="en-US"/>
        </w:rPr>
        <w:t>Phase III</w:t>
      </w:r>
      <w:r>
        <w:rPr>
          <w:lang w:val="en-US"/>
        </w:rPr>
        <w:t xml:space="preserve"> </w:t>
      </w:r>
      <w:r w:rsidR="00894642">
        <w:rPr>
          <w:lang w:val="en-US"/>
        </w:rPr>
        <w:t>Study EFC</w:t>
      </w:r>
      <w:r>
        <w:rPr>
          <w:lang w:val="en-US"/>
        </w:rPr>
        <w:t>14092</w:t>
      </w:r>
      <w:r w:rsidR="003A36D9">
        <w:rPr>
          <w:lang w:val="en-US"/>
        </w:rPr>
        <w:t>/</w:t>
      </w:r>
      <w:r w:rsidR="001F3EAD">
        <w:rPr>
          <w:lang w:val="en-US"/>
        </w:rPr>
        <w:t xml:space="preserve"> </w:t>
      </w:r>
      <w:r w:rsidR="001F3EAD">
        <w:t>MONARCH</w:t>
      </w:r>
      <w:r w:rsidR="003A36D9">
        <w:t xml:space="preserve"> trial</w:t>
      </w:r>
      <w:r>
        <w:rPr>
          <w:lang w:val="en-US"/>
        </w:rPr>
        <w:t>. The risks of sarilumab 200 mg q2w observed in this study are consistent with the risks for any sarilumab dose monotherapy from the pooled monotherapy population (Pool 3).</w:t>
      </w:r>
    </w:p>
    <w:p w:rsidR="002928AB" w:rsidRDefault="002928AB" w:rsidP="002928AB">
      <w:pPr>
        <w:rPr>
          <w:lang w:val="en-US"/>
        </w:rPr>
      </w:pPr>
      <w:r>
        <w:rPr>
          <w:lang w:val="en-US"/>
        </w:rPr>
        <w:t>TEAEs were reported in a similar proportion of patients in the sarilumab 200 mg q2w and adalimumab 40 mg q2w groups (64.1%</w:t>
      </w:r>
      <w:r w:rsidR="003D2290">
        <w:rPr>
          <w:lang w:val="en-US"/>
        </w:rPr>
        <w:t xml:space="preserve"> versus </w:t>
      </w:r>
      <w:r>
        <w:rPr>
          <w:lang w:val="en-US"/>
        </w:rPr>
        <w:t xml:space="preserve">63.6%, respectively). </w:t>
      </w:r>
      <w:r w:rsidRPr="001E2D44">
        <w:rPr>
          <w:lang w:val="en-US"/>
        </w:rPr>
        <w:t xml:space="preserve">Infections and infestations (SOC) were the most frequently reported TEAEs in both </w:t>
      </w:r>
      <w:r>
        <w:rPr>
          <w:lang w:val="en-US"/>
        </w:rPr>
        <w:t>the sarilumab 200 mg q2w group and the adalimumab 40 mg q2w group (28.8%</w:t>
      </w:r>
      <w:r w:rsidR="003D2290">
        <w:rPr>
          <w:lang w:val="en-US"/>
        </w:rPr>
        <w:t xml:space="preserve"> versus </w:t>
      </w:r>
      <w:r>
        <w:rPr>
          <w:lang w:val="en-US"/>
        </w:rPr>
        <w:t xml:space="preserve">27.7%, respectively), and the TEAEs were predominantly non-serious in both treatment groups. TEAEs reported in </w:t>
      </w:r>
      <w:r w:rsidR="00DD5BCE">
        <w:t>≥</w:t>
      </w:r>
      <w:r w:rsidR="007C7C62">
        <w:t xml:space="preserve"> </w:t>
      </w:r>
      <w:r>
        <w:rPr>
          <w:lang w:val="en-US"/>
        </w:rPr>
        <w:t xml:space="preserve">2% of patients in either treatment group are summarised below in </w:t>
      </w:r>
      <w:r w:rsidR="00D75C1B">
        <w:rPr>
          <w:lang w:val="en-US"/>
        </w:rPr>
        <w:t>Table 23</w:t>
      </w:r>
      <w:r>
        <w:rPr>
          <w:lang w:val="en-US"/>
        </w:rPr>
        <w:t>.</w:t>
      </w:r>
    </w:p>
    <w:p w:rsidR="002928AB" w:rsidRPr="006B70DC" w:rsidRDefault="002928AB" w:rsidP="001A7C72">
      <w:pPr>
        <w:pStyle w:val="Tabletitle0"/>
      </w:pPr>
      <w:bookmarkStart w:id="158" w:name="_Toc514687837"/>
      <w:r>
        <w:lastRenderedPageBreak/>
        <w:t xml:space="preserve">Table </w:t>
      </w:r>
      <w:r w:rsidR="00D75C1B">
        <w:t>23</w:t>
      </w:r>
      <w:r>
        <w:t xml:space="preserve">: </w:t>
      </w:r>
      <w:r w:rsidR="000F5B2C">
        <w:t xml:space="preserve">Study </w:t>
      </w:r>
      <w:r w:rsidRPr="006B70DC">
        <w:t>EFC14092</w:t>
      </w:r>
      <w:r w:rsidR="003A36D9">
        <w:t>/</w:t>
      </w:r>
      <w:r w:rsidR="001F3EAD">
        <w:t>MONARCH</w:t>
      </w:r>
      <w:r w:rsidRPr="006B70DC">
        <w:t xml:space="preserve"> </w:t>
      </w:r>
      <w:r w:rsidR="003A36D9">
        <w:t xml:space="preserve">trial </w:t>
      </w:r>
      <w:r w:rsidRPr="006B70DC">
        <w:t xml:space="preserve">TEAEs reported in </w:t>
      </w:r>
      <w:r w:rsidR="00DD5BCE">
        <w:t>≥</w:t>
      </w:r>
      <w:r w:rsidR="007C7C62">
        <w:t xml:space="preserve"> </w:t>
      </w:r>
      <w:r w:rsidRPr="006B70DC">
        <w:t>2% of patients in either of the two treatment groups, in descending order of frequency in the sarilumab group</w:t>
      </w:r>
      <w:r w:rsidR="003A36D9">
        <w:t>;</w:t>
      </w:r>
      <w:r w:rsidRPr="006B70DC">
        <w:t xml:space="preserve"> safety population</w:t>
      </w:r>
      <w:bookmarkEnd w:id="158"/>
    </w:p>
    <w:tbl>
      <w:tblPr>
        <w:tblStyle w:val="TableTGAblue"/>
        <w:tblW w:w="0" w:type="auto"/>
        <w:tblInd w:w="250" w:type="dxa"/>
        <w:tblLook w:val="04A0" w:firstRow="1" w:lastRow="0" w:firstColumn="1" w:lastColumn="0" w:noHBand="0" w:noVBand="1"/>
      </w:tblPr>
      <w:tblGrid>
        <w:gridCol w:w="2699"/>
        <w:gridCol w:w="2908"/>
        <w:gridCol w:w="2863"/>
      </w:tblGrid>
      <w:tr w:rsidR="002928AB" w:rsidRPr="006B70DC" w:rsidTr="00FE6E98">
        <w:trPr>
          <w:cnfStyle w:val="100000000000" w:firstRow="1" w:lastRow="0" w:firstColumn="0" w:lastColumn="0" w:oddVBand="0" w:evenVBand="0" w:oddHBand="0" w:evenHBand="0" w:firstRowFirstColumn="0" w:firstRowLastColumn="0" w:lastRowFirstColumn="0" w:lastRowLastColumn="0"/>
          <w:cantSplit/>
        </w:trPr>
        <w:tc>
          <w:tcPr>
            <w:tcW w:w="2699" w:type="dxa"/>
          </w:tcPr>
          <w:p w:rsidR="002928AB" w:rsidRPr="001A7C72" w:rsidRDefault="002928AB" w:rsidP="001A7C72">
            <w:pPr>
              <w:rPr>
                <w:sz w:val="20"/>
                <w:szCs w:val="20"/>
              </w:rPr>
            </w:pPr>
            <w:r w:rsidRPr="001A7C72">
              <w:rPr>
                <w:sz w:val="20"/>
                <w:szCs w:val="20"/>
              </w:rPr>
              <w:t>Preferred term</w:t>
            </w:r>
          </w:p>
        </w:tc>
        <w:tc>
          <w:tcPr>
            <w:tcW w:w="2908" w:type="dxa"/>
          </w:tcPr>
          <w:p w:rsidR="002928AB" w:rsidRPr="001A7C72" w:rsidRDefault="002928AB" w:rsidP="001A7C72">
            <w:pPr>
              <w:rPr>
                <w:sz w:val="20"/>
                <w:szCs w:val="20"/>
                <w:lang w:val="en-US"/>
              </w:rPr>
            </w:pPr>
            <w:r w:rsidRPr="001A7C72">
              <w:rPr>
                <w:bCs/>
                <w:sz w:val="20"/>
                <w:szCs w:val="20"/>
                <w:lang w:val="en-US"/>
              </w:rPr>
              <w:t>Adalimumab 4</w:t>
            </w:r>
            <w:r w:rsidR="001470FB">
              <w:rPr>
                <w:bCs/>
                <w:sz w:val="20"/>
                <w:szCs w:val="20"/>
                <w:lang w:val="en-US"/>
              </w:rPr>
              <w:t>0 mg</w:t>
            </w:r>
            <w:r w:rsidRPr="001A7C72">
              <w:rPr>
                <w:bCs/>
                <w:sz w:val="20"/>
                <w:szCs w:val="20"/>
                <w:lang w:val="en-US"/>
              </w:rPr>
              <w:t xml:space="preserve"> q2w </w:t>
            </w:r>
          </w:p>
        </w:tc>
        <w:tc>
          <w:tcPr>
            <w:tcW w:w="2863" w:type="dxa"/>
          </w:tcPr>
          <w:p w:rsidR="002928AB" w:rsidRPr="001A7C72" w:rsidRDefault="002928AB" w:rsidP="001A7C72">
            <w:pPr>
              <w:rPr>
                <w:sz w:val="20"/>
                <w:szCs w:val="20"/>
                <w:lang w:val="en-US"/>
              </w:rPr>
            </w:pPr>
            <w:r w:rsidRPr="001A7C72">
              <w:rPr>
                <w:bCs/>
                <w:sz w:val="20"/>
                <w:szCs w:val="20"/>
                <w:lang w:val="en-US"/>
              </w:rPr>
              <w:t xml:space="preserve">Sarilumab 200 mg q2w </w:t>
            </w:r>
          </w:p>
        </w:tc>
      </w:tr>
      <w:tr w:rsidR="002928AB" w:rsidRPr="006B70DC" w:rsidTr="00FE6E98">
        <w:trPr>
          <w:cantSplit/>
        </w:trPr>
        <w:tc>
          <w:tcPr>
            <w:tcW w:w="2699" w:type="dxa"/>
          </w:tcPr>
          <w:p w:rsidR="002928AB" w:rsidRPr="001A7C72" w:rsidRDefault="002928AB" w:rsidP="001A7C72">
            <w:pPr>
              <w:rPr>
                <w:sz w:val="20"/>
                <w:szCs w:val="20"/>
              </w:rPr>
            </w:pPr>
          </w:p>
        </w:tc>
        <w:tc>
          <w:tcPr>
            <w:tcW w:w="2908" w:type="dxa"/>
          </w:tcPr>
          <w:p w:rsidR="002928AB" w:rsidRPr="001A7C72" w:rsidRDefault="002928AB" w:rsidP="001A7C72">
            <w:pPr>
              <w:rPr>
                <w:bCs/>
                <w:sz w:val="20"/>
                <w:szCs w:val="20"/>
                <w:lang w:val="en-US"/>
              </w:rPr>
            </w:pPr>
            <w:r w:rsidRPr="001A7C72">
              <w:rPr>
                <w:bCs/>
                <w:sz w:val="20"/>
                <w:szCs w:val="20"/>
                <w:lang w:val="en-US"/>
              </w:rPr>
              <w:t>(</w:t>
            </w:r>
            <w:r w:rsidR="007C7C62">
              <w:rPr>
                <w:bCs/>
                <w:sz w:val="20"/>
                <w:szCs w:val="20"/>
                <w:lang w:val="en-US"/>
              </w:rPr>
              <w:t xml:space="preserve">N = </w:t>
            </w:r>
            <w:r w:rsidRPr="001A7C72">
              <w:rPr>
                <w:bCs/>
                <w:sz w:val="20"/>
                <w:szCs w:val="20"/>
                <w:lang w:val="en-US"/>
              </w:rPr>
              <w:t>184); n (%)</w:t>
            </w:r>
          </w:p>
        </w:tc>
        <w:tc>
          <w:tcPr>
            <w:tcW w:w="2863" w:type="dxa"/>
          </w:tcPr>
          <w:p w:rsidR="002928AB" w:rsidRPr="001A7C72" w:rsidRDefault="002928AB" w:rsidP="001A7C72">
            <w:pPr>
              <w:rPr>
                <w:bCs/>
                <w:sz w:val="20"/>
                <w:szCs w:val="20"/>
                <w:lang w:val="en-US"/>
              </w:rPr>
            </w:pPr>
            <w:r w:rsidRPr="001A7C72">
              <w:rPr>
                <w:bCs/>
                <w:sz w:val="20"/>
                <w:szCs w:val="20"/>
                <w:lang w:val="en-US"/>
              </w:rPr>
              <w:t>(</w:t>
            </w:r>
            <w:r w:rsidR="007C7C62">
              <w:rPr>
                <w:bCs/>
                <w:sz w:val="20"/>
                <w:szCs w:val="20"/>
                <w:lang w:val="en-US"/>
              </w:rPr>
              <w:t xml:space="preserve">N = </w:t>
            </w:r>
            <w:r w:rsidRPr="001A7C72">
              <w:rPr>
                <w:bCs/>
                <w:sz w:val="20"/>
                <w:szCs w:val="20"/>
                <w:lang w:val="en-US"/>
              </w:rPr>
              <w:t>184); n (%)</w:t>
            </w:r>
          </w:p>
        </w:tc>
      </w:tr>
      <w:tr w:rsidR="002928AB" w:rsidRPr="006B70DC" w:rsidTr="00FE6E98">
        <w:tc>
          <w:tcPr>
            <w:tcW w:w="2699" w:type="dxa"/>
          </w:tcPr>
          <w:p w:rsidR="002928AB" w:rsidRPr="001A7C72" w:rsidRDefault="002928AB" w:rsidP="001A7C72">
            <w:pPr>
              <w:rPr>
                <w:sz w:val="20"/>
                <w:szCs w:val="20"/>
              </w:rPr>
            </w:pPr>
            <w:r w:rsidRPr="001A7C72">
              <w:rPr>
                <w:sz w:val="20"/>
                <w:szCs w:val="20"/>
              </w:rPr>
              <w:t>Any</w:t>
            </w:r>
          </w:p>
        </w:tc>
        <w:tc>
          <w:tcPr>
            <w:tcW w:w="2908" w:type="dxa"/>
          </w:tcPr>
          <w:p w:rsidR="002928AB" w:rsidRPr="001A7C72" w:rsidRDefault="002928AB" w:rsidP="001A7C72">
            <w:pPr>
              <w:rPr>
                <w:sz w:val="20"/>
                <w:szCs w:val="20"/>
                <w:lang w:val="en-US"/>
              </w:rPr>
            </w:pPr>
            <w:r w:rsidRPr="001A7C72">
              <w:rPr>
                <w:sz w:val="20"/>
                <w:szCs w:val="20"/>
                <w:lang w:val="en-US"/>
              </w:rPr>
              <w:t>117 (63.6%)</w:t>
            </w:r>
          </w:p>
        </w:tc>
        <w:tc>
          <w:tcPr>
            <w:tcW w:w="2863" w:type="dxa"/>
          </w:tcPr>
          <w:p w:rsidR="002928AB" w:rsidRPr="001A7C72" w:rsidRDefault="002928AB" w:rsidP="001A7C72">
            <w:pPr>
              <w:rPr>
                <w:sz w:val="20"/>
                <w:szCs w:val="20"/>
                <w:lang w:val="en-US"/>
              </w:rPr>
            </w:pPr>
            <w:r w:rsidRPr="001A7C72">
              <w:rPr>
                <w:sz w:val="20"/>
                <w:szCs w:val="20"/>
                <w:lang w:val="en-US"/>
              </w:rPr>
              <w:t>118 (64.1%)</w:t>
            </w:r>
          </w:p>
        </w:tc>
      </w:tr>
      <w:tr w:rsidR="002928AB" w:rsidRPr="006B70DC" w:rsidTr="00FE6E98">
        <w:tc>
          <w:tcPr>
            <w:tcW w:w="2699" w:type="dxa"/>
          </w:tcPr>
          <w:p w:rsidR="002928AB" w:rsidRPr="001A7C72" w:rsidRDefault="002928AB" w:rsidP="001A7C72">
            <w:pPr>
              <w:rPr>
                <w:sz w:val="20"/>
                <w:szCs w:val="20"/>
              </w:rPr>
            </w:pPr>
            <w:r w:rsidRPr="001A7C72">
              <w:rPr>
                <w:sz w:val="20"/>
                <w:szCs w:val="20"/>
              </w:rPr>
              <w:t>Neutro</w:t>
            </w:r>
            <w:r w:rsidR="001E2D44">
              <w:rPr>
                <w:sz w:val="20"/>
                <w:szCs w:val="20"/>
              </w:rPr>
              <w:t>paenia</w:t>
            </w:r>
          </w:p>
        </w:tc>
        <w:tc>
          <w:tcPr>
            <w:tcW w:w="2908" w:type="dxa"/>
          </w:tcPr>
          <w:p w:rsidR="002928AB" w:rsidRPr="001A7C72" w:rsidRDefault="002928AB" w:rsidP="001A7C72">
            <w:pPr>
              <w:rPr>
                <w:sz w:val="20"/>
                <w:szCs w:val="20"/>
              </w:rPr>
            </w:pPr>
            <w:r w:rsidRPr="001A7C72">
              <w:rPr>
                <w:sz w:val="20"/>
                <w:szCs w:val="20"/>
              </w:rPr>
              <w:t>1 (0.5%)</w:t>
            </w:r>
          </w:p>
        </w:tc>
        <w:tc>
          <w:tcPr>
            <w:tcW w:w="2863" w:type="dxa"/>
          </w:tcPr>
          <w:p w:rsidR="002928AB" w:rsidRPr="001A7C72" w:rsidRDefault="002928AB" w:rsidP="001A7C72">
            <w:pPr>
              <w:rPr>
                <w:sz w:val="20"/>
                <w:szCs w:val="20"/>
              </w:rPr>
            </w:pPr>
            <w:r w:rsidRPr="001A7C72">
              <w:rPr>
                <w:sz w:val="20"/>
                <w:szCs w:val="20"/>
              </w:rPr>
              <w:t>25 (13.6%)</w:t>
            </w:r>
          </w:p>
        </w:tc>
      </w:tr>
      <w:tr w:rsidR="002928AB" w:rsidRPr="006B70DC" w:rsidTr="00FE6E98">
        <w:tc>
          <w:tcPr>
            <w:tcW w:w="2699" w:type="dxa"/>
          </w:tcPr>
          <w:p w:rsidR="002928AB" w:rsidRPr="001A7C72" w:rsidRDefault="002928AB" w:rsidP="001A7C72">
            <w:pPr>
              <w:rPr>
                <w:sz w:val="20"/>
                <w:szCs w:val="20"/>
              </w:rPr>
            </w:pPr>
            <w:r w:rsidRPr="001A7C72">
              <w:rPr>
                <w:sz w:val="20"/>
                <w:szCs w:val="20"/>
              </w:rPr>
              <w:t>Injection site erythema</w:t>
            </w:r>
          </w:p>
        </w:tc>
        <w:tc>
          <w:tcPr>
            <w:tcW w:w="2908" w:type="dxa"/>
          </w:tcPr>
          <w:p w:rsidR="002928AB" w:rsidRPr="001A7C72" w:rsidRDefault="002928AB" w:rsidP="001A7C72">
            <w:pPr>
              <w:rPr>
                <w:sz w:val="20"/>
                <w:szCs w:val="20"/>
              </w:rPr>
            </w:pPr>
            <w:r w:rsidRPr="001A7C72">
              <w:rPr>
                <w:sz w:val="20"/>
                <w:szCs w:val="20"/>
              </w:rPr>
              <w:t>6 (3.3%)</w:t>
            </w:r>
          </w:p>
        </w:tc>
        <w:tc>
          <w:tcPr>
            <w:tcW w:w="2863" w:type="dxa"/>
          </w:tcPr>
          <w:p w:rsidR="002928AB" w:rsidRPr="001A7C72" w:rsidRDefault="002928AB" w:rsidP="001A7C72">
            <w:pPr>
              <w:rPr>
                <w:sz w:val="20"/>
                <w:szCs w:val="20"/>
              </w:rPr>
            </w:pPr>
            <w:r w:rsidRPr="001A7C72">
              <w:rPr>
                <w:sz w:val="20"/>
                <w:szCs w:val="20"/>
              </w:rPr>
              <w:t xml:space="preserve">14 (7.6%) </w:t>
            </w:r>
          </w:p>
        </w:tc>
      </w:tr>
      <w:tr w:rsidR="002928AB" w:rsidRPr="006B70DC" w:rsidTr="00FE6E98">
        <w:tc>
          <w:tcPr>
            <w:tcW w:w="2699" w:type="dxa"/>
          </w:tcPr>
          <w:p w:rsidR="002928AB" w:rsidRPr="001A7C72" w:rsidRDefault="002928AB" w:rsidP="001A7C72">
            <w:pPr>
              <w:rPr>
                <w:sz w:val="20"/>
                <w:szCs w:val="20"/>
              </w:rPr>
            </w:pPr>
            <w:r w:rsidRPr="001A7C72">
              <w:rPr>
                <w:sz w:val="20"/>
                <w:szCs w:val="20"/>
              </w:rPr>
              <w:t>Bronchitis</w:t>
            </w:r>
          </w:p>
        </w:tc>
        <w:tc>
          <w:tcPr>
            <w:tcW w:w="2908" w:type="dxa"/>
          </w:tcPr>
          <w:p w:rsidR="002928AB" w:rsidRPr="001A7C72" w:rsidRDefault="002928AB" w:rsidP="001A7C72">
            <w:pPr>
              <w:rPr>
                <w:sz w:val="20"/>
                <w:szCs w:val="20"/>
              </w:rPr>
            </w:pPr>
            <w:r w:rsidRPr="001A7C72">
              <w:rPr>
                <w:sz w:val="20"/>
                <w:szCs w:val="20"/>
              </w:rPr>
              <w:t>7 (3.8%)</w:t>
            </w:r>
          </w:p>
        </w:tc>
        <w:tc>
          <w:tcPr>
            <w:tcW w:w="2863" w:type="dxa"/>
          </w:tcPr>
          <w:p w:rsidR="002928AB" w:rsidRPr="001A7C72" w:rsidRDefault="002928AB" w:rsidP="001A7C72">
            <w:pPr>
              <w:rPr>
                <w:sz w:val="20"/>
                <w:szCs w:val="20"/>
              </w:rPr>
            </w:pPr>
            <w:r w:rsidRPr="001A7C72">
              <w:rPr>
                <w:sz w:val="20"/>
                <w:szCs w:val="20"/>
              </w:rPr>
              <w:t>12 (6.5%)</w:t>
            </w:r>
          </w:p>
        </w:tc>
      </w:tr>
      <w:tr w:rsidR="002928AB" w:rsidRPr="006B70DC" w:rsidTr="00FE6E98">
        <w:tc>
          <w:tcPr>
            <w:tcW w:w="2699" w:type="dxa"/>
          </w:tcPr>
          <w:p w:rsidR="002928AB" w:rsidRPr="001A7C72" w:rsidRDefault="002928AB" w:rsidP="001A7C72">
            <w:pPr>
              <w:rPr>
                <w:sz w:val="20"/>
                <w:szCs w:val="20"/>
              </w:rPr>
            </w:pPr>
            <w:r w:rsidRPr="001A7C72">
              <w:rPr>
                <w:sz w:val="20"/>
                <w:szCs w:val="20"/>
              </w:rPr>
              <w:t>Nasopharyngitis</w:t>
            </w:r>
          </w:p>
        </w:tc>
        <w:tc>
          <w:tcPr>
            <w:tcW w:w="2908" w:type="dxa"/>
          </w:tcPr>
          <w:p w:rsidR="002928AB" w:rsidRPr="001A7C72" w:rsidRDefault="002928AB" w:rsidP="001A7C72">
            <w:pPr>
              <w:rPr>
                <w:sz w:val="20"/>
                <w:szCs w:val="20"/>
              </w:rPr>
            </w:pPr>
            <w:r w:rsidRPr="001A7C72">
              <w:rPr>
                <w:sz w:val="20"/>
                <w:szCs w:val="20"/>
              </w:rPr>
              <w:t>14 (7.6%)</w:t>
            </w:r>
          </w:p>
        </w:tc>
        <w:tc>
          <w:tcPr>
            <w:tcW w:w="2863" w:type="dxa"/>
          </w:tcPr>
          <w:p w:rsidR="002928AB" w:rsidRPr="001A7C72" w:rsidRDefault="002928AB" w:rsidP="001A7C72">
            <w:pPr>
              <w:rPr>
                <w:sz w:val="20"/>
                <w:szCs w:val="20"/>
              </w:rPr>
            </w:pPr>
            <w:r w:rsidRPr="001A7C72">
              <w:rPr>
                <w:sz w:val="20"/>
                <w:szCs w:val="20"/>
              </w:rPr>
              <w:t>11 (6.0%)</w:t>
            </w:r>
          </w:p>
        </w:tc>
      </w:tr>
      <w:tr w:rsidR="002928AB" w:rsidRPr="006B70DC" w:rsidTr="00FE6E98">
        <w:tc>
          <w:tcPr>
            <w:tcW w:w="2699" w:type="dxa"/>
          </w:tcPr>
          <w:p w:rsidR="002928AB" w:rsidRPr="001A7C72" w:rsidRDefault="002928AB" w:rsidP="001A7C72">
            <w:pPr>
              <w:rPr>
                <w:sz w:val="20"/>
                <w:szCs w:val="20"/>
              </w:rPr>
            </w:pPr>
            <w:r w:rsidRPr="001A7C72">
              <w:rPr>
                <w:sz w:val="20"/>
                <w:szCs w:val="20"/>
              </w:rPr>
              <w:t>Headache</w:t>
            </w:r>
          </w:p>
        </w:tc>
        <w:tc>
          <w:tcPr>
            <w:tcW w:w="2908" w:type="dxa"/>
          </w:tcPr>
          <w:p w:rsidR="002928AB" w:rsidRPr="001A7C72" w:rsidRDefault="002928AB" w:rsidP="001A7C72">
            <w:pPr>
              <w:rPr>
                <w:sz w:val="20"/>
                <w:szCs w:val="20"/>
              </w:rPr>
            </w:pPr>
            <w:r w:rsidRPr="001A7C72">
              <w:rPr>
                <w:sz w:val="20"/>
                <w:szCs w:val="20"/>
              </w:rPr>
              <w:t>12 (6.5%)</w:t>
            </w:r>
          </w:p>
        </w:tc>
        <w:tc>
          <w:tcPr>
            <w:tcW w:w="2863" w:type="dxa"/>
          </w:tcPr>
          <w:p w:rsidR="002928AB" w:rsidRPr="001A7C72" w:rsidRDefault="002928AB" w:rsidP="001A7C72">
            <w:pPr>
              <w:rPr>
                <w:sz w:val="20"/>
                <w:szCs w:val="20"/>
              </w:rPr>
            </w:pPr>
            <w:r w:rsidRPr="001A7C72">
              <w:rPr>
                <w:sz w:val="20"/>
                <w:szCs w:val="20"/>
              </w:rPr>
              <w:t>7 (3.8%)</w:t>
            </w:r>
          </w:p>
        </w:tc>
      </w:tr>
      <w:tr w:rsidR="002928AB" w:rsidRPr="006B70DC" w:rsidTr="00FE6E98">
        <w:tc>
          <w:tcPr>
            <w:tcW w:w="2699" w:type="dxa"/>
          </w:tcPr>
          <w:p w:rsidR="002928AB" w:rsidRPr="001A7C72" w:rsidRDefault="002928AB" w:rsidP="001A7C72">
            <w:pPr>
              <w:rPr>
                <w:sz w:val="20"/>
                <w:szCs w:val="20"/>
              </w:rPr>
            </w:pPr>
            <w:r w:rsidRPr="001A7C72">
              <w:rPr>
                <w:sz w:val="20"/>
                <w:szCs w:val="20"/>
              </w:rPr>
              <w:t xml:space="preserve">ALT increased </w:t>
            </w:r>
          </w:p>
        </w:tc>
        <w:tc>
          <w:tcPr>
            <w:tcW w:w="2908" w:type="dxa"/>
          </w:tcPr>
          <w:p w:rsidR="002928AB" w:rsidRPr="001A7C72" w:rsidRDefault="002928AB" w:rsidP="001A7C72">
            <w:pPr>
              <w:rPr>
                <w:sz w:val="20"/>
                <w:szCs w:val="20"/>
              </w:rPr>
            </w:pPr>
            <w:r w:rsidRPr="001A7C72">
              <w:rPr>
                <w:sz w:val="20"/>
                <w:szCs w:val="20"/>
              </w:rPr>
              <w:t>7 (3.8%)</w:t>
            </w:r>
          </w:p>
        </w:tc>
        <w:tc>
          <w:tcPr>
            <w:tcW w:w="2863" w:type="dxa"/>
          </w:tcPr>
          <w:p w:rsidR="002928AB" w:rsidRPr="001A7C72" w:rsidRDefault="002928AB" w:rsidP="001A7C72">
            <w:pPr>
              <w:rPr>
                <w:sz w:val="20"/>
                <w:szCs w:val="20"/>
              </w:rPr>
            </w:pPr>
            <w:r w:rsidRPr="001A7C72">
              <w:rPr>
                <w:sz w:val="20"/>
                <w:szCs w:val="20"/>
              </w:rPr>
              <w:t>7 (3.8%)</w:t>
            </w:r>
          </w:p>
        </w:tc>
      </w:tr>
      <w:tr w:rsidR="002928AB" w:rsidRPr="006B70DC" w:rsidTr="00FE6E98">
        <w:tc>
          <w:tcPr>
            <w:tcW w:w="2699" w:type="dxa"/>
          </w:tcPr>
          <w:p w:rsidR="002928AB" w:rsidRPr="001A7C72" w:rsidRDefault="002928AB" w:rsidP="001A7C72">
            <w:pPr>
              <w:rPr>
                <w:sz w:val="20"/>
                <w:szCs w:val="20"/>
              </w:rPr>
            </w:pPr>
            <w:r w:rsidRPr="001A7C72">
              <w:rPr>
                <w:sz w:val="20"/>
                <w:szCs w:val="20"/>
              </w:rPr>
              <w:t>Accidental overdose</w:t>
            </w:r>
          </w:p>
        </w:tc>
        <w:tc>
          <w:tcPr>
            <w:tcW w:w="2908" w:type="dxa"/>
          </w:tcPr>
          <w:p w:rsidR="002928AB" w:rsidRPr="001A7C72" w:rsidRDefault="002928AB" w:rsidP="001A7C72">
            <w:pPr>
              <w:rPr>
                <w:sz w:val="20"/>
                <w:szCs w:val="20"/>
              </w:rPr>
            </w:pPr>
            <w:r w:rsidRPr="001A7C72">
              <w:rPr>
                <w:sz w:val="20"/>
                <w:szCs w:val="20"/>
              </w:rPr>
              <w:t>11 (6.0%)</w:t>
            </w:r>
          </w:p>
        </w:tc>
        <w:tc>
          <w:tcPr>
            <w:tcW w:w="2863" w:type="dxa"/>
          </w:tcPr>
          <w:p w:rsidR="002928AB" w:rsidRPr="001A7C72" w:rsidRDefault="002928AB" w:rsidP="001A7C72">
            <w:pPr>
              <w:rPr>
                <w:sz w:val="20"/>
                <w:szCs w:val="20"/>
              </w:rPr>
            </w:pPr>
            <w:r w:rsidRPr="001A7C72">
              <w:rPr>
                <w:sz w:val="20"/>
                <w:szCs w:val="20"/>
              </w:rPr>
              <w:t>6 (3.3%)</w:t>
            </w:r>
          </w:p>
        </w:tc>
      </w:tr>
      <w:tr w:rsidR="002928AB" w:rsidRPr="006B70DC" w:rsidTr="00FE6E98">
        <w:tc>
          <w:tcPr>
            <w:tcW w:w="2699" w:type="dxa"/>
          </w:tcPr>
          <w:p w:rsidR="002928AB" w:rsidRPr="001A7C72" w:rsidRDefault="002928AB" w:rsidP="001A7C72">
            <w:pPr>
              <w:rPr>
                <w:sz w:val="20"/>
                <w:szCs w:val="20"/>
              </w:rPr>
            </w:pPr>
            <w:r w:rsidRPr="001A7C72">
              <w:rPr>
                <w:sz w:val="20"/>
                <w:szCs w:val="20"/>
              </w:rPr>
              <w:t>Urinary tract infection</w:t>
            </w:r>
          </w:p>
        </w:tc>
        <w:tc>
          <w:tcPr>
            <w:tcW w:w="2908" w:type="dxa"/>
          </w:tcPr>
          <w:p w:rsidR="002928AB" w:rsidRPr="001A7C72" w:rsidRDefault="002928AB" w:rsidP="001A7C72">
            <w:pPr>
              <w:rPr>
                <w:sz w:val="20"/>
                <w:szCs w:val="20"/>
              </w:rPr>
            </w:pPr>
            <w:r w:rsidRPr="001A7C72">
              <w:rPr>
                <w:sz w:val="20"/>
                <w:szCs w:val="20"/>
              </w:rPr>
              <w:t>4 (2.2%)</w:t>
            </w:r>
          </w:p>
        </w:tc>
        <w:tc>
          <w:tcPr>
            <w:tcW w:w="2863" w:type="dxa"/>
          </w:tcPr>
          <w:p w:rsidR="002928AB" w:rsidRPr="001A7C72" w:rsidRDefault="002928AB" w:rsidP="001A7C72">
            <w:pPr>
              <w:rPr>
                <w:sz w:val="20"/>
                <w:szCs w:val="20"/>
              </w:rPr>
            </w:pPr>
            <w:r w:rsidRPr="001A7C72">
              <w:rPr>
                <w:sz w:val="20"/>
                <w:szCs w:val="20"/>
              </w:rPr>
              <w:t>5 (2.7%)</w:t>
            </w:r>
          </w:p>
        </w:tc>
      </w:tr>
      <w:tr w:rsidR="002928AB" w:rsidRPr="006B70DC" w:rsidTr="00FE6E98">
        <w:tc>
          <w:tcPr>
            <w:tcW w:w="2699" w:type="dxa"/>
          </w:tcPr>
          <w:p w:rsidR="002928AB" w:rsidRPr="001A7C72" w:rsidRDefault="002928AB" w:rsidP="001A7C72">
            <w:pPr>
              <w:rPr>
                <w:sz w:val="20"/>
                <w:szCs w:val="20"/>
              </w:rPr>
            </w:pPr>
            <w:r w:rsidRPr="001A7C72">
              <w:rPr>
                <w:sz w:val="20"/>
                <w:szCs w:val="20"/>
              </w:rPr>
              <w:t>Diarrhoea</w:t>
            </w:r>
          </w:p>
        </w:tc>
        <w:tc>
          <w:tcPr>
            <w:tcW w:w="2908" w:type="dxa"/>
          </w:tcPr>
          <w:p w:rsidR="002928AB" w:rsidRPr="001A7C72" w:rsidRDefault="002928AB" w:rsidP="001A7C72">
            <w:pPr>
              <w:rPr>
                <w:sz w:val="20"/>
                <w:szCs w:val="20"/>
              </w:rPr>
            </w:pPr>
            <w:r w:rsidRPr="001A7C72">
              <w:rPr>
                <w:sz w:val="20"/>
                <w:szCs w:val="20"/>
              </w:rPr>
              <w:t>5 (2.7%)</w:t>
            </w:r>
          </w:p>
        </w:tc>
        <w:tc>
          <w:tcPr>
            <w:tcW w:w="2863" w:type="dxa"/>
          </w:tcPr>
          <w:p w:rsidR="002928AB" w:rsidRPr="001A7C72" w:rsidRDefault="002928AB" w:rsidP="001A7C72">
            <w:pPr>
              <w:rPr>
                <w:sz w:val="20"/>
                <w:szCs w:val="20"/>
              </w:rPr>
            </w:pPr>
            <w:r w:rsidRPr="001A7C72">
              <w:rPr>
                <w:sz w:val="20"/>
                <w:szCs w:val="20"/>
              </w:rPr>
              <w:t>5 (2.7%)</w:t>
            </w:r>
          </w:p>
        </w:tc>
      </w:tr>
      <w:tr w:rsidR="002928AB" w:rsidRPr="006B70DC" w:rsidTr="00FE6E98">
        <w:tc>
          <w:tcPr>
            <w:tcW w:w="2699" w:type="dxa"/>
          </w:tcPr>
          <w:p w:rsidR="002928AB" w:rsidRPr="001A7C72" w:rsidRDefault="002928AB" w:rsidP="001A7C72">
            <w:pPr>
              <w:rPr>
                <w:sz w:val="20"/>
                <w:szCs w:val="20"/>
              </w:rPr>
            </w:pPr>
            <w:r w:rsidRPr="001A7C72">
              <w:rPr>
                <w:sz w:val="20"/>
                <w:szCs w:val="20"/>
              </w:rPr>
              <w:t>Arthralgia</w:t>
            </w:r>
          </w:p>
        </w:tc>
        <w:tc>
          <w:tcPr>
            <w:tcW w:w="2908" w:type="dxa"/>
          </w:tcPr>
          <w:p w:rsidR="002928AB" w:rsidRPr="001A7C72" w:rsidRDefault="002928AB" w:rsidP="001A7C72">
            <w:pPr>
              <w:rPr>
                <w:sz w:val="20"/>
                <w:szCs w:val="20"/>
              </w:rPr>
            </w:pPr>
            <w:r w:rsidRPr="001A7C72">
              <w:rPr>
                <w:sz w:val="20"/>
                <w:szCs w:val="20"/>
              </w:rPr>
              <w:t>3 (1.6%)</w:t>
            </w:r>
          </w:p>
        </w:tc>
        <w:tc>
          <w:tcPr>
            <w:tcW w:w="2863" w:type="dxa"/>
          </w:tcPr>
          <w:p w:rsidR="002928AB" w:rsidRPr="001A7C72" w:rsidRDefault="002928AB" w:rsidP="001A7C72">
            <w:pPr>
              <w:rPr>
                <w:sz w:val="20"/>
                <w:szCs w:val="20"/>
              </w:rPr>
            </w:pPr>
            <w:r w:rsidRPr="001A7C72">
              <w:rPr>
                <w:sz w:val="20"/>
                <w:szCs w:val="20"/>
              </w:rPr>
              <w:t>5 (2.7%)</w:t>
            </w:r>
          </w:p>
        </w:tc>
      </w:tr>
      <w:tr w:rsidR="002928AB" w:rsidRPr="006B70DC" w:rsidTr="00FE6E98">
        <w:tc>
          <w:tcPr>
            <w:tcW w:w="2699" w:type="dxa"/>
          </w:tcPr>
          <w:p w:rsidR="002928AB" w:rsidRPr="001A7C72" w:rsidRDefault="002928AB" w:rsidP="001A7C72">
            <w:pPr>
              <w:rPr>
                <w:sz w:val="20"/>
                <w:szCs w:val="20"/>
              </w:rPr>
            </w:pPr>
            <w:r w:rsidRPr="001A7C72">
              <w:rPr>
                <w:sz w:val="20"/>
                <w:szCs w:val="20"/>
              </w:rPr>
              <w:t>Pharyngitis</w:t>
            </w:r>
          </w:p>
        </w:tc>
        <w:tc>
          <w:tcPr>
            <w:tcW w:w="2908" w:type="dxa"/>
          </w:tcPr>
          <w:p w:rsidR="002928AB" w:rsidRPr="001A7C72" w:rsidRDefault="002928AB" w:rsidP="001A7C72">
            <w:pPr>
              <w:rPr>
                <w:sz w:val="20"/>
                <w:szCs w:val="20"/>
              </w:rPr>
            </w:pPr>
            <w:r w:rsidRPr="001A7C72">
              <w:rPr>
                <w:sz w:val="20"/>
                <w:szCs w:val="20"/>
              </w:rPr>
              <w:t>5 (2.7%)</w:t>
            </w:r>
          </w:p>
        </w:tc>
        <w:tc>
          <w:tcPr>
            <w:tcW w:w="2863" w:type="dxa"/>
          </w:tcPr>
          <w:p w:rsidR="002928AB" w:rsidRPr="001A7C72" w:rsidRDefault="002928AB" w:rsidP="001A7C72">
            <w:pPr>
              <w:rPr>
                <w:sz w:val="20"/>
                <w:szCs w:val="20"/>
              </w:rPr>
            </w:pPr>
            <w:r w:rsidRPr="001A7C72">
              <w:rPr>
                <w:sz w:val="20"/>
                <w:szCs w:val="20"/>
              </w:rPr>
              <w:t>3 (1.6%)</w:t>
            </w:r>
          </w:p>
        </w:tc>
      </w:tr>
      <w:tr w:rsidR="002928AB" w:rsidRPr="006B70DC" w:rsidTr="00FE6E98">
        <w:tc>
          <w:tcPr>
            <w:tcW w:w="2699" w:type="dxa"/>
          </w:tcPr>
          <w:p w:rsidR="002928AB" w:rsidRPr="001A7C72" w:rsidRDefault="002928AB" w:rsidP="001A7C72">
            <w:pPr>
              <w:rPr>
                <w:sz w:val="20"/>
                <w:szCs w:val="20"/>
              </w:rPr>
            </w:pPr>
            <w:r w:rsidRPr="001A7C72">
              <w:rPr>
                <w:sz w:val="20"/>
                <w:szCs w:val="20"/>
              </w:rPr>
              <w:t>Upper respiratory tract infection</w:t>
            </w:r>
          </w:p>
        </w:tc>
        <w:tc>
          <w:tcPr>
            <w:tcW w:w="2908" w:type="dxa"/>
          </w:tcPr>
          <w:p w:rsidR="002928AB" w:rsidRPr="001A7C72" w:rsidRDefault="002928AB" w:rsidP="001A7C72">
            <w:pPr>
              <w:rPr>
                <w:sz w:val="20"/>
                <w:szCs w:val="20"/>
              </w:rPr>
            </w:pPr>
            <w:r w:rsidRPr="001A7C72">
              <w:rPr>
                <w:sz w:val="20"/>
                <w:szCs w:val="20"/>
              </w:rPr>
              <w:t>7 (3.8%)</w:t>
            </w:r>
          </w:p>
        </w:tc>
        <w:tc>
          <w:tcPr>
            <w:tcW w:w="2863" w:type="dxa"/>
          </w:tcPr>
          <w:p w:rsidR="002928AB" w:rsidRPr="001A7C72" w:rsidRDefault="002928AB" w:rsidP="001A7C72">
            <w:pPr>
              <w:rPr>
                <w:sz w:val="20"/>
                <w:szCs w:val="20"/>
              </w:rPr>
            </w:pPr>
            <w:r w:rsidRPr="001A7C72">
              <w:rPr>
                <w:sz w:val="20"/>
                <w:szCs w:val="20"/>
              </w:rPr>
              <w:t>3 (1.6%)</w:t>
            </w:r>
          </w:p>
        </w:tc>
      </w:tr>
      <w:tr w:rsidR="002928AB" w:rsidRPr="006B70DC" w:rsidTr="00FE6E98">
        <w:tc>
          <w:tcPr>
            <w:tcW w:w="2699" w:type="dxa"/>
          </w:tcPr>
          <w:p w:rsidR="002928AB" w:rsidRPr="001A7C72" w:rsidRDefault="002928AB" w:rsidP="001A7C72">
            <w:pPr>
              <w:rPr>
                <w:sz w:val="20"/>
                <w:szCs w:val="20"/>
              </w:rPr>
            </w:pPr>
            <w:r w:rsidRPr="001A7C72">
              <w:rPr>
                <w:sz w:val="20"/>
                <w:szCs w:val="20"/>
              </w:rPr>
              <w:t>Hypertension</w:t>
            </w:r>
          </w:p>
        </w:tc>
        <w:tc>
          <w:tcPr>
            <w:tcW w:w="2908" w:type="dxa"/>
          </w:tcPr>
          <w:p w:rsidR="002928AB" w:rsidRPr="001A7C72" w:rsidRDefault="002928AB" w:rsidP="001A7C72">
            <w:pPr>
              <w:rPr>
                <w:sz w:val="20"/>
                <w:szCs w:val="20"/>
              </w:rPr>
            </w:pPr>
            <w:r w:rsidRPr="001A7C72">
              <w:rPr>
                <w:sz w:val="20"/>
                <w:szCs w:val="20"/>
              </w:rPr>
              <w:t>4 (2.2%)</w:t>
            </w:r>
          </w:p>
        </w:tc>
        <w:tc>
          <w:tcPr>
            <w:tcW w:w="2863" w:type="dxa"/>
          </w:tcPr>
          <w:p w:rsidR="002928AB" w:rsidRPr="001A7C72" w:rsidRDefault="002928AB" w:rsidP="001A7C72">
            <w:pPr>
              <w:rPr>
                <w:sz w:val="20"/>
                <w:szCs w:val="20"/>
              </w:rPr>
            </w:pPr>
            <w:r w:rsidRPr="001A7C72">
              <w:rPr>
                <w:sz w:val="20"/>
                <w:szCs w:val="20"/>
              </w:rPr>
              <w:t>3 (1.6%)</w:t>
            </w:r>
          </w:p>
        </w:tc>
      </w:tr>
      <w:tr w:rsidR="002928AB" w:rsidRPr="006B70DC" w:rsidTr="00FE6E98">
        <w:tc>
          <w:tcPr>
            <w:tcW w:w="2699" w:type="dxa"/>
          </w:tcPr>
          <w:p w:rsidR="002928AB" w:rsidRPr="001A7C72" w:rsidRDefault="002928AB" w:rsidP="001A7C72">
            <w:pPr>
              <w:rPr>
                <w:sz w:val="20"/>
                <w:szCs w:val="20"/>
              </w:rPr>
            </w:pPr>
            <w:r w:rsidRPr="001A7C72">
              <w:rPr>
                <w:sz w:val="20"/>
                <w:szCs w:val="20"/>
              </w:rPr>
              <w:t>Rheumatoid arthritis</w:t>
            </w:r>
          </w:p>
        </w:tc>
        <w:tc>
          <w:tcPr>
            <w:tcW w:w="2908" w:type="dxa"/>
          </w:tcPr>
          <w:p w:rsidR="002928AB" w:rsidRPr="001A7C72" w:rsidRDefault="002928AB" w:rsidP="001A7C72">
            <w:pPr>
              <w:rPr>
                <w:sz w:val="20"/>
                <w:szCs w:val="20"/>
              </w:rPr>
            </w:pPr>
            <w:r w:rsidRPr="001A7C72">
              <w:rPr>
                <w:sz w:val="20"/>
                <w:szCs w:val="20"/>
              </w:rPr>
              <w:t>7 (3.8%)</w:t>
            </w:r>
          </w:p>
        </w:tc>
        <w:tc>
          <w:tcPr>
            <w:tcW w:w="2863" w:type="dxa"/>
          </w:tcPr>
          <w:p w:rsidR="002928AB" w:rsidRPr="001A7C72" w:rsidRDefault="002928AB" w:rsidP="001A7C72">
            <w:pPr>
              <w:rPr>
                <w:sz w:val="20"/>
                <w:szCs w:val="20"/>
              </w:rPr>
            </w:pPr>
            <w:r w:rsidRPr="001A7C72">
              <w:rPr>
                <w:sz w:val="20"/>
                <w:szCs w:val="20"/>
              </w:rPr>
              <w:t>1 (0.5%)</w:t>
            </w:r>
          </w:p>
        </w:tc>
      </w:tr>
      <w:tr w:rsidR="002928AB" w:rsidRPr="006B70DC" w:rsidTr="00FE6E98">
        <w:tc>
          <w:tcPr>
            <w:tcW w:w="2699" w:type="dxa"/>
          </w:tcPr>
          <w:p w:rsidR="002928AB" w:rsidRPr="001A7C72" w:rsidRDefault="002928AB" w:rsidP="001A7C72">
            <w:pPr>
              <w:rPr>
                <w:sz w:val="20"/>
                <w:szCs w:val="20"/>
              </w:rPr>
            </w:pPr>
            <w:r w:rsidRPr="001A7C72">
              <w:rPr>
                <w:sz w:val="20"/>
                <w:szCs w:val="20"/>
              </w:rPr>
              <w:t>Abdominal pain</w:t>
            </w:r>
          </w:p>
        </w:tc>
        <w:tc>
          <w:tcPr>
            <w:tcW w:w="2908" w:type="dxa"/>
          </w:tcPr>
          <w:p w:rsidR="002928AB" w:rsidRPr="001A7C72" w:rsidRDefault="002928AB" w:rsidP="001A7C72">
            <w:pPr>
              <w:rPr>
                <w:sz w:val="20"/>
                <w:szCs w:val="20"/>
              </w:rPr>
            </w:pPr>
            <w:r w:rsidRPr="001A7C72">
              <w:rPr>
                <w:sz w:val="20"/>
                <w:szCs w:val="20"/>
              </w:rPr>
              <w:t>5 (2.7%)</w:t>
            </w:r>
          </w:p>
        </w:tc>
        <w:tc>
          <w:tcPr>
            <w:tcW w:w="2863" w:type="dxa"/>
          </w:tcPr>
          <w:p w:rsidR="002928AB" w:rsidRPr="001A7C72" w:rsidRDefault="002928AB" w:rsidP="001A7C72">
            <w:pPr>
              <w:rPr>
                <w:sz w:val="20"/>
                <w:szCs w:val="20"/>
              </w:rPr>
            </w:pPr>
            <w:r w:rsidRPr="001A7C72">
              <w:rPr>
                <w:sz w:val="20"/>
                <w:szCs w:val="20"/>
              </w:rPr>
              <w:t xml:space="preserve">0 </w:t>
            </w:r>
          </w:p>
        </w:tc>
      </w:tr>
    </w:tbl>
    <w:p w:rsidR="00AA6B20" w:rsidRPr="003A36D9" w:rsidRDefault="002928AB" w:rsidP="003A36D9">
      <w:r w:rsidRPr="003A36D9">
        <w:t>The most notable difference in the incidence of TEAEs between the two treatment groups related to the high</w:t>
      </w:r>
      <w:r w:rsidRPr="0084607A">
        <w:t>er incidence of neutro</w:t>
      </w:r>
      <w:r w:rsidR="001E2D44" w:rsidRPr="003A36D9">
        <w:t>paenia</w:t>
      </w:r>
      <w:r w:rsidRPr="003A36D9">
        <w:t xml:space="preserve"> in the sarilumab 200 mg q2w group compared with the adalimumab 40 mg q2w group (13.6%</w:t>
      </w:r>
      <w:r w:rsidR="003D2290" w:rsidRPr="003A36D9">
        <w:t xml:space="preserve"> versus </w:t>
      </w:r>
      <w:r w:rsidRPr="003A36D9">
        <w:t xml:space="preserve">0.5%, respectively). Other TEAEs reported in </w:t>
      </w:r>
      <w:r w:rsidR="00DD5BCE">
        <w:t>≥</w:t>
      </w:r>
      <w:r w:rsidR="007C7C62">
        <w:t xml:space="preserve"> </w:t>
      </w:r>
      <w:r w:rsidRPr="003A36D9">
        <w:t xml:space="preserve">2% of patients in either of the two treatment groups, and </w:t>
      </w:r>
      <w:r w:rsidR="00DD5BCE">
        <w:t>≥</w:t>
      </w:r>
      <w:r w:rsidR="007C7C62">
        <w:t xml:space="preserve"> </w:t>
      </w:r>
      <w:r w:rsidRPr="003A36D9">
        <w:t xml:space="preserve">2% more frequently in the sarilumab 200 mg q2w group than in the adalimumab 40 mg q2w group were injection site erythema and bronchitis. TEAEs reported in </w:t>
      </w:r>
      <w:r w:rsidR="00DD5BCE">
        <w:t>≥</w:t>
      </w:r>
      <w:r w:rsidR="007C7C62">
        <w:t xml:space="preserve"> </w:t>
      </w:r>
      <w:r w:rsidRPr="003A36D9">
        <w:t xml:space="preserve">2% of patients in either of the two treatment groups, and </w:t>
      </w:r>
      <w:r w:rsidR="00DD5BCE">
        <w:t>≥</w:t>
      </w:r>
      <w:r w:rsidR="007C7C62">
        <w:t xml:space="preserve"> </w:t>
      </w:r>
      <w:r w:rsidRPr="003A36D9">
        <w:t>2% more frequently in the adalimumab 40 mg q2w group than in the sarilumab group 200 mg q2w group were headache, accidental overdose, upper respiratory tract infection, and RA (</w:t>
      </w:r>
      <w:r w:rsidR="00FE6E98" w:rsidRPr="003A36D9">
        <w:t>that is,</w:t>
      </w:r>
      <w:r w:rsidRPr="003A36D9">
        <w:t xml:space="preserve"> worsening of RA).</w:t>
      </w:r>
    </w:p>
    <w:p w:rsidR="00AA6B20" w:rsidRPr="00485E22" w:rsidRDefault="002928AB" w:rsidP="0084607A">
      <w:r w:rsidRPr="003A36D9">
        <w:t>In the 24</w:t>
      </w:r>
      <w:r w:rsidR="001E2D44" w:rsidRPr="003A36D9">
        <w:t xml:space="preserve"> </w:t>
      </w:r>
      <w:r w:rsidRPr="003A36D9">
        <w:t xml:space="preserve">week double-blind treatment period there was 1 death in the sarilumab 200 mg q2w group (cardiovascular causes) and no deaths in the adalimumab 40 mg q2w group. SAEs were reported more frequently in the adalimumab 40 mg q2w group than in the sarilumab 200 mg q2w group (6.5%, </w:t>
      </w:r>
      <w:r w:rsidR="007C7C62">
        <w:t xml:space="preserve">n = </w:t>
      </w:r>
      <w:r w:rsidRPr="003A36D9">
        <w:t>12</w:t>
      </w:r>
      <w:r w:rsidR="003D2290" w:rsidRPr="00485E22">
        <w:t xml:space="preserve"> versus </w:t>
      </w:r>
      <w:r w:rsidRPr="00485E22">
        <w:t xml:space="preserve">4.9%, </w:t>
      </w:r>
      <w:r w:rsidR="007C7C62">
        <w:t xml:space="preserve">n = </w:t>
      </w:r>
      <w:r w:rsidRPr="00485E22">
        <w:t xml:space="preserve">9, respectively), and no individual SAEs were reported in more than 1 patient in either of the two treatment </w:t>
      </w:r>
      <w:r w:rsidRPr="00485E22">
        <w:lastRenderedPageBreak/>
        <w:t>groups. The SAEs in the adalimumab 40 ng q2w group each reported once were arthritis bacterial, respiratory tract infection, basal cell carcinoma, serum sickness, CVA, multiple sclerosis, syncope, pulmonary embolism, small intestinal obstruction, arthritis, lumbar spinal stenosis, and ALT increased. The SAEs in the sarilumab 200 mg q2w group each reported once were bursitis infective, mastitis, neutro</w:t>
      </w:r>
      <w:r w:rsidR="001E2D44" w:rsidRPr="00485E22">
        <w:t>paenia</w:t>
      </w:r>
      <w:r w:rsidRPr="00485E22">
        <w:t>, cerebral ischaemia, demyelinating polyneuropathy, cardiac failure acute, coronary artery dissection, papillary muscle rupture, haematoma, back pain, intervertebral disc protrusion, accidental overdose, concussion, periorbital oedema and wound.</w:t>
      </w:r>
    </w:p>
    <w:p w:rsidR="00AA6B20" w:rsidRPr="00485E22" w:rsidRDefault="002928AB">
      <w:r w:rsidRPr="00485E22">
        <w:t xml:space="preserve">The proportion of patients permanently discontinuing treatment due TEAEs was higher in the adalimumab 40 mg q2w group than in the sarilumab 200 mg q2w group (7.1%, </w:t>
      </w:r>
      <w:r w:rsidR="007C7C62">
        <w:t xml:space="preserve">n = </w:t>
      </w:r>
      <w:r w:rsidRPr="00485E22">
        <w:t>13</w:t>
      </w:r>
      <w:r w:rsidR="003D2290" w:rsidRPr="00485E22">
        <w:t xml:space="preserve"> versus </w:t>
      </w:r>
      <w:r w:rsidRPr="00485E22">
        <w:t xml:space="preserve">6.0%, </w:t>
      </w:r>
      <w:r w:rsidR="007C7C62">
        <w:t xml:space="preserve">n = </w:t>
      </w:r>
      <w:r w:rsidRPr="00485E22">
        <w:t xml:space="preserve">11). In the sarilumab 200 mg q2w group, TEAEs resulting in permanent treatment discontinuation reported in </w:t>
      </w:r>
      <w:r w:rsidR="00DD5BCE">
        <w:t>≥</w:t>
      </w:r>
      <w:r w:rsidR="007C7C62">
        <w:t xml:space="preserve"> </w:t>
      </w:r>
      <w:r w:rsidRPr="00485E22">
        <w:t>2 patients were neutro</w:t>
      </w:r>
      <w:r w:rsidR="001E2D44" w:rsidRPr="00485E22">
        <w:t>paenia</w:t>
      </w:r>
      <w:r w:rsidRPr="00485E22">
        <w:t xml:space="preserve"> (2.7%, </w:t>
      </w:r>
      <w:r w:rsidR="007C7C62">
        <w:t xml:space="preserve">n = </w:t>
      </w:r>
      <w:r w:rsidRPr="00485E22">
        <w:t xml:space="preserve">5) and injection site erythema (1.1%, </w:t>
      </w:r>
      <w:r w:rsidR="007C7C62">
        <w:t xml:space="preserve">n = </w:t>
      </w:r>
      <w:r w:rsidRPr="00485E22">
        <w:t xml:space="preserve">2), and all other TEAEs were each reported in 1 patient. In the adalimumab 40 mg q2w group, TEAEs resulting in permanent treatment discontinuation in </w:t>
      </w:r>
      <w:r w:rsidR="00DD5BCE">
        <w:t>≥</w:t>
      </w:r>
      <w:r w:rsidR="007C7C62">
        <w:t xml:space="preserve"> </w:t>
      </w:r>
      <w:r w:rsidRPr="00485E22">
        <w:t xml:space="preserve">2 patients were RA (1.1%, </w:t>
      </w:r>
      <w:r w:rsidR="007C7C62">
        <w:t xml:space="preserve">n = </w:t>
      </w:r>
      <w:r w:rsidRPr="00485E22">
        <w:t xml:space="preserve">2), ALT increased (1.1%, </w:t>
      </w:r>
      <w:r w:rsidR="007C7C62">
        <w:t xml:space="preserve">n = </w:t>
      </w:r>
      <w:r w:rsidRPr="00485E22">
        <w:t xml:space="preserve">2), AST increased (1.1%, </w:t>
      </w:r>
      <w:r w:rsidR="007C7C62">
        <w:t xml:space="preserve">n = </w:t>
      </w:r>
      <w:r w:rsidRPr="00485E22">
        <w:t>2), and all other TEAEs were each reported in 1 patient.</w:t>
      </w:r>
    </w:p>
    <w:p w:rsidR="00AA6B20" w:rsidRPr="00485E22" w:rsidRDefault="002928AB">
      <w:r w:rsidRPr="00485E22">
        <w:t xml:space="preserve">Treatment-emergent adverse events of special interest (AESI) in the two treatment groups are summarised below in Table </w:t>
      </w:r>
      <w:r w:rsidR="00D75C1B" w:rsidRPr="00485E22">
        <w:t>24</w:t>
      </w:r>
    </w:p>
    <w:p w:rsidR="002928AB" w:rsidRPr="006B70DC" w:rsidRDefault="002928AB" w:rsidP="001A7C72">
      <w:pPr>
        <w:pStyle w:val="Tabletitle0"/>
      </w:pPr>
      <w:bookmarkStart w:id="159" w:name="_Toc514687838"/>
      <w:r>
        <w:t xml:space="preserve">Table </w:t>
      </w:r>
      <w:r w:rsidR="00D75C1B">
        <w:t>24</w:t>
      </w:r>
      <w:r>
        <w:t xml:space="preserve">: </w:t>
      </w:r>
      <w:r w:rsidR="000F5B2C">
        <w:t xml:space="preserve">Study </w:t>
      </w:r>
      <w:r w:rsidRPr="006B70DC">
        <w:t>EFC14092</w:t>
      </w:r>
      <w:r w:rsidR="003A36D9">
        <w:t>/</w:t>
      </w:r>
      <w:r w:rsidR="001F3EAD">
        <w:t>MONARCH</w:t>
      </w:r>
      <w:r w:rsidR="001F3EAD" w:rsidRPr="006B70DC">
        <w:t xml:space="preserve"> </w:t>
      </w:r>
      <w:r w:rsidR="003A36D9">
        <w:t xml:space="preserve">trial </w:t>
      </w:r>
      <w:r w:rsidR="00FD15F9">
        <w:t>a</w:t>
      </w:r>
      <w:r w:rsidRPr="006B70DC">
        <w:t>dverse events of special interest (AESI)</w:t>
      </w:r>
      <w:r w:rsidR="003A36D9">
        <w:t>;</w:t>
      </w:r>
      <w:r w:rsidRPr="006B70DC">
        <w:t xml:space="preserve"> safety population</w:t>
      </w:r>
      <w:bookmarkEnd w:id="159"/>
    </w:p>
    <w:p w:rsidR="006711A8" w:rsidRDefault="002928AB" w:rsidP="001E2D44">
      <w:pPr>
        <w:rPr>
          <w:lang w:val="en-US"/>
        </w:rPr>
      </w:pPr>
      <w:r>
        <w:rPr>
          <w:noProof/>
          <w:lang w:eastAsia="en-AU"/>
        </w:rPr>
        <w:drawing>
          <wp:inline distT="0" distB="0" distL="0" distR="0" wp14:anchorId="0CCB78FB" wp14:editId="74ECD9E5">
            <wp:extent cx="5414727" cy="3899002"/>
            <wp:effectExtent l="0" t="0" r="0" b="6350"/>
            <wp:docPr id="30" name="Picture 1" descr="EFC14092 Adverse events of special interest (AESI), safety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12444" cy="3897358"/>
                    </a:xfrm>
                    <a:prstGeom prst="rect">
                      <a:avLst/>
                    </a:prstGeom>
                    <a:noFill/>
                    <a:ln>
                      <a:noFill/>
                    </a:ln>
                  </pic:spPr>
                </pic:pic>
              </a:graphicData>
            </a:graphic>
          </wp:inline>
        </w:drawing>
      </w:r>
    </w:p>
    <w:p w:rsidR="00AA6B20" w:rsidRDefault="002928AB" w:rsidP="001E2D44">
      <w:pPr>
        <w:rPr>
          <w:lang w:val="en-US"/>
        </w:rPr>
      </w:pPr>
      <w:r>
        <w:rPr>
          <w:lang w:val="en-US"/>
        </w:rPr>
        <w:t xml:space="preserve">Infection was the main AESI reported in both treatment groups, and the incidence of infection was similar in patients in both groups. The main difference in AESI between the two treatment groups </w:t>
      </w:r>
      <w:r w:rsidRPr="006B70DC">
        <w:rPr>
          <w:lang w:val="en-US"/>
        </w:rPr>
        <w:t xml:space="preserve">related to the notably higher incidence of </w:t>
      </w:r>
      <w:r w:rsidR="003A36D9">
        <w:rPr>
          <w:lang w:val="en-US"/>
        </w:rPr>
        <w:t>l</w:t>
      </w:r>
      <w:r w:rsidR="003A36D9" w:rsidRPr="006B70DC">
        <w:rPr>
          <w:lang w:val="en-US"/>
        </w:rPr>
        <w:t>euko</w:t>
      </w:r>
      <w:r w:rsidR="003A36D9">
        <w:rPr>
          <w:lang w:val="en-US"/>
        </w:rPr>
        <w:t>paenia</w:t>
      </w:r>
      <w:r w:rsidR="003A36D9" w:rsidRPr="006B70DC">
        <w:rPr>
          <w:lang w:val="en-US"/>
        </w:rPr>
        <w:t xml:space="preserve"> </w:t>
      </w:r>
      <w:r w:rsidRPr="006B70DC">
        <w:rPr>
          <w:lang w:val="en-US"/>
        </w:rPr>
        <w:t xml:space="preserve">(SMQ) events in the sarilumab 200 mg q2w group than in </w:t>
      </w:r>
      <w:r>
        <w:rPr>
          <w:lang w:val="en-US"/>
        </w:rPr>
        <w:t xml:space="preserve">the adalimumab 40 mg q2w group, with the difference being primarily </w:t>
      </w:r>
      <w:r w:rsidRPr="006B70DC">
        <w:rPr>
          <w:lang w:val="en-US"/>
        </w:rPr>
        <w:t xml:space="preserve">driven by </w:t>
      </w:r>
      <w:r>
        <w:rPr>
          <w:lang w:val="en-US"/>
        </w:rPr>
        <w:t>the TEAE of neutro</w:t>
      </w:r>
      <w:r w:rsidR="001E2D44">
        <w:rPr>
          <w:lang w:val="en-US"/>
        </w:rPr>
        <w:t>paenia</w:t>
      </w:r>
      <w:r w:rsidRPr="006B70DC">
        <w:rPr>
          <w:lang w:val="en-US"/>
        </w:rPr>
        <w:t xml:space="preserve">. </w:t>
      </w:r>
      <w:r>
        <w:rPr>
          <w:lang w:val="en-US"/>
        </w:rPr>
        <w:t xml:space="preserve">In addition to </w:t>
      </w:r>
      <w:r w:rsidR="003A36D9">
        <w:rPr>
          <w:lang w:val="en-US"/>
        </w:rPr>
        <w:t>l</w:t>
      </w:r>
      <w:r>
        <w:rPr>
          <w:lang w:val="en-US"/>
        </w:rPr>
        <w:t>euko</w:t>
      </w:r>
      <w:r w:rsidR="001E2D44">
        <w:rPr>
          <w:lang w:val="en-US"/>
        </w:rPr>
        <w:t>paenia</w:t>
      </w:r>
      <w:r>
        <w:rPr>
          <w:lang w:val="en-US"/>
        </w:rPr>
        <w:t xml:space="preserve"> (SMQ), i</w:t>
      </w:r>
      <w:r w:rsidRPr="006B70DC">
        <w:rPr>
          <w:lang w:val="en-US"/>
        </w:rPr>
        <w:t xml:space="preserve">njection site reactions </w:t>
      </w:r>
      <w:r>
        <w:rPr>
          <w:lang w:val="en-US"/>
        </w:rPr>
        <w:t xml:space="preserve">and hepatic disorders </w:t>
      </w:r>
      <w:r w:rsidRPr="006B70DC">
        <w:rPr>
          <w:lang w:val="en-US"/>
        </w:rPr>
        <w:t xml:space="preserve">occurred more frequently in the sarilumab 200 mg q2w group than in the adalimumab group 40 mg q2w group, while elevation in lipids occurred more frequently in the adalimumab 40 mg q2w group than in </w:t>
      </w:r>
      <w:r w:rsidRPr="006B70DC">
        <w:rPr>
          <w:lang w:val="en-US"/>
        </w:rPr>
        <w:lastRenderedPageBreak/>
        <w:t>the sarilumab 200 mg q2w group. Apart from Leuko</w:t>
      </w:r>
      <w:r w:rsidR="001E2D44">
        <w:rPr>
          <w:lang w:val="en-US"/>
        </w:rPr>
        <w:t>paenia</w:t>
      </w:r>
      <w:r w:rsidRPr="006B70DC">
        <w:rPr>
          <w:lang w:val="en-US"/>
        </w:rPr>
        <w:t xml:space="preserve"> (SMQ), injection site reactions, </w:t>
      </w:r>
      <w:r>
        <w:rPr>
          <w:lang w:val="en-US"/>
        </w:rPr>
        <w:t xml:space="preserve">hepatic disorders </w:t>
      </w:r>
      <w:r w:rsidRPr="006B70DC">
        <w:rPr>
          <w:lang w:val="en-US"/>
        </w:rPr>
        <w:t>and eleva</w:t>
      </w:r>
      <w:r>
        <w:rPr>
          <w:lang w:val="en-US"/>
        </w:rPr>
        <w:t xml:space="preserve">tion in lipids, all other AESI </w:t>
      </w:r>
      <w:r w:rsidRPr="006B70DC">
        <w:rPr>
          <w:lang w:val="en-US"/>
        </w:rPr>
        <w:t xml:space="preserve">were reported in a similar proportion of patients in the sarilumab 200 mg q2w and </w:t>
      </w:r>
      <w:r>
        <w:rPr>
          <w:lang w:val="en-US"/>
        </w:rPr>
        <w:t xml:space="preserve">adalimumab </w:t>
      </w:r>
      <w:r w:rsidRPr="006B70DC">
        <w:rPr>
          <w:lang w:val="en-US"/>
        </w:rPr>
        <w:t>40 mg q2w treatment groups.</w:t>
      </w:r>
    </w:p>
    <w:p w:rsidR="00AA6B20" w:rsidRDefault="002928AB" w:rsidP="001E2D44">
      <w:pPr>
        <w:rPr>
          <w:lang w:val="en-US"/>
        </w:rPr>
      </w:pPr>
      <w:r>
        <w:rPr>
          <w:lang w:val="en-US"/>
        </w:rPr>
        <w:t>N</w:t>
      </w:r>
      <w:r w:rsidRPr="006B70DC">
        <w:rPr>
          <w:lang w:val="en-US"/>
        </w:rPr>
        <w:t>eutro</w:t>
      </w:r>
      <w:r w:rsidR="001E2D44">
        <w:rPr>
          <w:lang w:val="en-US"/>
        </w:rPr>
        <w:t>paenia</w:t>
      </w:r>
      <w:r w:rsidRPr="006B70DC">
        <w:rPr>
          <w:lang w:val="en-US"/>
        </w:rPr>
        <w:t xml:space="preserve"> </w:t>
      </w:r>
      <w:r>
        <w:rPr>
          <w:lang w:val="en-US"/>
        </w:rPr>
        <w:t>l</w:t>
      </w:r>
      <w:r w:rsidRPr="006B70DC">
        <w:rPr>
          <w:lang w:val="en-US"/>
        </w:rPr>
        <w:t xml:space="preserve">aboratory </w:t>
      </w:r>
      <w:r>
        <w:rPr>
          <w:lang w:val="en-US"/>
        </w:rPr>
        <w:t>abnormalities (all grades) were reported more frequently in patients in the sarilumab 200 mg q2w group than in the adalimumab 40 mg q2w group, with most abnormalities in both treatment groups being Grade 1 or 2 in severity. Grade 3</w:t>
      </w:r>
      <w:r w:rsidR="003A36D9">
        <w:rPr>
          <w:lang w:val="en-US"/>
        </w:rPr>
        <w:t xml:space="preserve"> to </w:t>
      </w:r>
      <w:r>
        <w:rPr>
          <w:lang w:val="en-US"/>
        </w:rPr>
        <w:t>4 neutro</w:t>
      </w:r>
      <w:r w:rsidR="001E2D44">
        <w:rPr>
          <w:lang w:val="en-US"/>
        </w:rPr>
        <w:t>paenia</w:t>
      </w:r>
      <w:r>
        <w:rPr>
          <w:lang w:val="en-US"/>
        </w:rPr>
        <w:t xml:space="preserve"> (</w:t>
      </w:r>
      <w:r w:rsidR="007F1BEB">
        <w:t>&lt; </w:t>
      </w:r>
      <w:r>
        <w:rPr>
          <w:lang w:val="en-US"/>
        </w:rPr>
        <w:t>1 Giga/L) was reported in 10.3% (</w:t>
      </w:r>
      <w:r w:rsidR="007C7C62">
        <w:rPr>
          <w:lang w:val="en-US"/>
        </w:rPr>
        <w:t xml:space="preserve">n = </w:t>
      </w:r>
      <w:r>
        <w:rPr>
          <w:lang w:val="en-US"/>
        </w:rPr>
        <w:t>19) of patients in the sarilumab 200 mg q2w group and 1.1% (</w:t>
      </w:r>
      <w:r w:rsidR="007C7C62">
        <w:rPr>
          <w:lang w:val="en-US"/>
        </w:rPr>
        <w:t xml:space="preserve">n = </w:t>
      </w:r>
      <w:r>
        <w:rPr>
          <w:lang w:val="en-US"/>
        </w:rPr>
        <w:t>2) of patients in the adalimumab 40 mg q2w group. Thrombocyto</w:t>
      </w:r>
      <w:r w:rsidR="001E2D44">
        <w:rPr>
          <w:lang w:val="en-US"/>
        </w:rPr>
        <w:t>paenia</w:t>
      </w:r>
      <w:r>
        <w:rPr>
          <w:lang w:val="en-US"/>
        </w:rPr>
        <w:t xml:space="preserve"> laboratory abnormalities (</w:t>
      </w:r>
      <w:r w:rsidR="007F1BEB">
        <w:t>&lt; </w:t>
      </w:r>
      <w:r>
        <w:rPr>
          <w:lang w:val="en-US"/>
        </w:rPr>
        <w:t>100 Giga/L) were reported in 1 (0.5%) patient in the sarilumab 200 mg q2w group and no patients in the adalimumab 40 mg q2w group.</w:t>
      </w:r>
    </w:p>
    <w:p w:rsidR="00AA6B20" w:rsidRDefault="002928AB" w:rsidP="001E2D44">
      <w:pPr>
        <w:rPr>
          <w:lang w:val="en-US"/>
        </w:rPr>
      </w:pPr>
      <w:r>
        <w:rPr>
          <w:lang w:val="en-US"/>
        </w:rPr>
        <w:t xml:space="preserve">LFT laboratory assessment </w:t>
      </w:r>
      <w:r w:rsidRPr="006B70DC">
        <w:rPr>
          <w:lang w:val="en-US"/>
        </w:rPr>
        <w:t xml:space="preserve">showed that mean ALT increased to a greater extent in the sarilumab 200 mg q2W group than in the adalimumab </w:t>
      </w:r>
      <w:r>
        <w:rPr>
          <w:lang w:val="en-US"/>
        </w:rPr>
        <w:t>40 mg q2w over the 24</w:t>
      </w:r>
      <w:r w:rsidR="001E2D44">
        <w:rPr>
          <w:lang w:val="en-US"/>
        </w:rPr>
        <w:t xml:space="preserve"> </w:t>
      </w:r>
      <w:r w:rsidRPr="006B70DC">
        <w:rPr>
          <w:lang w:val="en-US"/>
        </w:rPr>
        <w:t xml:space="preserve">week </w:t>
      </w:r>
      <w:r>
        <w:rPr>
          <w:lang w:val="en-US"/>
        </w:rPr>
        <w:t xml:space="preserve">double-blind </w:t>
      </w:r>
      <w:r w:rsidRPr="006B70DC">
        <w:rPr>
          <w:lang w:val="en-US"/>
        </w:rPr>
        <w:t xml:space="preserve">treatment period, but mean values remained within the normal range at all assessed time-points. In addition, mean values for AST, total bilirubin, and </w:t>
      </w:r>
      <w:r w:rsidR="001E2D44">
        <w:rPr>
          <w:lang w:val="en-US"/>
        </w:rPr>
        <w:t>alkaline phosphatase (</w:t>
      </w:r>
      <w:r w:rsidRPr="006B70DC">
        <w:rPr>
          <w:lang w:val="en-US"/>
        </w:rPr>
        <w:t>ALP</w:t>
      </w:r>
      <w:r w:rsidR="001E2D44">
        <w:rPr>
          <w:lang w:val="en-US"/>
        </w:rPr>
        <w:t>)</w:t>
      </w:r>
      <w:r w:rsidRPr="006B70DC">
        <w:rPr>
          <w:lang w:val="en-US"/>
        </w:rPr>
        <w:t xml:space="preserve"> all remained within the normal range at all time-points during the study. Potentially clinically significant increases in ALT and AST levels</w:t>
      </w:r>
      <w:r>
        <w:rPr>
          <w:lang w:val="en-US"/>
        </w:rPr>
        <w:t xml:space="preserve"> </w:t>
      </w:r>
      <w:r w:rsidRPr="006B70DC">
        <w:rPr>
          <w:lang w:val="en-US"/>
        </w:rPr>
        <w:t xml:space="preserve">were reported more frequently in patients in the sarilumab 200 mg q2w group </w:t>
      </w:r>
      <w:r>
        <w:rPr>
          <w:lang w:val="en-US"/>
        </w:rPr>
        <w:t xml:space="preserve">than in </w:t>
      </w:r>
      <w:r w:rsidRPr="006B70DC">
        <w:rPr>
          <w:lang w:val="en-US"/>
        </w:rPr>
        <w:t xml:space="preserve">the adalimumab 40 mg q2w group. However, the increases were mainly in the </w:t>
      </w:r>
      <w:r w:rsidR="00DD5BCE">
        <w:t>&gt;</w:t>
      </w:r>
      <w:r w:rsidR="007C7C62">
        <w:t xml:space="preserve"> </w:t>
      </w:r>
      <w:r w:rsidRPr="006B70DC">
        <w:rPr>
          <w:lang w:val="en-US"/>
        </w:rPr>
        <w:t>1</w:t>
      </w:r>
      <w:r>
        <w:rPr>
          <w:lang w:val="en-US"/>
        </w:rPr>
        <w:t xml:space="preserve"> x</w:t>
      </w:r>
      <w:r w:rsidRPr="006B70DC">
        <w:rPr>
          <w:lang w:val="en-US"/>
        </w:rPr>
        <w:t xml:space="preserve"> to </w:t>
      </w:r>
      <w:r w:rsidR="00DD5BCE">
        <w:rPr>
          <w:lang w:val="en-US"/>
        </w:rPr>
        <w:t>≤</w:t>
      </w:r>
      <w:r w:rsidR="007C7C62">
        <w:rPr>
          <w:lang w:val="en-US"/>
        </w:rPr>
        <w:t xml:space="preserve"> </w:t>
      </w:r>
      <w:r w:rsidRPr="006B70DC">
        <w:rPr>
          <w:lang w:val="en-US"/>
        </w:rPr>
        <w:t xml:space="preserve">3 x </w:t>
      </w:r>
      <w:r w:rsidR="001E2D44">
        <w:rPr>
          <w:lang w:val="en-US"/>
        </w:rPr>
        <w:t>upper limit of normal (</w:t>
      </w:r>
      <w:r w:rsidRPr="006B70DC">
        <w:rPr>
          <w:lang w:val="en-US"/>
        </w:rPr>
        <w:t>ULN</w:t>
      </w:r>
      <w:r w:rsidR="001E2D44">
        <w:rPr>
          <w:lang w:val="en-US"/>
        </w:rPr>
        <w:t>)</w:t>
      </w:r>
      <w:r w:rsidRPr="006B70DC">
        <w:rPr>
          <w:lang w:val="en-US"/>
        </w:rPr>
        <w:t xml:space="preserve"> range in both treatment groups. There were no reports of ALT or total bilirubin meeting </w:t>
      </w:r>
      <w:proofErr w:type="spellStart"/>
      <w:r w:rsidRPr="006B70DC">
        <w:rPr>
          <w:lang w:val="en-US"/>
        </w:rPr>
        <w:t>Hy's</w:t>
      </w:r>
      <w:proofErr w:type="spellEnd"/>
      <w:r w:rsidRPr="006B70DC">
        <w:rPr>
          <w:lang w:val="en-US"/>
        </w:rPr>
        <w:t xml:space="preserve"> law criteria for drug induced liver injury (</w:t>
      </w:r>
      <w:r w:rsidR="001E2D44">
        <w:rPr>
          <w:lang w:val="en-US"/>
        </w:rPr>
        <w:t>that is,</w:t>
      </w:r>
      <w:r w:rsidRPr="006B70DC">
        <w:rPr>
          <w:lang w:val="en-US"/>
        </w:rPr>
        <w:t xml:space="preserve"> ALT </w:t>
      </w:r>
      <w:r w:rsidR="00DD5BCE">
        <w:rPr>
          <w:lang w:val="en-US"/>
        </w:rPr>
        <w:t xml:space="preserve">&gt; </w:t>
      </w:r>
      <w:r w:rsidRPr="006B70DC">
        <w:rPr>
          <w:lang w:val="en-US"/>
        </w:rPr>
        <w:t xml:space="preserve">3 x ULN and total bilirubin </w:t>
      </w:r>
      <w:r w:rsidR="00DD5BCE">
        <w:rPr>
          <w:lang w:val="en-US"/>
        </w:rPr>
        <w:t xml:space="preserve">&gt; </w:t>
      </w:r>
      <w:r w:rsidRPr="006B70DC">
        <w:rPr>
          <w:lang w:val="en-US"/>
        </w:rPr>
        <w:t>2 x ULN). No cases of hepatic failure were reported.</w:t>
      </w:r>
    </w:p>
    <w:p w:rsidR="00AA6B20" w:rsidRDefault="002928AB" w:rsidP="001E2D44">
      <w:r>
        <w:t>Lipid laboratory assessment</w:t>
      </w:r>
      <w:r w:rsidRPr="006B70DC">
        <w:t xml:space="preserve"> showed that mean LDL </w:t>
      </w:r>
      <w:r>
        <w:t>a</w:t>
      </w:r>
      <w:r w:rsidRPr="006B70DC">
        <w:t xml:space="preserve">nd mean triglyceride values were lower in the adalimumab 40 mg q2w group than in the sarilumab 200 mg q2w group at each post-baseline time-point through to Week 24, while mean </w:t>
      </w:r>
      <w:r w:rsidR="001E2D44">
        <w:t>high density lipoprotein (</w:t>
      </w:r>
      <w:r w:rsidRPr="006B70DC">
        <w:t>HDL</w:t>
      </w:r>
      <w:r w:rsidR="001E2D44">
        <w:t>)</w:t>
      </w:r>
      <w:r w:rsidRPr="006B70DC">
        <w:t xml:space="preserve"> </w:t>
      </w:r>
      <w:r>
        <w:t>levels were</w:t>
      </w:r>
      <w:r w:rsidRPr="006B70DC">
        <w:t xml:space="preserve"> lower at Week 24 in the adalimumab 40 mg q2w group than in the sarilumab 200 mg q2w group.</w:t>
      </w:r>
    </w:p>
    <w:p w:rsidR="00AA6B20" w:rsidRDefault="002928AB" w:rsidP="001E2D44">
      <w:pPr>
        <w:rPr>
          <w:lang w:val="en-US"/>
        </w:rPr>
      </w:pPr>
      <w:r w:rsidRPr="006B70DC">
        <w:rPr>
          <w:lang w:val="en-US"/>
        </w:rPr>
        <w:t>The risks of other TEAEs (not categorised as AESI) of potential regulatory significance do not give rise to concern (</w:t>
      </w:r>
      <w:r w:rsidR="001E2D44">
        <w:rPr>
          <w:lang w:val="en-US"/>
        </w:rPr>
        <w:t xml:space="preserve">that is, </w:t>
      </w:r>
      <w:r w:rsidRPr="006B70DC">
        <w:rPr>
          <w:lang w:val="en-US"/>
        </w:rPr>
        <w:t>cardiovascular disorders [including MACE and ECG changes]; renal and urinary disorders</w:t>
      </w:r>
      <w:r w:rsidRPr="006B70DC">
        <w:rPr>
          <w:i/>
          <w:lang w:val="en-US"/>
        </w:rPr>
        <w:t xml:space="preserve">; </w:t>
      </w:r>
      <w:r w:rsidRPr="006B70DC">
        <w:rPr>
          <w:lang w:val="en-US"/>
        </w:rPr>
        <w:t>blood and lymphatic system disorders; skin and subcutaneous tissue disorders; laboratory abnormalities; and changes in vital signs).</w:t>
      </w:r>
    </w:p>
    <w:p w:rsidR="00AA6B20" w:rsidRDefault="002928AB" w:rsidP="001E2D44">
      <w:pPr>
        <w:rPr>
          <w:lang w:val="en-US"/>
        </w:rPr>
      </w:pPr>
      <w:r w:rsidRPr="006B70DC">
        <w:rPr>
          <w:lang w:val="en-US"/>
        </w:rPr>
        <w:t xml:space="preserve">Of the 184 patients with available ADA results, 13 (7.1%) patients were treatment-emergent ADA positive, including 5 (2.7%) with a persistent ADA positive response (all </w:t>
      </w:r>
      <w:proofErr w:type="spellStart"/>
      <w:r w:rsidRPr="006B70DC">
        <w:rPr>
          <w:lang w:val="en-US"/>
        </w:rPr>
        <w:t>NAb</w:t>
      </w:r>
      <w:proofErr w:type="spellEnd"/>
      <w:r w:rsidRPr="006B70DC">
        <w:rPr>
          <w:lang w:val="en-US"/>
        </w:rPr>
        <w:t xml:space="preserve"> negative) and 8 (4.3%) with a transient ADA positive response (all </w:t>
      </w:r>
      <w:proofErr w:type="spellStart"/>
      <w:r w:rsidRPr="006B70DC">
        <w:rPr>
          <w:lang w:val="en-US"/>
        </w:rPr>
        <w:t>NAb</w:t>
      </w:r>
      <w:proofErr w:type="spellEnd"/>
      <w:r w:rsidRPr="006B70DC">
        <w:rPr>
          <w:lang w:val="en-US"/>
        </w:rPr>
        <w:t xml:space="preserve"> negative). There appeared to be no clinically meaningful association between ADA positive response and increased risk of hypersensitivity reactions. There were no reports of anaphylaxis in patients treated with sarilumab 200 mg q2w in </w:t>
      </w:r>
      <w:r w:rsidR="00894642">
        <w:rPr>
          <w:lang w:val="en-US"/>
        </w:rPr>
        <w:t>Study EFC</w:t>
      </w:r>
      <w:r w:rsidRPr="006B70DC">
        <w:rPr>
          <w:lang w:val="en-US"/>
        </w:rPr>
        <w:t>14092</w:t>
      </w:r>
      <w:r w:rsidR="001F3EAD">
        <w:rPr>
          <w:lang w:val="en-US"/>
        </w:rPr>
        <w:t xml:space="preserve"> </w:t>
      </w:r>
      <w:r w:rsidR="001F3EAD">
        <w:t>MONARCH</w:t>
      </w:r>
      <w:r w:rsidRPr="006B70DC">
        <w:rPr>
          <w:lang w:val="en-US"/>
        </w:rPr>
        <w:t>.</w:t>
      </w:r>
    </w:p>
    <w:p w:rsidR="002928AB" w:rsidRDefault="002928AB" w:rsidP="001E2D44">
      <w:pPr>
        <w:rPr>
          <w:color w:val="000000"/>
          <w:lang w:val="en-US"/>
        </w:rPr>
      </w:pPr>
      <w:r w:rsidRPr="006B70DC">
        <w:rPr>
          <w:color w:val="000000"/>
          <w:lang w:val="en-US"/>
        </w:rPr>
        <w:t>There were no safety data in the CSR exploring safety in special groups based on gender, age, race, hepatic impairment or renal impairment. However, it is considered that the absence of safety data i</w:t>
      </w:r>
      <w:r>
        <w:rPr>
          <w:color w:val="000000"/>
          <w:lang w:val="en-US"/>
        </w:rPr>
        <w:t>n these groups should not preclude approval of sarilumab for the proposed indication.</w:t>
      </w:r>
    </w:p>
    <w:p w:rsidR="002928AB" w:rsidRDefault="002928AB" w:rsidP="002928AB">
      <w:pPr>
        <w:rPr>
          <w:rFonts w:asciiTheme="minorHAnsi" w:hAnsiTheme="minorHAnsi" w:cs="Times"/>
          <w:lang w:val="en-US"/>
        </w:rPr>
      </w:pPr>
      <w:r w:rsidRPr="005D5019">
        <w:rPr>
          <w:rFonts w:asciiTheme="minorHAnsi" w:hAnsiTheme="minorHAnsi" w:cs="Times"/>
          <w:lang w:val="en-US"/>
        </w:rPr>
        <w:t xml:space="preserve">The </w:t>
      </w:r>
      <w:r w:rsidRPr="001E2D44">
        <w:rPr>
          <w:rFonts w:asciiTheme="minorHAnsi" w:hAnsiTheme="minorHAnsi" w:cs="Times"/>
          <w:lang w:val="en-US"/>
        </w:rPr>
        <w:t>strengths</w:t>
      </w:r>
      <w:r w:rsidRPr="005D5019">
        <w:rPr>
          <w:rFonts w:asciiTheme="minorHAnsi" w:hAnsiTheme="minorHAnsi" w:cs="Times"/>
          <w:b/>
          <w:lang w:val="en-US"/>
        </w:rPr>
        <w:t xml:space="preserve"> </w:t>
      </w:r>
      <w:r w:rsidRPr="005D5019">
        <w:rPr>
          <w:rFonts w:asciiTheme="minorHAnsi" w:hAnsiTheme="minorHAnsi" w:cs="Times"/>
          <w:lang w:val="en-US"/>
        </w:rPr>
        <w:t xml:space="preserve">of the sarilumab monotherapy </w:t>
      </w:r>
      <w:r>
        <w:rPr>
          <w:rFonts w:asciiTheme="minorHAnsi" w:hAnsiTheme="minorHAnsi" w:cs="Times"/>
          <w:lang w:val="en-US"/>
        </w:rPr>
        <w:t xml:space="preserve">risk </w:t>
      </w:r>
      <w:r w:rsidRPr="005D5019">
        <w:rPr>
          <w:rFonts w:asciiTheme="minorHAnsi" w:hAnsiTheme="minorHAnsi" w:cs="Times"/>
          <w:lang w:val="en-US"/>
        </w:rPr>
        <w:t xml:space="preserve">data based on </w:t>
      </w:r>
      <w:r w:rsidR="00FE6E98">
        <w:rPr>
          <w:rFonts w:asciiTheme="minorHAnsi" w:hAnsiTheme="minorHAnsi"/>
          <w:lang w:val="en-US"/>
        </w:rPr>
        <w:t>Study EFC14092</w:t>
      </w:r>
      <w:r w:rsidR="003A36D9">
        <w:rPr>
          <w:rFonts w:asciiTheme="minorHAnsi" w:hAnsiTheme="minorHAnsi"/>
          <w:lang w:val="en-US"/>
        </w:rPr>
        <w:t>/</w:t>
      </w:r>
      <w:r w:rsidRPr="005D5019">
        <w:rPr>
          <w:rFonts w:asciiTheme="minorHAnsi" w:hAnsiTheme="minorHAnsi" w:cs="Times"/>
          <w:lang w:val="en-US"/>
        </w:rPr>
        <w:t xml:space="preserve">MONARCH </w:t>
      </w:r>
      <w:r w:rsidR="003A36D9">
        <w:rPr>
          <w:rFonts w:asciiTheme="minorHAnsi" w:hAnsiTheme="minorHAnsi" w:cs="Times"/>
          <w:lang w:val="en-US"/>
        </w:rPr>
        <w:t xml:space="preserve">trial </w:t>
      </w:r>
      <w:r w:rsidRPr="005D5019">
        <w:rPr>
          <w:rFonts w:asciiTheme="minorHAnsi" w:hAnsiTheme="minorHAnsi" w:cs="Times"/>
          <w:lang w:val="en-US"/>
        </w:rPr>
        <w:t>are:</w:t>
      </w:r>
    </w:p>
    <w:p w:rsidR="002928AB" w:rsidRDefault="00FE6E98" w:rsidP="001A7C72">
      <w:pPr>
        <w:pStyle w:val="ListBullet"/>
        <w:rPr>
          <w:lang w:val="en-US"/>
        </w:rPr>
      </w:pPr>
      <w:r>
        <w:rPr>
          <w:lang w:val="en-US"/>
        </w:rPr>
        <w:t>A</w:t>
      </w:r>
      <w:r w:rsidR="002928AB">
        <w:rPr>
          <w:lang w:val="en-US"/>
        </w:rPr>
        <w:t xml:space="preserve">dequate characterisation of the risks of sarilumab 200 mg q2w monotherapy in 184 patients with a total exposure of 78.7 </w:t>
      </w:r>
      <w:r w:rsidR="00A6301B">
        <w:rPr>
          <w:lang w:val="en-US"/>
        </w:rPr>
        <w:t>PY</w:t>
      </w:r>
      <w:r w:rsidR="002928AB">
        <w:rPr>
          <w:lang w:val="en-US"/>
        </w:rPr>
        <w:t>;</w:t>
      </w:r>
    </w:p>
    <w:p w:rsidR="00AA6B20" w:rsidRDefault="00FE6E98" w:rsidP="001A7C72">
      <w:pPr>
        <w:pStyle w:val="ListBullet"/>
        <w:rPr>
          <w:lang w:val="en-US"/>
        </w:rPr>
      </w:pPr>
      <w:r>
        <w:rPr>
          <w:lang w:val="en-US"/>
        </w:rPr>
        <w:t>D</w:t>
      </w:r>
      <w:r w:rsidR="002928AB">
        <w:rPr>
          <w:lang w:val="en-US"/>
        </w:rPr>
        <w:t>emonstration of similar risks in the sarilumab 200 mg q2w group and the adalimumab 40 mg q2wgroup of TEAEs, treatment-emergent SAES, TEAEs leading to death and TEAEs leading to permanent treatment discontinuation;</w:t>
      </w:r>
    </w:p>
    <w:p w:rsidR="00AA6B20" w:rsidRDefault="00FE6E98" w:rsidP="001A7C72">
      <w:pPr>
        <w:pStyle w:val="ListBullet"/>
        <w:rPr>
          <w:lang w:val="en-US"/>
        </w:rPr>
      </w:pPr>
      <w:r>
        <w:rPr>
          <w:lang w:val="en-US"/>
        </w:rPr>
        <w:lastRenderedPageBreak/>
        <w:t>I</w:t>
      </w:r>
      <w:r w:rsidR="002928AB">
        <w:rPr>
          <w:lang w:val="en-US"/>
        </w:rPr>
        <w:t>dentification of infections, leuko</w:t>
      </w:r>
      <w:r w:rsidR="001E2D44">
        <w:rPr>
          <w:lang w:val="en-US"/>
        </w:rPr>
        <w:t>paenia</w:t>
      </w:r>
      <w:r w:rsidR="002928AB">
        <w:rPr>
          <w:lang w:val="en-US"/>
        </w:rPr>
        <w:t xml:space="preserve"> (predominantly neutro</w:t>
      </w:r>
      <w:r w:rsidR="001E2D44">
        <w:rPr>
          <w:lang w:val="en-US"/>
        </w:rPr>
        <w:t>paenia</w:t>
      </w:r>
      <w:r w:rsidR="002928AB">
        <w:rPr>
          <w:lang w:val="en-US"/>
        </w:rPr>
        <w:t>), injections site reactions, hypersensitivity, and hepatic disorders as the main AESI associated with sarilumab 200 mg q2w treatment; and</w:t>
      </w:r>
    </w:p>
    <w:p w:rsidR="00AA6B20" w:rsidRDefault="00FE6E98" w:rsidP="001A7C72">
      <w:pPr>
        <w:pStyle w:val="ListBullet"/>
        <w:rPr>
          <w:lang w:val="en-US"/>
        </w:rPr>
      </w:pPr>
      <w:r>
        <w:rPr>
          <w:lang w:val="en-US"/>
        </w:rPr>
        <w:t>I</w:t>
      </w:r>
      <w:r w:rsidR="002928AB">
        <w:rPr>
          <w:lang w:val="en-US"/>
        </w:rPr>
        <w:t>dentification of laboratory abnormalities of neutro</w:t>
      </w:r>
      <w:r w:rsidR="001E2D44">
        <w:rPr>
          <w:lang w:val="en-US"/>
        </w:rPr>
        <w:t>paenia</w:t>
      </w:r>
      <w:r w:rsidR="002928AB">
        <w:rPr>
          <w:lang w:val="en-US"/>
        </w:rPr>
        <w:t>, thrombocyto</w:t>
      </w:r>
      <w:r w:rsidR="001E2D44">
        <w:rPr>
          <w:lang w:val="en-US"/>
        </w:rPr>
        <w:t>paenia</w:t>
      </w:r>
      <w:r w:rsidR="002928AB">
        <w:rPr>
          <w:lang w:val="en-US"/>
        </w:rPr>
        <w:t>, increased ALT, increased AST, increased total bilirubin, increased mean LDL levels and increased triglyceride levels as the main laboratory identified potential risks associated with sarilumab 200 mg q2w treatment.</w:t>
      </w:r>
    </w:p>
    <w:p w:rsidR="00AA6B20" w:rsidRDefault="002928AB" w:rsidP="002928AB">
      <w:pPr>
        <w:rPr>
          <w:rFonts w:asciiTheme="minorHAnsi" w:hAnsiTheme="minorHAnsi" w:cs="Times"/>
          <w:lang w:val="en-US"/>
        </w:rPr>
      </w:pPr>
      <w:r>
        <w:rPr>
          <w:rFonts w:asciiTheme="minorHAnsi" w:hAnsiTheme="minorHAnsi" w:cs="Times"/>
          <w:lang w:val="en-US"/>
        </w:rPr>
        <w:t xml:space="preserve">The </w:t>
      </w:r>
      <w:r w:rsidRPr="001E2D44">
        <w:rPr>
          <w:rFonts w:asciiTheme="minorHAnsi" w:hAnsiTheme="minorHAnsi" w:cs="Times"/>
          <w:lang w:val="en-US"/>
        </w:rPr>
        <w:t>limitations and uncertainties</w:t>
      </w:r>
      <w:r>
        <w:rPr>
          <w:rFonts w:asciiTheme="minorHAnsi" w:hAnsiTheme="minorHAnsi" w:cs="Times"/>
          <w:b/>
          <w:lang w:val="en-US"/>
        </w:rPr>
        <w:t xml:space="preserve"> </w:t>
      </w:r>
      <w:r w:rsidRPr="005D5019">
        <w:rPr>
          <w:rFonts w:asciiTheme="minorHAnsi" w:hAnsiTheme="minorHAnsi" w:cs="Times"/>
          <w:lang w:val="en-US"/>
        </w:rPr>
        <w:t xml:space="preserve">of the sarilumab monotherapy </w:t>
      </w:r>
      <w:r>
        <w:rPr>
          <w:rFonts w:asciiTheme="minorHAnsi" w:hAnsiTheme="minorHAnsi" w:cs="Times"/>
          <w:lang w:val="en-US"/>
        </w:rPr>
        <w:t xml:space="preserve">risk </w:t>
      </w:r>
      <w:r w:rsidRPr="005D5019">
        <w:rPr>
          <w:rFonts w:asciiTheme="minorHAnsi" w:hAnsiTheme="minorHAnsi" w:cs="Times"/>
          <w:lang w:val="en-US"/>
        </w:rPr>
        <w:t xml:space="preserve">data based on </w:t>
      </w:r>
      <w:r w:rsidR="005A2C47">
        <w:rPr>
          <w:rFonts w:asciiTheme="minorHAnsi" w:hAnsiTheme="minorHAnsi"/>
          <w:lang w:val="en-US"/>
        </w:rPr>
        <w:t>Study</w:t>
      </w:r>
      <w:r w:rsidR="003A36D9">
        <w:rPr>
          <w:rFonts w:asciiTheme="minorHAnsi" w:hAnsiTheme="minorHAnsi"/>
          <w:lang w:val="en-US"/>
        </w:rPr>
        <w:t> </w:t>
      </w:r>
      <w:r w:rsidR="005A2C47">
        <w:rPr>
          <w:rFonts w:asciiTheme="minorHAnsi" w:hAnsiTheme="minorHAnsi"/>
          <w:lang w:val="en-US"/>
        </w:rPr>
        <w:t>EFC14092</w:t>
      </w:r>
      <w:r w:rsidR="003A36D9">
        <w:rPr>
          <w:rFonts w:asciiTheme="minorHAnsi" w:hAnsiTheme="minorHAnsi"/>
          <w:lang w:val="en-US"/>
        </w:rPr>
        <w:t>/</w:t>
      </w:r>
      <w:r w:rsidR="005A2C47">
        <w:rPr>
          <w:rFonts w:asciiTheme="minorHAnsi" w:hAnsiTheme="minorHAnsi"/>
          <w:lang w:val="en-US"/>
        </w:rPr>
        <w:t xml:space="preserve"> </w:t>
      </w:r>
      <w:r w:rsidRPr="005D5019">
        <w:rPr>
          <w:rFonts w:asciiTheme="minorHAnsi" w:hAnsiTheme="minorHAnsi" w:cs="Times"/>
          <w:lang w:val="en-US"/>
        </w:rPr>
        <w:t xml:space="preserve">MONARCH </w:t>
      </w:r>
      <w:r w:rsidR="003A36D9">
        <w:rPr>
          <w:rFonts w:asciiTheme="minorHAnsi" w:hAnsiTheme="minorHAnsi" w:cs="Times"/>
          <w:lang w:val="en-US"/>
        </w:rPr>
        <w:t xml:space="preserve">trial </w:t>
      </w:r>
      <w:r w:rsidRPr="005D5019">
        <w:rPr>
          <w:rFonts w:asciiTheme="minorHAnsi" w:hAnsiTheme="minorHAnsi" w:cs="Times"/>
          <w:lang w:val="en-US"/>
        </w:rPr>
        <w:t>are:</w:t>
      </w:r>
    </w:p>
    <w:p w:rsidR="00AA6B20" w:rsidRDefault="00FE6E98" w:rsidP="001A7C72">
      <w:pPr>
        <w:pStyle w:val="ListBullet"/>
        <w:rPr>
          <w:lang w:val="en-US"/>
        </w:rPr>
      </w:pPr>
      <w:r>
        <w:rPr>
          <w:lang w:val="en-US"/>
        </w:rPr>
        <w:t>T</w:t>
      </w:r>
      <w:r w:rsidR="002928AB">
        <w:rPr>
          <w:lang w:val="en-US"/>
        </w:rPr>
        <w:t xml:space="preserve">he small number of patients in </w:t>
      </w:r>
      <w:r w:rsidR="005A2C47">
        <w:rPr>
          <w:rFonts w:asciiTheme="minorHAnsi" w:hAnsiTheme="minorHAnsi"/>
          <w:lang w:val="en-US"/>
        </w:rPr>
        <w:t xml:space="preserve">Study EFC14092 </w:t>
      </w:r>
      <w:r w:rsidR="002928AB">
        <w:rPr>
          <w:lang w:val="en-US"/>
        </w:rPr>
        <w:t xml:space="preserve">MONARCH exposed to sarilumab for </w:t>
      </w:r>
      <w:r w:rsidR="00DD5BCE">
        <w:t>&gt;</w:t>
      </w:r>
      <w:r w:rsidR="007C7C62">
        <w:t xml:space="preserve"> </w:t>
      </w:r>
      <w:r w:rsidR="002928AB">
        <w:rPr>
          <w:lang w:val="en-US"/>
        </w:rPr>
        <w:t>24 weeks (</w:t>
      </w:r>
      <w:r w:rsidR="007C7C62">
        <w:rPr>
          <w:lang w:val="en-US"/>
        </w:rPr>
        <w:t xml:space="preserve">n = </w:t>
      </w:r>
      <w:r w:rsidR="002928AB">
        <w:rPr>
          <w:lang w:val="en-US"/>
        </w:rPr>
        <w:t xml:space="preserve">22), gives rise to uncertainties relating to the long-term risks of sarilumab monotherapy. However, this limitation is mitigated, at least to some extent, by the data from the pooled sarilumab monotherapy any dose group in Pool 3. The safety profiles were similar for the 467 patients with a total exposure of 299.4 PY in the any sarilumab dose group (Pool 3) and for the 184 patients with a total exposure of 78.7 PY in the sarilumab 200 mg q2w group (MONARCH). In the any sarilumab dose monotherapy group (Pool 3), 109 (23.3%) patients were exposed to sarilumab for </w:t>
      </w:r>
      <w:r w:rsidR="00DD5BCE">
        <w:t>&gt;</w:t>
      </w:r>
      <w:r w:rsidR="007C7C62">
        <w:t xml:space="preserve"> </w:t>
      </w:r>
      <w:r w:rsidR="002928AB">
        <w:rPr>
          <w:lang w:val="en-US"/>
        </w:rPr>
        <w:t xml:space="preserve">48 weeks, 107 (22.9%) patients for </w:t>
      </w:r>
      <w:r w:rsidR="00DD5BCE">
        <w:t>&gt;</w:t>
      </w:r>
      <w:r w:rsidR="007C7C62">
        <w:t xml:space="preserve"> </w:t>
      </w:r>
      <w:r w:rsidR="002928AB">
        <w:rPr>
          <w:lang w:val="en-US"/>
        </w:rPr>
        <w:t xml:space="preserve">60 weeks, and 37 (7.9%) patients for </w:t>
      </w:r>
      <w:r w:rsidR="00DD5BCE">
        <w:t>&gt;</w:t>
      </w:r>
      <w:r w:rsidR="007C7C62">
        <w:t xml:space="preserve"> </w:t>
      </w:r>
      <w:r w:rsidR="002928AB">
        <w:rPr>
          <w:lang w:val="en-US"/>
        </w:rPr>
        <w:t>72</w:t>
      </w:r>
      <w:r w:rsidR="003A36D9">
        <w:rPr>
          <w:lang w:val="en-US"/>
        </w:rPr>
        <w:t> </w:t>
      </w:r>
      <w:r w:rsidR="002928AB">
        <w:rPr>
          <w:lang w:val="en-US"/>
        </w:rPr>
        <w:t>weeks. The total number of patients exposed to any sarilumab dose in the pooled monotherapy studies (</w:t>
      </w:r>
      <w:r w:rsidR="007C7C62">
        <w:rPr>
          <w:lang w:val="en-US"/>
        </w:rPr>
        <w:t xml:space="preserve">n = </w:t>
      </w:r>
      <w:r w:rsidR="002928AB">
        <w:rPr>
          <w:lang w:val="en-US"/>
        </w:rPr>
        <w:t xml:space="preserve">477) was sufficient to detect adverse reactions to sarilumab occurring with an incidence of </w:t>
      </w:r>
      <w:r w:rsidR="00DD5BCE">
        <w:t>&gt;</w:t>
      </w:r>
      <w:r w:rsidR="007C7C62">
        <w:t xml:space="preserve"> </w:t>
      </w:r>
      <w:r w:rsidR="002928AB">
        <w:rPr>
          <w:lang w:val="en-US"/>
        </w:rPr>
        <w:t xml:space="preserve">0.6%, based on </w:t>
      </w:r>
      <w:r w:rsidR="001470FB">
        <w:rPr>
          <w:lang w:val="en-US"/>
        </w:rPr>
        <w:t>‘</w:t>
      </w:r>
      <w:r w:rsidR="002928AB">
        <w:rPr>
          <w:lang w:val="en-US"/>
        </w:rPr>
        <w:t>the rule of threes</w:t>
      </w:r>
      <w:r w:rsidR="001470FB">
        <w:rPr>
          <w:lang w:val="en-US"/>
        </w:rPr>
        <w:t>’</w:t>
      </w:r>
      <w:r w:rsidR="002928AB">
        <w:rPr>
          <w:lang w:val="en-US"/>
        </w:rPr>
        <w:t xml:space="preserve">. However, it is unlikely that the total population exposed to any sarilumab dose in Pool 3 was sufficient to detect adverse reactions with an incidence of </w:t>
      </w:r>
      <w:r w:rsidR="007F1BEB">
        <w:t>&lt; </w:t>
      </w:r>
      <w:r w:rsidR="002928AB">
        <w:rPr>
          <w:lang w:val="en-US"/>
        </w:rPr>
        <w:t>0.6%.</w:t>
      </w:r>
    </w:p>
    <w:p w:rsidR="00AA6B20" w:rsidRDefault="002928AB" w:rsidP="001A7C72">
      <w:pPr>
        <w:pStyle w:val="ListBullet"/>
        <w:rPr>
          <w:lang w:val="en-US"/>
        </w:rPr>
      </w:pPr>
      <w:r w:rsidRPr="00DD3985">
        <w:rPr>
          <w:lang w:val="en-US"/>
        </w:rPr>
        <w:t>No data relating to the safety of sarilumab monotherapy based on age, gender, race, weight or BMI could be identified.</w:t>
      </w:r>
    </w:p>
    <w:p w:rsidR="00AA6B20" w:rsidRDefault="002928AB" w:rsidP="001E2D44">
      <w:pPr>
        <w:pStyle w:val="Heading5"/>
        <w:rPr>
          <w:lang w:val="en-US"/>
        </w:rPr>
      </w:pPr>
      <w:r>
        <w:rPr>
          <w:lang w:val="en-US"/>
        </w:rPr>
        <w:t xml:space="preserve">Sarilumab in combination with </w:t>
      </w:r>
      <w:proofErr w:type="spellStart"/>
      <w:r>
        <w:rPr>
          <w:lang w:val="en-US"/>
        </w:rPr>
        <w:t>cDMARD</w:t>
      </w:r>
      <w:proofErr w:type="spellEnd"/>
    </w:p>
    <w:p w:rsidR="00AA6B20" w:rsidRDefault="002928AB" w:rsidP="002928AB">
      <w:r>
        <w:t>The risk</w:t>
      </w:r>
      <w:r w:rsidR="00F549B4">
        <w:t>s</w:t>
      </w:r>
      <w:r>
        <w:t xml:space="preserve"> of sarilumab (150 mg q2w and 200 mg q2w) in combination with </w:t>
      </w:r>
      <w:proofErr w:type="spellStart"/>
      <w:r>
        <w:t>cDMARD</w:t>
      </w:r>
      <w:proofErr w:type="spellEnd"/>
      <w:r>
        <w:t xml:space="preserve"> are similar to the risks sarilumab (200 mg q2w) </w:t>
      </w:r>
      <w:r w:rsidR="001E2D44">
        <w:t xml:space="preserve">as </w:t>
      </w:r>
      <w:r>
        <w:t>monotherapy.</w:t>
      </w:r>
    </w:p>
    <w:p w:rsidR="00AA6B20" w:rsidRDefault="002928AB" w:rsidP="002928AB">
      <w:pPr>
        <w:rPr>
          <w:lang w:val="en-US"/>
        </w:rPr>
      </w:pPr>
      <w:r>
        <w:t xml:space="preserve">In this section, the risks of treatment with sarilumab 200 mg q2w and 150 mg q2w have been reviewed based on data from Pool 1 (sarilumab + DMARD placebo-controlled population) and from Pool 2 </w:t>
      </w:r>
      <w:r>
        <w:rPr>
          <w:lang w:val="en-US"/>
        </w:rPr>
        <w:t xml:space="preserve">(sarilumab + DMARD long-term safety population). The data are from the </w:t>
      </w:r>
      <w:r w:rsidR="001E2D44">
        <w:rPr>
          <w:lang w:val="en-US"/>
        </w:rPr>
        <w:t xml:space="preserve">sponsor’s </w:t>
      </w:r>
      <w:r w:rsidRPr="001E2D44">
        <w:rPr>
          <w:lang w:val="en-US"/>
        </w:rPr>
        <w:t>Summary of Clinical Efficacy</w:t>
      </w:r>
      <w:r>
        <w:rPr>
          <w:lang w:val="en-US"/>
        </w:rPr>
        <w:t xml:space="preserve"> (31 May 2016) included in the re-submission, with the Pool 1 data being the same as that provided in the initial submission while the Pool 2 data have been updated from that provided in the initial submission.</w:t>
      </w:r>
    </w:p>
    <w:p w:rsidR="00AA6B20" w:rsidRDefault="002928AB" w:rsidP="001A7C72">
      <w:pPr>
        <w:pStyle w:val="Heading5"/>
        <w:rPr>
          <w:lang w:val="en-US"/>
        </w:rPr>
      </w:pPr>
      <w:r w:rsidRPr="00F14011">
        <w:rPr>
          <w:lang w:val="en-US"/>
        </w:rPr>
        <w:t xml:space="preserve">Pool 1 </w:t>
      </w:r>
      <w:r>
        <w:rPr>
          <w:lang w:val="en-US"/>
        </w:rPr>
        <w:t xml:space="preserve">sarilumab + DMARD </w:t>
      </w:r>
      <w:r w:rsidR="001A7C72">
        <w:rPr>
          <w:lang w:val="en-US"/>
        </w:rPr>
        <w:t xml:space="preserve">placebo </w:t>
      </w:r>
      <w:r w:rsidRPr="00F14011">
        <w:rPr>
          <w:lang w:val="en-US"/>
        </w:rPr>
        <w:t>controlled data up to 52-weks</w:t>
      </w:r>
    </w:p>
    <w:p w:rsidR="00AA6B20" w:rsidRDefault="002928AB" w:rsidP="002928AB">
      <w:r>
        <w:rPr>
          <w:lang w:val="en-US"/>
        </w:rPr>
        <w:t xml:space="preserve">Pool 1 included safety data collected during the double-blind treatment period of the two pivotal </w:t>
      </w:r>
      <w:r w:rsidR="001E2D44">
        <w:rPr>
          <w:lang w:val="en-US"/>
        </w:rPr>
        <w:t>S</w:t>
      </w:r>
      <w:r>
        <w:rPr>
          <w:lang w:val="en-US"/>
        </w:rPr>
        <w:t>tudies EFC11072 (Part A</w:t>
      </w:r>
      <w:r w:rsidR="003A36D9">
        <w:rPr>
          <w:lang w:val="en-US"/>
        </w:rPr>
        <w:t>;</w:t>
      </w:r>
      <w:r>
        <w:rPr>
          <w:lang w:val="en-US"/>
        </w:rPr>
        <w:t xml:space="preserve"> Part B</w:t>
      </w:r>
      <w:r w:rsidR="003A36D9">
        <w:rPr>
          <w:lang w:val="en-US"/>
        </w:rPr>
        <w:t>,</w:t>
      </w:r>
      <w:r>
        <w:rPr>
          <w:lang w:val="en-US"/>
        </w:rPr>
        <w:t xml:space="preserve"> Cohort 1</w:t>
      </w:r>
      <w:r w:rsidR="003A36D9">
        <w:rPr>
          <w:lang w:val="en-US"/>
        </w:rPr>
        <w:t>;</w:t>
      </w:r>
      <w:r>
        <w:rPr>
          <w:lang w:val="en-US"/>
        </w:rPr>
        <w:t xml:space="preserve"> and Part B, Cohort 2) and EFC10832. Once a patient entered the rescue phase of the two studies, defined as the day the first open-label dose of sarilumab was administered, safety data were no longer included in Pool 1 as the data were no longer placebo-controlled. The duration of treatment for Pool 1 was up to 52 weeks. </w:t>
      </w:r>
      <w:r>
        <w:t xml:space="preserve">The disposition data for the two sarilumab + DMARD treatment groups in Pool 1 were similar (see Table </w:t>
      </w:r>
      <w:r w:rsidR="00D75C1B">
        <w:t>25</w:t>
      </w:r>
      <w:r>
        <w:t>, below).</w:t>
      </w:r>
    </w:p>
    <w:p w:rsidR="002928AB" w:rsidRPr="00555154" w:rsidRDefault="002928AB" w:rsidP="001A7C72">
      <w:pPr>
        <w:pStyle w:val="Tabletitle0"/>
      </w:pPr>
      <w:bookmarkStart w:id="160" w:name="_Toc514687839"/>
      <w:r>
        <w:lastRenderedPageBreak/>
        <w:t xml:space="preserve">Table </w:t>
      </w:r>
      <w:r w:rsidR="00D75C1B">
        <w:t>25</w:t>
      </w:r>
      <w:r>
        <w:t xml:space="preserve">: Patient disposition for </w:t>
      </w:r>
      <w:r w:rsidRPr="00555154">
        <w:t xml:space="preserve">Pool 1 </w:t>
      </w:r>
      <w:r>
        <w:t>(placebo</w:t>
      </w:r>
      <w:r w:rsidR="003A36D9">
        <w:t xml:space="preserve"> </w:t>
      </w:r>
      <w:r>
        <w:t xml:space="preserve">controlled) sarilumab in combination with </w:t>
      </w:r>
      <w:proofErr w:type="spellStart"/>
      <w:r>
        <w:t>cDMARD</w:t>
      </w:r>
      <w:bookmarkEnd w:id="160"/>
      <w:proofErr w:type="spellEnd"/>
    </w:p>
    <w:p w:rsidR="002928AB" w:rsidRDefault="002928AB" w:rsidP="002928AB">
      <w:pPr>
        <w:spacing w:after="0"/>
      </w:pPr>
      <w:r>
        <w:rPr>
          <w:noProof/>
          <w:lang w:eastAsia="en-AU"/>
        </w:rPr>
        <w:drawing>
          <wp:inline distT="0" distB="0" distL="0" distR="0" wp14:anchorId="3D70268B" wp14:editId="1283822F">
            <wp:extent cx="5022917" cy="2706446"/>
            <wp:effectExtent l="0" t="0" r="0" b="0"/>
            <wp:docPr id="466" name="Picture 466" descr="Patient disposition for Pool 1 (placebo-controlled) sarilumab in combination with cDM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2">
                      <a:extLst>
                        <a:ext uri="{28A0092B-C50C-407E-A947-70E740481C1C}">
                          <a14:useLocalDpi xmlns:a14="http://schemas.microsoft.com/office/drawing/2010/main" val="0"/>
                        </a:ext>
                      </a:extLst>
                    </a:blip>
                    <a:srcRect t="2451"/>
                    <a:stretch/>
                  </pic:blipFill>
                  <pic:spPr bwMode="auto">
                    <a:xfrm>
                      <a:off x="0" y="0"/>
                      <a:ext cx="5031913" cy="2711293"/>
                    </a:xfrm>
                    <a:prstGeom prst="rect">
                      <a:avLst/>
                    </a:prstGeom>
                    <a:noFill/>
                    <a:ln>
                      <a:noFill/>
                    </a:ln>
                    <a:extLst>
                      <a:ext uri="{53640926-AAD7-44D8-BBD7-CCE9431645EC}">
                        <a14:shadowObscured xmlns:a14="http://schemas.microsoft.com/office/drawing/2010/main"/>
                      </a:ext>
                    </a:extLst>
                  </pic:spPr>
                </pic:pic>
              </a:graphicData>
            </a:graphic>
          </wp:inline>
        </w:drawing>
      </w:r>
    </w:p>
    <w:p w:rsidR="00AA6B20" w:rsidRDefault="002928AB" w:rsidP="002928AB">
      <w:pPr>
        <w:rPr>
          <w:lang w:val="en-US"/>
        </w:rPr>
      </w:pPr>
      <w:r>
        <w:rPr>
          <w:lang w:val="en-US"/>
        </w:rPr>
        <w:t xml:space="preserve">In Pool 1, </w:t>
      </w:r>
      <w:r>
        <w:t>the sponsor defined TEAEs as adverse events that developed or worsened in the TEAE period</w:t>
      </w:r>
      <w:r>
        <w:rPr>
          <w:lang w:val="en-US"/>
        </w:rPr>
        <w:t xml:space="preserve">. </w:t>
      </w:r>
      <w:r>
        <w:t xml:space="preserve">The TEAE period for the Pool 1 population is defined below in Table </w:t>
      </w:r>
      <w:r w:rsidR="00D75C1B">
        <w:t>26</w:t>
      </w:r>
      <w:r>
        <w:t xml:space="preserve">. </w:t>
      </w:r>
      <w:r>
        <w:rPr>
          <w:lang w:val="en-US"/>
        </w:rPr>
        <w:t>Total exposure for the entire TEAE period was 440.7 PY in the 150 mg q2w + DMARD group and 441.4 PY in the 200 mg q2w + DMARD group.</w:t>
      </w:r>
    </w:p>
    <w:p w:rsidR="002928AB" w:rsidRPr="00555154" w:rsidRDefault="002928AB" w:rsidP="001A7C72">
      <w:pPr>
        <w:pStyle w:val="Tabletitle0"/>
      </w:pPr>
      <w:bookmarkStart w:id="161" w:name="_Toc514687840"/>
      <w:r>
        <w:t xml:space="preserve">Table </w:t>
      </w:r>
      <w:r w:rsidR="00D75C1B">
        <w:t>26</w:t>
      </w:r>
      <w:r>
        <w:t xml:space="preserve">: </w:t>
      </w:r>
      <w:r w:rsidRPr="00555154">
        <w:t>Pool 1 Definition of TEAE period</w:t>
      </w:r>
      <w:bookmarkEnd w:id="161"/>
    </w:p>
    <w:p w:rsidR="002928AB" w:rsidRPr="00B4158D" w:rsidRDefault="002928AB" w:rsidP="002928AB">
      <w:pPr>
        <w:spacing w:after="0"/>
        <w:rPr>
          <w:sz w:val="18"/>
          <w:szCs w:val="18"/>
        </w:rPr>
      </w:pPr>
      <w:r w:rsidRPr="00B4158D">
        <w:rPr>
          <w:noProof/>
          <w:sz w:val="18"/>
          <w:szCs w:val="18"/>
          <w:lang w:eastAsia="en-AU"/>
        </w:rPr>
        <w:drawing>
          <wp:inline distT="0" distB="0" distL="0" distR="0" wp14:anchorId="5A25F6D3" wp14:editId="7D7AEDDE">
            <wp:extent cx="4895410" cy="1559812"/>
            <wp:effectExtent l="0" t="0" r="635" b="2540"/>
            <wp:docPr id="467" name="Picture 1" descr="Pool 1 Definition of TEAE perio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904842" cy="1562817"/>
                    </a:xfrm>
                    <a:prstGeom prst="rect">
                      <a:avLst/>
                    </a:prstGeom>
                    <a:noFill/>
                    <a:ln>
                      <a:noFill/>
                    </a:ln>
                  </pic:spPr>
                </pic:pic>
              </a:graphicData>
            </a:graphic>
          </wp:inline>
        </w:drawing>
      </w:r>
    </w:p>
    <w:p w:rsidR="00AA6B20" w:rsidRDefault="002928AB" w:rsidP="00862D66">
      <w:pPr>
        <w:pStyle w:val="TableDescription"/>
      </w:pPr>
      <w:proofErr w:type="gramStart"/>
      <w:r w:rsidRPr="00555154">
        <w:rPr>
          <w:vertAlign w:val="superscript"/>
        </w:rPr>
        <w:t>a</w:t>
      </w:r>
      <w:proofErr w:type="gramEnd"/>
      <w:r w:rsidRPr="00555154">
        <w:rPr>
          <w:vertAlign w:val="superscript"/>
        </w:rPr>
        <w:t xml:space="preserve"> </w:t>
      </w:r>
      <w:r w:rsidRPr="00B4158D">
        <w:t xml:space="preserve">Last contact </w:t>
      </w:r>
      <w:r w:rsidRPr="00862D66">
        <w:t>date</w:t>
      </w:r>
      <w:r w:rsidRPr="00B4158D">
        <w:t xml:space="preserve"> = maximum (last AE onset date, last visit date, last date on which subject vital status obtained).</w:t>
      </w:r>
    </w:p>
    <w:p w:rsidR="002928AB" w:rsidRDefault="002928AB" w:rsidP="002928AB">
      <w:r>
        <w:t xml:space="preserve">The high-level overview of TEAEs during the entire TEAE period for the raw patient incidence rate, the exposure-adjusted patient incidence rate, and the exposure-adjusted event rate are summarised below in Table </w:t>
      </w:r>
      <w:r w:rsidR="00D75C1B">
        <w:t>27</w:t>
      </w:r>
      <w:r>
        <w:t>. There were numerical differences in the parameters, with higher adverse event frequencies being generally observed in the higher dose sarilumab group than in the lower dose sarilumab group.</w:t>
      </w:r>
    </w:p>
    <w:p w:rsidR="002928AB" w:rsidRPr="00F87426" w:rsidRDefault="002928AB" w:rsidP="001A7C72">
      <w:pPr>
        <w:pStyle w:val="Tabletitle0"/>
        <w:rPr>
          <w:lang w:val="en-US"/>
        </w:rPr>
      </w:pPr>
      <w:bookmarkStart w:id="162" w:name="_Toc514687841"/>
      <w:r>
        <w:t xml:space="preserve">Table </w:t>
      </w:r>
      <w:r w:rsidR="00D75C1B">
        <w:t>27</w:t>
      </w:r>
      <w:r>
        <w:t xml:space="preserve">: </w:t>
      </w:r>
      <w:r w:rsidRPr="00555154">
        <w:rPr>
          <w:lang w:val="en-US"/>
        </w:rPr>
        <w:t xml:space="preserve">Pool 1 </w:t>
      </w:r>
      <w:r>
        <w:rPr>
          <w:lang w:val="en-US"/>
        </w:rPr>
        <w:t xml:space="preserve">High-level overview of TEAEs, raw patient incidence rates, exposure adjusted patient incidence </w:t>
      </w:r>
      <w:proofErr w:type="gramStart"/>
      <w:r>
        <w:rPr>
          <w:lang w:val="en-US"/>
        </w:rPr>
        <w:t>rates,</w:t>
      </w:r>
      <w:proofErr w:type="gramEnd"/>
      <w:r>
        <w:rPr>
          <w:lang w:val="en-US"/>
        </w:rPr>
        <w:t xml:space="preserve"> and event rates during the entire TEAE period, placebo-controlled safety population</w:t>
      </w:r>
      <w:bookmarkEnd w:id="162"/>
    </w:p>
    <w:tbl>
      <w:tblPr>
        <w:tblStyle w:val="TableTGAblue"/>
        <w:tblW w:w="8279" w:type="dxa"/>
        <w:tblInd w:w="250" w:type="dxa"/>
        <w:tblLook w:val="04A0" w:firstRow="1" w:lastRow="0" w:firstColumn="1" w:lastColumn="0" w:noHBand="0" w:noVBand="1"/>
      </w:tblPr>
      <w:tblGrid>
        <w:gridCol w:w="1913"/>
        <w:gridCol w:w="1939"/>
        <w:gridCol w:w="2256"/>
        <w:gridCol w:w="2171"/>
      </w:tblGrid>
      <w:tr w:rsidR="002928AB" w:rsidRPr="00F87426" w:rsidTr="00091017">
        <w:trPr>
          <w:cnfStyle w:val="100000000000" w:firstRow="1" w:lastRow="0" w:firstColumn="0" w:lastColumn="0" w:oddVBand="0" w:evenVBand="0" w:oddHBand="0" w:evenHBand="0" w:firstRowFirstColumn="0" w:firstRowLastColumn="0" w:lastRowFirstColumn="0" w:lastRowLastColumn="0"/>
          <w:cantSplit/>
          <w:trHeight w:val="143"/>
        </w:trPr>
        <w:tc>
          <w:tcPr>
            <w:tcW w:w="1913" w:type="dxa"/>
          </w:tcPr>
          <w:p w:rsidR="002928AB" w:rsidRPr="001A7C72" w:rsidRDefault="002928AB" w:rsidP="001A7C72">
            <w:pPr>
              <w:rPr>
                <w:rFonts w:asciiTheme="minorHAnsi" w:hAnsiTheme="minorHAnsi"/>
                <w:sz w:val="20"/>
                <w:szCs w:val="20"/>
                <w:lang w:val="en-US"/>
              </w:rPr>
            </w:pPr>
            <w:r w:rsidRPr="001A7C72">
              <w:rPr>
                <w:rFonts w:asciiTheme="minorHAnsi" w:hAnsiTheme="minorHAnsi"/>
                <w:sz w:val="20"/>
                <w:szCs w:val="20"/>
                <w:lang w:val="en-US"/>
              </w:rPr>
              <w:t>Event</w:t>
            </w:r>
          </w:p>
        </w:tc>
        <w:tc>
          <w:tcPr>
            <w:tcW w:w="1939" w:type="dxa"/>
          </w:tcPr>
          <w:p w:rsidR="002928AB" w:rsidRPr="001A7C72" w:rsidRDefault="002928AB" w:rsidP="001A7C72">
            <w:pPr>
              <w:rPr>
                <w:rFonts w:asciiTheme="minorHAnsi" w:hAnsiTheme="minorHAnsi"/>
                <w:sz w:val="20"/>
                <w:szCs w:val="20"/>
                <w:lang w:val="en-US"/>
              </w:rPr>
            </w:pPr>
            <w:r w:rsidRPr="001A7C72">
              <w:rPr>
                <w:rFonts w:asciiTheme="minorHAnsi" w:hAnsiTheme="minorHAnsi"/>
                <w:sz w:val="20"/>
                <w:szCs w:val="20"/>
                <w:lang w:val="en-US"/>
              </w:rPr>
              <w:t>Raw Patient</w:t>
            </w:r>
          </w:p>
        </w:tc>
        <w:tc>
          <w:tcPr>
            <w:tcW w:w="2256" w:type="dxa"/>
          </w:tcPr>
          <w:p w:rsidR="002928AB" w:rsidRPr="001A7C72" w:rsidRDefault="002928AB" w:rsidP="001A7C72">
            <w:pPr>
              <w:rPr>
                <w:rFonts w:asciiTheme="minorHAnsi" w:hAnsiTheme="minorHAnsi"/>
                <w:sz w:val="20"/>
                <w:szCs w:val="20"/>
                <w:lang w:val="en-US"/>
              </w:rPr>
            </w:pPr>
            <w:r w:rsidRPr="001A7C72">
              <w:rPr>
                <w:rFonts w:asciiTheme="minorHAnsi" w:hAnsiTheme="minorHAnsi"/>
                <w:sz w:val="20"/>
                <w:szCs w:val="20"/>
                <w:lang w:val="en-US"/>
              </w:rPr>
              <w:t>Exposure Adjusted Patient</w:t>
            </w:r>
          </w:p>
        </w:tc>
        <w:tc>
          <w:tcPr>
            <w:tcW w:w="2171" w:type="dxa"/>
          </w:tcPr>
          <w:p w:rsidR="002928AB" w:rsidRPr="001A7C72" w:rsidRDefault="002928AB" w:rsidP="001A7C72">
            <w:pPr>
              <w:rPr>
                <w:rFonts w:asciiTheme="minorHAnsi" w:hAnsiTheme="minorHAnsi"/>
                <w:sz w:val="20"/>
                <w:szCs w:val="20"/>
                <w:lang w:val="en-US"/>
              </w:rPr>
            </w:pPr>
            <w:r w:rsidRPr="001A7C72">
              <w:rPr>
                <w:rFonts w:asciiTheme="minorHAnsi" w:hAnsiTheme="minorHAnsi"/>
                <w:sz w:val="20"/>
                <w:szCs w:val="20"/>
                <w:lang w:val="en-US"/>
              </w:rPr>
              <w:t>Event Rate</w:t>
            </w:r>
          </w:p>
        </w:tc>
      </w:tr>
      <w:tr w:rsidR="002928AB" w:rsidRPr="00F87426" w:rsidTr="006711A8">
        <w:trPr>
          <w:cantSplit/>
          <w:trHeight w:val="143"/>
        </w:trPr>
        <w:tc>
          <w:tcPr>
            <w:tcW w:w="1913" w:type="dxa"/>
          </w:tcPr>
          <w:p w:rsidR="002928AB" w:rsidRPr="001A7C72" w:rsidRDefault="002928AB" w:rsidP="001A7C72">
            <w:pPr>
              <w:rPr>
                <w:rFonts w:asciiTheme="minorHAnsi" w:hAnsiTheme="minorHAnsi"/>
                <w:sz w:val="20"/>
                <w:szCs w:val="20"/>
                <w:lang w:val="en-US"/>
              </w:rPr>
            </w:pPr>
          </w:p>
        </w:tc>
        <w:tc>
          <w:tcPr>
            <w:tcW w:w="1939" w:type="dxa"/>
          </w:tcPr>
          <w:p w:rsidR="002928AB" w:rsidRPr="001A7C72" w:rsidRDefault="002928AB" w:rsidP="001A7C72">
            <w:pPr>
              <w:rPr>
                <w:rFonts w:asciiTheme="minorHAnsi" w:hAnsiTheme="minorHAnsi"/>
                <w:sz w:val="20"/>
                <w:szCs w:val="20"/>
                <w:lang w:val="en-US"/>
              </w:rPr>
            </w:pPr>
            <w:r w:rsidRPr="001A7C72">
              <w:rPr>
                <w:rFonts w:asciiTheme="minorHAnsi" w:hAnsiTheme="minorHAnsi"/>
                <w:sz w:val="20"/>
                <w:szCs w:val="20"/>
                <w:lang w:val="en-US"/>
              </w:rPr>
              <w:t>Incidence Rate, n/N (%)</w:t>
            </w:r>
          </w:p>
        </w:tc>
        <w:tc>
          <w:tcPr>
            <w:tcW w:w="2256" w:type="dxa"/>
          </w:tcPr>
          <w:p w:rsidR="002928AB" w:rsidRPr="001A7C72" w:rsidRDefault="002928AB" w:rsidP="001A7C72">
            <w:pPr>
              <w:rPr>
                <w:rFonts w:asciiTheme="minorHAnsi" w:hAnsiTheme="minorHAnsi"/>
                <w:sz w:val="20"/>
                <w:szCs w:val="20"/>
                <w:lang w:val="en-US"/>
              </w:rPr>
            </w:pPr>
            <w:r w:rsidRPr="001A7C72">
              <w:rPr>
                <w:rFonts w:asciiTheme="minorHAnsi" w:hAnsiTheme="minorHAnsi"/>
                <w:sz w:val="20"/>
                <w:szCs w:val="20"/>
                <w:lang w:val="en-US"/>
              </w:rPr>
              <w:t>Incidence Rate n/PY (rate/100 PYs)</w:t>
            </w:r>
          </w:p>
        </w:tc>
        <w:tc>
          <w:tcPr>
            <w:tcW w:w="2171" w:type="dxa"/>
          </w:tcPr>
          <w:p w:rsidR="002928AB" w:rsidRPr="001A7C72" w:rsidRDefault="002928AB" w:rsidP="001A7C72">
            <w:pPr>
              <w:rPr>
                <w:rFonts w:asciiTheme="minorHAnsi" w:hAnsiTheme="minorHAnsi"/>
                <w:sz w:val="20"/>
                <w:szCs w:val="20"/>
                <w:lang w:val="en-US"/>
              </w:rPr>
            </w:pPr>
            <w:proofErr w:type="spellStart"/>
            <w:r w:rsidRPr="001A7C72">
              <w:rPr>
                <w:rFonts w:asciiTheme="minorHAnsi" w:hAnsiTheme="minorHAnsi"/>
                <w:sz w:val="20"/>
                <w:szCs w:val="20"/>
                <w:lang w:val="en-US"/>
              </w:rPr>
              <w:t>nE</w:t>
            </w:r>
            <w:proofErr w:type="spellEnd"/>
            <w:r w:rsidRPr="001A7C72">
              <w:rPr>
                <w:rFonts w:asciiTheme="minorHAnsi" w:hAnsiTheme="minorHAnsi"/>
                <w:sz w:val="20"/>
                <w:szCs w:val="20"/>
                <w:lang w:val="en-US"/>
              </w:rPr>
              <w:t xml:space="preserve"> (</w:t>
            </w:r>
            <w:proofErr w:type="spellStart"/>
            <w:r w:rsidRPr="001A7C72">
              <w:rPr>
                <w:rFonts w:asciiTheme="minorHAnsi" w:hAnsiTheme="minorHAnsi"/>
                <w:sz w:val="20"/>
                <w:szCs w:val="20"/>
                <w:lang w:val="en-US"/>
              </w:rPr>
              <w:t>nE</w:t>
            </w:r>
            <w:proofErr w:type="spellEnd"/>
            <w:r w:rsidRPr="001A7C72">
              <w:rPr>
                <w:rFonts w:asciiTheme="minorHAnsi" w:hAnsiTheme="minorHAnsi"/>
                <w:sz w:val="20"/>
                <w:szCs w:val="20"/>
                <w:lang w:val="en-US"/>
              </w:rPr>
              <w:t>/100 PYs)</w:t>
            </w:r>
          </w:p>
        </w:tc>
      </w:tr>
      <w:tr w:rsidR="002928AB" w:rsidRPr="00F87426" w:rsidTr="006711A8">
        <w:trPr>
          <w:trHeight w:val="143"/>
        </w:trPr>
        <w:tc>
          <w:tcPr>
            <w:tcW w:w="1913" w:type="dxa"/>
          </w:tcPr>
          <w:p w:rsidR="002928AB" w:rsidRPr="00862D66" w:rsidRDefault="002928AB" w:rsidP="001A7C72">
            <w:pPr>
              <w:rPr>
                <w:rFonts w:asciiTheme="minorHAnsi" w:hAnsiTheme="minorHAnsi"/>
                <w:b/>
                <w:sz w:val="20"/>
                <w:szCs w:val="20"/>
                <w:lang w:val="en-US"/>
              </w:rPr>
            </w:pPr>
            <w:r w:rsidRPr="00862D66">
              <w:rPr>
                <w:rFonts w:asciiTheme="minorHAnsi" w:hAnsiTheme="minorHAnsi"/>
                <w:b/>
                <w:sz w:val="20"/>
                <w:szCs w:val="20"/>
                <w:lang w:val="en-US"/>
              </w:rPr>
              <w:lastRenderedPageBreak/>
              <w:t xml:space="preserve">TEAE </w:t>
            </w:r>
          </w:p>
        </w:tc>
        <w:tc>
          <w:tcPr>
            <w:tcW w:w="1939" w:type="dxa"/>
          </w:tcPr>
          <w:p w:rsidR="002928AB" w:rsidRPr="001A7C72" w:rsidRDefault="002928AB" w:rsidP="001A7C72">
            <w:pPr>
              <w:rPr>
                <w:rFonts w:asciiTheme="minorHAnsi" w:hAnsiTheme="minorHAnsi"/>
                <w:sz w:val="20"/>
                <w:szCs w:val="20"/>
                <w:lang w:val="en-US"/>
              </w:rPr>
            </w:pPr>
          </w:p>
        </w:tc>
        <w:tc>
          <w:tcPr>
            <w:tcW w:w="2256" w:type="dxa"/>
          </w:tcPr>
          <w:p w:rsidR="002928AB" w:rsidRPr="001A7C72" w:rsidRDefault="002928AB" w:rsidP="001A7C72">
            <w:pPr>
              <w:rPr>
                <w:rFonts w:asciiTheme="minorHAnsi" w:hAnsiTheme="minorHAnsi"/>
                <w:sz w:val="20"/>
                <w:szCs w:val="20"/>
                <w:lang w:val="en-US"/>
              </w:rPr>
            </w:pPr>
          </w:p>
        </w:tc>
        <w:tc>
          <w:tcPr>
            <w:tcW w:w="2171" w:type="dxa"/>
          </w:tcPr>
          <w:p w:rsidR="002928AB" w:rsidRPr="001A7C72" w:rsidRDefault="002928AB" w:rsidP="001A7C72">
            <w:pPr>
              <w:rPr>
                <w:rFonts w:asciiTheme="minorHAnsi" w:hAnsiTheme="minorHAnsi"/>
                <w:sz w:val="20"/>
                <w:szCs w:val="20"/>
                <w:lang w:val="en-US"/>
              </w:rPr>
            </w:pPr>
          </w:p>
        </w:tc>
      </w:tr>
      <w:tr w:rsidR="002928AB" w:rsidRPr="00F87426" w:rsidTr="006711A8">
        <w:trPr>
          <w:trHeight w:val="143"/>
        </w:trPr>
        <w:tc>
          <w:tcPr>
            <w:tcW w:w="1913" w:type="dxa"/>
          </w:tcPr>
          <w:p w:rsidR="002928AB" w:rsidRPr="001A7C72" w:rsidRDefault="002928AB" w:rsidP="001A7C72">
            <w:pPr>
              <w:rPr>
                <w:rFonts w:asciiTheme="minorHAnsi" w:hAnsiTheme="minorHAnsi"/>
                <w:sz w:val="20"/>
                <w:szCs w:val="20"/>
                <w:lang w:val="en-US"/>
              </w:rPr>
            </w:pPr>
            <w:r w:rsidRPr="001A7C72">
              <w:rPr>
                <w:rFonts w:asciiTheme="minorHAnsi" w:hAnsiTheme="minorHAnsi"/>
                <w:sz w:val="20"/>
                <w:szCs w:val="20"/>
                <w:lang w:val="en-US"/>
              </w:rPr>
              <w:t>SAR 200 mg q2w + DMARD</w:t>
            </w:r>
          </w:p>
        </w:tc>
        <w:tc>
          <w:tcPr>
            <w:tcW w:w="1939" w:type="dxa"/>
          </w:tcPr>
          <w:p w:rsidR="002928AB" w:rsidRPr="001A7C72" w:rsidRDefault="002928AB" w:rsidP="001A7C72">
            <w:pPr>
              <w:rPr>
                <w:rFonts w:asciiTheme="minorHAnsi" w:hAnsiTheme="minorHAnsi"/>
                <w:sz w:val="20"/>
                <w:szCs w:val="20"/>
                <w:lang w:val="en-US"/>
              </w:rPr>
            </w:pPr>
            <w:r w:rsidRPr="001A7C72">
              <w:rPr>
                <w:rFonts w:asciiTheme="minorHAnsi" w:eastAsiaTheme="minorHAnsi" w:hAnsiTheme="minorHAnsi"/>
                <w:sz w:val="20"/>
                <w:szCs w:val="20"/>
              </w:rPr>
              <w:t>488/661 (73.8%)</w:t>
            </w:r>
          </w:p>
        </w:tc>
        <w:tc>
          <w:tcPr>
            <w:tcW w:w="2256" w:type="dxa"/>
          </w:tcPr>
          <w:p w:rsidR="002928AB" w:rsidRPr="001A7C72" w:rsidRDefault="002928AB" w:rsidP="001A7C72">
            <w:pPr>
              <w:rPr>
                <w:rFonts w:asciiTheme="minorHAnsi" w:hAnsiTheme="minorHAnsi"/>
                <w:sz w:val="20"/>
                <w:szCs w:val="20"/>
                <w:lang w:val="en-US"/>
              </w:rPr>
            </w:pPr>
            <w:r w:rsidRPr="001A7C72">
              <w:rPr>
                <w:rFonts w:asciiTheme="minorHAnsi" w:eastAsiaTheme="minorHAnsi" w:hAnsiTheme="minorHAnsi"/>
                <w:sz w:val="20"/>
                <w:szCs w:val="20"/>
              </w:rPr>
              <w:t>488/193.6 (252.0)</w:t>
            </w:r>
          </w:p>
        </w:tc>
        <w:tc>
          <w:tcPr>
            <w:tcW w:w="2171" w:type="dxa"/>
          </w:tcPr>
          <w:p w:rsidR="002928AB" w:rsidRPr="001A7C72" w:rsidRDefault="002928AB" w:rsidP="001A7C72">
            <w:pPr>
              <w:rPr>
                <w:rFonts w:asciiTheme="minorHAnsi" w:hAnsiTheme="minorHAnsi"/>
                <w:sz w:val="20"/>
                <w:szCs w:val="20"/>
                <w:lang w:val="en-US"/>
              </w:rPr>
            </w:pPr>
            <w:r w:rsidRPr="001A7C72">
              <w:rPr>
                <w:rFonts w:asciiTheme="minorHAnsi" w:hAnsiTheme="minorHAnsi"/>
                <w:sz w:val="20"/>
                <w:szCs w:val="20"/>
                <w:lang w:val="en-US"/>
              </w:rPr>
              <w:t>1703 (385.8)</w:t>
            </w:r>
          </w:p>
        </w:tc>
      </w:tr>
      <w:tr w:rsidR="002928AB" w:rsidRPr="00F87426" w:rsidTr="006711A8">
        <w:trPr>
          <w:trHeight w:val="143"/>
        </w:trPr>
        <w:tc>
          <w:tcPr>
            <w:tcW w:w="1913" w:type="dxa"/>
          </w:tcPr>
          <w:p w:rsidR="002928AB" w:rsidRPr="001A7C72" w:rsidRDefault="002928AB" w:rsidP="001A7C72">
            <w:pPr>
              <w:rPr>
                <w:rFonts w:asciiTheme="minorHAnsi" w:hAnsiTheme="minorHAnsi"/>
                <w:sz w:val="20"/>
                <w:szCs w:val="20"/>
                <w:lang w:val="en-US"/>
              </w:rPr>
            </w:pPr>
            <w:r w:rsidRPr="001A7C72">
              <w:rPr>
                <w:rFonts w:asciiTheme="minorHAnsi" w:hAnsiTheme="minorHAnsi"/>
                <w:sz w:val="20"/>
                <w:szCs w:val="20"/>
                <w:lang w:val="en-US"/>
              </w:rPr>
              <w:t>SAR 150 mg q2w + DMARD</w:t>
            </w:r>
          </w:p>
        </w:tc>
        <w:tc>
          <w:tcPr>
            <w:tcW w:w="1939" w:type="dxa"/>
          </w:tcPr>
          <w:p w:rsidR="002928AB" w:rsidRPr="001A7C72" w:rsidRDefault="002928AB" w:rsidP="001A7C72">
            <w:pPr>
              <w:rPr>
                <w:rFonts w:asciiTheme="minorHAnsi" w:hAnsiTheme="minorHAnsi"/>
                <w:sz w:val="20"/>
                <w:szCs w:val="20"/>
                <w:lang w:val="en-US"/>
              </w:rPr>
            </w:pPr>
            <w:r w:rsidRPr="001A7C72">
              <w:rPr>
                <w:rFonts w:asciiTheme="minorHAnsi" w:eastAsiaTheme="minorHAnsi" w:hAnsiTheme="minorHAnsi"/>
                <w:sz w:val="20"/>
                <w:szCs w:val="20"/>
              </w:rPr>
              <w:t>465/660 (70.5%)</w:t>
            </w:r>
          </w:p>
        </w:tc>
        <w:tc>
          <w:tcPr>
            <w:tcW w:w="2256" w:type="dxa"/>
          </w:tcPr>
          <w:p w:rsidR="002928AB" w:rsidRPr="001A7C72" w:rsidRDefault="002928AB" w:rsidP="001A7C72">
            <w:pPr>
              <w:rPr>
                <w:rFonts w:asciiTheme="minorHAnsi" w:hAnsiTheme="minorHAnsi"/>
                <w:sz w:val="20"/>
                <w:szCs w:val="20"/>
                <w:lang w:val="en-US"/>
              </w:rPr>
            </w:pPr>
            <w:r w:rsidRPr="001A7C72">
              <w:rPr>
                <w:rFonts w:asciiTheme="minorHAnsi" w:eastAsiaTheme="minorHAnsi" w:hAnsiTheme="minorHAnsi"/>
                <w:sz w:val="20"/>
                <w:szCs w:val="20"/>
              </w:rPr>
              <w:t>465/215.5 (215.7)</w:t>
            </w:r>
          </w:p>
        </w:tc>
        <w:tc>
          <w:tcPr>
            <w:tcW w:w="2171" w:type="dxa"/>
          </w:tcPr>
          <w:p w:rsidR="002928AB" w:rsidRPr="001A7C72" w:rsidRDefault="002928AB" w:rsidP="001A7C72">
            <w:pPr>
              <w:rPr>
                <w:rFonts w:asciiTheme="minorHAnsi" w:hAnsiTheme="minorHAnsi"/>
                <w:sz w:val="20"/>
                <w:szCs w:val="20"/>
                <w:lang w:val="en-US"/>
              </w:rPr>
            </w:pPr>
            <w:r w:rsidRPr="001A7C72">
              <w:rPr>
                <w:rFonts w:asciiTheme="minorHAnsi" w:hAnsiTheme="minorHAnsi"/>
                <w:sz w:val="20"/>
                <w:szCs w:val="20"/>
                <w:lang w:val="en-US"/>
              </w:rPr>
              <w:t>1490 (338.1)</w:t>
            </w:r>
          </w:p>
        </w:tc>
      </w:tr>
      <w:tr w:rsidR="002928AB" w:rsidRPr="00F87426" w:rsidTr="006711A8">
        <w:trPr>
          <w:trHeight w:val="143"/>
        </w:trPr>
        <w:tc>
          <w:tcPr>
            <w:tcW w:w="1913" w:type="dxa"/>
          </w:tcPr>
          <w:p w:rsidR="002928AB" w:rsidRPr="001A7C72" w:rsidRDefault="002928AB" w:rsidP="001A7C72">
            <w:pPr>
              <w:rPr>
                <w:rFonts w:asciiTheme="minorHAnsi" w:hAnsiTheme="minorHAnsi"/>
                <w:sz w:val="20"/>
                <w:szCs w:val="20"/>
                <w:lang w:val="en-US"/>
              </w:rPr>
            </w:pPr>
            <w:r w:rsidRPr="001A7C72">
              <w:rPr>
                <w:rFonts w:asciiTheme="minorHAnsi" w:hAnsiTheme="minorHAnsi"/>
                <w:sz w:val="20"/>
                <w:szCs w:val="20"/>
                <w:lang w:val="en-US"/>
              </w:rPr>
              <w:t xml:space="preserve">Placebo + DMARD </w:t>
            </w:r>
          </w:p>
        </w:tc>
        <w:tc>
          <w:tcPr>
            <w:tcW w:w="1939" w:type="dxa"/>
          </w:tcPr>
          <w:p w:rsidR="002928AB" w:rsidRPr="001A7C72" w:rsidRDefault="002928AB" w:rsidP="001A7C72">
            <w:pPr>
              <w:rPr>
                <w:rFonts w:asciiTheme="minorHAnsi" w:hAnsiTheme="minorHAnsi"/>
                <w:sz w:val="20"/>
                <w:szCs w:val="20"/>
                <w:lang w:val="en-US"/>
              </w:rPr>
            </w:pPr>
            <w:r w:rsidRPr="001A7C72">
              <w:rPr>
                <w:rFonts w:asciiTheme="minorHAnsi" w:eastAsiaTheme="minorHAnsi" w:hAnsiTheme="minorHAnsi"/>
                <w:sz w:val="20"/>
                <w:szCs w:val="20"/>
              </w:rPr>
              <w:t>378/661 (57.2%)</w:t>
            </w:r>
          </w:p>
        </w:tc>
        <w:tc>
          <w:tcPr>
            <w:tcW w:w="2256" w:type="dxa"/>
          </w:tcPr>
          <w:p w:rsidR="002928AB" w:rsidRPr="001A7C72" w:rsidRDefault="002928AB" w:rsidP="001A7C72">
            <w:pPr>
              <w:rPr>
                <w:rFonts w:asciiTheme="minorHAnsi" w:hAnsiTheme="minorHAnsi"/>
                <w:sz w:val="20"/>
                <w:szCs w:val="20"/>
                <w:lang w:val="en-US"/>
              </w:rPr>
            </w:pPr>
            <w:r w:rsidRPr="001A7C72">
              <w:rPr>
                <w:rFonts w:asciiTheme="minorHAnsi" w:eastAsiaTheme="minorHAnsi" w:hAnsiTheme="minorHAnsi"/>
                <w:sz w:val="20"/>
                <w:szCs w:val="20"/>
              </w:rPr>
              <w:t>378/218.2 (173.3)</w:t>
            </w:r>
          </w:p>
        </w:tc>
        <w:tc>
          <w:tcPr>
            <w:tcW w:w="2171" w:type="dxa"/>
          </w:tcPr>
          <w:p w:rsidR="002928AB" w:rsidRPr="001A7C72" w:rsidRDefault="002928AB" w:rsidP="001A7C72">
            <w:pPr>
              <w:rPr>
                <w:rFonts w:asciiTheme="minorHAnsi" w:hAnsiTheme="minorHAnsi"/>
                <w:sz w:val="20"/>
                <w:szCs w:val="20"/>
                <w:lang w:val="en-US"/>
              </w:rPr>
            </w:pPr>
            <w:r w:rsidRPr="001A7C72">
              <w:rPr>
                <w:rFonts w:asciiTheme="minorHAnsi" w:hAnsiTheme="minorHAnsi"/>
                <w:sz w:val="20"/>
                <w:szCs w:val="20"/>
                <w:lang w:val="en-US"/>
              </w:rPr>
              <w:t xml:space="preserve">994 (260.0) </w:t>
            </w:r>
          </w:p>
        </w:tc>
      </w:tr>
      <w:tr w:rsidR="002928AB" w:rsidRPr="00F87426" w:rsidTr="006711A8">
        <w:trPr>
          <w:trHeight w:val="143"/>
        </w:trPr>
        <w:tc>
          <w:tcPr>
            <w:tcW w:w="1913" w:type="dxa"/>
          </w:tcPr>
          <w:p w:rsidR="002928AB" w:rsidRPr="00862D66" w:rsidRDefault="002928AB" w:rsidP="001A7C72">
            <w:pPr>
              <w:rPr>
                <w:rFonts w:asciiTheme="minorHAnsi" w:hAnsiTheme="minorHAnsi"/>
                <w:b/>
                <w:sz w:val="20"/>
                <w:szCs w:val="20"/>
                <w:lang w:val="en-US"/>
              </w:rPr>
            </w:pPr>
            <w:r w:rsidRPr="00862D66">
              <w:rPr>
                <w:rFonts w:asciiTheme="minorHAnsi" w:hAnsiTheme="minorHAnsi"/>
                <w:b/>
                <w:sz w:val="20"/>
                <w:szCs w:val="20"/>
                <w:lang w:val="en-US"/>
              </w:rPr>
              <w:t xml:space="preserve">Serious TEAEs </w:t>
            </w:r>
          </w:p>
        </w:tc>
        <w:tc>
          <w:tcPr>
            <w:tcW w:w="1939" w:type="dxa"/>
          </w:tcPr>
          <w:p w:rsidR="002928AB" w:rsidRPr="001A7C72" w:rsidRDefault="002928AB" w:rsidP="001A7C72">
            <w:pPr>
              <w:rPr>
                <w:rFonts w:asciiTheme="minorHAnsi" w:hAnsiTheme="minorHAnsi"/>
                <w:sz w:val="20"/>
                <w:szCs w:val="20"/>
                <w:lang w:val="en-US"/>
              </w:rPr>
            </w:pPr>
          </w:p>
        </w:tc>
        <w:tc>
          <w:tcPr>
            <w:tcW w:w="4427" w:type="dxa"/>
            <w:gridSpan w:val="2"/>
          </w:tcPr>
          <w:p w:rsidR="002928AB" w:rsidRPr="001A7C72" w:rsidRDefault="002928AB" w:rsidP="001A7C72">
            <w:pPr>
              <w:rPr>
                <w:rFonts w:asciiTheme="minorHAnsi" w:hAnsiTheme="minorHAnsi"/>
                <w:sz w:val="20"/>
                <w:szCs w:val="20"/>
                <w:lang w:val="en-US"/>
              </w:rPr>
            </w:pPr>
          </w:p>
        </w:tc>
      </w:tr>
      <w:tr w:rsidR="002928AB" w:rsidRPr="00F87426" w:rsidTr="006711A8">
        <w:trPr>
          <w:trHeight w:val="143"/>
        </w:trPr>
        <w:tc>
          <w:tcPr>
            <w:tcW w:w="1913" w:type="dxa"/>
          </w:tcPr>
          <w:p w:rsidR="002928AB" w:rsidRPr="001A7C72" w:rsidRDefault="002928AB" w:rsidP="001A7C72">
            <w:pPr>
              <w:rPr>
                <w:rFonts w:asciiTheme="minorHAnsi" w:hAnsiTheme="minorHAnsi"/>
                <w:sz w:val="20"/>
                <w:szCs w:val="20"/>
                <w:lang w:val="en-US"/>
              </w:rPr>
            </w:pPr>
            <w:r w:rsidRPr="001A7C72">
              <w:rPr>
                <w:rFonts w:asciiTheme="minorHAnsi" w:hAnsiTheme="minorHAnsi"/>
                <w:sz w:val="20"/>
                <w:szCs w:val="20"/>
                <w:lang w:val="en-US"/>
              </w:rPr>
              <w:t>SAR 200 mg q2w + DMARD</w:t>
            </w:r>
          </w:p>
        </w:tc>
        <w:tc>
          <w:tcPr>
            <w:tcW w:w="1939" w:type="dxa"/>
          </w:tcPr>
          <w:p w:rsidR="002928AB" w:rsidRPr="001A7C72" w:rsidRDefault="002928AB" w:rsidP="001A7C72">
            <w:pPr>
              <w:rPr>
                <w:rFonts w:asciiTheme="minorHAnsi" w:eastAsiaTheme="minorHAnsi" w:hAnsiTheme="minorHAnsi"/>
                <w:sz w:val="20"/>
                <w:szCs w:val="20"/>
              </w:rPr>
            </w:pPr>
            <w:r w:rsidRPr="001A7C72">
              <w:rPr>
                <w:rFonts w:asciiTheme="minorHAnsi" w:eastAsiaTheme="minorHAnsi" w:hAnsiTheme="minorHAnsi"/>
                <w:sz w:val="20"/>
                <w:szCs w:val="20"/>
              </w:rPr>
              <w:t xml:space="preserve">59/661 (8.9%) </w:t>
            </w:r>
          </w:p>
        </w:tc>
        <w:tc>
          <w:tcPr>
            <w:tcW w:w="2256" w:type="dxa"/>
          </w:tcPr>
          <w:p w:rsidR="002928AB" w:rsidRPr="001A7C72" w:rsidRDefault="002928AB" w:rsidP="001A7C72">
            <w:pPr>
              <w:rPr>
                <w:rFonts w:asciiTheme="minorHAnsi" w:eastAsiaTheme="minorHAnsi" w:hAnsiTheme="minorHAnsi"/>
                <w:sz w:val="20"/>
                <w:szCs w:val="20"/>
              </w:rPr>
            </w:pPr>
            <w:r w:rsidRPr="001A7C72">
              <w:rPr>
                <w:rFonts w:asciiTheme="minorHAnsi" w:eastAsiaTheme="minorHAnsi" w:hAnsiTheme="minorHAnsi"/>
                <w:sz w:val="20"/>
                <w:szCs w:val="20"/>
              </w:rPr>
              <w:t>59/426.5 (13.8)</w:t>
            </w:r>
          </w:p>
        </w:tc>
        <w:tc>
          <w:tcPr>
            <w:tcW w:w="2171" w:type="dxa"/>
          </w:tcPr>
          <w:p w:rsidR="002928AB" w:rsidRPr="001A7C72" w:rsidRDefault="002928AB" w:rsidP="001A7C72">
            <w:pPr>
              <w:rPr>
                <w:rFonts w:asciiTheme="minorHAnsi" w:hAnsiTheme="minorHAnsi"/>
                <w:sz w:val="20"/>
                <w:szCs w:val="20"/>
                <w:lang w:val="en-US"/>
              </w:rPr>
            </w:pPr>
            <w:r w:rsidRPr="001A7C72">
              <w:rPr>
                <w:rFonts w:asciiTheme="minorHAnsi" w:hAnsiTheme="minorHAnsi"/>
                <w:sz w:val="20"/>
                <w:szCs w:val="20"/>
                <w:lang w:val="en-US"/>
              </w:rPr>
              <w:t>81 (18.4)</w:t>
            </w:r>
          </w:p>
        </w:tc>
      </w:tr>
      <w:tr w:rsidR="002928AB" w:rsidRPr="00F87426" w:rsidTr="006711A8">
        <w:trPr>
          <w:trHeight w:val="143"/>
        </w:trPr>
        <w:tc>
          <w:tcPr>
            <w:tcW w:w="1913" w:type="dxa"/>
          </w:tcPr>
          <w:p w:rsidR="002928AB" w:rsidRPr="001A7C72" w:rsidRDefault="002928AB" w:rsidP="001A7C72">
            <w:pPr>
              <w:rPr>
                <w:rFonts w:asciiTheme="minorHAnsi" w:hAnsiTheme="minorHAnsi"/>
                <w:sz w:val="20"/>
                <w:szCs w:val="20"/>
                <w:lang w:val="en-US"/>
              </w:rPr>
            </w:pPr>
            <w:r w:rsidRPr="001A7C72">
              <w:rPr>
                <w:rFonts w:asciiTheme="minorHAnsi" w:hAnsiTheme="minorHAnsi"/>
                <w:sz w:val="20"/>
                <w:szCs w:val="20"/>
                <w:lang w:val="en-US"/>
              </w:rPr>
              <w:t>SAR 150 mg q2w + DMARD</w:t>
            </w:r>
          </w:p>
        </w:tc>
        <w:tc>
          <w:tcPr>
            <w:tcW w:w="1939" w:type="dxa"/>
          </w:tcPr>
          <w:p w:rsidR="002928AB" w:rsidRPr="001A7C72" w:rsidRDefault="002928AB" w:rsidP="001A7C72">
            <w:pPr>
              <w:rPr>
                <w:rFonts w:asciiTheme="minorHAnsi" w:eastAsiaTheme="minorHAnsi" w:hAnsiTheme="minorHAnsi"/>
                <w:sz w:val="20"/>
                <w:szCs w:val="20"/>
              </w:rPr>
            </w:pPr>
            <w:r w:rsidRPr="001A7C72">
              <w:rPr>
                <w:rFonts w:asciiTheme="minorHAnsi" w:eastAsiaTheme="minorHAnsi" w:hAnsiTheme="minorHAnsi"/>
                <w:sz w:val="20"/>
                <w:szCs w:val="20"/>
              </w:rPr>
              <w:t xml:space="preserve">42/660 (6.4%) </w:t>
            </w:r>
          </w:p>
        </w:tc>
        <w:tc>
          <w:tcPr>
            <w:tcW w:w="2256" w:type="dxa"/>
          </w:tcPr>
          <w:p w:rsidR="002928AB" w:rsidRPr="001A7C72" w:rsidRDefault="002928AB" w:rsidP="001A7C72">
            <w:pPr>
              <w:rPr>
                <w:rFonts w:asciiTheme="minorHAnsi" w:eastAsiaTheme="minorHAnsi" w:hAnsiTheme="minorHAnsi"/>
                <w:sz w:val="20"/>
                <w:szCs w:val="20"/>
              </w:rPr>
            </w:pPr>
            <w:r w:rsidRPr="001A7C72">
              <w:rPr>
                <w:rFonts w:asciiTheme="minorHAnsi" w:eastAsiaTheme="minorHAnsi" w:hAnsiTheme="minorHAnsi"/>
                <w:sz w:val="20"/>
                <w:szCs w:val="20"/>
              </w:rPr>
              <w:t>42/433.8 (9.7)</w:t>
            </w:r>
          </w:p>
        </w:tc>
        <w:tc>
          <w:tcPr>
            <w:tcW w:w="2171" w:type="dxa"/>
          </w:tcPr>
          <w:p w:rsidR="002928AB" w:rsidRPr="001A7C72" w:rsidRDefault="002928AB" w:rsidP="001A7C72">
            <w:pPr>
              <w:rPr>
                <w:rFonts w:asciiTheme="minorHAnsi" w:hAnsiTheme="minorHAnsi"/>
                <w:sz w:val="20"/>
                <w:szCs w:val="20"/>
                <w:lang w:val="en-US"/>
              </w:rPr>
            </w:pPr>
            <w:r w:rsidRPr="001A7C72">
              <w:rPr>
                <w:rFonts w:asciiTheme="minorHAnsi" w:hAnsiTheme="minorHAnsi"/>
                <w:sz w:val="20"/>
                <w:szCs w:val="20"/>
                <w:lang w:val="en-US"/>
              </w:rPr>
              <w:t xml:space="preserve">67 (15.2) </w:t>
            </w:r>
          </w:p>
        </w:tc>
      </w:tr>
      <w:tr w:rsidR="002928AB" w:rsidRPr="00F87426" w:rsidTr="006711A8">
        <w:trPr>
          <w:trHeight w:val="143"/>
        </w:trPr>
        <w:tc>
          <w:tcPr>
            <w:tcW w:w="1913" w:type="dxa"/>
          </w:tcPr>
          <w:p w:rsidR="002928AB" w:rsidRPr="001A7C72" w:rsidRDefault="002928AB" w:rsidP="001A7C72">
            <w:pPr>
              <w:rPr>
                <w:rFonts w:asciiTheme="minorHAnsi" w:hAnsiTheme="minorHAnsi"/>
                <w:sz w:val="20"/>
                <w:szCs w:val="20"/>
                <w:lang w:val="en-US"/>
              </w:rPr>
            </w:pPr>
            <w:r w:rsidRPr="001A7C72">
              <w:rPr>
                <w:rFonts w:asciiTheme="minorHAnsi" w:hAnsiTheme="minorHAnsi"/>
                <w:sz w:val="20"/>
                <w:szCs w:val="20"/>
                <w:lang w:val="en-US"/>
              </w:rPr>
              <w:t xml:space="preserve">Placebo + DMARD </w:t>
            </w:r>
          </w:p>
        </w:tc>
        <w:tc>
          <w:tcPr>
            <w:tcW w:w="1939" w:type="dxa"/>
          </w:tcPr>
          <w:p w:rsidR="002928AB" w:rsidRPr="001A7C72" w:rsidRDefault="002928AB" w:rsidP="001A7C72">
            <w:pPr>
              <w:rPr>
                <w:rFonts w:asciiTheme="minorHAnsi" w:eastAsiaTheme="minorHAnsi" w:hAnsiTheme="minorHAnsi"/>
                <w:sz w:val="20"/>
                <w:szCs w:val="20"/>
              </w:rPr>
            </w:pPr>
            <w:r w:rsidRPr="001A7C72">
              <w:rPr>
                <w:rFonts w:asciiTheme="minorHAnsi" w:eastAsiaTheme="minorHAnsi" w:hAnsiTheme="minorHAnsi"/>
                <w:sz w:val="20"/>
                <w:szCs w:val="20"/>
              </w:rPr>
              <w:t xml:space="preserve">31/661 (4.7%) </w:t>
            </w:r>
          </w:p>
        </w:tc>
        <w:tc>
          <w:tcPr>
            <w:tcW w:w="2256" w:type="dxa"/>
          </w:tcPr>
          <w:p w:rsidR="002928AB" w:rsidRPr="001A7C72" w:rsidRDefault="002928AB" w:rsidP="001A7C72">
            <w:pPr>
              <w:rPr>
                <w:rFonts w:asciiTheme="minorHAnsi" w:eastAsiaTheme="minorHAnsi" w:hAnsiTheme="minorHAnsi"/>
                <w:sz w:val="20"/>
                <w:szCs w:val="20"/>
              </w:rPr>
            </w:pPr>
            <w:r w:rsidRPr="001A7C72">
              <w:rPr>
                <w:rFonts w:asciiTheme="minorHAnsi" w:eastAsiaTheme="minorHAnsi" w:hAnsiTheme="minorHAnsi"/>
                <w:sz w:val="20"/>
                <w:szCs w:val="20"/>
              </w:rPr>
              <w:t>31/375.4 (8.3)</w:t>
            </w:r>
          </w:p>
        </w:tc>
        <w:tc>
          <w:tcPr>
            <w:tcW w:w="2171" w:type="dxa"/>
          </w:tcPr>
          <w:p w:rsidR="002928AB" w:rsidRPr="001A7C72" w:rsidRDefault="002928AB" w:rsidP="001A7C72">
            <w:pPr>
              <w:rPr>
                <w:rFonts w:asciiTheme="minorHAnsi" w:hAnsiTheme="minorHAnsi"/>
                <w:sz w:val="20"/>
                <w:szCs w:val="20"/>
                <w:lang w:val="en-US"/>
              </w:rPr>
            </w:pPr>
            <w:r w:rsidRPr="001A7C72">
              <w:rPr>
                <w:rFonts w:asciiTheme="minorHAnsi" w:hAnsiTheme="minorHAnsi"/>
                <w:sz w:val="20"/>
                <w:szCs w:val="20"/>
                <w:lang w:val="en-US"/>
              </w:rPr>
              <w:t>29 (12.8)</w:t>
            </w:r>
          </w:p>
        </w:tc>
      </w:tr>
      <w:tr w:rsidR="002928AB" w:rsidRPr="00F87426" w:rsidTr="006711A8">
        <w:trPr>
          <w:trHeight w:val="708"/>
        </w:trPr>
        <w:tc>
          <w:tcPr>
            <w:tcW w:w="1913" w:type="dxa"/>
          </w:tcPr>
          <w:p w:rsidR="002928AB" w:rsidRPr="00862D66" w:rsidRDefault="002928AB" w:rsidP="001A7C72">
            <w:pPr>
              <w:rPr>
                <w:rFonts w:asciiTheme="minorHAnsi" w:hAnsiTheme="minorHAnsi"/>
                <w:b/>
                <w:sz w:val="20"/>
                <w:szCs w:val="20"/>
                <w:lang w:val="en-US"/>
              </w:rPr>
            </w:pPr>
            <w:r w:rsidRPr="00862D66">
              <w:rPr>
                <w:rFonts w:asciiTheme="minorHAnsi" w:hAnsiTheme="minorHAnsi"/>
                <w:b/>
                <w:sz w:val="20"/>
                <w:szCs w:val="20"/>
                <w:lang w:val="en-US"/>
              </w:rPr>
              <w:t xml:space="preserve">TEAE leading to death </w:t>
            </w:r>
          </w:p>
        </w:tc>
        <w:tc>
          <w:tcPr>
            <w:tcW w:w="1939" w:type="dxa"/>
          </w:tcPr>
          <w:p w:rsidR="002928AB" w:rsidRPr="001A7C72" w:rsidRDefault="002928AB" w:rsidP="001A7C72">
            <w:pPr>
              <w:rPr>
                <w:rFonts w:asciiTheme="minorHAnsi" w:hAnsiTheme="minorHAnsi"/>
                <w:sz w:val="20"/>
                <w:szCs w:val="20"/>
                <w:lang w:val="en-US"/>
              </w:rPr>
            </w:pPr>
          </w:p>
        </w:tc>
        <w:tc>
          <w:tcPr>
            <w:tcW w:w="2256" w:type="dxa"/>
          </w:tcPr>
          <w:p w:rsidR="002928AB" w:rsidRPr="001A7C72" w:rsidRDefault="002928AB" w:rsidP="001A7C72">
            <w:pPr>
              <w:rPr>
                <w:rFonts w:asciiTheme="minorHAnsi" w:hAnsiTheme="minorHAnsi"/>
                <w:sz w:val="20"/>
                <w:szCs w:val="20"/>
                <w:lang w:val="en-US"/>
              </w:rPr>
            </w:pPr>
          </w:p>
        </w:tc>
        <w:tc>
          <w:tcPr>
            <w:tcW w:w="2171" w:type="dxa"/>
          </w:tcPr>
          <w:p w:rsidR="002928AB" w:rsidRPr="001A7C72" w:rsidRDefault="002928AB" w:rsidP="001A7C72">
            <w:pPr>
              <w:rPr>
                <w:rFonts w:asciiTheme="minorHAnsi" w:hAnsiTheme="minorHAnsi"/>
                <w:sz w:val="20"/>
                <w:szCs w:val="20"/>
                <w:lang w:val="en-US"/>
              </w:rPr>
            </w:pPr>
          </w:p>
        </w:tc>
      </w:tr>
      <w:tr w:rsidR="002928AB" w:rsidRPr="00F87426" w:rsidTr="006711A8">
        <w:trPr>
          <w:trHeight w:val="708"/>
        </w:trPr>
        <w:tc>
          <w:tcPr>
            <w:tcW w:w="1913" w:type="dxa"/>
          </w:tcPr>
          <w:p w:rsidR="002928AB" w:rsidRPr="001A7C72" w:rsidRDefault="002928AB" w:rsidP="001A7C72">
            <w:pPr>
              <w:rPr>
                <w:rFonts w:asciiTheme="minorHAnsi" w:hAnsiTheme="minorHAnsi"/>
                <w:sz w:val="20"/>
                <w:szCs w:val="20"/>
                <w:lang w:val="en-US"/>
              </w:rPr>
            </w:pPr>
            <w:r w:rsidRPr="001A7C72">
              <w:rPr>
                <w:rFonts w:asciiTheme="minorHAnsi" w:hAnsiTheme="minorHAnsi"/>
                <w:sz w:val="20"/>
                <w:szCs w:val="20"/>
                <w:lang w:val="en-US"/>
              </w:rPr>
              <w:t>SAR 200 mg q2w + DMARD</w:t>
            </w:r>
          </w:p>
        </w:tc>
        <w:tc>
          <w:tcPr>
            <w:tcW w:w="1939" w:type="dxa"/>
          </w:tcPr>
          <w:p w:rsidR="002928AB" w:rsidRPr="001A7C72" w:rsidRDefault="002928AB" w:rsidP="001A7C72">
            <w:pPr>
              <w:rPr>
                <w:rFonts w:asciiTheme="minorHAnsi" w:eastAsiaTheme="minorHAnsi" w:hAnsiTheme="minorHAnsi"/>
                <w:sz w:val="20"/>
                <w:szCs w:val="20"/>
              </w:rPr>
            </w:pPr>
            <w:r w:rsidRPr="001A7C72">
              <w:rPr>
                <w:rFonts w:asciiTheme="minorHAnsi" w:eastAsiaTheme="minorHAnsi" w:hAnsiTheme="minorHAnsi"/>
                <w:sz w:val="20"/>
                <w:szCs w:val="20"/>
              </w:rPr>
              <w:t xml:space="preserve">1/661 (0.2%) </w:t>
            </w:r>
          </w:p>
        </w:tc>
        <w:tc>
          <w:tcPr>
            <w:tcW w:w="2256" w:type="dxa"/>
          </w:tcPr>
          <w:p w:rsidR="002928AB" w:rsidRPr="001A7C72" w:rsidRDefault="002928AB" w:rsidP="001A7C72">
            <w:pPr>
              <w:rPr>
                <w:rFonts w:asciiTheme="minorHAnsi" w:eastAsiaTheme="minorHAnsi" w:hAnsiTheme="minorHAnsi"/>
                <w:sz w:val="20"/>
                <w:szCs w:val="20"/>
              </w:rPr>
            </w:pPr>
            <w:r w:rsidRPr="001A7C72">
              <w:rPr>
                <w:rFonts w:asciiTheme="minorHAnsi" w:eastAsiaTheme="minorHAnsi" w:hAnsiTheme="minorHAnsi"/>
                <w:sz w:val="20"/>
                <w:szCs w:val="20"/>
              </w:rPr>
              <w:t>1/442.8 (0.2)</w:t>
            </w:r>
          </w:p>
        </w:tc>
        <w:tc>
          <w:tcPr>
            <w:tcW w:w="2171" w:type="dxa"/>
          </w:tcPr>
          <w:p w:rsidR="002928AB" w:rsidRPr="001A7C72" w:rsidRDefault="002928AB" w:rsidP="001A7C72">
            <w:pPr>
              <w:rPr>
                <w:rFonts w:asciiTheme="minorHAnsi" w:hAnsiTheme="minorHAnsi"/>
                <w:sz w:val="20"/>
                <w:szCs w:val="20"/>
                <w:lang w:val="en-US"/>
              </w:rPr>
            </w:pPr>
            <w:r w:rsidRPr="001A7C72">
              <w:rPr>
                <w:rFonts w:asciiTheme="minorHAnsi" w:hAnsiTheme="minorHAnsi"/>
                <w:sz w:val="20"/>
                <w:szCs w:val="20"/>
                <w:lang w:val="en-US"/>
              </w:rPr>
              <w:t>1 (0.2)</w:t>
            </w:r>
          </w:p>
        </w:tc>
      </w:tr>
      <w:tr w:rsidR="002928AB" w:rsidRPr="00F87426" w:rsidTr="006711A8">
        <w:trPr>
          <w:trHeight w:val="708"/>
        </w:trPr>
        <w:tc>
          <w:tcPr>
            <w:tcW w:w="1913" w:type="dxa"/>
          </w:tcPr>
          <w:p w:rsidR="002928AB" w:rsidRPr="001A7C72" w:rsidRDefault="002928AB" w:rsidP="001A7C72">
            <w:pPr>
              <w:rPr>
                <w:rFonts w:asciiTheme="minorHAnsi" w:hAnsiTheme="minorHAnsi"/>
                <w:sz w:val="20"/>
                <w:szCs w:val="20"/>
                <w:lang w:val="en-US"/>
              </w:rPr>
            </w:pPr>
            <w:r w:rsidRPr="001A7C72">
              <w:rPr>
                <w:rFonts w:asciiTheme="minorHAnsi" w:hAnsiTheme="minorHAnsi"/>
                <w:sz w:val="20"/>
                <w:szCs w:val="20"/>
                <w:lang w:val="en-US"/>
              </w:rPr>
              <w:t>SAR 150 mg q2w + DMARD</w:t>
            </w:r>
          </w:p>
        </w:tc>
        <w:tc>
          <w:tcPr>
            <w:tcW w:w="1939" w:type="dxa"/>
          </w:tcPr>
          <w:p w:rsidR="002928AB" w:rsidRPr="001A7C72" w:rsidRDefault="002928AB" w:rsidP="001A7C72">
            <w:pPr>
              <w:rPr>
                <w:rFonts w:asciiTheme="minorHAnsi" w:eastAsiaTheme="minorHAnsi" w:hAnsiTheme="minorHAnsi"/>
                <w:sz w:val="20"/>
                <w:szCs w:val="20"/>
              </w:rPr>
            </w:pPr>
            <w:r w:rsidRPr="001A7C72">
              <w:rPr>
                <w:rFonts w:asciiTheme="minorHAnsi" w:eastAsiaTheme="minorHAnsi" w:hAnsiTheme="minorHAnsi"/>
                <w:sz w:val="20"/>
                <w:szCs w:val="20"/>
              </w:rPr>
              <w:t xml:space="preserve">2/660 (0.3%) </w:t>
            </w:r>
          </w:p>
        </w:tc>
        <w:tc>
          <w:tcPr>
            <w:tcW w:w="2256" w:type="dxa"/>
          </w:tcPr>
          <w:p w:rsidR="002928AB" w:rsidRPr="001A7C72" w:rsidRDefault="002928AB" w:rsidP="001A7C72">
            <w:pPr>
              <w:rPr>
                <w:rFonts w:asciiTheme="minorHAnsi" w:eastAsiaTheme="minorHAnsi" w:hAnsiTheme="minorHAnsi"/>
                <w:sz w:val="20"/>
                <w:szCs w:val="20"/>
              </w:rPr>
            </w:pPr>
            <w:r w:rsidRPr="001A7C72">
              <w:rPr>
                <w:rFonts w:asciiTheme="minorHAnsi" w:eastAsiaTheme="minorHAnsi" w:hAnsiTheme="minorHAnsi"/>
                <w:sz w:val="20"/>
                <w:szCs w:val="20"/>
              </w:rPr>
              <w:t>2/442.1 (0.5)</w:t>
            </w:r>
          </w:p>
        </w:tc>
        <w:tc>
          <w:tcPr>
            <w:tcW w:w="2171" w:type="dxa"/>
          </w:tcPr>
          <w:p w:rsidR="002928AB" w:rsidRPr="001A7C72" w:rsidRDefault="002928AB" w:rsidP="001A7C72">
            <w:pPr>
              <w:rPr>
                <w:rFonts w:asciiTheme="minorHAnsi" w:hAnsiTheme="minorHAnsi"/>
                <w:sz w:val="20"/>
                <w:szCs w:val="20"/>
                <w:lang w:val="en-US"/>
              </w:rPr>
            </w:pPr>
            <w:r w:rsidRPr="001A7C72">
              <w:rPr>
                <w:rFonts w:asciiTheme="minorHAnsi" w:hAnsiTheme="minorHAnsi"/>
                <w:sz w:val="20"/>
                <w:szCs w:val="20"/>
                <w:lang w:val="en-US"/>
              </w:rPr>
              <w:t xml:space="preserve">2 (0.5) </w:t>
            </w:r>
          </w:p>
        </w:tc>
      </w:tr>
      <w:tr w:rsidR="002928AB" w:rsidRPr="00F87426" w:rsidTr="006711A8">
        <w:trPr>
          <w:trHeight w:val="720"/>
        </w:trPr>
        <w:tc>
          <w:tcPr>
            <w:tcW w:w="1913" w:type="dxa"/>
          </w:tcPr>
          <w:p w:rsidR="002928AB" w:rsidRPr="001A7C72" w:rsidRDefault="002928AB" w:rsidP="001A7C72">
            <w:pPr>
              <w:rPr>
                <w:rFonts w:asciiTheme="minorHAnsi" w:hAnsiTheme="minorHAnsi"/>
                <w:sz w:val="20"/>
                <w:szCs w:val="20"/>
                <w:lang w:val="en-US"/>
              </w:rPr>
            </w:pPr>
            <w:r w:rsidRPr="001A7C72">
              <w:rPr>
                <w:rFonts w:asciiTheme="minorHAnsi" w:hAnsiTheme="minorHAnsi"/>
                <w:sz w:val="20"/>
                <w:szCs w:val="20"/>
                <w:lang w:val="en-US"/>
              </w:rPr>
              <w:t xml:space="preserve">Placebo + DMARD </w:t>
            </w:r>
          </w:p>
        </w:tc>
        <w:tc>
          <w:tcPr>
            <w:tcW w:w="1939" w:type="dxa"/>
          </w:tcPr>
          <w:p w:rsidR="002928AB" w:rsidRPr="001A7C72" w:rsidRDefault="002928AB" w:rsidP="001A7C72">
            <w:pPr>
              <w:rPr>
                <w:rFonts w:asciiTheme="minorHAnsi" w:eastAsiaTheme="minorHAnsi" w:hAnsiTheme="minorHAnsi"/>
                <w:sz w:val="20"/>
                <w:szCs w:val="20"/>
              </w:rPr>
            </w:pPr>
            <w:r w:rsidRPr="001A7C72">
              <w:rPr>
                <w:rFonts w:asciiTheme="minorHAnsi" w:eastAsiaTheme="minorHAnsi" w:hAnsiTheme="minorHAnsi"/>
                <w:sz w:val="20"/>
                <w:szCs w:val="20"/>
              </w:rPr>
              <w:t>3/661 (0.5%)</w:t>
            </w:r>
          </w:p>
        </w:tc>
        <w:tc>
          <w:tcPr>
            <w:tcW w:w="2256" w:type="dxa"/>
          </w:tcPr>
          <w:p w:rsidR="002928AB" w:rsidRPr="001A7C72" w:rsidRDefault="002928AB" w:rsidP="001A7C72">
            <w:pPr>
              <w:rPr>
                <w:rFonts w:asciiTheme="minorHAnsi" w:eastAsiaTheme="minorHAnsi" w:hAnsiTheme="minorHAnsi"/>
                <w:sz w:val="20"/>
                <w:szCs w:val="20"/>
              </w:rPr>
            </w:pPr>
            <w:r w:rsidRPr="001A7C72">
              <w:rPr>
                <w:rFonts w:asciiTheme="minorHAnsi" w:eastAsiaTheme="minorHAnsi" w:hAnsiTheme="minorHAnsi"/>
                <w:sz w:val="20"/>
                <w:szCs w:val="20"/>
              </w:rPr>
              <w:t>3/383.9 (0.8)</w:t>
            </w:r>
          </w:p>
        </w:tc>
        <w:tc>
          <w:tcPr>
            <w:tcW w:w="2171" w:type="dxa"/>
          </w:tcPr>
          <w:p w:rsidR="002928AB" w:rsidRPr="001A7C72" w:rsidRDefault="002928AB" w:rsidP="001A7C72">
            <w:pPr>
              <w:rPr>
                <w:rFonts w:asciiTheme="minorHAnsi" w:hAnsiTheme="minorHAnsi"/>
                <w:sz w:val="20"/>
                <w:szCs w:val="20"/>
                <w:lang w:val="en-US"/>
              </w:rPr>
            </w:pPr>
            <w:r w:rsidRPr="001A7C72">
              <w:rPr>
                <w:rFonts w:asciiTheme="minorHAnsi" w:hAnsiTheme="minorHAnsi"/>
                <w:sz w:val="20"/>
                <w:szCs w:val="20"/>
                <w:lang w:val="en-US"/>
              </w:rPr>
              <w:t xml:space="preserve">5 (1.3) </w:t>
            </w:r>
          </w:p>
        </w:tc>
      </w:tr>
      <w:tr w:rsidR="002928AB" w:rsidRPr="00F87426" w:rsidTr="006711A8">
        <w:trPr>
          <w:trHeight w:val="468"/>
        </w:trPr>
        <w:tc>
          <w:tcPr>
            <w:tcW w:w="8278" w:type="dxa"/>
            <w:gridSpan w:val="4"/>
          </w:tcPr>
          <w:p w:rsidR="002928AB" w:rsidRPr="00862D66" w:rsidRDefault="002928AB" w:rsidP="001A7C72">
            <w:pPr>
              <w:rPr>
                <w:rFonts w:asciiTheme="minorHAnsi" w:hAnsiTheme="minorHAnsi"/>
                <w:b/>
                <w:sz w:val="20"/>
                <w:szCs w:val="20"/>
                <w:lang w:val="en-US"/>
              </w:rPr>
            </w:pPr>
            <w:r w:rsidRPr="00862D66">
              <w:rPr>
                <w:rFonts w:asciiTheme="minorHAnsi" w:hAnsiTheme="minorHAnsi"/>
                <w:b/>
                <w:sz w:val="20"/>
                <w:szCs w:val="20"/>
                <w:lang w:val="en-US"/>
              </w:rPr>
              <w:t xml:space="preserve">TEAE leading to permanent treatment discontinuation </w:t>
            </w:r>
          </w:p>
        </w:tc>
      </w:tr>
      <w:tr w:rsidR="002928AB" w:rsidRPr="00F87426" w:rsidTr="006711A8">
        <w:trPr>
          <w:trHeight w:val="708"/>
        </w:trPr>
        <w:tc>
          <w:tcPr>
            <w:tcW w:w="1913" w:type="dxa"/>
          </w:tcPr>
          <w:p w:rsidR="002928AB" w:rsidRPr="001A7C72" w:rsidRDefault="002928AB" w:rsidP="001A7C72">
            <w:pPr>
              <w:rPr>
                <w:rFonts w:asciiTheme="minorHAnsi" w:hAnsiTheme="minorHAnsi"/>
                <w:sz w:val="20"/>
                <w:szCs w:val="20"/>
                <w:lang w:val="en-US"/>
              </w:rPr>
            </w:pPr>
            <w:r w:rsidRPr="001A7C72">
              <w:rPr>
                <w:rFonts w:asciiTheme="minorHAnsi" w:hAnsiTheme="minorHAnsi"/>
                <w:sz w:val="20"/>
                <w:szCs w:val="20"/>
                <w:lang w:val="en-US"/>
              </w:rPr>
              <w:t>SAR 200 mg q2w + DMARD</w:t>
            </w:r>
          </w:p>
        </w:tc>
        <w:tc>
          <w:tcPr>
            <w:tcW w:w="1939" w:type="dxa"/>
          </w:tcPr>
          <w:p w:rsidR="002928AB" w:rsidRPr="001A7C72" w:rsidRDefault="002928AB" w:rsidP="001A7C72">
            <w:pPr>
              <w:rPr>
                <w:rFonts w:asciiTheme="minorHAnsi" w:eastAsiaTheme="minorHAnsi" w:hAnsiTheme="minorHAnsi"/>
                <w:sz w:val="20"/>
                <w:szCs w:val="20"/>
              </w:rPr>
            </w:pPr>
            <w:r w:rsidRPr="001A7C72">
              <w:rPr>
                <w:rFonts w:asciiTheme="minorHAnsi" w:eastAsiaTheme="minorHAnsi" w:hAnsiTheme="minorHAnsi"/>
                <w:sz w:val="20"/>
                <w:szCs w:val="20"/>
              </w:rPr>
              <w:t xml:space="preserve">83/661 (12.6%) </w:t>
            </w:r>
          </w:p>
        </w:tc>
        <w:tc>
          <w:tcPr>
            <w:tcW w:w="2256" w:type="dxa"/>
          </w:tcPr>
          <w:p w:rsidR="002928AB" w:rsidRPr="001A7C72" w:rsidRDefault="002928AB" w:rsidP="001A7C72">
            <w:pPr>
              <w:rPr>
                <w:rFonts w:asciiTheme="minorHAnsi" w:eastAsiaTheme="minorHAnsi" w:hAnsiTheme="minorHAnsi"/>
                <w:sz w:val="20"/>
                <w:szCs w:val="20"/>
              </w:rPr>
            </w:pPr>
            <w:r w:rsidRPr="001A7C72">
              <w:rPr>
                <w:rFonts w:asciiTheme="minorHAnsi" w:eastAsiaTheme="minorHAnsi" w:hAnsiTheme="minorHAnsi"/>
                <w:sz w:val="20"/>
                <w:szCs w:val="20"/>
              </w:rPr>
              <w:t>83/428.4 (19.4)</w:t>
            </w:r>
          </w:p>
        </w:tc>
        <w:tc>
          <w:tcPr>
            <w:tcW w:w="2171" w:type="dxa"/>
          </w:tcPr>
          <w:p w:rsidR="002928AB" w:rsidRPr="001A7C72" w:rsidRDefault="002928AB" w:rsidP="001A7C72">
            <w:pPr>
              <w:rPr>
                <w:rFonts w:asciiTheme="minorHAnsi" w:hAnsiTheme="minorHAnsi"/>
                <w:sz w:val="20"/>
                <w:szCs w:val="20"/>
                <w:lang w:val="en-US"/>
              </w:rPr>
            </w:pPr>
            <w:r w:rsidRPr="001A7C72">
              <w:rPr>
                <w:rFonts w:asciiTheme="minorHAnsi" w:hAnsiTheme="minorHAnsi"/>
                <w:sz w:val="20"/>
                <w:szCs w:val="20"/>
                <w:lang w:val="en-US"/>
              </w:rPr>
              <w:t>91 (20.6)</w:t>
            </w:r>
          </w:p>
        </w:tc>
      </w:tr>
      <w:tr w:rsidR="002928AB" w:rsidRPr="00F87426" w:rsidTr="006711A8">
        <w:trPr>
          <w:trHeight w:val="708"/>
        </w:trPr>
        <w:tc>
          <w:tcPr>
            <w:tcW w:w="1913" w:type="dxa"/>
          </w:tcPr>
          <w:p w:rsidR="002928AB" w:rsidRPr="001A7C72" w:rsidRDefault="002928AB" w:rsidP="001A7C72">
            <w:pPr>
              <w:rPr>
                <w:rFonts w:asciiTheme="minorHAnsi" w:hAnsiTheme="minorHAnsi"/>
                <w:sz w:val="20"/>
                <w:szCs w:val="20"/>
                <w:lang w:val="en-US"/>
              </w:rPr>
            </w:pPr>
            <w:r w:rsidRPr="001A7C72">
              <w:rPr>
                <w:rFonts w:asciiTheme="minorHAnsi" w:hAnsiTheme="minorHAnsi"/>
                <w:sz w:val="20"/>
                <w:szCs w:val="20"/>
                <w:lang w:val="en-US"/>
              </w:rPr>
              <w:t>SAR 150 mg q2w + DMARD</w:t>
            </w:r>
          </w:p>
        </w:tc>
        <w:tc>
          <w:tcPr>
            <w:tcW w:w="1939" w:type="dxa"/>
          </w:tcPr>
          <w:p w:rsidR="002928AB" w:rsidRPr="001A7C72" w:rsidRDefault="002928AB" w:rsidP="001A7C72">
            <w:pPr>
              <w:rPr>
                <w:rFonts w:asciiTheme="minorHAnsi" w:eastAsiaTheme="minorHAnsi" w:hAnsiTheme="minorHAnsi"/>
                <w:sz w:val="20"/>
                <w:szCs w:val="20"/>
              </w:rPr>
            </w:pPr>
            <w:r w:rsidRPr="001A7C72">
              <w:rPr>
                <w:rFonts w:asciiTheme="minorHAnsi" w:eastAsiaTheme="minorHAnsi" w:hAnsiTheme="minorHAnsi"/>
                <w:sz w:val="20"/>
                <w:szCs w:val="20"/>
              </w:rPr>
              <w:t xml:space="preserve">72/660 (10.9%) </w:t>
            </w:r>
          </w:p>
        </w:tc>
        <w:tc>
          <w:tcPr>
            <w:tcW w:w="2256" w:type="dxa"/>
          </w:tcPr>
          <w:p w:rsidR="002928AB" w:rsidRPr="001A7C72" w:rsidRDefault="002928AB" w:rsidP="001A7C72">
            <w:pPr>
              <w:rPr>
                <w:rFonts w:asciiTheme="minorHAnsi" w:eastAsiaTheme="minorHAnsi" w:hAnsiTheme="minorHAnsi"/>
                <w:sz w:val="20"/>
                <w:szCs w:val="20"/>
              </w:rPr>
            </w:pPr>
            <w:r w:rsidRPr="001A7C72">
              <w:rPr>
                <w:rFonts w:asciiTheme="minorHAnsi" w:eastAsiaTheme="minorHAnsi" w:hAnsiTheme="minorHAnsi"/>
                <w:sz w:val="20"/>
                <w:szCs w:val="20"/>
              </w:rPr>
              <w:t>72/429.8 (16.8)</w:t>
            </w:r>
          </w:p>
        </w:tc>
        <w:tc>
          <w:tcPr>
            <w:tcW w:w="2171" w:type="dxa"/>
          </w:tcPr>
          <w:p w:rsidR="002928AB" w:rsidRPr="001A7C72" w:rsidRDefault="002928AB" w:rsidP="001A7C72">
            <w:pPr>
              <w:rPr>
                <w:rFonts w:asciiTheme="minorHAnsi" w:hAnsiTheme="minorHAnsi"/>
                <w:sz w:val="20"/>
                <w:szCs w:val="20"/>
                <w:lang w:val="en-US"/>
              </w:rPr>
            </w:pPr>
            <w:r w:rsidRPr="001A7C72">
              <w:rPr>
                <w:rFonts w:asciiTheme="minorHAnsi" w:hAnsiTheme="minorHAnsi"/>
                <w:sz w:val="20"/>
                <w:szCs w:val="20"/>
                <w:lang w:val="en-US"/>
              </w:rPr>
              <w:t>90 (20.4)</w:t>
            </w:r>
          </w:p>
        </w:tc>
      </w:tr>
      <w:tr w:rsidR="002928AB" w:rsidRPr="00F87426" w:rsidTr="006711A8">
        <w:trPr>
          <w:trHeight w:val="720"/>
        </w:trPr>
        <w:tc>
          <w:tcPr>
            <w:tcW w:w="1913" w:type="dxa"/>
          </w:tcPr>
          <w:p w:rsidR="002928AB" w:rsidRPr="001A7C72" w:rsidRDefault="002928AB" w:rsidP="001A7C72">
            <w:pPr>
              <w:rPr>
                <w:rFonts w:asciiTheme="minorHAnsi" w:hAnsiTheme="minorHAnsi"/>
                <w:sz w:val="20"/>
                <w:szCs w:val="20"/>
                <w:lang w:val="en-US"/>
              </w:rPr>
            </w:pPr>
            <w:r w:rsidRPr="001A7C72">
              <w:rPr>
                <w:rFonts w:asciiTheme="minorHAnsi" w:hAnsiTheme="minorHAnsi"/>
                <w:sz w:val="20"/>
                <w:szCs w:val="20"/>
                <w:lang w:val="en-US"/>
              </w:rPr>
              <w:t xml:space="preserve">Placebo + DMARD </w:t>
            </w:r>
          </w:p>
        </w:tc>
        <w:tc>
          <w:tcPr>
            <w:tcW w:w="1939" w:type="dxa"/>
          </w:tcPr>
          <w:p w:rsidR="002928AB" w:rsidRPr="001A7C72" w:rsidRDefault="002928AB" w:rsidP="001A7C72">
            <w:pPr>
              <w:rPr>
                <w:rFonts w:asciiTheme="minorHAnsi" w:eastAsiaTheme="minorHAnsi" w:hAnsiTheme="minorHAnsi"/>
                <w:sz w:val="20"/>
                <w:szCs w:val="20"/>
              </w:rPr>
            </w:pPr>
            <w:r w:rsidRPr="001A7C72">
              <w:rPr>
                <w:rFonts w:asciiTheme="minorHAnsi" w:eastAsiaTheme="minorHAnsi" w:hAnsiTheme="minorHAnsi"/>
                <w:sz w:val="20"/>
                <w:szCs w:val="20"/>
              </w:rPr>
              <w:t xml:space="preserve">31/661 (4.7%) </w:t>
            </w:r>
          </w:p>
        </w:tc>
        <w:tc>
          <w:tcPr>
            <w:tcW w:w="2256" w:type="dxa"/>
          </w:tcPr>
          <w:p w:rsidR="002928AB" w:rsidRPr="001A7C72" w:rsidRDefault="002928AB" w:rsidP="001A7C72">
            <w:pPr>
              <w:rPr>
                <w:rFonts w:asciiTheme="minorHAnsi" w:eastAsiaTheme="minorHAnsi" w:hAnsiTheme="minorHAnsi"/>
                <w:sz w:val="20"/>
                <w:szCs w:val="20"/>
              </w:rPr>
            </w:pPr>
            <w:r w:rsidRPr="001A7C72">
              <w:rPr>
                <w:rFonts w:asciiTheme="minorHAnsi" w:eastAsiaTheme="minorHAnsi" w:hAnsiTheme="minorHAnsi"/>
                <w:sz w:val="20"/>
                <w:szCs w:val="20"/>
              </w:rPr>
              <w:t>31/379.8 (8.2)</w:t>
            </w:r>
          </w:p>
        </w:tc>
        <w:tc>
          <w:tcPr>
            <w:tcW w:w="2171" w:type="dxa"/>
          </w:tcPr>
          <w:p w:rsidR="002928AB" w:rsidRPr="001A7C72" w:rsidRDefault="002928AB" w:rsidP="001A7C72">
            <w:pPr>
              <w:rPr>
                <w:rFonts w:asciiTheme="minorHAnsi" w:hAnsiTheme="minorHAnsi"/>
                <w:sz w:val="20"/>
                <w:szCs w:val="20"/>
                <w:lang w:val="en-US"/>
              </w:rPr>
            </w:pPr>
            <w:r w:rsidRPr="001A7C72">
              <w:rPr>
                <w:rFonts w:asciiTheme="minorHAnsi" w:hAnsiTheme="minorHAnsi"/>
                <w:sz w:val="20"/>
                <w:szCs w:val="20"/>
                <w:lang w:val="en-US"/>
              </w:rPr>
              <w:t xml:space="preserve">33 (8.6) </w:t>
            </w:r>
          </w:p>
        </w:tc>
      </w:tr>
    </w:tbl>
    <w:p w:rsidR="00AA6B20" w:rsidRPr="00862D66" w:rsidRDefault="002928AB" w:rsidP="00862D66">
      <w:pPr>
        <w:pStyle w:val="TableDescription"/>
      </w:pPr>
      <w:r w:rsidRPr="00862D66">
        <w:t xml:space="preserve">Raw patient incidence rate = number of patients with at least 1 event/number of patients in the treatment group. Exposure adjusted incidence rate = number of patients with at least one event per 100 </w:t>
      </w:r>
      <w:r w:rsidR="00A6301B">
        <w:t>PY</w:t>
      </w:r>
      <w:r w:rsidRPr="00862D66">
        <w:t>, where the exposure time for patients who have experienced the specific adverse experience was defined as the time to first adverse experience of interest whereas the exposure time for those who have not had this adverse experience was total TEAE period duration. Event rate = number</w:t>
      </w:r>
      <w:r w:rsidR="00DD2390">
        <w:t xml:space="preserve"> of events (</w:t>
      </w:r>
      <w:proofErr w:type="spellStart"/>
      <w:r w:rsidR="00DD2390">
        <w:t>nE</w:t>
      </w:r>
      <w:proofErr w:type="spellEnd"/>
      <w:r w:rsidR="00DD2390">
        <w:t xml:space="preserve">) per 100 </w:t>
      </w:r>
      <w:r w:rsidR="00A6301B">
        <w:t>PY</w:t>
      </w:r>
      <w:r w:rsidRPr="00862D66">
        <w:t>, where PY for a treatment group is the total duration of treatment in the entire TEAE period (382.3 PY, placebo = DMARD; 440.7 PY SAR 150 mg + DMARD; and 441.4 PY SAR 200 mg q2w + DMARD).</w:t>
      </w:r>
    </w:p>
    <w:p w:rsidR="00AA6B20" w:rsidRDefault="002928AB" w:rsidP="002928AB">
      <w:pPr>
        <w:autoSpaceDE w:val="0"/>
        <w:autoSpaceDN w:val="0"/>
        <w:adjustRightInd w:val="0"/>
        <w:spacing w:line="240" w:lineRule="auto"/>
      </w:pPr>
      <w:r>
        <w:lastRenderedPageBreak/>
        <w:t>Death was reported in 3 (0.5%) patients in the placebo group (1</w:t>
      </w:r>
      <w:r w:rsidR="006711A8">
        <w:t xml:space="preserve"> </w:t>
      </w:r>
      <w:r>
        <w:t>x completed suicide; 1 x brain oedema; 1 x cardiovascular insufficiency); 2 (0.3%) patients in the sarilumab 150 mg q2w group (1x pulmonary oedema; 1 x respiratory distress), and 1 (0.2%) patient in the sarilumab 200 mg q2w group (1 x cerebrovascular accident).</w:t>
      </w:r>
    </w:p>
    <w:p w:rsidR="00AA6B20" w:rsidRDefault="002928AB" w:rsidP="002928AB">
      <w:pPr>
        <w:autoSpaceDE w:val="0"/>
        <w:autoSpaceDN w:val="0"/>
        <w:adjustRightInd w:val="0"/>
        <w:spacing w:line="240" w:lineRule="auto"/>
      </w:pPr>
      <w:r>
        <w:t xml:space="preserve">TEAEs reported in </w:t>
      </w:r>
      <w:r w:rsidR="00DD5BCE">
        <w:t>≥</w:t>
      </w:r>
      <w:r w:rsidR="007C7C62">
        <w:t xml:space="preserve"> </w:t>
      </w:r>
      <w:r>
        <w:t>5% of patients in either the sarilumab 200 mg q2w group or the sarilumab 150 mg q2w group, respectively, in descending order of frequency in the 200</w:t>
      </w:r>
      <w:r w:rsidR="003A36D9">
        <w:t> </w:t>
      </w:r>
      <w:r>
        <w:t>mg q2w group were: neutro</w:t>
      </w:r>
      <w:r w:rsidR="001E2D44">
        <w:t>paenia</w:t>
      </w:r>
      <w:r>
        <w:t xml:space="preserve"> (14.2%</w:t>
      </w:r>
      <w:r w:rsidR="003D2290">
        <w:t xml:space="preserve"> versus </w:t>
      </w:r>
      <w:r>
        <w:t>9.8%); upper respiratory tract infection (7.1%</w:t>
      </w:r>
      <w:r w:rsidR="003D2290">
        <w:t xml:space="preserve"> versus </w:t>
      </w:r>
      <w:r>
        <w:t>6.4%); ALT increased (6.8%</w:t>
      </w:r>
      <w:r w:rsidR="003D2290">
        <w:t xml:space="preserve"> versus </w:t>
      </w:r>
      <w:r>
        <w:t>6.7%); accidental overdose (6.1%</w:t>
      </w:r>
      <w:r w:rsidR="003D2290">
        <w:t xml:space="preserve"> versus </w:t>
      </w:r>
      <w:r>
        <w:t>5.5%); urinary tract infection (5.7%</w:t>
      </w:r>
      <w:r w:rsidR="003D2290">
        <w:t xml:space="preserve"> versus </w:t>
      </w:r>
      <w:r>
        <w:t>4.4%); injection site erythema (5.3%</w:t>
      </w:r>
      <w:r w:rsidR="003D2290">
        <w:t xml:space="preserve"> versus </w:t>
      </w:r>
      <w:r>
        <w:t>5.3%); and nasopharyngitis (4.2%</w:t>
      </w:r>
      <w:r w:rsidR="003D2290">
        <w:t xml:space="preserve"> versus </w:t>
      </w:r>
      <w:r>
        <w:t>5.5%).</w:t>
      </w:r>
    </w:p>
    <w:p w:rsidR="00AA6B20" w:rsidRDefault="002928AB" w:rsidP="002928AB">
      <w:r>
        <w:t xml:space="preserve">SAEs reported in </w:t>
      </w:r>
      <w:r w:rsidR="00DD5BCE">
        <w:t>≥</w:t>
      </w:r>
      <w:r w:rsidR="007C7C62">
        <w:t xml:space="preserve"> </w:t>
      </w:r>
      <w:r>
        <w:t>2 patients in either the sarilumab 200 mg q2w group or the sarilumab 150 mg q2w group, respectively, in descending order of frequency in the 200 mg q2w group were: neutro</w:t>
      </w:r>
      <w:r w:rsidR="001E2D44">
        <w:t>paenia</w:t>
      </w:r>
      <w:r>
        <w:t xml:space="preserve"> (</w:t>
      </w:r>
      <w:r w:rsidR="007C7C62">
        <w:t xml:space="preserve">n = </w:t>
      </w:r>
      <w:r>
        <w:t>5, 0.8%</w:t>
      </w:r>
      <w:r w:rsidR="003D2290">
        <w:t xml:space="preserve"> versus </w:t>
      </w:r>
      <w:r w:rsidR="007C7C62">
        <w:t xml:space="preserve">n = </w:t>
      </w:r>
      <w:r>
        <w:t>4, 0.6%); erysipelas (</w:t>
      </w:r>
      <w:r w:rsidR="007C7C62">
        <w:t xml:space="preserve">n = </w:t>
      </w:r>
      <w:r>
        <w:t>3, 0.5%</w:t>
      </w:r>
      <w:r w:rsidR="003D2290">
        <w:t xml:space="preserve"> versus </w:t>
      </w:r>
      <w:r w:rsidR="007C7C62">
        <w:t xml:space="preserve">n = </w:t>
      </w:r>
      <w:r>
        <w:t>0, 0%); pneumonia (</w:t>
      </w:r>
      <w:r w:rsidR="007C7C62">
        <w:t xml:space="preserve">n = </w:t>
      </w:r>
      <w:r>
        <w:t>3, 0.5%</w:t>
      </w:r>
      <w:r w:rsidR="003D2290">
        <w:t xml:space="preserve"> versus </w:t>
      </w:r>
      <w:r w:rsidR="007C7C62">
        <w:t xml:space="preserve">n = </w:t>
      </w:r>
      <w:r>
        <w:t>1, 0.2%); bronchitis (</w:t>
      </w:r>
      <w:r w:rsidR="007C7C62">
        <w:t xml:space="preserve">n = </w:t>
      </w:r>
      <w:r>
        <w:t>2, 0.3%</w:t>
      </w:r>
      <w:r w:rsidR="003D2290">
        <w:t xml:space="preserve"> versus </w:t>
      </w:r>
      <w:r w:rsidR="007C7C62">
        <w:t xml:space="preserve">n = </w:t>
      </w:r>
      <w:r>
        <w:t>0, 0%); cellulitis (</w:t>
      </w:r>
      <w:r w:rsidR="007C7C62">
        <w:t xml:space="preserve">n = </w:t>
      </w:r>
      <w:r>
        <w:t>2, 0.3%</w:t>
      </w:r>
      <w:r w:rsidR="003D2290">
        <w:t xml:space="preserve"> versus </w:t>
      </w:r>
      <w:r w:rsidR="007C7C62">
        <w:t xml:space="preserve">n = </w:t>
      </w:r>
      <w:r>
        <w:t>1, 0.2%); depression (</w:t>
      </w:r>
      <w:r w:rsidR="007C7C62">
        <w:t xml:space="preserve">n = </w:t>
      </w:r>
      <w:r>
        <w:t>2, 0.3%</w:t>
      </w:r>
      <w:r w:rsidR="003D2290">
        <w:t xml:space="preserve"> versus </w:t>
      </w:r>
      <w:r w:rsidR="007C7C62">
        <w:t xml:space="preserve">n = </w:t>
      </w:r>
      <w:r>
        <w:t>1, 0.2%); hypertensive crisis (</w:t>
      </w:r>
      <w:r w:rsidR="007C7C62">
        <w:t xml:space="preserve">n = </w:t>
      </w:r>
      <w:r>
        <w:t>2, 0.3%</w:t>
      </w:r>
      <w:r w:rsidR="003D2290">
        <w:t xml:space="preserve"> versus </w:t>
      </w:r>
      <w:r w:rsidR="007C7C62">
        <w:t xml:space="preserve">n = </w:t>
      </w:r>
      <w:r>
        <w:t>0, 0%); osteoarthritis (</w:t>
      </w:r>
      <w:r w:rsidR="007C7C62">
        <w:t xml:space="preserve">n = </w:t>
      </w:r>
      <w:r>
        <w:t>2, 0.3%</w:t>
      </w:r>
      <w:r w:rsidR="003D2290">
        <w:t xml:space="preserve"> versus </w:t>
      </w:r>
      <w:r w:rsidR="007C7C62">
        <w:t xml:space="preserve">n = </w:t>
      </w:r>
      <w:r>
        <w:t>1, 0.2%); rheumatoid arthritis (</w:t>
      </w:r>
      <w:r w:rsidR="007C7C62">
        <w:t xml:space="preserve">n = </w:t>
      </w:r>
      <w:r>
        <w:t>2, 0.3%</w:t>
      </w:r>
      <w:r w:rsidR="003D2290">
        <w:t xml:space="preserve"> versus </w:t>
      </w:r>
      <w:r>
        <w:t>0%); acute kidney injury (</w:t>
      </w:r>
      <w:r w:rsidR="007C7C62">
        <w:t xml:space="preserve">n = </w:t>
      </w:r>
      <w:r>
        <w:t>2, 0.3%</w:t>
      </w:r>
      <w:r w:rsidR="003D2290">
        <w:t xml:space="preserve"> versus </w:t>
      </w:r>
      <w:r w:rsidR="007C7C62">
        <w:t xml:space="preserve">n = </w:t>
      </w:r>
      <w:r>
        <w:t>1, 0.2%); and chronic obstructive pulmonary disease (</w:t>
      </w:r>
      <w:r w:rsidR="007C7C62">
        <w:t xml:space="preserve">n = </w:t>
      </w:r>
      <w:r>
        <w:t>1, 0.2%</w:t>
      </w:r>
      <w:r w:rsidR="003D2290">
        <w:t xml:space="preserve"> versus </w:t>
      </w:r>
      <w:r w:rsidR="007C7C62">
        <w:t xml:space="preserve">n = </w:t>
      </w:r>
      <w:r>
        <w:t>2, 0.3%).</w:t>
      </w:r>
    </w:p>
    <w:p w:rsidR="00AA6B20" w:rsidRDefault="002928AB" w:rsidP="002928AB">
      <w:r>
        <w:t xml:space="preserve">TEAEs leading to permanent treatment discontinuation reported in </w:t>
      </w:r>
      <w:r w:rsidR="00DD5BCE">
        <w:t>≥</w:t>
      </w:r>
      <w:r w:rsidR="007C7C62">
        <w:t xml:space="preserve"> </w:t>
      </w:r>
      <w:r>
        <w:t>2 patients in either the sarilumab 200 mg q2w group or the sarilumab 150 mg q2w group, respectively, in descending order of frequency in the 200 mg q2w group were: neutro</w:t>
      </w:r>
      <w:r w:rsidR="001E2D44">
        <w:t>paenia</w:t>
      </w:r>
      <w:r>
        <w:t xml:space="preserve"> (</w:t>
      </w:r>
      <w:r w:rsidR="007C7C62">
        <w:t xml:space="preserve">n = </w:t>
      </w:r>
      <w:r>
        <w:t>13, 2.0%</w:t>
      </w:r>
      <w:r w:rsidR="003D2290">
        <w:t xml:space="preserve"> versus </w:t>
      </w:r>
      <w:r w:rsidR="007C7C62">
        <w:t xml:space="preserve">n = </w:t>
      </w:r>
      <w:r>
        <w:t>15, 2.3%); ALT increased (</w:t>
      </w:r>
      <w:r w:rsidR="007C7C62">
        <w:t xml:space="preserve">n = </w:t>
      </w:r>
      <w:r>
        <w:t>9, 1.4%</w:t>
      </w:r>
      <w:r w:rsidR="003D2290">
        <w:t xml:space="preserve"> versus </w:t>
      </w:r>
      <w:r w:rsidR="007C7C62">
        <w:t xml:space="preserve">n = </w:t>
      </w:r>
      <w:r>
        <w:t>11, 1.7%); herpes zoster (</w:t>
      </w:r>
      <w:r w:rsidR="007C7C62">
        <w:t xml:space="preserve">n = </w:t>
      </w:r>
      <w:r>
        <w:t>5, 0.8%</w:t>
      </w:r>
      <w:r w:rsidR="003D2290">
        <w:t xml:space="preserve"> versus </w:t>
      </w:r>
      <w:r w:rsidR="007C7C62">
        <w:t xml:space="preserve">n = </w:t>
      </w:r>
      <w:r>
        <w:t>3, 0.5%); transaminases increased (</w:t>
      </w:r>
      <w:r w:rsidR="007C7C62">
        <w:t xml:space="preserve">n = </w:t>
      </w:r>
      <w:r>
        <w:t>4, 0.6%</w:t>
      </w:r>
      <w:r w:rsidR="003D2290">
        <w:t xml:space="preserve"> versus </w:t>
      </w:r>
      <w:r w:rsidR="007C7C62">
        <w:t xml:space="preserve">n = </w:t>
      </w:r>
      <w:r>
        <w:t>2, 0.3%); thrombocyto</w:t>
      </w:r>
      <w:r w:rsidR="001E2D44">
        <w:t>paenia</w:t>
      </w:r>
      <w:r>
        <w:t xml:space="preserve"> (</w:t>
      </w:r>
      <w:r w:rsidR="007C7C62">
        <w:t xml:space="preserve">n = </w:t>
      </w:r>
      <w:r>
        <w:t>3, 0.5%</w:t>
      </w:r>
      <w:r w:rsidR="003D2290">
        <w:t xml:space="preserve"> versus </w:t>
      </w:r>
      <w:r w:rsidR="007C7C62">
        <w:t xml:space="preserve">n = </w:t>
      </w:r>
      <w:r>
        <w:t>1, 0.2%); leuko</w:t>
      </w:r>
      <w:r w:rsidR="001E2D44">
        <w:t>paenia</w:t>
      </w:r>
      <w:r>
        <w:t xml:space="preserve"> (</w:t>
      </w:r>
      <w:r w:rsidR="007C7C62">
        <w:t xml:space="preserve">n = </w:t>
      </w:r>
      <w:r>
        <w:t>2, 0.3%</w:t>
      </w:r>
      <w:r w:rsidR="003D2290">
        <w:t xml:space="preserve"> versus </w:t>
      </w:r>
      <w:r w:rsidR="007C7C62">
        <w:t xml:space="preserve">n = </w:t>
      </w:r>
      <w:r>
        <w:t>0, 0%); cellulitis (</w:t>
      </w:r>
      <w:r w:rsidR="007C7C62">
        <w:t xml:space="preserve">n = </w:t>
      </w:r>
      <w:r>
        <w:t>2, 0.3%</w:t>
      </w:r>
      <w:r w:rsidR="003D2290">
        <w:t xml:space="preserve"> versus </w:t>
      </w:r>
      <w:r w:rsidR="007C7C62">
        <w:t xml:space="preserve">n = </w:t>
      </w:r>
      <w:r>
        <w:t xml:space="preserve">2, 0.3%); pneumonia (0.3%, </w:t>
      </w:r>
      <w:r w:rsidR="007C7C62">
        <w:t xml:space="preserve">n = </w:t>
      </w:r>
      <w:r>
        <w:t>2</w:t>
      </w:r>
      <w:r w:rsidR="003D2290">
        <w:t xml:space="preserve"> versus </w:t>
      </w:r>
      <w:r w:rsidR="007C7C62">
        <w:t xml:space="preserve">n = </w:t>
      </w:r>
      <w:r>
        <w:t>2, 0.3%); depression (</w:t>
      </w:r>
      <w:r w:rsidR="007C7C62">
        <w:t xml:space="preserve">n = </w:t>
      </w:r>
      <w:r>
        <w:t>2, 0.3%</w:t>
      </w:r>
      <w:r w:rsidR="003D2290">
        <w:t xml:space="preserve"> versus </w:t>
      </w:r>
      <w:r w:rsidR="007C7C62">
        <w:t xml:space="preserve">n = </w:t>
      </w:r>
      <w:r>
        <w:t>0, 0%); rash erythematous (</w:t>
      </w:r>
      <w:r w:rsidR="007C7C62">
        <w:t xml:space="preserve">n = </w:t>
      </w:r>
      <w:r>
        <w:t>2, 0.3%</w:t>
      </w:r>
      <w:r w:rsidR="003D2290">
        <w:t xml:space="preserve"> versus </w:t>
      </w:r>
      <w:r w:rsidR="007C7C62">
        <w:t xml:space="preserve">n = </w:t>
      </w:r>
      <w:r>
        <w:t>1, 0.3%); rash generalised (</w:t>
      </w:r>
      <w:r w:rsidR="007C7C62">
        <w:t xml:space="preserve">n = </w:t>
      </w:r>
      <w:r>
        <w:t>2, 0.3%</w:t>
      </w:r>
      <w:r w:rsidR="003D2290">
        <w:t xml:space="preserve"> versus </w:t>
      </w:r>
      <w:r w:rsidR="007C7C62">
        <w:t xml:space="preserve">n = </w:t>
      </w:r>
      <w:r>
        <w:t>1, 0.2%); RA (</w:t>
      </w:r>
      <w:r w:rsidR="007C7C62">
        <w:t xml:space="preserve">n = </w:t>
      </w:r>
      <w:r>
        <w:t>2, 0.3%</w:t>
      </w:r>
      <w:r w:rsidR="003D2290">
        <w:t xml:space="preserve"> versus </w:t>
      </w:r>
      <w:r w:rsidR="007C7C62">
        <w:t xml:space="preserve">n = </w:t>
      </w:r>
      <w:r>
        <w:t>0, 0%); and oral herpes (</w:t>
      </w:r>
      <w:r w:rsidR="007C7C62">
        <w:t xml:space="preserve">n = </w:t>
      </w:r>
      <w:r>
        <w:t>1, 0.2%</w:t>
      </w:r>
      <w:r w:rsidR="003D2290">
        <w:t xml:space="preserve"> versus </w:t>
      </w:r>
      <w:r w:rsidR="007C7C62">
        <w:t xml:space="preserve">n = </w:t>
      </w:r>
      <w:r>
        <w:t>2, 0.3%).</w:t>
      </w:r>
    </w:p>
    <w:p w:rsidR="00AA6B20" w:rsidRDefault="002928AB" w:rsidP="002928AB">
      <w:r>
        <w:t xml:space="preserve">The AESI profiles for the two sarilumab + DMARD treatment groups and the placebo group for the Pool 1 population are summarised below in Table </w:t>
      </w:r>
      <w:r w:rsidR="00D75C1B">
        <w:t>28</w:t>
      </w:r>
      <w:r>
        <w:t xml:space="preserve">. The main difference between the two treatment groups related to the higher incidence of </w:t>
      </w:r>
      <w:r w:rsidR="003A36D9">
        <w:t xml:space="preserve">leukopaenia </w:t>
      </w:r>
      <w:r>
        <w:t xml:space="preserve">(SMQ) in the sarilumab 200 mg q2w + DMARD group compared with the sarilumab 150 mg </w:t>
      </w:r>
      <w:r w:rsidR="006711A8">
        <w:t xml:space="preserve">q2w </w:t>
      </w:r>
      <w:r>
        <w:t>+ DMARD group. The incidence of infections, hepatic disorders, hypersensitivity reactions, injection site reactions and thrombocyto</w:t>
      </w:r>
      <w:r w:rsidR="001E2D44">
        <w:t>paenia</w:t>
      </w:r>
      <w:r>
        <w:t xml:space="preserve"> was similar in the two sarilumab treatment groups, with a small numerical increase in the higher dose group compared with the lower dose group.</w:t>
      </w:r>
    </w:p>
    <w:p w:rsidR="001A7C72" w:rsidRDefault="002928AB" w:rsidP="001A7C72">
      <w:pPr>
        <w:pStyle w:val="Tabletitle0"/>
      </w:pPr>
      <w:bookmarkStart w:id="163" w:name="_Toc514687842"/>
      <w:r>
        <w:lastRenderedPageBreak/>
        <w:t xml:space="preserve">Table </w:t>
      </w:r>
      <w:r w:rsidR="00D75C1B">
        <w:t>28</w:t>
      </w:r>
      <w:r>
        <w:t xml:space="preserve">: </w:t>
      </w:r>
      <w:r w:rsidRPr="00555154">
        <w:t xml:space="preserve">Pool 1 Adverse events of special interest </w:t>
      </w:r>
      <w:r>
        <w:t xml:space="preserve">(AESI) </w:t>
      </w:r>
      <w:r w:rsidRPr="00555154">
        <w:t>in the sarilumab + DMARD groups and the pla</w:t>
      </w:r>
      <w:r>
        <w:t xml:space="preserve">cebo group, incidence rates for patients in the treatment group and number of events (per 100 </w:t>
      </w:r>
      <w:r w:rsidR="00A6301B">
        <w:t>PY</w:t>
      </w:r>
      <w:r>
        <w:t>)</w:t>
      </w:r>
      <w:bookmarkEnd w:id="163"/>
    </w:p>
    <w:p w:rsidR="00AA6B20" w:rsidRDefault="001A7C72" w:rsidP="006711A8">
      <w:r w:rsidRPr="006711A8">
        <w:rPr>
          <w:noProof/>
          <w:lang w:eastAsia="en-AU"/>
        </w:rPr>
        <w:drawing>
          <wp:inline distT="0" distB="0" distL="0" distR="0" wp14:anchorId="70044918" wp14:editId="6F7509B0">
            <wp:extent cx="5244376" cy="2845613"/>
            <wp:effectExtent l="0" t="0" r="0" b="0"/>
            <wp:docPr id="28" name="Picture 28" descr="Pool 1 Adverse events of special interest (AESI) in the sarilumab + DMARD groups and the placebo group, incidence rates for patients in the treatment group and number of events (per 100 patient-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extLst>
                        <a:ext uri="{BEBA8EAE-BF5A-486C-A8C5-ECC9F3942E4B}">
                          <a14:imgProps xmlns:a14="http://schemas.microsoft.com/office/drawing/2010/main">
                            <a14:imgLayer r:embed="rId55">
                              <a14:imgEffect>
                                <a14:sharpenSoften amount="50000"/>
                              </a14:imgEffect>
                              <a14:imgEffect>
                                <a14:brightnessContrast contrast="-40000"/>
                              </a14:imgEffect>
                            </a14:imgLayer>
                          </a14:imgProps>
                        </a:ext>
                      </a:extLst>
                    </a:blip>
                    <a:srcRect l="1453"/>
                    <a:stretch/>
                  </pic:blipFill>
                  <pic:spPr bwMode="auto">
                    <a:xfrm>
                      <a:off x="0" y="0"/>
                      <a:ext cx="5252131" cy="2849821"/>
                    </a:xfrm>
                    <a:prstGeom prst="rect">
                      <a:avLst/>
                    </a:prstGeom>
                    <a:ln>
                      <a:noFill/>
                    </a:ln>
                    <a:extLst>
                      <a:ext uri="{53640926-AAD7-44D8-BBD7-CCE9431645EC}">
                        <a14:shadowObscured xmlns:a14="http://schemas.microsoft.com/office/drawing/2010/main"/>
                      </a:ext>
                    </a:extLst>
                  </pic:spPr>
                </pic:pic>
              </a:graphicData>
            </a:graphic>
          </wp:inline>
        </w:drawing>
      </w:r>
    </w:p>
    <w:p w:rsidR="002928AB" w:rsidRPr="00862D66" w:rsidRDefault="002928AB" w:rsidP="00862D66">
      <w:pPr>
        <w:pStyle w:val="TableDescription"/>
      </w:pPr>
      <w:r w:rsidRPr="00862D66">
        <w:t xml:space="preserve">AE = Adverse event; AESI = Adverse event of special interest; NMSC = non-melanoma skin cancer. </w:t>
      </w:r>
      <w:proofErr w:type="gramStart"/>
      <w:r w:rsidRPr="00862D66">
        <w:t>n</w:t>
      </w:r>
      <w:proofErr w:type="gramEnd"/>
      <w:r w:rsidRPr="00862D66">
        <w:t xml:space="preserve"> (%) = number and percentage of patients with at least one AESI. MEDDRA 18.1 n (%) = number and percentage of patients with at least one AESI. </w:t>
      </w:r>
      <w:proofErr w:type="spellStart"/>
      <w:r w:rsidR="00F549B4" w:rsidRPr="00862D66">
        <w:t>nE</w:t>
      </w:r>
      <w:proofErr w:type="spellEnd"/>
      <w:r w:rsidR="00F549B4" w:rsidRPr="00862D66">
        <w:t xml:space="preserve"> (</w:t>
      </w:r>
      <w:proofErr w:type="spellStart"/>
      <w:r w:rsidRPr="00862D66">
        <w:t>nE</w:t>
      </w:r>
      <w:proofErr w:type="spellEnd"/>
      <w:r w:rsidRPr="00862D66">
        <w:t xml:space="preserve"> /100 PY) = number of events and number of events per 100 </w:t>
      </w:r>
      <w:r w:rsidR="00A6301B">
        <w:t>PY</w:t>
      </w:r>
      <w:r w:rsidRPr="00862D66">
        <w:t xml:space="preserve">. PY for a treatment group is the total treatment duration of the treatment </w:t>
      </w:r>
      <w:r w:rsidR="00F549B4" w:rsidRPr="00862D66">
        <w:t>group. This</w:t>
      </w:r>
      <w:r w:rsidRPr="00862D66">
        <w:t xml:space="preserve"> AESI table is based on </w:t>
      </w:r>
      <w:proofErr w:type="spellStart"/>
      <w:r w:rsidRPr="00862D66">
        <w:t>MedDRA</w:t>
      </w:r>
      <w:proofErr w:type="spellEnd"/>
      <w:r w:rsidRPr="00862D66">
        <w:t xml:space="preserve"> SMQ or company defined search criteria. a = Cases will be medically reviewed to identify cases of GI perforation.</w:t>
      </w:r>
    </w:p>
    <w:p w:rsidR="00AA6B20" w:rsidRDefault="002928AB" w:rsidP="002928AB">
      <w:pPr>
        <w:autoSpaceDE w:val="0"/>
        <w:autoSpaceDN w:val="0"/>
        <w:adjustRightInd w:val="0"/>
        <w:rPr>
          <w:rFonts w:asciiTheme="minorHAnsi" w:hAnsiTheme="minorHAnsi"/>
          <w:lang w:val="en-US"/>
        </w:rPr>
      </w:pPr>
      <w:r w:rsidRPr="00F14011">
        <w:rPr>
          <w:rFonts w:asciiTheme="minorHAnsi" w:hAnsiTheme="minorHAnsi"/>
          <w:lang w:val="en-US"/>
        </w:rPr>
        <w:t>Review of the safety data for the adverse events of parti</w:t>
      </w:r>
      <w:r>
        <w:rPr>
          <w:rFonts w:asciiTheme="minorHAnsi" w:hAnsiTheme="minorHAnsi"/>
          <w:lang w:val="en-US"/>
        </w:rPr>
        <w:t>cular significance (neutro</w:t>
      </w:r>
      <w:r w:rsidR="001E2D44">
        <w:rPr>
          <w:rFonts w:asciiTheme="minorHAnsi" w:hAnsiTheme="minorHAnsi"/>
          <w:lang w:val="en-US"/>
        </w:rPr>
        <w:t>paenia</w:t>
      </w:r>
      <w:r w:rsidRPr="00F14011">
        <w:rPr>
          <w:rFonts w:asciiTheme="minorHAnsi" w:hAnsiTheme="minorHAnsi"/>
          <w:lang w:val="en-US"/>
        </w:rPr>
        <w:t>, thrombocyto</w:t>
      </w:r>
      <w:r w:rsidR="001E2D44">
        <w:rPr>
          <w:rFonts w:asciiTheme="minorHAnsi" w:hAnsiTheme="minorHAnsi"/>
          <w:lang w:val="en-US"/>
        </w:rPr>
        <w:t>paenia</w:t>
      </w:r>
      <w:r w:rsidRPr="00F14011">
        <w:rPr>
          <w:rFonts w:asciiTheme="minorHAnsi" w:hAnsiTheme="minorHAnsi"/>
          <w:lang w:val="en-US"/>
        </w:rPr>
        <w:t xml:space="preserve"> and ALT increase</w:t>
      </w:r>
      <w:r>
        <w:rPr>
          <w:rFonts w:asciiTheme="minorHAnsi" w:hAnsiTheme="minorHAnsi"/>
          <w:lang w:val="en-US"/>
        </w:rPr>
        <w:t>)</w:t>
      </w:r>
      <w:r w:rsidRPr="00F14011">
        <w:rPr>
          <w:rFonts w:asciiTheme="minorHAnsi" w:hAnsiTheme="minorHAnsi"/>
          <w:lang w:val="en-US"/>
        </w:rPr>
        <w:t>, which govern the decision to reduce the initial sarilumab 200 mg q2w dose to 150 mg q2w is presented below.</w:t>
      </w:r>
    </w:p>
    <w:p w:rsidR="002928AB" w:rsidRPr="00F14011" w:rsidRDefault="002928AB" w:rsidP="00862D66">
      <w:pPr>
        <w:pStyle w:val="Heading6"/>
      </w:pPr>
      <w:r w:rsidRPr="00F14011">
        <w:t>Leuko</w:t>
      </w:r>
      <w:r w:rsidR="001E2D44">
        <w:t>paenia</w:t>
      </w:r>
    </w:p>
    <w:p w:rsidR="00AA6B20" w:rsidRDefault="002928AB" w:rsidP="002928AB">
      <w:pPr>
        <w:widowControl w:val="0"/>
        <w:autoSpaceDE w:val="0"/>
        <w:autoSpaceDN w:val="0"/>
        <w:adjustRightInd w:val="0"/>
        <w:rPr>
          <w:rFonts w:asciiTheme="minorHAnsi" w:hAnsiTheme="minorHAnsi"/>
          <w:lang w:val="en-US"/>
        </w:rPr>
      </w:pPr>
      <w:r w:rsidRPr="00121F3F">
        <w:rPr>
          <w:rFonts w:asciiTheme="minorHAnsi" w:hAnsiTheme="minorHAnsi"/>
          <w:lang w:val="en-US"/>
        </w:rPr>
        <w:t xml:space="preserve">The </w:t>
      </w:r>
      <w:proofErr w:type="spellStart"/>
      <w:r w:rsidRPr="00121F3F">
        <w:rPr>
          <w:rFonts w:asciiTheme="minorHAnsi" w:hAnsiTheme="minorHAnsi"/>
          <w:lang w:val="en-US"/>
        </w:rPr>
        <w:t>MedDRA</w:t>
      </w:r>
      <w:proofErr w:type="spellEnd"/>
      <w:r w:rsidRPr="00121F3F">
        <w:rPr>
          <w:rFonts w:asciiTheme="minorHAnsi" w:hAnsiTheme="minorHAnsi"/>
          <w:lang w:val="en-US"/>
        </w:rPr>
        <w:t xml:space="preserve"> SMQ </w:t>
      </w:r>
      <w:proofErr w:type="spellStart"/>
      <w:r w:rsidRPr="00121F3F">
        <w:rPr>
          <w:rFonts w:asciiTheme="minorHAnsi" w:hAnsiTheme="minorHAnsi"/>
          <w:lang w:val="en-US"/>
        </w:rPr>
        <w:t>haematopoietic</w:t>
      </w:r>
      <w:proofErr w:type="spellEnd"/>
      <w:r w:rsidRPr="00121F3F">
        <w:rPr>
          <w:rFonts w:asciiTheme="minorHAnsi" w:hAnsiTheme="minorHAnsi"/>
          <w:lang w:val="en-US"/>
        </w:rPr>
        <w:t xml:space="preserve"> </w:t>
      </w:r>
      <w:proofErr w:type="spellStart"/>
      <w:r w:rsidRPr="00121F3F">
        <w:rPr>
          <w:rFonts w:asciiTheme="minorHAnsi" w:hAnsiTheme="minorHAnsi"/>
          <w:lang w:val="en-US"/>
        </w:rPr>
        <w:t>leuko</w:t>
      </w:r>
      <w:r w:rsidR="001E2D44">
        <w:rPr>
          <w:rFonts w:asciiTheme="minorHAnsi" w:hAnsiTheme="minorHAnsi"/>
          <w:lang w:val="en-US"/>
        </w:rPr>
        <w:t>paenia</w:t>
      </w:r>
      <w:proofErr w:type="spellEnd"/>
      <w:r w:rsidRPr="00121F3F">
        <w:rPr>
          <w:rFonts w:asciiTheme="minorHAnsi" w:hAnsiTheme="minorHAnsi"/>
          <w:lang w:val="en-US"/>
        </w:rPr>
        <w:t xml:space="preserve"> </w:t>
      </w:r>
      <w:r>
        <w:rPr>
          <w:rFonts w:asciiTheme="minorHAnsi" w:hAnsiTheme="minorHAnsi"/>
          <w:lang w:val="en-US"/>
        </w:rPr>
        <w:t>(</w:t>
      </w:r>
      <w:r w:rsidR="003A36D9">
        <w:rPr>
          <w:rFonts w:asciiTheme="minorHAnsi" w:hAnsiTheme="minorHAnsi"/>
          <w:lang w:val="en-US"/>
        </w:rPr>
        <w:t>leu</w:t>
      </w:r>
      <w:r w:rsidR="003A36D9" w:rsidRPr="00121F3F">
        <w:rPr>
          <w:rFonts w:asciiTheme="minorHAnsi" w:hAnsiTheme="minorHAnsi"/>
          <w:lang w:val="en-US"/>
        </w:rPr>
        <w:t>ko</w:t>
      </w:r>
      <w:r w:rsidR="003A36D9">
        <w:rPr>
          <w:rFonts w:asciiTheme="minorHAnsi" w:hAnsiTheme="minorHAnsi"/>
          <w:lang w:val="en-US"/>
        </w:rPr>
        <w:t>paenia</w:t>
      </w:r>
      <w:r w:rsidR="003A36D9" w:rsidRPr="00121F3F">
        <w:rPr>
          <w:rFonts w:asciiTheme="minorHAnsi" w:hAnsiTheme="minorHAnsi"/>
          <w:lang w:val="en-US"/>
        </w:rPr>
        <w:t xml:space="preserve"> </w:t>
      </w:r>
      <w:r w:rsidR="003A36D9">
        <w:rPr>
          <w:rFonts w:asciiTheme="minorHAnsi" w:hAnsiTheme="minorHAnsi"/>
          <w:lang w:val="en-US"/>
        </w:rPr>
        <w:t>(</w:t>
      </w:r>
      <w:r w:rsidRPr="00121F3F">
        <w:rPr>
          <w:rFonts w:asciiTheme="minorHAnsi" w:hAnsiTheme="minorHAnsi"/>
          <w:lang w:val="en-US"/>
        </w:rPr>
        <w:t>SMQ</w:t>
      </w:r>
      <w:r w:rsidR="003A36D9">
        <w:rPr>
          <w:rFonts w:asciiTheme="minorHAnsi" w:hAnsiTheme="minorHAnsi"/>
          <w:lang w:val="en-US"/>
        </w:rPr>
        <w:t>)</w:t>
      </w:r>
      <w:r w:rsidRPr="00121F3F">
        <w:rPr>
          <w:rFonts w:asciiTheme="minorHAnsi" w:hAnsiTheme="minorHAnsi"/>
          <w:lang w:val="en-US"/>
        </w:rPr>
        <w:t xml:space="preserve">) was used to identify investigator-reported </w:t>
      </w:r>
      <w:r>
        <w:rPr>
          <w:rFonts w:asciiTheme="minorHAnsi" w:hAnsiTheme="minorHAnsi"/>
          <w:lang w:val="en-US"/>
        </w:rPr>
        <w:t xml:space="preserve">relevant AE preferred terms. </w:t>
      </w:r>
      <w:r w:rsidRPr="00121F3F">
        <w:rPr>
          <w:rFonts w:asciiTheme="minorHAnsi" w:hAnsiTheme="minorHAnsi"/>
          <w:lang w:val="en-US"/>
        </w:rPr>
        <w:t xml:space="preserve">The incidence of </w:t>
      </w:r>
      <w:r w:rsidR="003A36D9">
        <w:rPr>
          <w:rFonts w:asciiTheme="minorHAnsi" w:hAnsiTheme="minorHAnsi"/>
          <w:lang w:val="en-US"/>
        </w:rPr>
        <w:t>l</w:t>
      </w:r>
      <w:r w:rsidR="003A36D9" w:rsidRPr="00121F3F">
        <w:rPr>
          <w:rFonts w:asciiTheme="minorHAnsi" w:hAnsiTheme="minorHAnsi"/>
          <w:lang w:val="en-US"/>
        </w:rPr>
        <w:t>euko</w:t>
      </w:r>
      <w:r w:rsidR="003A36D9">
        <w:rPr>
          <w:rFonts w:asciiTheme="minorHAnsi" w:hAnsiTheme="minorHAnsi"/>
          <w:lang w:val="en-US"/>
        </w:rPr>
        <w:t>paenia</w:t>
      </w:r>
      <w:r w:rsidR="003A36D9" w:rsidRPr="00121F3F">
        <w:rPr>
          <w:rFonts w:asciiTheme="minorHAnsi" w:hAnsiTheme="minorHAnsi"/>
          <w:lang w:val="en-US"/>
        </w:rPr>
        <w:t xml:space="preserve"> </w:t>
      </w:r>
      <w:r w:rsidRPr="00121F3F">
        <w:rPr>
          <w:rFonts w:asciiTheme="minorHAnsi" w:hAnsiTheme="minorHAnsi"/>
          <w:lang w:val="en-US"/>
        </w:rPr>
        <w:t>(SMQ) was 15.6% (</w:t>
      </w:r>
      <w:r w:rsidR="007C7C62">
        <w:rPr>
          <w:rFonts w:asciiTheme="minorHAnsi" w:hAnsiTheme="minorHAnsi"/>
          <w:lang w:val="en-US"/>
        </w:rPr>
        <w:t xml:space="preserve">n = </w:t>
      </w:r>
      <w:r w:rsidRPr="00121F3F">
        <w:rPr>
          <w:rFonts w:asciiTheme="minorHAnsi" w:hAnsiTheme="minorHAnsi"/>
          <w:lang w:val="en-US"/>
        </w:rPr>
        <w:t>103) in the sarilumab 200 mg q2w group</w:t>
      </w:r>
      <w:r>
        <w:rPr>
          <w:rFonts w:asciiTheme="minorHAnsi" w:hAnsiTheme="minorHAnsi"/>
          <w:lang w:val="en-US"/>
        </w:rPr>
        <w:t xml:space="preserve"> + DMARD</w:t>
      </w:r>
      <w:r w:rsidRPr="00121F3F">
        <w:rPr>
          <w:rFonts w:asciiTheme="minorHAnsi" w:hAnsiTheme="minorHAnsi"/>
          <w:lang w:val="en-US"/>
        </w:rPr>
        <w:t>, 11.2% (</w:t>
      </w:r>
      <w:r w:rsidR="007C7C62">
        <w:rPr>
          <w:rFonts w:asciiTheme="minorHAnsi" w:hAnsiTheme="minorHAnsi"/>
          <w:lang w:val="en-US"/>
        </w:rPr>
        <w:t xml:space="preserve">n = </w:t>
      </w:r>
      <w:r w:rsidRPr="00121F3F">
        <w:rPr>
          <w:rFonts w:asciiTheme="minorHAnsi" w:hAnsiTheme="minorHAnsi"/>
          <w:lang w:val="en-US"/>
        </w:rPr>
        <w:t>74) in the sarilumab 150 mg q2w</w:t>
      </w:r>
      <w:r>
        <w:rPr>
          <w:rFonts w:asciiTheme="minorHAnsi" w:hAnsiTheme="minorHAnsi"/>
          <w:lang w:val="en-US"/>
        </w:rPr>
        <w:t xml:space="preserve"> + DMARD </w:t>
      </w:r>
      <w:r w:rsidRPr="00121F3F">
        <w:rPr>
          <w:rFonts w:asciiTheme="minorHAnsi" w:hAnsiTheme="minorHAnsi"/>
          <w:lang w:val="en-US"/>
        </w:rPr>
        <w:t>group, and 0.8% (</w:t>
      </w:r>
      <w:r w:rsidR="007C7C62">
        <w:rPr>
          <w:rFonts w:asciiTheme="minorHAnsi" w:hAnsiTheme="minorHAnsi"/>
          <w:lang w:val="en-US"/>
        </w:rPr>
        <w:t xml:space="preserve">n = </w:t>
      </w:r>
      <w:r w:rsidRPr="00121F3F">
        <w:rPr>
          <w:rFonts w:asciiTheme="minorHAnsi" w:hAnsiTheme="minorHAnsi"/>
          <w:lang w:val="en-US"/>
        </w:rPr>
        <w:t>5</w:t>
      </w:r>
      <w:r>
        <w:rPr>
          <w:rFonts w:asciiTheme="minorHAnsi" w:hAnsiTheme="minorHAnsi"/>
          <w:lang w:val="en-US"/>
        </w:rPr>
        <w:t xml:space="preserve">) in the placebo </w:t>
      </w:r>
      <w:r w:rsidRPr="00121F3F">
        <w:rPr>
          <w:rFonts w:asciiTheme="minorHAnsi" w:hAnsiTheme="minorHAnsi"/>
          <w:lang w:val="en-US"/>
        </w:rPr>
        <w:t>group</w:t>
      </w:r>
      <w:r>
        <w:rPr>
          <w:rFonts w:asciiTheme="minorHAnsi" w:hAnsiTheme="minorHAnsi"/>
          <w:lang w:val="en-US"/>
        </w:rPr>
        <w:t>.</w:t>
      </w:r>
    </w:p>
    <w:p w:rsidR="00AA6B20" w:rsidRDefault="002928AB" w:rsidP="002928AB">
      <w:pPr>
        <w:widowControl w:val="0"/>
        <w:autoSpaceDE w:val="0"/>
        <w:autoSpaceDN w:val="0"/>
        <w:adjustRightInd w:val="0"/>
        <w:rPr>
          <w:rFonts w:asciiTheme="minorHAnsi" w:hAnsiTheme="minorHAnsi"/>
          <w:lang w:val="en-US"/>
        </w:rPr>
      </w:pPr>
      <w:r w:rsidRPr="00121F3F">
        <w:rPr>
          <w:rFonts w:asciiTheme="minorHAnsi" w:hAnsiTheme="minorHAnsi"/>
          <w:lang w:val="en-US"/>
        </w:rPr>
        <w:t>Leuko</w:t>
      </w:r>
      <w:r w:rsidR="001E2D44">
        <w:rPr>
          <w:rFonts w:asciiTheme="minorHAnsi" w:hAnsiTheme="minorHAnsi"/>
          <w:lang w:val="en-US"/>
        </w:rPr>
        <w:t>paenia</w:t>
      </w:r>
      <w:r w:rsidRPr="00121F3F">
        <w:rPr>
          <w:rFonts w:asciiTheme="minorHAnsi" w:hAnsiTheme="minorHAnsi"/>
          <w:lang w:val="en-US"/>
        </w:rPr>
        <w:t xml:space="preserve"> (SMQ) in both the sarilumab + DMARD dose groups was primarily driven by neutro</w:t>
      </w:r>
      <w:r w:rsidR="001E2D44">
        <w:rPr>
          <w:rFonts w:asciiTheme="minorHAnsi" w:hAnsiTheme="minorHAnsi"/>
          <w:lang w:val="en-US"/>
        </w:rPr>
        <w:t>paenia</w:t>
      </w:r>
      <w:r w:rsidRPr="00121F3F">
        <w:rPr>
          <w:rFonts w:asciiTheme="minorHAnsi" w:hAnsiTheme="minorHAnsi"/>
          <w:lang w:val="en-US"/>
        </w:rPr>
        <w:t>, which was reported in 14.2% (</w:t>
      </w:r>
      <w:r w:rsidR="007C7C62">
        <w:rPr>
          <w:rFonts w:asciiTheme="minorHAnsi" w:hAnsiTheme="minorHAnsi"/>
          <w:lang w:val="en-US"/>
        </w:rPr>
        <w:t xml:space="preserve">n = </w:t>
      </w:r>
      <w:r w:rsidRPr="00121F3F">
        <w:rPr>
          <w:rFonts w:asciiTheme="minorHAnsi" w:hAnsiTheme="minorHAnsi"/>
          <w:lang w:val="en-US"/>
        </w:rPr>
        <w:t>94) of patients in the 200 mg q2w group and 9.8% (</w:t>
      </w:r>
      <w:r w:rsidR="007C7C62">
        <w:rPr>
          <w:rFonts w:asciiTheme="minorHAnsi" w:hAnsiTheme="minorHAnsi"/>
          <w:lang w:val="en-US"/>
        </w:rPr>
        <w:t xml:space="preserve">n = </w:t>
      </w:r>
      <w:r w:rsidRPr="00121F3F">
        <w:rPr>
          <w:rFonts w:asciiTheme="minorHAnsi" w:hAnsiTheme="minorHAnsi"/>
          <w:lang w:val="en-US"/>
        </w:rPr>
        <w:t>65) of patients in the 150 mg q2w group. Leuko</w:t>
      </w:r>
      <w:r w:rsidR="001E2D44">
        <w:rPr>
          <w:rFonts w:asciiTheme="minorHAnsi" w:hAnsiTheme="minorHAnsi"/>
          <w:lang w:val="en-US"/>
        </w:rPr>
        <w:t>paenia</w:t>
      </w:r>
      <w:r w:rsidRPr="00121F3F">
        <w:rPr>
          <w:rFonts w:asciiTheme="minorHAnsi" w:hAnsiTheme="minorHAnsi"/>
          <w:lang w:val="en-US"/>
        </w:rPr>
        <w:t xml:space="preserve"> (SMQ) in the two sarilumab + DMARD treatment groups analysed by preferred terms are summarised below in Table </w:t>
      </w:r>
      <w:r w:rsidR="00862D66">
        <w:rPr>
          <w:rFonts w:asciiTheme="minorHAnsi" w:hAnsiTheme="minorHAnsi"/>
          <w:lang w:val="en-US"/>
        </w:rPr>
        <w:t>2</w:t>
      </w:r>
      <w:r w:rsidR="00D75C1B">
        <w:rPr>
          <w:rFonts w:asciiTheme="minorHAnsi" w:hAnsiTheme="minorHAnsi"/>
          <w:lang w:val="en-US"/>
        </w:rPr>
        <w:t>9</w:t>
      </w:r>
      <w:r w:rsidRPr="00121F3F">
        <w:rPr>
          <w:rFonts w:asciiTheme="minorHAnsi" w:hAnsiTheme="minorHAnsi"/>
          <w:lang w:val="en-US"/>
        </w:rPr>
        <w:t>.</w:t>
      </w:r>
    </w:p>
    <w:p w:rsidR="002928AB" w:rsidRPr="00121F3F" w:rsidRDefault="002928AB" w:rsidP="001A7C72">
      <w:pPr>
        <w:pStyle w:val="Tabletitle0"/>
        <w:rPr>
          <w:lang w:val="en-US"/>
        </w:rPr>
      </w:pPr>
      <w:bookmarkStart w:id="164" w:name="_Toc514687843"/>
      <w:r>
        <w:t xml:space="preserve">Table </w:t>
      </w:r>
      <w:r w:rsidR="00862D66">
        <w:t>2</w:t>
      </w:r>
      <w:r w:rsidR="00D75C1B">
        <w:t>9</w:t>
      </w:r>
      <w:r>
        <w:t xml:space="preserve">: </w:t>
      </w:r>
      <w:r w:rsidRPr="00121F3F">
        <w:rPr>
          <w:lang w:val="en-US"/>
        </w:rPr>
        <w:t xml:space="preserve">Pool 1 </w:t>
      </w:r>
      <w:r w:rsidR="003A36D9" w:rsidRPr="00121F3F">
        <w:rPr>
          <w:lang w:val="en-US"/>
        </w:rPr>
        <w:t>Leu</w:t>
      </w:r>
      <w:r w:rsidR="003A36D9">
        <w:rPr>
          <w:lang w:val="en-US"/>
        </w:rPr>
        <w:t>k</w:t>
      </w:r>
      <w:r w:rsidR="003A36D9" w:rsidRPr="00121F3F">
        <w:rPr>
          <w:lang w:val="en-US"/>
        </w:rPr>
        <w:t>o</w:t>
      </w:r>
      <w:r w:rsidR="003A36D9">
        <w:rPr>
          <w:lang w:val="en-US"/>
        </w:rPr>
        <w:t>paenia</w:t>
      </w:r>
      <w:r w:rsidR="003A36D9" w:rsidRPr="00121F3F">
        <w:rPr>
          <w:lang w:val="en-US"/>
        </w:rPr>
        <w:t xml:space="preserve"> </w:t>
      </w:r>
      <w:r w:rsidRPr="00121F3F">
        <w:rPr>
          <w:lang w:val="en-US"/>
        </w:rPr>
        <w:t>(SMQ) in the two sarilumab + DMARD groups over the entire TEAE period</w:t>
      </w:r>
      <w:bookmarkEnd w:id="164"/>
    </w:p>
    <w:tbl>
      <w:tblPr>
        <w:tblStyle w:val="TableTGAblue"/>
        <w:tblW w:w="8505" w:type="dxa"/>
        <w:tblInd w:w="250" w:type="dxa"/>
        <w:tblLook w:val="04A0" w:firstRow="1" w:lastRow="0" w:firstColumn="1" w:lastColumn="0" w:noHBand="0" w:noVBand="1"/>
      </w:tblPr>
      <w:tblGrid>
        <w:gridCol w:w="2835"/>
        <w:gridCol w:w="2552"/>
        <w:gridCol w:w="3118"/>
      </w:tblGrid>
      <w:tr w:rsidR="002928AB" w:rsidTr="00FE6E98">
        <w:trPr>
          <w:cnfStyle w:val="100000000000" w:firstRow="1" w:lastRow="0" w:firstColumn="0" w:lastColumn="0" w:oddVBand="0" w:evenVBand="0" w:oddHBand="0" w:evenHBand="0" w:firstRowFirstColumn="0" w:firstRowLastColumn="0" w:lastRowFirstColumn="0" w:lastRowLastColumn="0"/>
          <w:cantSplit/>
        </w:trPr>
        <w:tc>
          <w:tcPr>
            <w:tcW w:w="2835" w:type="dxa"/>
          </w:tcPr>
          <w:p w:rsidR="002928AB" w:rsidRPr="001A7C72" w:rsidRDefault="002928AB" w:rsidP="001A7C72">
            <w:pPr>
              <w:rPr>
                <w:sz w:val="20"/>
                <w:szCs w:val="20"/>
                <w:lang w:val="en-US"/>
              </w:rPr>
            </w:pPr>
            <w:r w:rsidRPr="001A7C72">
              <w:rPr>
                <w:sz w:val="20"/>
                <w:szCs w:val="20"/>
                <w:lang w:val="en-US"/>
              </w:rPr>
              <w:t xml:space="preserve">Preferred term </w:t>
            </w:r>
          </w:p>
        </w:tc>
        <w:tc>
          <w:tcPr>
            <w:tcW w:w="2552" w:type="dxa"/>
          </w:tcPr>
          <w:p w:rsidR="002928AB" w:rsidRPr="001A7C72" w:rsidRDefault="002928AB" w:rsidP="001A7C72">
            <w:pPr>
              <w:rPr>
                <w:sz w:val="20"/>
                <w:szCs w:val="20"/>
                <w:lang w:val="en-US"/>
              </w:rPr>
            </w:pPr>
            <w:r w:rsidRPr="001A7C72">
              <w:rPr>
                <w:sz w:val="20"/>
                <w:szCs w:val="20"/>
                <w:lang w:val="en-US"/>
              </w:rPr>
              <w:t>SAR 150 mg q2w + DMARD, n (%)</w:t>
            </w:r>
          </w:p>
        </w:tc>
        <w:tc>
          <w:tcPr>
            <w:tcW w:w="3118" w:type="dxa"/>
          </w:tcPr>
          <w:p w:rsidR="002928AB" w:rsidRPr="001A7C72" w:rsidRDefault="002928AB" w:rsidP="001A7C72">
            <w:pPr>
              <w:rPr>
                <w:sz w:val="20"/>
                <w:szCs w:val="20"/>
                <w:lang w:val="en-US"/>
              </w:rPr>
            </w:pPr>
            <w:r w:rsidRPr="001A7C72">
              <w:rPr>
                <w:sz w:val="20"/>
                <w:szCs w:val="20"/>
                <w:lang w:val="en-US"/>
              </w:rPr>
              <w:t>SAR 200 mg q2w + DMARD, n (%)</w:t>
            </w:r>
          </w:p>
        </w:tc>
      </w:tr>
      <w:tr w:rsidR="002928AB" w:rsidRPr="00D12FBA" w:rsidTr="00FE6E98">
        <w:tc>
          <w:tcPr>
            <w:tcW w:w="2835" w:type="dxa"/>
          </w:tcPr>
          <w:p w:rsidR="002928AB" w:rsidRPr="001A7C72" w:rsidRDefault="002928AB" w:rsidP="001A7C72">
            <w:pPr>
              <w:rPr>
                <w:sz w:val="20"/>
                <w:szCs w:val="20"/>
                <w:lang w:val="en-US"/>
              </w:rPr>
            </w:pPr>
            <w:r w:rsidRPr="001A7C72">
              <w:rPr>
                <w:sz w:val="20"/>
                <w:szCs w:val="20"/>
                <w:lang w:val="en-US"/>
              </w:rPr>
              <w:t>Leuko</w:t>
            </w:r>
            <w:r w:rsidR="001E2D44">
              <w:rPr>
                <w:sz w:val="20"/>
                <w:szCs w:val="20"/>
                <w:lang w:val="en-US"/>
              </w:rPr>
              <w:t>paenia</w:t>
            </w:r>
            <w:r w:rsidRPr="001A7C72">
              <w:rPr>
                <w:sz w:val="20"/>
                <w:szCs w:val="20"/>
                <w:lang w:val="en-US"/>
              </w:rPr>
              <w:t xml:space="preserve"> (SMQ) Total</w:t>
            </w:r>
          </w:p>
        </w:tc>
        <w:tc>
          <w:tcPr>
            <w:tcW w:w="2552" w:type="dxa"/>
          </w:tcPr>
          <w:p w:rsidR="002928AB" w:rsidRPr="001A7C72" w:rsidRDefault="002928AB" w:rsidP="001A7C72">
            <w:pPr>
              <w:rPr>
                <w:sz w:val="20"/>
                <w:szCs w:val="20"/>
                <w:lang w:val="en-US"/>
              </w:rPr>
            </w:pPr>
            <w:r w:rsidRPr="001A7C72">
              <w:rPr>
                <w:sz w:val="20"/>
                <w:szCs w:val="20"/>
                <w:lang w:val="en-US"/>
              </w:rPr>
              <w:t>74 (11.2%)</w:t>
            </w:r>
          </w:p>
        </w:tc>
        <w:tc>
          <w:tcPr>
            <w:tcW w:w="3118" w:type="dxa"/>
          </w:tcPr>
          <w:p w:rsidR="002928AB" w:rsidRPr="001A7C72" w:rsidRDefault="002928AB" w:rsidP="001A7C72">
            <w:pPr>
              <w:rPr>
                <w:sz w:val="20"/>
                <w:szCs w:val="20"/>
                <w:lang w:val="en-US"/>
              </w:rPr>
            </w:pPr>
            <w:r w:rsidRPr="001A7C72">
              <w:rPr>
                <w:sz w:val="20"/>
                <w:szCs w:val="20"/>
                <w:lang w:val="en-US"/>
              </w:rPr>
              <w:t>103 (15.6%)</w:t>
            </w:r>
          </w:p>
        </w:tc>
      </w:tr>
      <w:tr w:rsidR="002928AB" w:rsidTr="00FE6E98">
        <w:tc>
          <w:tcPr>
            <w:tcW w:w="2835" w:type="dxa"/>
          </w:tcPr>
          <w:p w:rsidR="002928AB" w:rsidRPr="001A7C72" w:rsidRDefault="002928AB" w:rsidP="001A7C72">
            <w:pPr>
              <w:rPr>
                <w:sz w:val="20"/>
                <w:szCs w:val="20"/>
                <w:lang w:val="en-US"/>
              </w:rPr>
            </w:pPr>
            <w:r w:rsidRPr="001A7C72">
              <w:rPr>
                <w:sz w:val="20"/>
                <w:szCs w:val="20"/>
                <w:lang w:val="en-US"/>
              </w:rPr>
              <w:t>Neutro</w:t>
            </w:r>
            <w:r w:rsidR="001E2D44">
              <w:rPr>
                <w:sz w:val="20"/>
                <w:szCs w:val="20"/>
                <w:lang w:val="en-US"/>
              </w:rPr>
              <w:t>paenia</w:t>
            </w:r>
          </w:p>
        </w:tc>
        <w:tc>
          <w:tcPr>
            <w:tcW w:w="2552" w:type="dxa"/>
          </w:tcPr>
          <w:p w:rsidR="002928AB" w:rsidRPr="001A7C72" w:rsidRDefault="002928AB" w:rsidP="001A7C72">
            <w:pPr>
              <w:rPr>
                <w:sz w:val="20"/>
                <w:szCs w:val="20"/>
                <w:lang w:val="en-US"/>
              </w:rPr>
            </w:pPr>
            <w:r w:rsidRPr="001A7C72">
              <w:rPr>
                <w:sz w:val="20"/>
                <w:szCs w:val="20"/>
                <w:lang w:val="en-US"/>
              </w:rPr>
              <w:t>65 (9.8%)</w:t>
            </w:r>
          </w:p>
        </w:tc>
        <w:tc>
          <w:tcPr>
            <w:tcW w:w="3118" w:type="dxa"/>
          </w:tcPr>
          <w:p w:rsidR="002928AB" w:rsidRPr="001A7C72" w:rsidRDefault="002928AB" w:rsidP="001A7C72">
            <w:pPr>
              <w:rPr>
                <w:sz w:val="20"/>
                <w:szCs w:val="20"/>
                <w:lang w:val="en-US"/>
              </w:rPr>
            </w:pPr>
            <w:r w:rsidRPr="001A7C72">
              <w:rPr>
                <w:sz w:val="20"/>
                <w:szCs w:val="20"/>
                <w:lang w:val="en-US"/>
              </w:rPr>
              <w:t>94 (14.2%)</w:t>
            </w:r>
          </w:p>
        </w:tc>
      </w:tr>
      <w:tr w:rsidR="002928AB" w:rsidTr="00FE6E98">
        <w:tc>
          <w:tcPr>
            <w:tcW w:w="2835" w:type="dxa"/>
          </w:tcPr>
          <w:p w:rsidR="002928AB" w:rsidRPr="001A7C72" w:rsidRDefault="002928AB" w:rsidP="001A7C72">
            <w:pPr>
              <w:rPr>
                <w:sz w:val="20"/>
                <w:szCs w:val="20"/>
                <w:lang w:val="en-US"/>
              </w:rPr>
            </w:pPr>
            <w:r w:rsidRPr="001A7C72">
              <w:rPr>
                <w:sz w:val="20"/>
                <w:szCs w:val="20"/>
                <w:lang w:val="en-US"/>
              </w:rPr>
              <w:t>Leuko</w:t>
            </w:r>
            <w:r w:rsidR="001E2D44">
              <w:rPr>
                <w:sz w:val="20"/>
                <w:szCs w:val="20"/>
                <w:lang w:val="en-US"/>
              </w:rPr>
              <w:t>paenia</w:t>
            </w:r>
          </w:p>
        </w:tc>
        <w:tc>
          <w:tcPr>
            <w:tcW w:w="2552" w:type="dxa"/>
          </w:tcPr>
          <w:p w:rsidR="002928AB" w:rsidRPr="001A7C72" w:rsidRDefault="002928AB" w:rsidP="001A7C72">
            <w:pPr>
              <w:rPr>
                <w:sz w:val="20"/>
                <w:szCs w:val="20"/>
                <w:lang w:val="en-US"/>
              </w:rPr>
            </w:pPr>
            <w:r w:rsidRPr="001A7C72">
              <w:rPr>
                <w:sz w:val="20"/>
                <w:szCs w:val="20"/>
                <w:lang w:val="en-US"/>
              </w:rPr>
              <w:t>11 (1.7%)</w:t>
            </w:r>
          </w:p>
        </w:tc>
        <w:tc>
          <w:tcPr>
            <w:tcW w:w="3118" w:type="dxa"/>
          </w:tcPr>
          <w:p w:rsidR="002928AB" w:rsidRPr="001A7C72" w:rsidRDefault="002928AB" w:rsidP="001A7C72">
            <w:pPr>
              <w:rPr>
                <w:sz w:val="20"/>
                <w:szCs w:val="20"/>
                <w:lang w:val="en-US"/>
              </w:rPr>
            </w:pPr>
            <w:r w:rsidRPr="001A7C72">
              <w:rPr>
                <w:sz w:val="20"/>
                <w:szCs w:val="20"/>
                <w:lang w:val="en-US"/>
              </w:rPr>
              <w:t>23 (3.5%)</w:t>
            </w:r>
          </w:p>
        </w:tc>
      </w:tr>
      <w:tr w:rsidR="002928AB" w:rsidTr="00FE6E98">
        <w:tc>
          <w:tcPr>
            <w:tcW w:w="2835" w:type="dxa"/>
          </w:tcPr>
          <w:p w:rsidR="002928AB" w:rsidRPr="001A7C72" w:rsidRDefault="002928AB" w:rsidP="001A7C72">
            <w:pPr>
              <w:rPr>
                <w:sz w:val="20"/>
                <w:szCs w:val="20"/>
                <w:lang w:val="en-US"/>
              </w:rPr>
            </w:pPr>
            <w:proofErr w:type="spellStart"/>
            <w:r w:rsidRPr="001A7C72">
              <w:rPr>
                <w:sz w:val="20"/>
                <w:szCs w:val="20"/>
                <w:lang w:val="en-US"/>
              </w:rPr>
              <w:lastRenderedPageBreak/>
              <w:t>Lympho</w:t>
            </w:r>
            <w:r w:rsidR="001E2D44">
              <w:rPr>
                <w:sz w:val="20"/>
                <w:szCs w:val="20"/>
                <w:lang w:val="en-US"/>
              </w:rPr>
              <w:t>paenia</w:t>
            </w:r>
            <w:proofErr w:type="spellEnd"/>
          </w:p>
        </w:tc>
        <w:tc>
          <w:tcPr>
            <w:tcW w:w="2552" w:type="dxa"/>
          </w:tcPr>
          <w:p w:rsidR="002928AB" w:rsidRPr="001A7C72" w:rsidRDefault="002928AB" w:rsidP="001A7C72">
            <w:pPr>
              <w:rPr>
                <w:sz w:val="20"/>
                <w:szCs w:val="20"/>
                <w:lang w:val="en-US"/>
              </w:rPr>
            </w:pPr>
            <w:r w:rsidRPr="001A7C72">
              <w:rPr>
                <w:sz w:val="20"/>
                <w:szCs w:val="20"/>
                <w:lang w:val="en-US"/>
              </w:rPr>
              <w:t>1 (0.2%)</w:t>
            </w:r>
          </w:p>
        </w:tc>
        <w:tc>
          <w:tcPr>
            <w:tcW w:w="3118" w:type="dxa"/>
          </w:tcPr>
          <w:p w:rsidR="002928AB" w:rsidRPr="001A7C72" w:rsidRDefault="002928AB" w:rsidP="001A7C72">
            <w:pPr>
              <w:rPr>
                <w:sz w:val="20"/>
                <w:szCs w:val="20"/>
                <w:lang w:val="en-US"/>
              </w:rPr>
            </w:pPr>
            <w:r w:rsidRPr="001A7C72">
              <w:rPr>
                <w:sz w:val="20"/>
                <w:szCs w:val="20"/>
                <w:lang w:val="en-US"/>
              </w:rPr>
              <w:t>4 (0.6%)</w:t>
            </w:r>
          </w:p>
        </w:tc>
      </w:tr>
      <w:tr w:rsidR="002928AB" w:rsidTr="00FE6E98">
        <w:tc>
          <w:tcPr>
            <w:tcW w:w="2835" w:type="dxa"/>
          </w:tcPr>
          <w:p w:rsidR="002928AB" w:rsidRPr="001A7C72" w:rsidRDefault="002928AB" w:rsidP="001A7C72">
            <w:pPr>
              <w:rPr>
                <w:sz w:val="20"/>
                <w:szCs w:val="20"/>
                <w:lang w:val="en-US"/>
              </w:rPr>
            </w:pPr>
            <w:r w:rsidRPr="001A7C72">
              <w:rPr>
                <w:sz w:val="20"/>
                <w:szCs w:val="20"/>
                <w:lang w:val="en-US"/>
              </w:rPr>
              <w:t>Neutrophil count decreased</w:t>
            </w:r>
          </w:p>
        </w:tc>
        <w:tc>
          <w:tcPr>
            <w:tcW w:w="2552" w:type="dxa"/>
          </w:tcPr>
          <w:p w:rsidR="002928AB" w:rsidRPr="001A7C72" w:rsidRDefault="002928AB" w:rsidP="001A7C72">
            <w:pPr>
              <w:rPr>
                <w:sz w:val="20"/>
                <w:szCs w:val="20"/>
                <w:lang w:val="en-US"/>
              </w:rPr>
            </w:pPr>
            <w:r w:rsidRPr="001A7C72">
              <w:rPr>
                <w:sz w:val="20"/>
                <w:szCs w:val="20"/>
                <w:lang w:val="en-US"/>
              </w:rPr>
              <w:t>6 (0.9%)</w:t>
            </w:r>
          </w:p>
        </w:tc>
        <w:tc>
          <w:tcPr>
            <w:tcW w:w="3118" w:type="dxa"/>
          </w:tcPr>
          <w:p w:rsidR="002928AB" w:rsidRPr="001A7C72" w:rsidRDefault="002928AB" w:rsidP="001A7C72">
            <w:pPr>
              <w:rPr>
                <w:sz w:val="20"/>
                <w:szCs w:val="20"/>
                <w:lang w:val="en-US"/>
              </w:rPr>
            </w:pPr>
            <w:r w:rsidRPr="001A7C72">
              <w:rPr>
                <w:sz w:val="20"/>
                <w:szCs w:val="20"/>
                <w:lang w:val="en-US"/>
              </w:rPr>
              <w:t>4 (0.6%)</w:t>
            </w:r>
          </w:p>
        </w:tc>
      </w:tr>
      <w:tr w:rsidR="002928AB" w:rsidTr="00FE6E98">
        <w:tc>
          <w:tcPr>
            <w:tcW w:w="2835" w:type="dxa"/>
          </w:tcPr>
          <w:p w:rsidR="002928AB" w:rsidRPr="001A7C72" w:rsidRDefault="002928AB" w:rsidP="001A7C72">
            <w:pPr>
              <w:rPr>
                <w:sz w:val="20"/>
                <w:szCs w:val="20"/>
                <w:lang w:val="en-US"/>
              </w:rPr>
            </w:pPr>
            <w:r w:rsidRPr="001A7C72">
              <w:rPr>
                <w:sz w:val="20"/>
                <w:szCs w:val="20"/>
                <w:lang w:val="en-US"/>
              </w:rPr>
              <w:t>White blood cell count decreased</w:t>
            </w:r>
          </w:p>
        </w:tc>
        <w:tc>
          <w:tcPr>
            <w:tcW w:w="2552" w:type="dxa"/>
          </w:tcPr>
          <w:p w:rsidR="002928AB" w:rsidRPr="001A7C72" w:rsidRDefault="002928AB" w:rsidP="001A7C72">
            <w:pPr>
              <w:rPr>
                <w:sz w:val="20"/>
                <w:szCs w:val="20"/>
                <w:lang w:val="en-US"/>
              </w:rPr>
            </w:pPr>
            <w:r w:rsidRPr="001A7C72">
              <w:rPr>
                <w:sz w:val="20"/>
                <w:szCs w:val="20"/>
                <w:lang w:val="en-US"/>
              </w:rPr>
              <w:t>3 (0.5%)</w:t>
            </w:r>
          </w:p>
        </w:tc>
        <w:tc>
          <w:tcPr>
            <w:tcW w:w="3118" w:type="dxa"/>
          </w:tcPr>
          <w:p w:rsidR="002928AB" w:rsidRPr="001A7C72" w:rsidRDefault="002928AB" w:rsidP="001A7C72">
            <w:pPr>
              <w:rPr>
                <w:sz w:val="20"/>
                <w:szCs w:val="20"/>
                <w:lang w:val="en-US"/>
              </w:rPr>
            </w:pPr>
            <w:r w:rsidRPr="001A7C72">
              <w:rPr>
                <w:sz w:val="20"/>
                <w:szCs w:val="20"/>
                <w:lang w:val="en-US"/>
              </w:rPr>
              <w:t>2 (0.3%)</w:t>
            </w:r>
          </w:p>
        </w:tc>
      </w:tr>
      <w:tr w:rsidR="002928AB" w:rsidTr="00FE6E98">
        <w:tc>
          <w:tcPr>
            <w:tcW w:w="2835" w:type="dxa"/>
          </w:tcPr>
          <w:p w:rsidR="002928AB" w:rsidRPr="001A7C72" w:rsidRDefault="002928AB" w:rsidP="001A7C72">
            <w:pPr>
              <w:rPr>
                <w:sz w:val="20"/>
                <w:szCs w:val="20"/>
                <w:lang w:val="en-US"/>
              </w:rPr>
            </w:pPr>
            <w:r w:rsidRPr="001A7C72">
              <w:rPr>
                <w:sz w:val="20"/>
                <w:szCs w:val="20"/>
                <w:lang w:val="en-US"/>
              </w:rPr>
              <w:t>Lymphocyte count decreased</w:t>
            </w:r>
          </w:p>
        </w:tc>
        <w:tc>
          <w:tcPr>
            <w:tcW w:w="2552" w:type="dxa"/>
          </w:tcPr>
          <w:p w:rsidR="002928AB" w:rsidRPr="001A7C72" w:rsidRDefault="002928AB" w:rsidP="001A7C72">
            <w:pPr>
              <w:rPr>
                <w:sz w:val="20"/>
                <w:szCs w:val="20"/>
                <w:lang w:val="en-US"/>
              </w:rPr>
            </w:pPr>
            <w:r w:rsidRPr="001A7C72">
              <w:rPr>
                <w:sz w:val="20"/>
                <w:szCs w:val="20"/>
                <w:lang w:val="en-US"/>
              </w:rPr>
              <w:t>1 (0.2%)</w:t>
            </w:r>
          </w:p>
        </w:tc>
        <w:tc>
          <w:tcPr>
            <w:tcW w:w="3118" w:type="dxa"/>
          </w:tcPr>
          <w:p w:rsidR="002928AB" w:rsidRPr="001A7C72" w:rsidRDefault="002928AB" w:rsidP="001A7C72">
            <w:pPr>
              <w:rPr>
                <w:sz w:val="20"/>
                <w:szCs w:val="20"/>
                <w:lang w:val="en-US"/>
              </w:rPr>
            </w:pPr>
            <w:r w:rsidRPr="001A7C72">
              <w:rPr>
                <w:sz w:val="20"/>
                <w:szCs w:val="20"/>
                <w:lang w:val="en-US"/>
              </w:rPr>
              <w:t xml:space="preserve">0 </w:t>
            </w:r>
          </w:p>
        </w:tc>
      </w:tr>
    </w:tbl>
    <w:p w:rsidR="002928AB" w:rsidRDefault="002928AB" w:rsidP="002928AB">
      <w:pPr>
        <w:widowControl w:val="0"/>
        <w:autoSpaceDE w:val="0"/>
        <w:autoSpaceDN w:val="0"/>
        <w:adjustRightInd w:val="0"/>
        <w:rPr>
          <w:rFonts w:asciiTheme="minorHAnsi" w:hAnsiTheme="minorHAnsi" w:cs="Times"/>
          <w:lang w:val="en-US"/>
        </w:rPr>
      </w:pPr>
      <w:r w:rsidRPr="00121F3F">
        <w:rPr>
          <w:rFonts w:asciiTheme="minorHAnsi" w:hAnsiTheme="minorHAnsi" w:cs="Times"/>
          <w:lang w:val="en-US"/>
        </w:rPr>
        <w:t>Leuko</w:t>
      </w:r>
      <w:r w:rsidR="001E2D44">
        <w:rPr>
          <w:rFonts w:asciiTheme="minorHAnsi" w:hAnsiTheme="minorHAnsi" w:cs="Times"/>
          <w:lang w:val="en-US"/>
        </w:rPr>
        <w:t>paenia</w:t>
      </w:r>
      <w:r w:rsidRPr="00121F3F">
        <w:rPr>
          <w:rFonts w:asciiTheme="minorHAnsi" w:hAnsiTheme="minorHAnsi" w:cs="Times"/>
          <w:lang w:val="en-US"/>
        </w:rPr>
        <w:t xml:space="preserve"> (SMQ) </w:t>
      </w:r>
      <w:r>
        <w:rPr>
          <w:rFonts w:asciiTheme="minorHAnsi" w:hAnsiTheme="minorHAnsi" w:cs="Times"/>
          <w:lang w:val="en-US"/>
        </w:rPr>
        <w:t xml:space="preserve">SAEs </w:t>
      </w:r>
      <w:r w:rsidRPr="00121F3F">
        <w:rPr>
          <w:rFonts w:asciiTheme="minorHAnsi" w:hAnsiTheme="minorHAnsi" w:cs="Times"/>
          <w:lang w:val="en-US"/>
        </w:rPr>
        <w:t>were reported in 7 (1.1%) patients in the sarilumab 200 mg q2w + DMARD</w:t>
      </w:r>
      <w:r>
        <w:rPr>
          <w:rFonts w:asciiTheme="minorHAnsi" w:hAnsiTheme="minorHAnsi" w:cs="Times"/>
          <w:lang w:val="en-US"/>
        </w:rPr>
        <w:t xml:space="preserve"> group and </w:t>
      </w:r>
      <w:r w:rsidRPr="00121F3F">
        <w:rPr>
          <w:rFonts w:asciiTheme="minorHAnsi" w:hAnsiTheme="minorHAnsi" w:cs="Times"/>
          <w:lang w:val="en-US"/>
        </w:rPr>
        <w:t>4 (0.6%) patients in the sarilu</w:t>
      </w:r>
      <w:r>
        <w:rPr>
          <w:rFonts w:asciiTheme="minorHAnsi" w:hAnsiTheme="minorHAnsi" w:cs="Times"/>
          <w:lang w:val="en-US"/>
        </w:rPr>
        <w:t>mab 150 mg q2w + DMARD group. Leuko</w:t>
      </w:r>
      <w:r w:rsidR="001E2D44">
        <w:rPr>
          <w:rFonts w:asciiTheme="minorHAnsi" w:hAnsiTheme="minorHAnsi" w:cs="Times"/>
          <w:lang w:val="en-US"/>
        </w:rPr>
        <w:t>paenia</w:t>
      </w:r>
      <w:r w:rsidRPr="00121F3F">
        <w:rPr>
          <w:rFonts w:asciiTheme="minorHAnsi" w:hAnsiTheme="minorHAnsi" w:cs="Times"/>
          <w:lang w:val="en-US"/>
        </w:rPr>
        <w:t xml:space="preserve"> (SMQ) leading to </w:t>
      </w:r>
      <w:r>
        <w:rPr>
          <w:rFonts w:asciiTheme="minorHAnsi" w:hAnsiTheme="minorHAnsi" w:cs="Times"/>
          <w:lang w:val="en-US"/>
        </w:rPr>
        <w:t xml:space="preserve">permanent treatment </w:t>
      </w:r>
      <w:r w:rsidRPr="00121F3F">
        <w:rPr>
          <w:rFonts w:asciiTheme="minorHAnsi" w:hAnsiTheme="minorHAnsi" w:cs="Times"/>
          <w:lang w:val="en-US"/>
        </w:rPr>
        <w:t xml:space="preserve">discontinuation was reported in the same proportion of patients in both treatment groups (2.3%, </w:t>
      </w:r>
      <w:r w:rsidR="007C7C62">
        <w:rPr>
          <w:rFonts w:asciiTheme="minorHAnsi" w:hAnsiTheme="minorHAnsi" w:cs="Times"/>
          <w:lang w:val="en-US"/>
        </w:rPr>
        <w:t xml:space="preserve">n = </w:t>
      </w:r>
      <w:r w:rsidRPr="00121F3F">
        <w:rPr>
          <w:rFonts w:asciiTheme="minorHAnsi" w:hAnsiTheme="minorHAnsi" w:cs="Times"/>
          <w:lang w:val="en-US"/>
        </w:rPr>
        <w:t>15)</w:t>
      </w:r>
      <w:r>
        <w:rPr>
          <w:rFonts w:asciiTheme="minorHAnsi" w:hAnsiTheme="minorHAnsi" w:cs="Times"/>
          <w:lang w:val="en-US"/>
        </w:rPr>
        <w:t xml:space="preserve">. </w:t>
      </w:r>
      <w:r w:rsidRPr="00121F3F">
        <w:rPr>
          <w:rFonts w:asciiTheme="minorHAnsi" w:hAnsiTheme="minorHAnsi" w:cs="Times"/>
          <w:lang w:val="en-US"/>
        </w:rPr>
        <w:t xml:space="preserve">There were no deaths due </w:t>
      </w:r>
      <w:r>
        <w:rPr>
          <w:rFonts w:asciiTheme="minorHAnsi" w:hAnsiTheme="minorHAnsi" w:cs="Times"/>
          <w:lang w:val="en-US"/>
        </w:rPr>
        <w:t>to l</w:t>
      </w:r>
      <w:r w:rsidRPr="00121F3F">
        <w:rPr>
          <w:rFonts w:asciiTheme="minorHAnsi" w:hAnsiTheme="minorHAnsi" w:cs="Times"/>
          <w:lang w:val="en-US"/>
        </w:rPr>
        <w:t>euko</w:t>
      </w:r>
      <w:r w:rsidR="001E2D44">
        <w:rPr>
          <w:rFonts w:asciiTheme="minorHAnsi" w:hAnsiTheme="minorHAnsi" w:cs="Times"/>
          <w:lang w:val="en-US"/>
        </w:rPr>
        <w:t>paenia</w:t>
      </w:r>
      <w:r w:rsidRPr="00121F3F">
        <w:rPr>
          <w:rFonts w:asciiTheme="minorHAnsi" w:hAnsiTheme="minorHAnsi" w:cs="Times"/>
          <w:lang w:val="en-US"/>
        </w:rPr>
        <w:t xml:space="preserve"> (SMQ) in eith</w:t>
      </w:r>
      <w:r>
        <w:rPr>
          <w:rFonts w:asciiTheme="minorHAnsi" w:hAnsiTheme="minorHAnsi" w:cs="Times"/>
          <w:lang w:val="en-US"/>
        </w:rPr>
        <w:t>er of the two sarilumab treatment groups.</w:t>
      </w:r>
    </w:p>
    <w:p w:rsidR="00AA6B20" w:rsidRDefault="002928AB" w:rsidP="002928AB">
      <w:pPr>
        <w:widowControl w:val="0"/>
        <w:autoSpaceDE w:val="0"/>
        <w:autoSpaceDN w:val="0"/>
        <w:adjustRightInd w:val="0"/>
        <w:rPr>
          <w:rFonts w:asciiTheme="minorHAnsi" w:hAnsiTheme="minorHAnsi" w:cs="Times"/>
          <w:lang w:val="en-US"/>
        </w:rPr>
      </w:pPr>
      <w:r>
        <w:rPr>
          <w:rFonts w:asciiTheme="minorHAnsi" w:hAnsiTheme="minorHAnsi" w:cs="Times"/>
          <w:lang w:val="en-US"/>
        </w:rPr>
        <w:t>N</w:t>
      </w:r>
      <w:r w:rsidRPr="00921E9B">
        <w:rPr>
          <w:rFonts w:asciiTheme="minorHAnsi" w:hAnsiTheme="minorHAnsi" w:cs="Times"/>
          <w:lang w:val="en-US"/>
        </w:rPr>
        <w:t>eutro</w:t>
      </w:r>
      <w:r w:rsidR="001E2D44">
        <w:rPr>
          <w:rFonts w:asciiTheme="minorHAnsi" w:hAnsiTheme="minorHAnsi" w:cs="Times"/>
          <w:lang w:val="en-US"/>
        </w:rPr>
        <w:t>paenia</w:t>
      </w:r>
      <w:r w:rsidRPr="00921E9B">
        <w:rPr>
          <w:rFonts w:asciiTheme="minorHAnsi" w:hAnsiTheme="minorHAnsi" w:cs="Times"/>
          <w:lang w:val="en-US"/>
        </w:rPr>
        <w:t xml:space="preserve"> </w:t>
      </w:r>
      <w:r>
        <w:rPr>
          <w:rFonts w:asciiTheme="minorHAnsi" w:hAnsiTheme="minorHAnsi" w:cs="Times"/>
          <w:lang w:val="en-US"/>
        </w:rPr>
        <w:t xml:space="preserve">(preferred term) </w:t>
      </w:r>
      <w:r w:rsidRPr="00921E9B">
        <w:rPr>
          <w:rFonts w:asciiTheme="minorHAnsi" w:hAnsiTheme="minorHAnsi" w:cs="Times"/>
          <w:lang w:val="en-US"/>
        </w:rPr>
        <w:t>occurred more frequently in patients in the sarilumab 200</w:t>
      </w:r>
      <w:r w:rsidR="003A36D9">
        <w:rPr>
          <w:rFonts w:asciiTheme="minorHAnsi" w:hAnsiTheme="minorHAnsi" w:cs="Times"/>
          <w:lang w:val="en-US"/>
        </w:rPr>
        <w:t> </w:t>
      </w:r>
      <w:r w:rsidRPr="00921E9B">
        <w:rPr>
          <w:rFonts w:asciiTheme="minorHAnsi" w:hAnsiTheme="minorHAnsi" w:cs="Times"/>
          <w:lang w:val="en-US"/>
        </w:rPr>
        <w:t>mg q2w + DMARD group than in patients in the sarilumab 150 mg q2w + DMARD group (14.</w:t>
      </w:r>
      <w:r>
        <w:rPr>
          <w:rFonts w:asciiTheme="minorHAnsi" w:hAnsiTheme="minorHAnsi" w:cs="Times"/>
          <w:lang w:val="en-US"/>
        </w:rPr>
        <w:t>2%</w:t>
      </w:r>
      <w:r w:rsidR="003D2290">
        <w:rPr>
          <w:rFonts w:asciiTheme="minorHAnsi" w:hAnsiTheme="minorHAnsi" w:cs="Times"/>
          <w:lang w:val="en-US"/>
        </w:rPr>
        <w:t xml:space="preserve"> versus </w:t>
      </w:r>
      <w:r>
        <w:rPr>
          <w:rFonts w:asciiTheme="minorHAnsi" w:hAnsiTheme="minorHAnsi" w:cs="Times"/>
          <w:lang w:val="en-US"/>
        </w:rPr>
        <w:t>9.8%, respectively). T</w:t>
      </w:r>
      <w:r w:rsidRPr="00921E9B">
        <w:rPr>
          <w:rFonts w:asciiTheme="minorHAnsi" w:hAnsiTheme="minorHAnsi" w:cs="Times"/>
          <w:lang w:val="en-US"/>
        </w:rPr>
        <w:t xml:space="preserve">he majority of </w:t>
      </w:r>
      <w:r w:rsidR="00B2047B">
        <w:rPr>
          <w:rFonts w:asciiTheme="minorHAnsi" w:hAnsiTheme="minorHAnsi" w:cs="Times"/>
          <w:lang w:val="en-US"/>
        </w:rPr>
        <w:t>the n</w:t>
      </w:r>
      <w:r w:rsidRPr="00921E9B">
        <w:rPr>
          <w:rFonts w:asciiTheme="minorHAnsi" w:hAnsiTheme="minorHAnsi" w:cs="Times"/>
          <w:lang w:val="en-US"/>
        </w:rPr>
        <w:t>eutro</w:t>
      </w:r>
      <w:r w:rsidR="001E2D44">
        <w:rPr>
          <w:rFonts w:asciiTheme="minorHAnsi" w:hAnsiTheme="minorHAnsi" w:cs="Times"/>
          <w:lang w:val="en-US"/>
        </w:rPr>
        <w:t>paenia</w:t>
      </w:r>
      <w:r w:rsidRPr="00921E9B">
        <w:rPr>
          <w:rFonts w:asciiTheme="minorHAnsi" w:hAnsiTheme="minorHAnsi" w:cs="Times"/>
          <w:lang w:val="en-US"/>
        </w:rPr>
        <w:t xml:space="preserve"> TEAEs in both treatment groups w</w:t>
      </w:r>
      <w:r w:rsidR="00B2047B">
        <w:rPr>
          <w:rFonts w:asciiTheme="minorHAnsi" w:hAnsiTheme="minorHAnsi" w:cs="Times"/>
          <w:lang w:val="en-US"/>
        </w:rPr>
        <w:t>as</w:t>
      </w:r>
      <w:r w:rsidRPr="00921E9B">
        <w:rPr>
          <w:rFonts w:asciiTheme="minorHAnsi" w:hAnsiTheme="minorHAnsi" w:cs="Times"/>
          <w:lang w:val="en-US"/>
        </w:rPr>
        <w:t xml:space="preserve"> not </w:t>
      </w:r>
      <w:r w:rsidR="00B2047B">
        <w:rPr>
          <w:rFonts w:asciiTheme="minorHAnsi" w:hAnsiTheme="minorHAnsi" w:cs="Times"/>
          <w:lang w:val="en-US"/>
        </w:rPr>
        <w:t xml:space="preserve">of a </w:t>
      </w:r>
      <w:r w:rsidRPr="00921E9B">
        <w:rPr>
          <w:rFonts w:asciiTheme="minorHAnsi" w:hAnsiTheme="minorHAnsi" w:cs="Times"/>
          <w:lang w:val="en-US"/>
        </w:rPr>
        <w:t>serious</w:t>
      </w:r>
      <w:r w:rsidR="00B2047B">
        <w:rPr>
          <w:rFonts w:asciiTheme="minorHAnsi" w:hAnsiTheme="minorHAnsi" w:cs="Times"/>
          <w:lang w:val="en-US"/>
        </w:rPr>
        <w:t xml:space="preserve"> nature</w:t>
      </w:r>
      <w:r w:rsidRPr="00921E9B">
        <w:rPr>
          <w:rFonts w:asciiTheme="minorHAnsi" w:hAnsiTheme="minorHAnsi" w:cs="Times"/>
          <w:lang w:val="en-US"/>
        </w:rPr>
        <w:t xml:space="preserve"> and did not result in perma</w:t>
      </w:r>
      <w:r>
        <w:rPr>
          <w:rFonts w:asciiTheme="minorHAnsi" w:hAnsiTheme="minorHAnsi" w:cs="Times"/>
          <w:lang w:val="en-US"/>
        </w:rPr>
        <w:t xml:space="preserve">nent treatment discontinuation. </w:t>
      </w:r>
      <w:r w:rsidRPr="00921E9B">
        <w:rPr>
          <w:rFonts w:asciiTheme="minorHAnsi" w:hAnsiTheme="minorHAnsi" w:cs="Times"/>
          <w:lang w:val="en-US"/>
        </w:rPr>
        <w:t xml:space="preserve">The incidence of </w:t>
      </w:r>
      <w:r>
        <w:rPr>
          <w:rFonts w:asciiTheme="minorHAnsi" w:hAnsiTheme="minorHAnsi" w:cs="Times"/>
          <w:lang w:val="en-US"/>
        </w:rPr>
        <w:t>neutro</w:t>
      </w:r>
      <w:r w:rsidR="001E2D44">
        <w:rPr>
          <w:rFonts w:asciiTheme="minorHAnsi" w:hAnsiTheme="minorHAnsi" w:cs="Times"/>
          <w:lang w:val="en-US"/>
        </w:rPr>
        <w:t>paenia</w:t>
      </w:r>
      <w:r>
        <w:rPr>
          <w:rFonts w:asciiTheme="minorHAnsi" w:hAnsiTheme="minorHAnsi" w:cs="Times"/>
          <w:lang w:val="en-US"/>
        </w:rPr>
        <w:t xml:space="preserve"> </w:t>
      </w:r>
      <w:r w:rsidRPr="00921E9B">
        <w:rPr>
          <w:rFonts w:asciiTheme="minorHAnsi" w:hAnsiTheme="minorHAnsi" w:cs="Times"/>
          <w:lang w:val="en-US"/>
        </w:rPr>
        <w:t>SAEs was similar in patients in the</w:t>
      </w:r>
      <w:r>
        <w:rPr>
          <w:rFonts w:asciiTheme="minorHAnsi" w:hAnsiTheme="minorHAnsi" w:cs="Times"/>
          <w:lang w:val="en-US"/>
        </w:rPr>
        <w:t xml:space="preserve"> two sarilumab + DMARD groups (0.8%, 200 mg</w:t>
      </w:r>
      <w:r w:rsidR="003D2290">
        <w:rPr>
          <w:rFonts w:asciiTheme="minorHAnsi" w:hAnsiTheme="minorHAnsi" w:cs="Times"/>
          <w:lang w:val="en-US"/>
        </w:rPr>
        <w:t xml:space="preserve"> versus </w:t>
      </w:r>
      <w:r w:rsidRPr="00921E9B">
        <w:rPr>
          <w:rFonts w:asciiTheme="minorHAnsi" w:hAnsiTheme="minorHAnsi" w:cs="Times"/>
          <w:lang w:val="en-US"/>
        </w:rPr>
        <w:t xml:space="preserve">0.6%, </w:t>
      </w:r>
      <w:r>
        <w:rPr>
          <w:rFonts w:asciiTheme="minorHAnsi" w:hAnsiTheme="minorHAnsi" w:cs="Times"/>
          <w:lang w:val="en-US"/>
        </w:rPr>
        <w:t xml:space="preserve">150 mg, </w:t>
      </w:r>
      <w:r w:rsidRPr="00921E9B">
        <w:rPr>
          <w:rFonts w:asciiTheme="minorHAnsi" w:hAnsiTheme="minorHAnsi" w:cs="Times"/>
          <w:lang w:val="en-US"/>
        </w:rPr>
        <w:t xml:space="preserve">respectively) as was the </w:t>
      </w:r>
      <w:r>
        <w:rPr>
          <w:rFonts w:asciiTheme="minorHAnsi" w:hAnsiTheme="minorHAnsi" w:cs="Times"/>
          <w:lang w:val="en-US"/>
        </w:rPr>
        <w:t xml:space="preserve">incidence of </w:t>
      </w:r>
      <w:r w:rsidRPr="00921E9B">
        <w:rPr>
          <w:rFonts w:asciiTheme="minorHAnsi" w:hAnsiTheme="minorHAnsi" w:cs="Times"/>
          <w:lang w:val="en-US"/>
        </w:rPr>
        <w:t>patients discontinuing treatment permanently due to neu</w:t>
      </w:r>
      <w:r>
        <w:rPr>
          <w:rFonts w:asciiTheme="minorHAnsi" w:hAnsiTheme="minorHAnsi" w:cs="Times"/>
          <w:lang w:val="en-US"/>
        </w:rPr>
        <w:t>tro</w:t>
      </w:r>
      <w:r w:rsidR="001E2D44">
        <w:rPr>
          <w:rFonts w:asciiTheme="minorHAnsi" w:hAnsiTheme="minorHAnsi" w:cs="Times"/>
          <w:lang w:val="en-US"/>
        </w:rPr>
        <w:t>paenia</w:t>
      </w:r>
      <w:r>
        <w:rPr>
          <w:rFonts w:asciiTheme="minorHAnsi" w:hAnsiTheme="minorHAnsi" w:cs="Times"/>
          <w:lang w:val="en-US"/>
        </w:rPr>
        <w:t xml:space="preserve"> (2.0%, 200 mg</w:t>
      </w:r>
      <w:r w:rsidR="003D2290">
        <w:rPr>
          <w:rFonts w:asciiTheme="minorHAnsi" w:hAnsiTheme="minorHAnsi" w:cs="Times"/>
          <w:lang w:val="en-US"/>
        </w:rPr>
        <w:t xml:space="preserve"> versus </w:t>
      </w:r>
      <w:r w:rsidRPr="00921E9B">
        <w:rPr>
          <w:rFonts w:asciiTheme="minorHAnsi" w:hAnsiTheme="minorHAnsi" w:cs="Times"/>
          <w:lang w:val="en-US"/>
        </w:rPr>
        <w:t xml:space="preserve">2.3%, </w:t>
      </w:r>
      <w:r>
        <w:rPr>
          <w:rFonts w:asciiTheme="minorHAnsi" w:hAnsiTheme="minorHAnsi" w:cs="Times"/>
          <w:lang w:val="en-US"/>
        </w:rPr>
        <w:t>150 mg</w:t>
      </w:r>
      <w:r w:rsidRPr="00921E9B">
        <w:rPr>
          <w:rFonts w:asciiTheme="minorHAnsi" w:hAnsiTheme="minorHAnsi" w:cs="Times"/>
          <w:lang w:val="en-US"/>
        </w:rPr>
        <w:t>). Despite the higher incidence of neutro</w:t>
      </w:r>
      <w:r w:rsidR="001E2D44">
        <w:rPr>
          <w:rFonts w:asciiTheme="minorHAnsi" w:hAnsiTheme="minorHAnsi" w:cs="Times"/>
          <w:lang w:val="en-US"/>
        </w:rPr>
        <w:t>paenia</w:t>
      </w:r>
      <w:r w:rsidRPr="00921E9B">
        <w:rPr>
          <w:rFonts w:asciiTheme="minorHAnsi" w:hAnsiTheme="minorHAnsi" w:cs="Times"/>
          <w:lang w:val="en-US"/>
        </w:rPr>
        <w:t xml:space="preserve"> </w:t>
      </w:r>
      <w:r>
        <w:rPr>
          <w:rFonts w:asciiTheme="minorHAnsi" w:hAnsiTheme="minorHAnsi" w:cs="Times"/>
          <w:lang w:val="en-US"/>
        </w:rPr>
        <w:t xml:space="preserve">TEAEs </w:t>
      </w:r>
      <w:r w:rsidRPr="00921E9B">
        <w:rPr>
          <w:rFonts w:asciiTheme="minorHAnsi" w:hAnsiTheme="minorHAnsi" w:cs="Times"/>
          <w:lang w:val="en-US"/>
        </w:rPr>
        <w:t xml:space="preserve">in </w:t>
      </w:r>
      <w:r>
        <w:rPr>
          <w:rFonts w:asciiTheme="minorHAnsi" w:hAnsiTheme="minorHAnsi" w:cs="Times"/>
          <w:lang w:val="en-US"/>
        </w:rPr>
        <w:t xml:space="preserve">patients in the </w:t>
      </w:r>
      <w:r w:rsidRPr="00921E9B">
        <w:rPr>
          <w:rFonts w:asciiTheme="minorHAnsi" w:hAnsiTheme="minorHAnsi" w:cs="Times"/>
          <w:lang w:val="en-US"/>
        </w:rPr>
        <w:t xml:space="preserve">higher </w:t>
      </w:r>
      <w:r>
        <w:rPr>
          <w:rFonts w:asciiTheme="minorHAnsi" w:hAnsiTheme="minorHAnsi" w:cs="Times"/>
          <w:lang w:val="en-US"/>
        </w:rPr>
        <w:t xml:space="preserve">dose sarilumab </w:t>
      </w:r>
      <w:r w:rsidRPr="00921E9B">
        <w:rPr>
          <w:rFonts w:asciiTheme="minorHAnsi" w:hAnsiTheme="minorHAnsi" w:cs="Times"/>
          <w:lang w:val="en-US"/>
        </w:rPr>
        <w:t>group compared with the lower dose sarilum</w:t>
      </w:r>
      <w:r>
        <w:rPr>
          <w:rFonts w:asciiTheme="minorHAnsi" w:hAnsiTheme="minorHAnsi" w:cs="Times"/>
          <w:lang w:val="en-US"/>
        </w:rPr>
        <w:t xml:space="preserve">ab </w:t>
      </w:r>
      <w:r w:rsidRPr="00921E9B">
        <w:rPr>
          <w:rFonts w:asciiTheme="minorHAnsi" w:hAnsiTheme="minorHAnsi" w:cs="Times"/>
          <w:lang w:val="en-US"/>
        </w:rPr>
        <w:t xml:space="preserve">group, the incidence of infections in </w:t>
      </w:r>
      <w:r>
        <w:rPr>
          <w:rFonts w:asciiTheme="minorHAnsi" w:hAnsiTheme="minorHAnsi" w:cs="Times"/>
          <w:lang w:val="en-US"/>
        </w:rPr>
        <w:t xml:space="preserve">patients in </w:t>
      </w:r>
      <w:r w:rsidRPr="00921E9B">
        <w:rPr>
          <w:rFonts w:asciiTheme="minorHAnsi" w:hAnsiTheme="minorHAnsi" w:cs="Times"/>
          <w:lang w:val="en-US"/>
        </w:rPr>
        <w:t>the two treatment groups was similar (35.2%</w:t>
      </w:r>
      <w:r>
        <w:rPr>
          <w:rFonts w:asciiTheme="minorHAnsi" w:hAnsiTheme="minorHAnsi" w:cs="Times"/>
          <w:lang w:val="en-US"/>
        </w:rPr>
        <w:t>, 200 mg</w:t>
      </w:r>
      <w:r w:rsidR="003D2290">
        <w:rPr>
          <w:rFonts w:asciiTheme="minorHAnsi" w:hAnsiTheme="minorHAnsi" w:cs="Times"/>
          <w:lang w:val="en-US"/>
        </w:rPr>
        <w:t xml:space="preserve"> versus </w:t>
      </w:r>
      <w:r>
        <w:rPr>
          <w:rFonts w:asciiTheme="minorHAnsi" w:hAnsiTheme="minorHAnsi" w:cs="Times"/>
          <w:lang w:val="en-US"/>
        </w:rPr>
        <w:t>34.4%, 150 mg</w:t>
      </w:r>
      <w:r w:rsidRPr="00921E9B">
        <w:rPr>
          <w:rFonts w:asciiTheme="minorHAnsi" w:hAnsiTheme="minorHAnsi" w:cs="Times"/>
          <w:lang w:val="en-US"/>
        </w:rPr>
        <w:t>), as was the incide</w:t>
      </w:r>
      <w:r>
        <w:rPr>
          <w:rFonts w:asciiTheme="minorHAnsi" w:hAnsiTheme="minorHAnsi" w:cs="Times"/>
          <w:lang w:val="en-US"/>
        </w:rPr>
        <w:t>nce of serious infections (2.9%, 200 mg</w:t>
      </w:r>
      <w:r w:rsidR="003D2290">
        <w:rPr>
          <w:rFonts w:asciiTheme="minorHAnsi" w:hAnsiTheme="minorHAnsi" w:cs="Times"/>
          <w:lang w:val="en-US"/>
        </w:rPr>
        <w:t xml:space="preserve"> versus </w:t>
      </w:r>
      <w:r w:rsidRPr="00921E9B">
        <w:rPr>
          <w:rFonts w:asciiTheme="minorHAnsi" w:hAnsiTheme="minorHAnsi" w:cs="Times"/>
          <w:lang w:val="en-US"/>
        </w:rPr>
        <w:t xml:space="preserve">1.8%, </w:t>
      </w:r>
      <w:r>
        <w:rPr>
          <w:rFonts w:asciiTheme="minorHAnsi" w:hAnsiTheme="minorHAnsi" w:cs="Times"/>
          <w:lang w:val="en-US"/>
        </w:rPr>
        <w:t>150 mg). N</w:t>
      </w:r>
      <w:r w:rsidRPr="00921E9B">
        <w:rPr>
          <w:rFonts w:asciiTheme="minorHAnsi" w:hAnsiTheme="minorHAnsi" w:cs="Times"/>
          <w:lang w:val="en-US"/>
        </w:rPr>
        <w:t>o cases of febrile neutro</w:t>
      </w:r>
      <w:r w:rsidR="001E2D44">
        <w:rPr>
          <w:rFonts w:asciiTheme="minorHAnsi" w:hAnsiTheme="minorHAnsi" w:cs="Times"/>
          <w:lang w:val="en-US"/>
        </w:rPr>
        <w:t>paenia</w:t>
      </w:r>
      <w:r w:rsidRPr="00921E9B">
        <w:rPr>
          <w:rFonts w:asciiTheme="minorHAnsi" w:hAnsiTheme="minorHAnsi" w:cs="Times"/>
          <w:lang w:val="en-US"/>
        </w:rPr>
        <w:t xml:space="preserve"> were reported in either of the </w:t>
      </w:r>
      <w:r>
        <w:rPr>
          <w:rFonts w:asciiTheme="minorHAnsi" w:hAnsiTheme="minorHAnsi" w:cs="Times"/>
          <w:lang w:val="en-US"/>
        </w:rPr>
        <w:t xml:space="preserve">two Pool 1 </w:t>
      </w:r>
      <w:r w:rsidRPr="00921E9B">
        <w:rPr>
          <w:rFonts w:asciiTheme="minorHAnsi" w:hAnsiTheme="minorHAnsi" w:cs="Times"/>
          <w:lang w:val="en-US"/>
        </w:rPr>
        <w:t>sar</w:t>
      </w:r>
      <w:r>
        <w:rPr>
          <w:rFonts w:asciiTheme="minorHAnsi" w:hAnsiTheme="minorHAnsi" w:cs="Times"/>
          <w:lang w:val="en-US"/>
        </w:rPr>
        <w:t>ilumab + DMARD treatment groups.</w:t>
      </w:r>
    </w:p>
    <w:p w:rsidR="00AA6B20" w:rsidRDefault="002928AB" w:rsidP="002928AB">
      <w:pPr>
        <w:widowControl w:val="0"/>
        <w:autoSpaceDE w:val="0"/>
        <w:autoSpaceDN w:val="0"/>
        <w:adjustRightInd w:val="0"/>
        <w:rPr>
          <w:rFonts w:asciiTheme="minorHAnsi" w:hAnsiTheme="minorHAnsi"/>
          <w:lang w:val="en-US"/>
        </w:rPr>
      </w:pPr>
      <w:r w:rsidRPr="00921E9B">
        <w:rPr>
          <w:rFonts w:asciiTheme="minorHAnsi" w:hAnsiTheme="minorHAnsi"/>
          <w:lang w:val="en-US"/>
        </w:rPr>
        <w:t xml:space="preserve">The mean ANC </w:t>
      </w:r>
      <w:r>
        <w:rPr>
          <w:rFonts w:asciiTheme="minorHAnsi" w:hAnsiTheme="minorHAnsi"/>
          <w:lang w:val="en-US"/>
        </w:rPr>
        <w:t xml:space="preserve">results </w:t>
      </w:r>
      <w:r w:rsidRPr="00921E9B">
        <w:rPr>
          <w:rFonts w:asciiTheme="minorHAnsi" w:hAnsiTheme="minorHAnsi"/>
          <w:lang w:val="en-US"/>
        </w:rPr>
        <w:t>across the entire TEAE period</w:t>
      </w:r>
      <w:r>
        <w:rPr>
          <w:rFonts w:asciiTheme="minorHAnsi" w:hAnsiTheme="minorHAnsi"/>
          <w:lang w:val="en-US"/>
        </w:rPr>
        <w:t xml:space="preserve"> </w:t>
      </w:r>
      <w:r w:rsidR="00862D66">
        <w:rPr>
          <w:rFonts w:asciiTheme="minorHAnsi" w:hAnsiTheme="minorHAnsi"/>
          <w:lang w:val="en-US"/>
        </w:rPr>
        <w:t xml:space="preserve">are summarised below in Figure </w:t>
      </w:r>
      <w:r w:rsidR="008948C4">
        <w:rPr>
          <w:rFonts w:asciiTheme="minorHAnsi" w:hAnsiTheme="minorHAnsi"/>
          <w:lang w:val="en-US"/>
        </w:rPr>
        <w:t>9</w:t>
      </w:r>
      <w:r>
        <w:rPr>
          <w:rFonts w:asciiTheme="minorHAnsi" w:hAnsiTheme="minorHAnsi"/>
          <w:lang w:val="en-US"/>
        </w:rPr>
        <w:t xml:space="preserve">. </w:t>
      </w:r>
      <w:r w:rsidRPr="00921E9B">
        <w:rPr>
          <w:rFonts w:asciiTheme="minorHAnsi" w:hAnsiTheme="minorHAnsi"/>
          <w:lang w:val="en-US"/>
        </w:rPr>
        <w:t>The baseline ANC in Pool 1 for each of t</w:t>
      </w:r>
      <w:r>
        <w:rPr>
          <w:rFonts w:asciiTheme="minorHAnsi" w:hAnsiTheme="minorHAnsi"/>
          <w:lang w:val="en-US"/>
        </w:rPr>
        <w:t xml:space="preserve">he three treatment groups was </w:t>
      </w:r>
      <w:proofErr w:type="gramStart"/>
      <w:r>
        <w:rPr>
          <w:rFonts w:asciiTheme="minorHAnsi" w:hAnsiTheme="minorHAnsi"/>
          <w:lang w:val="en-US"/>
        </w:rPr>
        <w:t>5.98 to 6.17 Giga/L</w:t>
      </w:r>
      <w:proofErr w:type="gramEnd"/>
      <w:r>
        <w:rPr>
          <w:rFonts w:asciiTheme="minorHAnsi" w:hAnsiTheme="minorHAnsi"/>
          <w:lang w:val="en-US"/>
        </w:rPr>
        <w:t xml:space="preserve"> (normal range: 1.96 to </w:t>
      </w:r>
      <w:r w:rsidRPr="00921E9B">
        <w:rPr>
          <w:rFonts w:asciiTheme="minorHAnsi" w:hAnsiTheme="minorHAnsi"/>
          <w:lang w:val="en-US"/>
        </w:rPr>
        <w:t xml:space="preserve">7.23 Giga/L). The decrease in mean ANC in patients in the sarilumab 200 mg q2w + DMARD group was greater than </w:t>
      </w:r>
      <w:r>
        <w:rPr>
          <w:rFonts w:asciiTheme="minorHAnsi" w:hAnsiTheme="minorHAnsi"/>
          <w:lang w:val="en-US"/>
        </w:rPr>
        <w:t xml:space="preserve">in </w:t>
      </w:r>
      <w:r w:rsidRPr="00921E9B">
        <w:rPr>
          <w:rFonts w:asciiTheme="minorHAnsi" w:hAnsiTheme="minorHAnsi"/>
          <w:lang w:val="en-US"/>
        </w:rPr>
        <w:t>patients in the sarilumab 150</w:t>
      </w:r>
      <w:r w:rsidR="003A36D9">
        <w:rPr>
          <w:rFonts w:asciiTheme="minorHAnsi" w:hAnsiTheme="minorHAnsi"/>
          <w:lang w:val="en-US"/>
        </w:rPr>
        <w:t> </w:t>
      </w:r>
      <w:r w:rsidRPr="00921E9B">
        <w:rPr>
          <w:rFonts w:asciiTheme="minorHAnsi" w:hAnsiTheme="minorHAnsi"/>
          <w:lang w:val="en-US"/>
        </w:rPr>
        <w:t>mg q2W group at each visit, but the mean ANC values remained in the n</w:t>
      </w:r>
      <w:r>
        <w:rPr>
          <w:rFonts w:asciiTheme="minorHAnsi" w:hAnsiTheme="minorHAnsi"/>
          <w:lang w:val="en-US"/>
        </w:rPr>
        <w:t xml:space="preserve">ormal range for both groups. </w:t>
      </w:r>
      <w:r w:rsidRPr="00921E9B">
        <w:rPr>
          <w:rFonts w:asciiTheme="minorHAnsi" w:hAnsiTheme="minorHAnsi"/>
          <w:lang w:val="en-US"/>
        </w:rPr>
        <w:t xml:space="preserve">The reduction in mean ANC in the two sarilumab + DMARD groups dropped sharply in the first 4 weeks of treatment, and then stabilised over the remainder </w:t>
      </w:r>
      <w:r>
        <w:rPr>
          <w:rFonts w:asciiTheme="minorHAnsi" w:hAnsiTheme="minorHAnsi"/>
          <w:lang w:val="en-US"/>
        </w:rPr>
        <w:t>of</w:t>
      </w:r>
      <w:r w:rsidRPr="00921E9B">
        <w:rPr>
          <w:rFonts w:asciiTheme="minorHAnsi" w:hAnsiTheme="minorHAnsi"/>
          <w:lang w:val="en-US"/>
        </w:rPr>
        <w:t xml:space="preserve"> treatment. </w:t>
      </w:r>
      <w:r>
        <w:rPr>
          <w:rFonts w:asciiTheme="minorHAnsi" w:hAnsiTheme="minorHAnsi"/>
          <w:lang w:val="en-US"/>
        </w:rPr>
        <w:t>A</w:t>
      </w:r>
      <w:r w:rsidRPr="00921E9B">
        <w:rPr>
          <w:rFonts w:asciiTheme="minorHAnsi" w:hAnsiTheme="minorHAnsi"/>
          <w:lang w:val="en-US"/>
        </w:rPr>
        <w:t>t Week 4, the mean decrease from basel</w:t>
      </w:r>
      <w:r>
        <w:rPr>
          <w:rFonts w:asciiTheme="minorHAnsi" w:hAnsiTheme="minorHAnsi"/>
          <w:lang w:val="en-US"/>
        </w:rPr>
        <w:t>ine was 2.3 Giga/L (34%) in the higher dose sarilumab group and 1.5 Giga/L (24%) in the lower dose sarilumab group.</w:t>
      </w:r>
    </w:p>
    <w:p w:rsidR="002928AB" w:rsidRPr="00921E9B" w:rsidRDefault="002928AB" w:rsidP="001A7C72">
      <w:pPr>
        <w:pStyle w:val="FigureTitle"/>
        <w:rPr>
          <w:lang w:val="en-US"/>
        </w:rPr>
      </w:pPr>
      <w:bookmarkStart w:id="165" w:name="_Toc514682705"/>
      <w:r>
        <w:lastRenderedPageBreak/>
        <w:t xml:space="preserve">Figure </w:t>
      </w:r>
      <w:r w:rsidR="008948C4">
        <w:t>9</w:t>
      </w:r>
      <w:r>
        <w:t xml:space="preserve">: </w:t>
      </w:r>
      <w:r w:rsidRPr="00921E9B">
        <w:rPr>
          <w:lang w:val="en-US"/>
        </w:rPr>
        <w:t>Pool 1 Mean ANC across visits from baseline across the entire TEAE period</w:t>
      </w:r>
      <w:bookmarkEnd w:id="165"/>
    </w:p>
    <w:p w:rsidR="002928AB" w:rsidRDefault="002928AB" w:rsidP="002928AB">
      <w:pPr>
        <w:rPr>
          <w:lang w:val="en-US"/>
        </w:rPr>
      </w:pPr>
      <w:r>
        <w:rPr>
          <w:noProof/>
          <w:lang w:eastAsia="en-AU"/>
        </w:rPr>
        <w:drawing>
          <wp:inline distT="0" distB="0" distL="0" distR="0" wp14:anchorId="78019B65" wp14:editId="70B378A2">
            <wp:extent cx="5490000" cy="3729600"/>
            <wp:effectExtent l="0" t="0" r="0" b="4445"/>
            <wp:docPr id="473" name="Picture 1" descr="Pool 1 Mean ANC across visits from baseline across the entire TEAE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BEBA8EAE-BF5A-486C-A8C5-ECC9F3942E4B}">
                          <a14:imgProps xmlns:a14="http://schemas.microsoft.com/office/drawing/2010/main">
                            <a14:imgLayer r:embed="rId5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490000" cy="3729600"/>
                    </a:xfrm>
                    <a:prstGeom prst="rect">
                      <a:avLst/>
                    </a:prstGeom>
                    <a:noFill/>
                    <a:ln>
                      <a:noFill/>
                    </a:ln>
                  </pic:spPr>
                </pic:pic>
              </a:graphicData>
            </a:graphic>
          </wp:inline>
        </w:drawing>
      </w:r>
    </w:p>
    <w:p w:rsidR="00AA6B20" w:rsidRDefault="002928AB" w:rsidP="002928AB">
      <w:pPr>
        <w:rPr>
          <w:lang w:val="en-US"/>
        </w:rPr>
      </w:pPr>
      <w:r>
        <w:rPr>
          <w:lang w:val="en-US"/>
        </w:rPr>
        <w:t xml:space="preserve">Laboratory abnormalities for </w:t>
      </w:r>
      <w:r w:rsidRPr="00E3110F">
        <w:rPr>
          <w:lang w:val="en-US"/>
        </w:rPr>
        <w:t>decrease in ANC by maximum grade during th</w:t>
      </w:r>
      <w:r>
        <w:rPr>
          <w:lang w:val="en-US"/>
        </w:rPr>
        <w:t xml:space="preserve">e entire TEAE period for Pool 1 are summarised below in Table </w:t>
      </w:r>
      <w:r w:rsidR="002D6B88">
        <w:rPr>
          <w:lang w:val="en-US"/>
        </w:rPr>
        <w:t>30</w:t>
      </w:r>
      <w:r>
        <w:rPr>
          <w:lang w:val="en-US"/>
        </w:rPr>
        <w:t xml:space="preserve">. </w:t>
      </w:r>
      <w:r w:rsidRPr="00E3110F">
        <w:rPr>
          <w:lang w:val="en-US"/>
        </w:rPr>
        <w:t>The result indicate</w:t>
      </w:r>
      <w:r>
        <w:rPr>
          <w:lang w:val="en-US"/>
        </w:rPr>
        <w:t>d</w:t>
      </w:r>
      <w:r w:rsidRPr="00E3110F">
        <w:rPr>
          <w:lang w:val="en-US"/>
        </w:rPr>
        <w:t xml:space="preserve"> that a greater proportion of patients in the higher dose sarilumab group experienced </w:t>
      </w:r>
      <w:r>
        <w:rPr>
          <w:lang w:val="en-US"/>
        </w:rPr>
        <w:t xml:space="preserve">Grades 1, 2, and 3 </w:t>
      </w:r>
      <w:r w:rsidRPr="00E3110F">
        <w:rPr>
          <w:lang w:val="en-US"/>
        </w:rPr>
        <w:t>neutro</w:t>
      </w:r>
      <w:r w:rsidR="001E2D44">
        <w:rPr>
          <w:lang w:val="en-US"/>
        </w:rPr>
        <w:t>paenia</w:t>
      </w:r>
      <w:r w:rsidRPr="00E3110F">
        <w:rPr>
          <w:lang w:val="en-US"/>
        </w:rPr>
        <w:t xml:space="preserve"> than patients in the lower dose sarilumab group, with the majority of events in both trea</w:t>
      </w:r>
      <w:r>
        <w:rPr>
          <w:lang w:val="en-US"/>
        </w:rPr>
        <w:t>tment groups being Grades 1</w:t>
      </w:r>
      <w:r w:rsidR="00FE6E98">
        <w:rPr>
          <w:lang w:val="en-US"/>
        </w:rPr>
        <w:t xml:space="preserve"> to </w:t>
      </w:r>
      <w:r w:rsidRPr="00E3110F">
        <w:rPr>
          <w:lang w:val="en-US"/>
        </w:rPr>
        <w:t xml:space="preserve">2. </w:t>
      </w:r>
      <w:r>
        <w:rPr>
          <w:lang w:val="en-US"/>
        </w:rPr>
        <w:t>Grade 4 neutro</w:t>
      </w:r>
      <w:r w:rsidR="001E2D44">
        <w:rPr>
          <w:lang w:val="en-US"/>
        </w:rPr>
        <w:t>paenia</w:t>
      </w:r>
      <w:r>
        <w:rPr>
          <w:lang w:val="en-US"/>
        </w:rPr>
        <w:t xml:space="preserve"> was reported in a similar proportion of patients in the two sarilumab groups.</w:t>
      </w:r>
    </w:p>
    <w:p w:rsidR="002928AB" w:rsidRPr="00121F3F" w:rsidRDefault="002928AB" w:rsidP="001A7C72">
      <w:pPr>
        <w:pStyle w:val="Tabletitle0"/>
        <w:rPr>
          <w:lang w:val="en-US"/>
        </w:rPr>
      </w:pPr>
      <w:bookmarkStart w:id="166" w:name="_Toc514687844"/>
      <w:r>
        <w:t xml:space="preserve">Table </w:t>
      </w:r>
      <w:r w:rsidR="002D6B88">
        <w:t>30</w:t>
      </w:r>
      <w:r>
        <w:t xml:space="preserve">: </w:t>
      </w:r>
      <w:r w:rsidRPr="00121F3F">
        <w:rPr>
          <w:lang w:val="en-US"/>
        </w:rPr>
        <w:t>Po</w:t>
      </w:r>
      <w:r w:rsidR="001A7C72">
        <w:rPr>
          <w:lang w:val="en-US"/>
        </w:rPr>
        <w:t xml:space="preserve">ol 1 </w:t>
      </w:r>
      <w:r w:rsidRPr="00121F3F">
        <w:rPr>
          <w:lang w:val="en-US"/>
        </w:rPr>
        <w:t>Number (%) of patients with decrease in absolute neutrophil count during the entire TEAE period by maximum grade</w:t>
      </w:r>
      <w:bookmarkEnd w:id="166"/>
    </w:p>
    <w:p w:rsidR="002928AB" w:rsidRDefault="002928AB" w:rsidP="002928AB">
      <w:pPr>
        <w:widowControl w:val="0"/>
        <w:autoSpaceDE w:val="0"/>
        <w:autoSpaceDN w:val="0"/>
        <w:adjustRightInd w:val="0"/>
        <w:spacing w:before="0" w:after="0" w:line="240" w:lineRule="auto"/>
        <w:rPr>
          <w:rFonts w:ascii="Times New Roman" w:hAnsi="Times New Roman"/>
          <w:sz w:val="32"/>
          <w:szCs w:val="32"/>
          <w:lang w:val="en-US"/>
        </w:rPr>
      </w:pPr>
      <w:r>
        <w:rPr>
          <w:rFonts w:ascii="Times New Roman" w:hAnsi="Times New Roman"/>
          <w:noProof/>
          <w:sz w:val="32"/>
          <w:szCs w:val="32"/>
          <w:lang w:eastAsia="en-AU"/>
        </w:rPr>
        <w:drawing>
          <wp:inline distT="0" distB="0" distL="0" distR="0" wp14:anchorId="3027E44D" wp14:editId="056E24C9">
            <wp:extent cx="5185407" cy="2022861"/>
            <wp:effectExtent l="0" t="0" r="0" b="0"/>
            <wp:docPr id="474" name="Picture 474" descr="Pool 1 Number (%) of patients with decrease in absolute neutrophil count during the entire TEAE period by maximum gr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95658" cy="2026860"/>
                    </a:xfrm>
                    <a:prstGeom prst="rect">
                      <a:avLst/>
                    </a:prstGeom>
                    <a:noFill/>
                    <a:ln>
                      <a:noFill/>
                    </a:ln>
                  </pic:spPr>
                </pic:pic>
              </a:graphicData>
            </a:graphic>
          </wp:inline>
        </w:drawing>
      </w:r>
    </w:p>
    <w:p w:rsidR="00AA6B20" w:rsidRDefault="002928AB" w:rsidP="002928AB">
      <w:pPr>
        <w:rPr>
          <w:lang w:val="en-US"/>
        </w:rPr>
      </w:pPr>
      <w:r>
        <w:rPr>
          <w:lang w:val="en-US"/>
        </w:rPr>
        <w:t xml:space="preserve">In Pool 1, the proportion of patients with an ANC </w:t>
      </w:r>
      <w:r w:rsidR="007F1BEB">
        <w:t>&lt; </w:t>
      </w:r>
      <w:r>
        <w:rPr>
          <w:lang w:val="en-US"/>
        </w:rPr>
        <w:t>LLN was greater in the sarilumab 200</w:t>
      </w:r>
      <w:r w:rsidR="0084607A">
        <w:rPr>
          <w:lang w:val="en-US"/>
        </w:rPr>
        <w:t> </w:t>
      </w:r>
      <w:r>
        <w:rPr>
          <w:lang w:val="en-US"/>
        </w:rPr>
        <w:t xml:space="preserve">mg q2w + DMARD group than in the sarilumab 150 mg q2w + DMARD group (40.6%, </w:t>
      </w:r>
      <w:r w:rsidR="007C7C62">
        <w:rPr>
          <w:lang w:val="en-US"/>
        </w:rPr>
        <w:t xml:space="preserve">n = </w:t>
      </w:r>
      <w:r>
        <w:rPr>
          <w:lang w:val="en-US"/>
        </w:rPr>
        <w:t>226,</w:t>
      </w:r>
      <w:r w:rsidR="003D2290">
        <w:rPr>
          <w:lang w:val="en-US"/>
        </w:rPr>
        <w:t xml:space="preserve"> versus </w:t>
      </w:r>
      <w:r>
        <w:rPr>
          <w:lang w:val="en-US"/>
        </w:rPr>
        <w:t xml:space="preserve">31.9%, </w:t>
      </w:r>
      <w:r w:rsidR="007C7C62">
        <w:rPr>
          <w:lang w:val="en-US"/>
        </w:rPr>
        <w:t xml:space="preserve">n = </w:t>
      </w:r>
      <w:r>
        <w:rPr>
          <w:lang w:val="en-US"/>
        </w:rPr>
        <w:t xml:space="preserve">221). However, in both sarilumab groups, the incidence of infection (all AEs and SAEs) was similar in patients with ANC </w:t>
      </w:r>
      <w:r w:rsidR="00DD5BCE">
        <w:t>≥</w:t>
      </w:r>
      <w:r w:rsidR="007C7C62">
        <w:t xml:space="preserve"> </w:t>
      </w:r>
      <w:r>
        <w:rPr>
          <w:lang w:val="en-US"/>
        </w:rPr>
        <w:t xml:space="preserve">LLN and ANC </w:t>
      </w:r>
      <w:r w:rsidR="007F1BEB">
        <w:t>&lt; </w:t>
      </w:r>
      <w:r>
        <w:rPr>
          <w:lang w:val="en-US"/>
        </w:rPr>
        <w:t xml:space="preserve">LLN (see Table </w:t>
      </w:r>
      <w:r w:rsidR="002D6B88">
        <w:rPr>
          <w:lang w:val="en-US"/>
        </w:rPr>
        <w:t>31</w:t>
      </w:r>
      <w:r>
        <w:rPr>
          <w:lang w:val="en-US"/>
        </w:rPr>
        <w:t>, below).</w:t>
      </w:r>
    </w:p>
    <w:p w:rsidR="002928AB" w:rsidRPr="00121F3F" w:rsidRDefault="002928AB" w:rsidP="001A7C72">
      <w:pPr>
        <w:pStyle w:val="Tabletitle0"/>
        <w:rPr>
          <w:lang w:val="en-US"/>
        </w:rPr>
      </w:pPr>
      <w:bookmarkStart w:id="167" w:name="_Toc514687845"/>
      <w:r>
        <w:lastRenderedPageBreak/>
        <w:t xml:space="preserve">Table </w:t>
      </w:r>
      <w:r w:rsidR="002D6B88">
        <w:t>31</w:t>
      </w:r>
      <w:r>
        <w:t xml:space="preserve">: </w:t>
      </w:r>
      <w:r w:rsidRPr="00121F3F">
        <w:rPr>
          <w:lang w:val="en-US"/>
        </w:rPr>
        <w:t xml:space="preserve">Pool 1 Incidence of infection by ANC </w:t>
      </w:r>
      <w:r w:rsidR="00DD5BCE">
        <w:t>≥</w:t>
      </w:r>
      <w:r w:rsidR="007C7C62">
        <w:t xml:space="preserve"> </w:t>
      </w:r>
      <w:r w:rsidRPr="00121F3F">
        <w:rPr>
          <w:lang w:val="en-US"/>
        </w:rPr>
        <w:t xml:space="preserve">LLN and ANC </w:t>
      </w:r>
      <w:r w:rsidR="007F1BEB">
        <w:t>&lt; </w:t>
      </w:r>
      <w:r w:rsidRPr="00121F3F">
        <w:rPr>
          <w:lang w:val="en-US"/>
        </w:rPr>
        <w:t>LLN</w:t>
      </w:r>
      <w:bookmarkEnd w:id="167"/>
    </w:p>
    <w:tbl>
      <w:tblPr>
        <w:tblStyle w:val="TableTGAblue"/>
        <w:tblW w:w="8188" w:type="dxa"/>
        <w:tblLook w:val="04A0" w:firstRow="1" w:lastRow="0" w:firstColumn="1" w:lastColumn="0" w:noHBand="0" w:noVBand="1"/>
      </w:tblPr>
      <w:tblGrid>
        <w:gridCol w:w="2802"/>
        <w:gridCol w:w="1842"/>
        <w:gridCol w:w="1985"/>
        <w:gridCol w:w="1559"/>
      </w:tblGrid>
      <w:tr w:rsidR="002928AB" w:rsidRPr="00204139" w:rsidTr="00F147C9">
        <w:trPr>
          <w:cnfStyle w:val="100000000000" w:firstRow="1" w:lastRow="0" w:firstColumn="0" w:lastColumn="0" w:oddVBand="0" w:evenVBand="0" w:oddHBand="0" w:evenHBand="0" w:firstRowFirstColumn="0" w:firstRowLastColumn="0" w:lastRowFirstColumn="0" w:lastRowLastColumn="0"/>
          <w:cantSplit/>
        </w:trPr>
        <w:tc>
          <w:tcPr>
            <w:tcW w:w="2802" w:type="dxa"/>
          </w:tcPr>
          <w:p w:rsidR="002928AB" w:rsidRPr="001A7C72" w:rsidRDefault="002928AB" w:rsidP="001A7C72">
            <w:pPr>
              <w:rPr>
                <w:sz w:val="20"/>
                <w:szCs w:val="20"/>
                <w:lang w:val="en-US"/>
              </w:rPr>
            </w:pPr>
            <w:r w:rsidRPr="001A7C72">
              <w:rPr>
                <w:sz w:val="20"/>
                <w:szCs w:val="20"/>
                <w:lang w:val="en-US"/>
              </w:rPr>
              <w:t>Criteria</w:t>
            </w:r>
          </w:p>
        </w:tc>
        <w:tc>
          <w:tcPr>
            <w:tcW w:w="1842" w:type="dxa"/>
          </w:tcPr>
          <w:p w:rsidR="002928AB" w:rsidRPr="001A7C72" w:rsidRDefault="002928AB" w:rsidP="001A7C72">
            <w:pPr>
              <w:rPr>
                <w:sz w:val="20"/>
                <w:szCs w:val="20"/>
                <w:lang w:val="en-US"/>
              </w:rPr>
            </w:pPr>
            <w:r w:rsidRPr="001A7C72">
              <w:rPr>
                <w:sz w:val="20"/>
                <w:szCs w:val="20"/>
                <w:lang w:val="en-US"/>
              </w:rPr>
              <w:t>Placebo + DMARD (</w:t>
            </w:r>
            <w:r w:rsidR="007C7C62">
              <w:rPr>
                <w:sz w:val="20"/>
                <w:szCs w:val="20"/>
                <w:lang w:val="en-US"/>
              </w:rPr>
              <w:t xml:space="preserve">n = </w:t>
            </w:r>
            <w:r w:rsidRPr="001A7C72">
              <w:rPr>
                <w:sz w:val="20"/>
                <w:szCs w:val="20"/>
                <w:lang w:val="en-US"/>
              </w:rPr>
              <w:t>661)</w:t>
            </w:r>
          </w:p>
        </w:tc>
        <w:tc>
          <w:tcPr>
            <w:tcW w:w="1985" w:type="dxa"/>
          </w:tcPr>
          <w:p w:rsidR="002928AB" w:rsidRPr="001A7C72" w:rsidRDefault="002928AB" w:rsidP="001A7C72">
            <w:pPr>
              <w:rPr>
                <w:sz w:val="20"/>
                <w:szCs w:val="20"/>
                <w:lang w:val="en-US"/>
              </w:rPr>
            </w:pPr>
            <w:r w:rsidRPr="001A7C72">
              <w:rPr>
                <w:sz w:val="20"/>
                <w:szCs w:val="20"/>
                <w:lang w:val="en-US"/>
              </w:rPr>
              <w:t>SAR 150 mg q2w + DMARD (</w:t>
            </w:r>
            <w:r w:rsidR="007C7C62">
              <w:rPr>
                <w:sz w:val="20"/>
                <w:szCs w:val="20"/>
                <w:lang w:val="en-US"/>
              </w:rPr>
              <w:t xml:space="preserve">n = </w:t>
            </w:r>
            <w:r w:rsidRPr="001A7C72">
              <w:rPr>
                <w:sz w:val="20"/>
                <w:szCs w:val="20"/>
                <w:lang w:val="en-US"/>
              </w:rPr>
              <w:t>660)</w:t>
            </w:r>
          </w:p>
        </w:tc>
        <w:tc>
          <w:tcPr>
            <w:tcW w:w="1559" w:type="dxa"/>
          </w:tcPr>
          <w:p w:rsidR="002928AB" w:rsidRPr="001A7C72" w:rsidRDefault="002928AB" w:rsidP="001A7C72">
            <w:pPr>
              <w:rPr>
                <w:sz w:val="20"/>
                <w:szCs w:val="20"/>
                <w:lang w:val="en-US"/>
              </w:rPr>
            </w:pPr>
            <w:r w:rsidRPr="001A7C72">
              <w:rPr>
                <w:sz w:val="20"/>
                <w:szCs w:val="20"/>
                <w:lang w:val="en-US"/>
              </w:rPr>
              <w:t>SAR 200 mg q2w + DMARD (</w:t>
            </w:r>
            <w:r w:rsidR="007C7C62">
              <w:rPr>
                <w:sz w:val="20"/>
                <w:szCs w:val="20"/>
                <w:lang w:val="en-US"/>
              </w:rPr>
              <w:t xml:space="preserve">n = </w:t>
            </w:r>
            <w:r w:rsidRPr="001A7C72">
              <w:rPr>
                <w:sz w:val="20"/>
                <w:szCs w:val="20"/>
                <w:lang w:val="en-US"/>
              </w:rPr>
              <w:t>661)</w:t>
            </w:r>
          </w:p>
        </w:tc>
      </w:tr>
      <w:tr w:rsidR="002928AB" w:rsidRPr="000A4E1E" w:rsidTr="00F147C9">
        <w:tc>
          <w:tcPr>
            <w:tcW w:w="2802" w:type="dxa"/>
          </w:tcPr>
          <w:p w:rsidR="002928AB" w:rsidRPr="001A7C72" w:rsidRDefault="002928AB" w:rsidP="001A7C72">
            <w:pPr>
              <w:rPr>
                <w:sz w:val="20"/>
                <w:szCs w:val="20"/>
                <w:lang w:val="en-US"/>
              </w:rPr>
            </w:pPr>
            <w:r w:rsidRPr="001A7C72">
              <w:rPr>
                <w:sz w:val="20"/>
                <w:szCs w:val="20"/>
                <w:lang w:val="en-US"/>
              </w:rPr>
              <w:t xml:space="preserve">Patients with infection and ANC </w:t>
            </w:r>
            <w:r w:rsidR="00DD5BCE">
              <w:t>≥</w:t>
            </w:r>
            <w:r w:rsidR="007C7C62">
              <w:t xml:space="preserve"> </w:t>
            </w:r>
            <w:r w:rsidRPr="001A7C72">
              <w:rPr>
                <w:sz w:val="20"/>
                <w:szCs w:val="20"/>
                <w:lang w:val="en-US"/>
              </w:rPr>
              <w:t>LLN</w:t>
            </w:r>
          </w:p>
        </w:tc>
        <w:tc>
          <w:tcPr>
            <w:tcW w:w="1842" w:type="dxa"/>
          </w:tcPr>
          <w:p w:rsidR="002928AB" w:rsidRPr="001A7C72" w:rsidRDefault="002928AB" w:rsidP="001A7C72">
            <w:pPr>
              <w:rPr>
                <w:sz w:val="20"/>
                <w:szCs w:val="20"/>
                <w:lang w:val="en-US"/>
              </w:rPr>
            </w:pPr>
            <w:r w:rsidRPr="001A7C72">
              <w:rPr>
                <w:sz w:val="20"/>
                <w:szCs w:val="20"/>
                <w:lang w:val="en-US"/>
              </w:rPr>
              <w:t xml:space="preserve">180/629 (28.6%) </w:t>
            </w:r>
          </w:p>
        </w:tc>
        <w:tc>
          <w:tcPr>
            <w:tcW w:w="1985" w:type="dxa"/>
          </w:tcPr>
          <w:p w:rsidR="002928AB" w:rsidRPr="001A7C72" w:rsidRDefault="002928AB" w:rsidP="001A7C72">
            <w:pPr>
              <w:rPr>
                <w:sz w:val="20"/>
                <w:szCs w:val="20"/>
                <w:lang w:val="en-US"/>
              </w:rPr>
            </w:pPr>
            <w:r w:rsidRPr="001A7C72">
              <w:rPr>
                <w:sz w:val="20"/>
                <w:szCs w:val="20"/>
                <w:lang w:val="en-US"/>
              </w:rPr>
              <w:t xml:space="preserve">161/449 (35.9%) </w:t>
            </w:r>
          </w:p>
        </w:tc>
        <w:tc>
          <w:tcPr>
            <w:tcW w:w="1559" w:type="dxa"/>
          </w:tcPr>
          <w:p w:rsidR="002928AB" w:rsidRPr="001A7C72" w:rsidRDefault="002928AB" w:rsidP="001A7C72">
            <w:pPr>
              <w:rPr>
                <w:sz w:val="20"/>
                <w:szCs w:val="20"/>
                <w:lang w:val="en-US"/>
              </w:rPr>
            </w:pPr>
            <w:r w:rsidRPr="001A7C72">
              <w:rPr>
                <w:sz w:val="20"/>
                <w:szCs w:val="20"/>
                <w:lang w:val="en-US"/>
              </w:rPr>
              <w:t>140/391 (35.8%)</w:t>
            </w:r>
          </w:p>
        </w:tc>
      </w:tr>
      <w:tr w:rsidR="002928AB" w:rsidRPr="000A4E1E" w:rsidTr="00F147C9">
        <w:tc>
          <w:tcPr>
            <w:tcW w:w="2802" w:type="dxa"/>
          </w:tcPr>
          <w:p w:rsidR="002928AB" w:rsidRPr="001A7C72" w:rsidRDefault="002928AB" w:rsidP="001A7C72">
            <w:pPr>
              <w:rPr>
                <w:sz w:val="20"/>
                <w:szCs w:val="20"/>
                <w:lang w:val="en-US"/>
              </w:rPr>
            </w:pPr>
            <w:r w:rsidRPr="001A7C72">
              <w:rPr>
                <w:sz w:val="20"/>
                <w:szCs w:val="20"/>
                <w:lang w:val="en-US"/>
              </w:rPr>
              <w:t xml:space="preserve">Patients with infection and ANC </w:t>
            </w:r>
            <w:r w:rsidR="007F1BEB">
              <w:t>&lt; </w:t>
            </w:r>
            <w:r w:rsidRPr="001A7C72">
              <w:rPr>
                <w:sz w:val="20"/>
                <w:szCs w:val="20"/>
                <w:lang w:val="en-US"/>
              </w:rPr>
              <w:t xml:space="preserve">LLN </w:t>
            </w:r>
          </w:p>
        </w:tc>
        <w:tc>
          <w:tcPr>
            <w:tcW w:w="1842" w:type="dxa"/>
          </w:tcPr>
          <w:p w:rsidR="002928AB" w:rsidRPr="001A7C72" w:rsidRDefault="002928AB" w:rsidP="001A7C72">
            <w:pPr>
              <w:rPr>
                <w:sz w:val="20"/>
                <w:szCs w:val="20"/>
                <w:lang w:val="en-US"/>
              </w:rPr>
            </w:pPr>
            <w:r w:rsidRPr="001A7C72">
              <w:rPr>
                <w:sz w:val="20"/>
                <w:szCs w:val="20"/>
                <w:lang w:val="en-US"/>
              </w:rPr>
              <w:t>11/32 (34.4%)</w:t>
            </w:r>
          </w:p>
        </w:tc>
        <w:tc>
          <w:tcPr>
            <w:tcW w:w="1985" w:type="dxa"/>
          </w:tcPr>
          <w:p w:rsidR="002928AB" w:rsidRPr="001A7C72" w:rsidRDefault="002928AB" w:rsidP="001A7C72">
            <w:pPr>
              <w:rPr>
                <w:sz w:val="20"/>
                <w:szCs w:val="20"/>
                <w:lang w:val="en-US"/>
              </w:rPr>
            </w:pPr>
            <w:r w:rsidRPr="001A7C72">
              <w:rPr>
                <w:sz w:val="20"/>
                <w:szCs w:val="20"/>
                <w:lang w:val="en-US"/>
              </w:rPr>
              <w:t>66 /211 (31.3%)</w:t>
            </w:r>
          </w:p>
        </w:tc>
        <w:tc>
          <w:tcPr>
            <w:tcW w:w="1559" w:type="dxa"/>
          </w:tcPr>
          <w:p w:rsidR="002928AB" w:rsidRPr="001A7C72" w:rsidRDefault="002928AB" w:rsidP="001A7C72">
            <w:pPr>
              <w:rPr>
                <w:sz w:val="20"/>
                <w:szCs w:val="20"/>
                <w:lang w:val="en-US"/>
              </w:rPr>
            </w:pPr>
            <w:r w:rsidRPr="001A7C72">
              <w:rPr>
                <w:sz w:val="20"/>
                <w:szCs w:val="20"/>
                <w:lang w:val="en-US"/>
              </w:rPr>
              <w:t>93/267 (34.8%)</w:t>
            </w:r>
          </w:p>
        </w:tc>
      </w:tr>
      <w:tr w:rsidR="002928AB" w:rsidRPr="00204139" w:rsidTr="00F147C9">
        <w:tc>
          <w:tcPr>
            <w:tcW w:w="2802" w:type="dxa"/>
          </w:tcPr>
          <w:p w:rsidR="002928AB" w:rsidRPr="001A7C72" w:rsidRDefault="002928AB" w:rsidP="001A7C72">
            <w:pPr>
              <w:rPr>
                <w:sz w:val="20"/>
                <w:szCs w:val="20"/>
                <w:lang w:val="en-US"/>
              </w:rPr>
            </w:pPr>
            <w:r w:rsidRPr="001A7C72">
              <w:rPr>
                <w:sz w:val="20"/>
                <w:szCs w:val="20"/>
                <w:lang w:val="en-US"/>
              </w:rPr>
              <w:t xml:space="preserve">Patients with serious infection and ANC </w:t>
            </w:r>
            <w:r w:rsidR="00DD5BCE">
              <w:t>≥</w:t>
            </w:r>
            <w:r w:rsidR="007C7C62">
              <w:t xml:space="preserve"> </w:t>
            </w:r>
            <w:r w:rsidRPr="001A7C72">
              <w:rPr>
                <w:sz w:val="20"/>
                <w:szCs w:val="20"/>
                <w:lang w:val="en-US"/>
              </w:rPr>
              <w:t xml:space="preserve">LLN </w:t>
            </w:r>
          </w:p>
        </w:tc>
        <w:tc>
          <w:tcPr>
            <w:tcW w:w="1842" w:type="dxa"/>
          </w:tcPr>
          <w:p w:rsidR="002928AB" w:rsidRPr="001A7C72" w:rsidRDefault="002928AB" w:rsidP="001A7C72">
            <w:pPr>
              <w:rPr>
                <w:sz w:val="20"/>
                <w:szCs w:val="20"/>
                <w:lang w:val="en-US"/>
              </w:rPr>
            </w:pPr>
            <w:r w:rsidRPr="001A7C72">
              <w:rPr>
                <w:sz w:val="20"/>
                <w:szCs w:val="20"/>
                <w:lang w:val="en-US"/>
              </w:rPr>
              <w:t>12/629 (1.9%)</w:t>
            </w:r>
          </w:p>
        </w:tc>
        <w:tc>
          <w:tcPr>
            <w:tcW w:w="1985" w:type="dxa"/>
          </w:tcPr>
          <w:p w:rsidR="002928AB" w:rsidRPr="001A7C72" w:rsidRDefault="002928AB" w:rsidP="001A7C72">
            <w:pPr>
              <w:rPr>
                <w:sz w:val="20"/>
                <w:szCs w:val="20"/>
                <w:lang w:val="en-US"/>
              </w:rPr>
            </w:pPr>
            <w:r w:rsidRPr="001A7C72">
              <w:rPr>
                <w:sz w:val="20"/>
                <w:szCs w:val="20"/>
                <w:lang w:val="en-US"/>
              </w:rPr>
              <w:t>8/449 (1.8%)</w:t>
            </w:r>
          </w:p>
        </w:tc>
        <w:tc>
          <w:tcPr>
            <w:tcW w:w="1559" w:type="dxa"/>
          </w:tcPr>
          <w:p w:rsidR="002928AB" w:rsidRPr="001A7C72" w:rsidRDefault="002928AB" w:rsidP="001A7C72">
            <w:pPr>
              <w:rPr>
                <w:sz w:val="20"/>
                <w:szCs w:val="20"/>
                <w:lang w:val="en-US"/>
              </w:rPr>
            </w:pPr>
            <w:r w:rsidRPr="001A7C72">
              <w:rPr>
                <w:sz w:val="20"/>
                <w:szCs w:val="20"/>
                <w:lang w:val="en-US"/>
              </w:rPr>
              <w:t>8/391 (2.0%)</w:t>
            </w:r>
          </w:p>
        </w:tc>
      </w:tr>
      <w:tr w:rsidR="002928AB" w:rsidRPr="00204139" w:rsidTr="00F147C9">
        <w:tc>
          <w:tcPr>
            <w:tcW w:w="2802" w:type="dxa"/>
          </w:tcPr>
          <w:p w:rsidR="002928AB" w:rsidRPr="001A7C72" w:rsidRDefault="002928AB" w:rsidP="001A7C72">
            <w:pPr>
              <w:rPr>
                <w:sz w:val="20"/>
                <w:szCs w:val="20"/>
                <w:lang w:val="en-US"/>
              </w:rPr>
            </w:pPr>
            <w:r w:rsidRPr="001A7C72">
              <w:rPr>
                <w:sz w:val="20"/>
                <w:szCs w:val="20"/>
                <w:lang w:val="en-US"/>
              </w:rPr>
              <w:t xml:space="preserve">Patients with serious infection and ANC </w:t>
            </w:r>
            <w:r w:rsidR="007F1BEB">
              <w:t>&lt; </w:t>
            </w:r>
            <w:r w:rsidRPr="001A7C72">
              <w:rPr>
                <w:sz w:val="20"/>
                <w:szCs w:val="20"/>
                <w:lang w:val="en-US"/>
              </w:rPr>
              <w:t>LLN</w:t>
            </w:r>
          </w:p>
        </w:tc>
        <w:tc>
          <w:tcPr>
            <w:tcW w:w="1842" w:type="dxa"/>
          </w:tcPr>
          <w:p w:rsidR="002928AB" w:rsidRPr="001A7C72" w:rsidRDefault="002928AB" w:rsidP="001A7C72">
            <w:pPr>
              <w:rPr>
                <w:sz w:val="20"/>
                <w:szCs w:val="20"/>
                <w:lang w:val="en-US"/>
              </w:rPr>
            </w:pPr>
            <w:r w:rsidRPr="001A7C72">
              <w:rPr>
                <w:sz w:val="20"/>
                <w:szCs w:val="20"/>
                <w:lang w:val="en-US"/>
              </w:rPr>
              <w:t>0/32</w:t>
            </w:r>
          </w:p>
        </w:tc>
        <w:tc>
          <w:tcPr>
            <w:tcW w:w="1985" w:type="dxa"/>
          </w:tcPr>
          <w:p w:rsidR="002928AB" w:rsidRPr="001A7C72" w:rsidRDefault="002928AB" w:rsidP="001A7C72">
            <w:pPr>
              <w:rPr>
                <w:sz w:val="20"/>
                <w:szCs w:val="20"/>
                <w:lang w:val="en-US"/>
              </w:rPr>
            </w:pPr>
            <w:r w:rsidRPr="001A7C72">
              <w:rPr>
                <w:sz w:val="20"/>
                <w:szCs w:val="20"/>
                <w:lang w:val="en-US"/>
              </w:rPr>
              <w:t>4/211 (1.9%)</w:t>
            </w:r>
          </w:p>
        </w:tc>
        <w:tc>
          <w:tcPr>
            <w:tcW w:w="1559" w:type="dxa"/>
          </w:tcPr>
          <w:p w:rsidR="002928AB" w:rsidRPr="001A7C72" w:rsidRDefault="002928AB" w:rsidP="001A7C72">
            <w:pPr>
              <w:rPr>
                <w:sz w:val="20"/>
                <w:szCs w:val="20"/>
                <w:lang w:val="en-US"/>
              </w:rPr>
            </w:pPr>
            <w:r w:rsidRPr="001A7C72">
              <w:rPr>
                <w:sz w:val="20"/>
                <w:szCs w:val="20"/>
                <w:lang w:val="en-US"/>
              </w:rPr>
              <w:t>11/267 (4.1%)</w:t>
            </w:r>
          </w:p>
        </w:tc>
      </w:tr>
    </w:tbl>
    <w:p w:rsidR="002928AB" w:rsidRDefault="002928AB" w:rsidP="002928AB">
      <w:pPr>
        <w:rPr>
          <w:lang w:val="en-US"/>
        </w:rPr>
      </w:pPr>
      <w:r w:rsidRPr="00A72FC8">
        <w:rPr>
          <w:lang w:val="en-US"/>
        </w:rPr>
        <w:t xml:space="preserve">In general, </w:t>
      </w:r>
      <w:r>
        <w:rPr>
          <w:lang w:val="en-US"/>
        </w:rPr>
        <w:t>infections</w:t>
      </w:r>
      <w:r w:rsidRPr="00A72FC8">
        <w:rPr>
          <w:lang w:val="en-US"/>
        </w:rPr>
        <w:t xml:space="preserve"> are uncommon unless the neutrophil count is </w:t>
      </w:r>
      <w:r w:rsidR="007F1BEB">
        <w:t>&lt; </w:t>
      </w:r>
      <w:r w:rsidRPr="00A72FC8">
        <w:rPr>
          <w:lang w:val="en-US"/>
        </w:rPr>
        <w:t>1.0 Giga/L</w:t>
      </w:r>
      <w:r w:rsidR="00C32B54">
        <w:rPr>
          <w:lang w:val="en-US"/>
        </w:rPr>
        <w:t>.</w:t>
      </w:r>
      <w:r w:rsidR="00C32B54">
        <w:rPr>
          <w:rStyle w:val="FootnoteReference"/>
          <w:lang w:val="en-US"/>
        </w:rPr>
        <w:footnoteReference w:id="22"/>
      </w:r>
      <w:r w:rsidRPr="00A72FC8">
        <w:rPr>
          <w:lang w:val="en-US"/>
        </w:rPr>
        <w:t xml:space="preserve"> This level corresponds to Grade </w:t>
      </w:r>
      <w:r w:rsidR="00DD5BCE">
        <w:t>≥</w:t>
      </w:r>
      <w:r w:rsidR="007C7C62">
        <w:t xml:space="preserve"> </w:t>
      </w:r>
      <w:r w:rsidRPr="00A72FC8">
        <w:rPr>
          <w:lang w:val="en-US"/>
        </w:rPr>
        <w:t>3 neutro</w:t>
      </w:r>
      <w:r w:rsidR="001E2D44">
        <w:rPr>
          <w:lang w:val="en-US"/>
        </w:rPr>
        <w:t>paenia</w:t>
      </w:r>
      <w:r w:rsidRPr="00A72FC8">
        <w:rPr>
          <w:lang w:val="en-US"/>
        </w:rPr>
        <w:t>, which was observed in 40 (6.1%) patients in the sarilumab 150 mg q2w + DMARD group and 61 (9.2%) patients in the sarilumab 200</w:t>
      </w:r>
      <w:r w:rsidR="0084607A">
        <w:rPr>
          <w:lang w:val="en-US"/>
        </w:rPr>
        <w:t> </w:t>
      </w:r>
      <w:r w:rsidRPr="00A72FC8">
        <w:rPr>
          <w:lang w:val="en-US"/>
        </w:rPr>
        <w:t xml:space="preserve">mg q2w </w:t>
      </w:r>
      <w:r>
        <w:rPr>
          <w:lang w:val="en-US"/>
        </w:rPr>
        <w:t xml:space="preserve">+ DMARD </w:t>
      </w:r>
      <w:r w:rsidRPr="00A72FC8">
        <w:rPr>
          <w:lang w:val="en-US"/>
        </w:rPr>
        <w:t>group. The rate difference between the two groups was 3.2% (95% CI: 0.3, 6.0). In the 40 patients in the</w:t>
      </w:r>
      <w:r>
        <w:rPr>
          <w:lang w:val="en-US"/>
        </w:rPr>
        <w:t xml:space="preserve"> higher dose </w:t>
      </w:r>
      <w:r w:rsidRPr="00A72FC8">
        <w:rPr>
          <w:lang w:val="en-US"/>
        </w:rPr>
        <w:t xml:space="preserve">sarilumab group with ANC </w:t>
      </w:r>
      <w:r w:rsidR="007F1BEB">
        <w:t>&lt; </w:t>
      </w:r>
      <w:r w:rsidRPr="00A72FC8">
        <w:rPr>
          <w:lang w:val="en-US"/>
        </w:rPr>
        <w:t>1.0</w:t>
      </w:r>
      <w:r w:rsidR="0084607A">
        <w:rPr>
          <w:lang w:val="en-US"/>
        </w:rPr>
        <w:t> </w:t>
      </w:r>
      <w:r w:rsidRPr="00A72FC8">
        <w:rPr>
          <w:lang w:val="en-US"/>
        </w:rPr>
        <w:t xml:space="preserve">Giga/L, there were 13 (2.0%) patients with an infection and no patients with a serious infection. In the 61 patients in the </w:t>
      </w:r>
      <w:r>
        <w:rPr>
          <w:lang w:val="en-US"/>
        </w:rPr>
        <w:t xml:space="preserve">lower dose sarilumab </w:t>
      </w:r>
      <w:r w:rsidRPr="00A72FC8">
        <w:rPr>
          <w:lang w:val="en-US"/>
        </w:rPr>
        <w:t xml:space="preserve">group with ANC </w:t>
      </w:r>
      <w:r w:rsidR="007F1BEB">
        <w:t>&lt; </w:t>
      </w:r>
      <w:r w:rsidRPr="00A72FC8">
        <w:rPr>
          <w:lang w:val="en-US"/>
        </w:rPr>
        <w:t>1.0</w:t>
      </w:r>
      <w:r w:rsidR="0084607A">
        <w:rPr>
          <w:lang w:val="en-US"/>
        </w:rPr>
        <w:t> </w:t>
      </w:r>
      <w:r w:rsidRPr="00A72FC8">
        <w:rPr>
          <w:lang w:val="en-US"/>
        </w:rPr>
        <w:t>Giga/L there were 19 (2.9</w:t>
      </w:r>
      <w:r>
        <w:rPr>
          <w:lang w:val="en-US"/>
        </w:rPr>
        <w:t xml:space="preserve">%) patients with an infection and </w:t>
      </w:r>
      <w:r w:rsidRPr="00A72FC8">
        <w:rPr>
          <w:lang w:val="en-US"/>
        </w:rPr>
        <w:t xml:space="preserve">1 (1.6%) patient with a serious infection. The data suggest no clinically </w:t>
      </w:r>
      <w:r w:rsidRPr="002D6B88">
        <w:rPr>
          <w:lang w:val="en-US"/>
        </w:rPr>
        <w:t xml:space="preserve">meaningful difference in the incidence of infection (including serious infection) between the two sarilumab groups in patients with ANC </w:t>
      </w:r>
      <w:r w:rsidR="007F1BEB">
        <w:t>&lt; </w:t>
      </w:r>
      <w:r w:rsidRPr="002D6B88">
        <w:rPr>
          <w:lang w:val="en-US"/>
        </w:rPr>
        <w:t xml:space="preserve">1.0 Giga/L. The incidence of infection and serious infection by lowest ANC is summarised for the Pool 1 population in Table </w:t>
      </w:r>
      <w:r w:rsidR="002D6B88" w:rsidRPr="002D6B88">
        <w:rPr>
          <w:lang w:val="en-US"/>
        </w:rPr>
        <w:t>32 (infection) and Table 33 (serious infection)</w:t>
      </w:r>
      <w:r w:rsidRPr="002D6B88">
        <w:rPr>
          <w:lang w:val="en-US"/>
        </w:rPr>
        <w:t>.</w:t>
      </w:r>
    </w:p>
    <w:p w:rsidR="00805BFC" w:rsidRDefault="00805BFC" w:rsidP="002D6B88">
      <w:pPr>
        <w:pStyle w:val="Tabletitle0"/>
        <w:rPr>
          <w:lang w:val="en-US"/>
        </w:rPr>
      </w:pPr>
      <w:bookmarkStart w:id="168" w:name="_Toc514687880"/>
      <w:r>
        <w:t xml:space="preserve">Table </w:t>
      </w:r>
      <w:r w:rsidR="002D6B88">
        <w:t>32</w:t>
      </w:r>
      <w:r>
        <w:t xml:space="preserve">: </w:t>
      </w:r>
      <w:r w:rsidRPr="00C40636">
        <w:rPr>
          <w:lang w:val="en-US"/>
        </w:rPr>
        <w:t>Pool 1 Incidence of infection by lowest absolute neutrophil count</w:t>
      </w:r>
      <w:bookmarkEnd w:id="168"/>
    </w:p>
    <w:p w:rsidR="002D6B88" w:rsidRPr="002D6B88" w:rsidRDefault="002D6B88" w:rsidP="002D6B88">
      <w:pPr>
        <w:rPr>
          <w:lang w:val="en-US"/>
        </w:rPr>
      </w:pPr>
      <w:r>
        <w:rPr>
          <w:noProof/>
          <w:lang w:eastAsia="en-AU"/>
        </w:rPr>
        <w:drawing>
          <wp:inline distT="0" distB="0" distL="0" distR="0" wp14:anchorId="6D85D915" wp14:editId="42E5DEF5">
            <wp:extent cx="5347411" cy="2720846"/>
            <wp:effectExtent l="0" t="0" r="5715" b="3810"/>
            <wp:docPr id="915" name="Picture 915" descr="Pool 1 Incidence of infection by lowest absolute neutrophil c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extLst>
                        <a:ext uri="{BEBA8EAE-BF5A-486C-A8C5-ECC9F3942E4B}">
                          <a14:imgProps xmlns:a14="http://schemas.microsoft.com/office/drawing/2010/main">
                            <a14:imgLayer r:embed="rId60">
                              <a14:imgEffect>
                                <a14:sharpenSoften amount="50000"/>
                              </a14:imgEffect>
                              <a14:imgEffect>
                                <a14:brightnessContrast contrast="-40000"/>
                              </a14:imgEffect>
                            </a14:imgLayer>
                          </a14:imgProps>
                        </a:ext>
                      </a:extLst>
                    </a:blip>
                    <a:srcRect l="1992" t="2479" r="1726"/>
                    <a:stretch/>
                  </pic:blipFill>
                  <pic:spPr bwMode="auto">
                    <a:xfrm>
                      <a:off x="0" y="0"/>
                      <a:ext cx="5350933" cy="2722638"/>
                    </a:xfrm>
                    <a:prstGeom prst="rect">
                      <a:avLst/>
                    </a:prstGeom>
                    <a:ln>
                      <a:noFill/>
                    </a:ln>
                    <a:extLst>
                      <a:ext uri="{53640926-AAD7-44D8-BBD7-CCE9431645EC}">
                        <a14:shadowObscured xmlns:a14="http://schemas.microsoft.com/office/drawing/2010/main"/>
                      </a:ext>
                    </a:extLst>
                  </pic:spPr>
                </pic:pic>
              </a:graphicData>
            </a:graphic>
          </wp:inline>
        </w:drawing>
      </w:r>
    </w:p>
    <w:p w:rsidR="002D6B88" w:rsidRPr="00C40636" w:rsidRDefault="002D6B88" w:rsidP="002D6B88">
      <w:pPr>
        <w:pStyle w:val="Tabletitle0"/>
        <w:rPr>
          <w:lang w:val="en-US"/>
        </w:rPr>
      </w:pPr>
      <w:bookmarkStart w:id="169" w:name="_Toc514687881"/>
      <w:r>
        <w:lastRenderedPageBreak/>
        <w:t xml:space="preserve">Table 33: </w:t>
      </w:r>
      <w:r w:rsidRPr="00C40636">
        <w:rPr>
          <w:lang w:val="en-US"/>
        </w:rPr>
        <w:t>Pool 1 Incidence of serious infection by lowest absolute neutrophil count</w:t>
      </w:r>
      <w:bookmarkEnd w:id="169"/>
    </w:p>
    <w:p w:rsidR="002D6B88" w:rsidRDefault="002D6B88" w:rsidP="002D6B88">
      <w:pPr>
        <w:rPr>
          <w:lang w:val="en-US"/>
        </w:rPr>
      </w:pPr>
      <w:r>
        <w:rPr>
          <w:noProof/>
          <w:lang w:eastAsia="en-AU"/>
        </w:rPr>
        <w:drawing>
          <wp:inline distT="0" distB="0" distL="0" distR="0" wp14:anchorId="07A73F3D" wp14:editId="3631BFA8">
            <wp:extent cx="5347411" cy="2652178"/>
            <wp:effectExtent l="0" t="0" r="5715" b="0"/>
            <wp:docPr id="918" name="Picture 918" descr="Pool 1 Incidence of serious infection by lowest absolute neutrophil c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BEBA8EAE-BF5A-486C-A8C5-ECC9F3942E4B}">
                          <a14:imgProps xmlns:a14="http://schemas.microsoft.com/office/drawing/2010/main">
                            <a14:imgLayer r:embed="rId62">
                              <a14:imgEffect>
                                <a14:sharpenSoften amount="50000"/>
                              </a14:imgEffect>
                            </a14:imgLayer>
                          </a14:imgProps>
                        </a:ext>
                      </a:extLst>
                    </a:blip>
                    <a:stretch>
                      <a:fillRect/>
                    </a:stretch>
                  </pic:blipFill>
                  <pic:spPr>
                    <a:xfrm>
                      <a:off x="0" y="0"/>
                      <a:ext cx="5353341" cy="2655119"/>
                    </a:xfrm>
                    <a:prstGeom prst="rect">
                      <a:avLst/>
                    </a:prstGeom>
                  </pic:spPr>
                </pic:pic>
              </a:graphicData>
            </a:graphic>
          </wp:inline>
        </w:drawing>
      </w:r>
    </w:p>
    <w:p w:rsidR="002928AB" w:rsidRPr="00F14011" w:rsidRDefault="002928AB" w:rsidP="002D6B88">
      <w:pPr>
        <w:pStyle w:val="Heading6"/>
        <w:rPr>
          <w:lang w:val="en-US"/>
        </w:rPr>
      </w:pPr>
      <w:r w:rsidRPr="00F14011">
        <w:rPr>
          <w:lang w:val="en-US"/>
        </w:rPr>
        <w:t>Thrombocyto</w:t>
      </w:r>
      <w:r w:rsidR="001E2D44">
        <w:rPr>
          <w:lang w:val="en-US"/>
        </w:rPr>
        <w:t>paenia</w:t>
      </w:r>
    </w:p>
    <w:p w:rsidR="00AA6B20" w:rsidRDefault="002928AB" w:rsidP="002928AB">
      <w:pPr>
        <w:autoSpaceDE w:val="0"/>
        <w:autoSpaceDN w:val="0"/>
        <w:adjustRightInd w:val="0"/>
        <w:rPr>
          <w:rFonts w:asciiTheme="minorHAnsi" w:eastAsiaTheme="minorHAnsi" w:hAnsiTheme="minorHAnsi" w:cs="TimesNewRomanPSMT"/>
          <w:color w:val="000000"/>
        </w:rPr>
      </w:pPr>
      <w:r w:rsidRPr="00921E9B">
        <w:rPr>
          <w:rFonts w:asciiTheme="minorHAnsi" w:eastAsiaTheme="minorHAnsi" w:hAnsiTheme="minorHAnsi" w:cs="TimesNewRomanPSMT"/>
          <w:color w:val="000000"/>
        </w:rPr>
        <w:t>The mean platelet counts across the entire TEAE period for P</w:t>
      </w:r>
      <w:r>
        <w:rPr>
          <w:rFonts w:asciiTheme="minorHAnsi" w:eastAsiaTheme="minorHAnsi" w:hAnsiTheme="minorHAnsi" w:cs="TimesNewRomanPSMT"/>
          <w:color w:val="000000"/>
        </w:rPr>
        <w:t xml:space="preserve">ool 1 are shown below in Figure </w:t>
      </w:r>
      <w:r w:rsidR="008948C4">
        <w:rPr>
          <w:rFonts w:asciiTheme="minorHAnsi" w:eastAsiaTheme="minorHAnsi" w:hAnsiTheme="minorHAnsi" w:cs="TimesNewRomanPSMT"/>
          <w:color w:val="000000"/>
        </w:rPr>
        <w:t>10</w:t>
      </w:r>
      <w:r w:rsidRPr="00921E9B">
        <w:rPr>
          <w:rFonts w:asciiTheme="minorHAnsi" w:eastAsiaTheme="minorHAnsi" w:hAnsiTheme="minorHAnsi" w:cs="TimesNewRomanPSMT"/>
          <w:color w:val="000000"/>
        </w:rPr>
        <w:t>.</w:t>
      </w:r>
      <w:r w:rsidRPr="00E41A24">
        <w:rPr>
          <w:rFonts w:asciiTheme="minorHAnsi" w:eastAsiaTheme="minorHAnsi" w:hAnsiTheme="minorHAnsi" w:cs="TimesNewRomanPSMT"/>
          <w:color w:val="000000"/>
        </w:rPr>
        <w:t xml:space="preserve"> </w:t>
      </w:r>
      <w:r w:rsidRPr="00921E9B">
        <w:rPr>
          <w:rFonts w:asciiTheme="minorHAnsi" w:eastAsiaTheme="minorHAnsi" w:hAnsiTheme="minorHAnsi" w:cs="TimesNewRomanPSMT"/>
          <w:color w:val="000000"/>
        </w:rPr>
        <w:t>In Pool 1,</w:t>
      </w:r>
      <w:r>
        <w:rPr>
          <w:rFonts w:asciiTheme="minorHAnsi" w:eastAsiaTheme="minorHAnsi" w:hAnsiTheme="minorHAnsi" w:cs="TimesNewRomanPSMT"/>
          <w:color w:val="000000"/>
        </w:rPr>
        <w:t xml:space="preserve"> </w:t>
      </w:r>
      <w:r w:rsidRPr="00921E9B">
        <w:rPr>
          <w:rFonts w:asciiTheme="minorHAnsi" w:eastAsiaTheme="minorHAnsi" w:hAnsiTheme="minorHAnsi" w:cs="TimesNewRomanPSMT"/>
          <w:color w:val="000000"/>
        </w:rPr>
        <w:t>thrombocyto</w:t>
      </w:r>
      <w:r w:rsidR="001E2D44">
        <w:rPr>
          <w:rFonts w:asciiTheme="minorHAnsi" w:eastAsiaTheme="minorHAnsi" w:hAnsiTheme="minorHAnsi" w:cs="TimesNewRomanPSMT"/>
          <w:color w:val="000000"/>
        </w:rPr>
        <w:t>paenia</w:t>
      </w:r>
      <w:r w:rsidRPr="00921E9B">
        <w:rPr>
          <w:rFonts w:asciiTheme="minorHAnsi" w:eastAsiaTheme="minorHAnsi" w:hAnsiTheme="minorHAnsi" w:cs="TimesNewRomanPSMT"/>
          <w:color w:val="000000"/>
        </w:rPr>
        <w:t xml:space="preserve"> </w:t>
      </w:r>
      <w:r>
        <w:rPr>
          <w:rFonts w:asciiTheme="minorHAnsi" w:eastAsiaTheme="minorHAnsi" w:hAnsiTheme="minorHAnsi" w:cs="TimesNewRomanPSMT"/>
          <w:color w:val="000000"/>
        </w:rPr>
        <w:t xml:space="preserve">AESI </w:t>
      </w:r>
      <w:r w:rsidRPr="00921E9B">
        <w:rPr>
          <w:rFonts w:asciiTheme="minorHAnsi" w:eastAsiaTheme="minorHAnsi" w:hAnsiTheme="minorHAnsi" w:cs="TimesNewRomanPSMT"/>
          <w:color w:val="000000"/>
        </w:rPr>
        <w:t>(</w:t>
      </w:r>
      <w:r w:rsidR="00DD5BCE">
        <w:t>≥</w:t>
      </w:r>
      <w:r w:rsidR="007C7C62">
        <w:t xml:space="preserve"> </w:t>
      </w:r>
      <w:r w:rsidRPr="00921E9B">
        <w:rPr>
          <w:rFonts w:asciiTheme="minorHAnsi" w:eastAsiaTheme="minorHAnsi" w:hAnsiTheme="minorHAnsi" w:cs="TimesNewRomanPSMT"/>
          <w:color w:val="000000"/>
        </w:rPr>
        <w:t>1 event)</w:t>
      </w:r>
      <w:r>
        <w:rPr>
          <w:rFonts w:asciiTheme="minorHAnsi" w:eastAsiaTheme="minorHAnsi" w:hAnsiTheme="minorHAnsi" w:cs="TimesNewRomanPSMT"/>
          <w:color w:val="000000"/>
        </w:rPr>
        <w:t xml:space="preserve"> </w:t>
      </w:r>
      <w:r w:rsidRPr="00921E9B">
        <w:rPr>
          <w:rFonts w:asciiTheme="minorHAnsi" w:eastAsiaTheme="minorHAnsi" w:hAnsiTheme="minorHAnsi" w:cs="TimesNewRomanPSMT"/>
          <w:color w:val="000000"/>
        </w:rPr>
        <w:t>were reported in 1.7% (</w:t>
      </w:r>
      <w:r w:rsidR="007C7C62">
        <w:rPr>
          <w:rFonts w:asciiTheme="minorHAnsi" w:eastAsiaTheme="minorHAnsi" w:hAnsiTheme="minorHAnsi" w:cs="TimesNewRomanPSMT"/>
          <w:color w:val="000000"/>
        </w:rPr>
        <w:t xml:space="preserve">n = </w:t>
      </w:r>
      <w:r w:rsidRPr="00921E9B">
        <w:rPr>
          <w:rFonts w:asciiTheme="minorHAnsi" w:eastAsiaTheme="minorHAnsi" w:hAnsiTheme="minorHAnsi" w:cs="TimesNewRomanPSMT"/>
          <w:color w:val="000000"/>
        </w:rPr>
        <w:t xml:space="preserve">11) of patients in the sarilumab 200 mg q2w </w:t>
      </w:r>
      <w:r>
        <w:rPr>
          <w:rFonts w:asciiTheme="minorHAnsi" w:eastAsiaTheme="minorHAnsi" w:hAnsiTheme="minorHAnsi" w:cs="TimesNewRomanPSMT"/>
          <w:color w:val="000000"/>
        </w:rPr>
        <w:t xml:space="preserve">+ DMARD </w:t>
      </w:r>
      <w:r w:rsidRPr="00921E9B">
        <w:rPr>
          <w:rFonts w:asciiTheme="minorHAnsi" w:eastAsiaTheme="minorHAnsi" w:hAnsiTheme="minorHAnsi" w:cs="TimesNewRomanPSMT"/>
          <w:color w:val="000000"/>
        </w:rPr>
        <w:t>group and 0.9% (</w:t>
      </w:r>
      <w:r w:rsidR="007C7C62">
        <w:rPr>
          <w:rFonts w:asciiTheme="minorHAnsi" w:eastAsiaTheme="minorHAnsi" w:hAnsiTheme="minorHAnsi" w:cs="TimesNewRomanPSMT"/>
          <w:color w:val="000000"/>
        </w:rPr>
        <w:t xml:space="preserve">n = </w:t>
      </w:r>
      <w:r w:rsidRPr="00921E9B">
        <w:rPr>
          <w:rFonts w:asciiTheme="minorHAnsi" w:eastAsiaTheme="minorHAnsi" w:hAnsiTheme="minorHAnsi" w:cs="TimesNewRomanPSMT"/>
          <w:color w:val="000000"/>
        </w:rPr>
        <w:t xml:space="preserve">6) of patients in the sarilumab 150 </w:t>
      </w:r>
      <w:r>
        <w:rPr>
          <w:rFonts w:asciiTheme="minorHAnsi" w:eastAsiaTheme="minorHAnsi" w:hAnsiTheme="minorHAnsi" w:cs="TimesNewRomanPSMT"/>
          <w:color w:val="000000"/>
        </w:rPr>
        <w:t>m</w:t>
      </w:r>
      <w:r w:rsidRPr="00921E9B">
        <w:rPr>
          <w:rFonts w:asciiTheme="minorHAnsi" w:eastAsiaTheme="minorHAnsi" w:hAnsiTheme="minorHAnsi" w:cs="TimesNewRomanPSMT"/>
          <w:color w:val="000000"/>
        </w:rPr>
        <w:t xml:space="preserve">g q2w </w:t>
      </w:r>
      <w:r>
        <w:rPr>
          <w:rFonts w:asciiTheme="minorHAnsi" w:eastAsiaTheme="minorHAnsi" w:hAnsiTheme="minorHAnsi" w:cs="TimesNewRomanPSMT"/>
          <w:color w:val="000000"/>
        </w:rPr>
        <w:t xml:space="preserve">+ DMARD </w:t>
      </w:r>
      <w:r w:rsidRPr="00921E9B">
        <w:rPr>
          <w:rFonts w:asciiTheme="minorHAnsi" w:eastAsiaTheme="minorHAnsi" w:hAnsiTheme="minorHAnsi" w:cs="TimesNewRomanPSMT"/>
          <w:color w:val="000000"/>
        </w:rPr>
        <w:t xml:space="preserve">group, </w:t>
      </w:r>
      <w:r>
        <w:rPr>
          <w:rFonts w:asciiTheme="minorHAnsi" w:eastAsiaTheme="minorHAnsi" w:hAnsiTheme="minorHAnsi" w:cs="TimesNewRomanPSMT"/>
          <w:color w:val="000000"/>
        </w:rPr>
        <w:t>and thrombocyto</w:t>
      </w:r>
      <w:r w:rsidR="001E2D44">
        <w:rPr>
          <w:rFonts w:asciiTheme="minorHAnsi" w:eastAsiaTheme="minorHAnsi" w:hAnsiTheme="minorHAnsi" w:cs="TimesNewRomanPSMT"/>
          <w:color w:val="000000"/>
        </w:rPr>
        <w:t>paenia</w:t>
      </w:r>
      <w:r>
        <w:rPr>
          <w:rFonts w:asciiTheme="minorHAnsi" w:eastAsiaTheme="minorHAnsi" w:hAnsiTheme="minorHAnsi" w:cs="TimesNewRomanPSMT"/>
          <w:color w:val="000000"/>
        </w:rPr>
        <w:t xml:space="preserve"> SAEs were </w:t>
      </w:r>
      <w:r w:rsidRPr="00921E9B">
        <w:rPr>
          <w:rFonts w:asciiTheme="minorHAnsi" w:eastAsiaTheme="minorHAnsi" w:hAnsiTheme="minorHAnsi" w:cs="TimesNewRomanPSMT"/>
          <w:color w:val="000000"/>
        </w:rPr>
        <w:t xml:space="preserve">reported in 1 (0.2%) patient in each </w:t>
      </w:r>
      <w:r>
        <w:rPr>
          <w:rFonts w:asciiTheme="minorHAnsi" w:eastAsiaTheme="minorHAnsi" w:hAnsiTheme="minorHAnsi" w:cs="TimesNewRomanPSMT"/>
          <w:color w:val="000000"/>
        </w:rPr>
        <w:t xml:space="preserve">of the two </w:t>
      </w:r>
      <w:r w:rsidRPr="00921E9B">
        <w:rPr>
          <w:rFonts w:asciiTheme="minorHAnsi" w:eastAsiaTheme="minorHAnsi" w:hAnsiTheme="minorHAnsi" w:cs="TimesNewRomanPSMT"/>
          <w:color w:val="000000"/>
        </w:rPr>
        <w:t>sarilumab group</w:t>
      </w:r>
      <w:r>
        <w:rPr>
          <w:rFonts w:asciiTheme="minorHAnsi" w:eastAsiaTheme="minorHAnsi" w:hAnsiTheme="minorHAnsi" w:cs="TimesNewRomanPSMT"/>
          <w:color w:val="000000"/>
        </w:rPr>
        <w:t>s</w:t>
      </w:r>
      <w:r w:rsidRPr="00921E9B">
        <w:rPr>
          <w:rFonts w:asciiTheme="minorHAnsi" w:eastAsiaTheme="minorHAnsi" w:hAnsiTheme="minorHAnsi" w:cs="TimesNewRomanPSMT"/>
          <w:color w:val="000000"/>
        </w:rPr>
        <w:t>. Thromb</w:t>
      </w:r>
      <w:r>
        <w:rPr>
          <w:rFonts w:asciiTheme="minorHAnsi" w:eastAsiaTheme="minorHAnsi" w:hAnsiTheme="minorHAnsi" w:cs="TimesNewRomanPSMT"/>
          <w:color w:val="000000"/>
        </w:rPr>
        <w:t>ocyto</w:t>
      </w:r>
      <w:r w:rsidR="001E2D44">
        <w:rPr>
          <w:rFonts w:asciiTheme="minorHAnsi" w:eastAsiaTheme="minorHAnsi" w:hAnsiTheme="minorHAnsi" w:cs="TimesNewRomanPSMT"/>
          <w:color w:val="000000"/>
        </w:rPr>
        <w:t>paenia</w:t>
      </w:r>
      <w:r>
        <w:rPr>
          <w:rFonts w:asciiTheme="minorHAnsi" w:eastAsiaTheme="minorHAnsi" w:hAnsiTheme="minorHAnsi" w:cs="TimesNewRomanPSMT"/>
          <w:color w:val="000000"/>
        </w:rPr>
        <w:t xml:space="preserve"> AESI</w:t>
      </w:r>
      <w:r w:rsidR="00F147C9">
        <w:rPr>
          <w:rFonts w:asciiTheme="minorHAnsi" w:eastAsiaTheme="minorHAnsi" w:hAnsiTheme="minorHAnsi" w:cs="TimesNewRomanPSMT"/>
          <w:color w:val="000000"/>
        </w:rPr>
        <w:t>s</w:t>
      </w:r>
      <w:r>
        <w:rPr>
          <w:rFonts w:asciiTheme="minorHAnsi" w:eastAsiaTheme="minorHAnsi" w:hAnsiTheme="minorHAnsi" w:cs="TimesNewRomanPSMT"/>
          <w:color w:val="000000"/>
        </w:rPr>
        <w:t xml:space="preserve"> </w:t>
      </w:r>
      <w:r w:rsidRPr="00921E9B">
        <w:rPr>
          <w:rFonts w:asciiTheme="minorHAnsi" w:eastAsiaTheme="minorHAnsi" w:hAnsiTheme="minorHAnsi" w:cs="TimesNewRomanPSMT"/>
          <w:color w:val="000000"/>
        </w:rPr>
        <w:t xml:space="preserve">resulting in treatment discontinuation </w:t>
      </w:r>
      <w:r>
        <w:rPr>
          <w:rFonts w:asciiTheme="minorHAnsi" w:eastAsiaTheme="minorHAnsi" w:hAnsiTheme="minorHAnsi" w:cs="TimesNewRomanPSMT"/>
          <w:color w:val="000000"/>
        </w:rPr>
        <w:t xml:space="preserve">were </w:t>
      </w:r>
      <w:r w:rsidRPr="00921E9B">
        <w:rPr>
          <w:rFonts w:asciiTheme="minorHAnsi" w:eastAsiaTheme="minorHAnsi" w:hAnsiTheme="minorHAnsi" w:cs="TimesNewRomanPSMT"/>
          <w:color w:val="000000"/>
        </w:rPr>
        <w:t xml:space="preserve">reported in 3 (0.5%) patients in the </w:t>
      </w:r>
      <w:r>
        <w:rPr>
          <w:rFonts w:asciiTheme="minorHAnsi" w:eastAsiaTheme="minorHAnsi" w:hAnsiTheme="minorHAnsi" w:cs="TimesNewRomanPSMT"/>
          <w:color w:val="000000"/>
        </w:rPr>
        <w:t xml:space="preserve">higher dose </w:t>
      </w:r>
      <w:r w:rsidRPr="00921E9B">
        <w:rPr>
          <w:rFonts w:asciiTheme="minorHAnsi" w:eastAsiaTheme="minorHAnsi" w:hAnsiTheme="minorHAnsi" w:cs="TimesNewRomanPSMT"/>
          <w:color w:val="000000"/>
        </w:rPr>
        <w:t xml:space="preserve">sarilumab group and 1 (0.2%) patient in the </w:t>
      </w:r>
      <w:r>
        <w:rPr>
          <w:rFonts w:asciiTheme="minorHAnsi" w:eastAsiaTheme="minorHAnsi" w:hAnsiTheme="minorHAnsi" w:cs="TimesNewRomanPSMT"/>
          <w:color w:val="000000"/>
        </w:rPr>
        <w:t xml:space="preserve">lower dose </w:t>
      </w:r>
      <w:r w:rsidRPr="00921E9B">
        <w:rPr>
          <w:rFonts w:asciiTheme="minorHAnsi" w:eastAsiaTheme="minorHAnsi" w:hAnsiTheme="minorHAnsi" w:cs="TimesNewRomanPSMT"/>
          <w:color w:val="000000"/>
        </w:rPr>
        <w:t xml:space="preserve">sarilumab </w:t>
      </w:r>
      <w:r>
        <w:rPr>
          <w:rFonts w:asciiTheme="minorHAnsi" w:eastAsiaTheme="minorHAnsi" w:hAnsiTheme="minorHAnsi" w:cs="TimesNewRomanPSMT"/>
          <w:color w:val="000000"/>
        </w:rPr>
        <w:t>group</w:t>
      </w:r>
      <w:r w:rsidRPr="00921E9B">
        <w:rPr>
          <w:rFonts w:asciiTheme="minorHAnsi" w:eastAsiaTheme="minorHAnsi" w:hAnsiTheme="minorHAnsi" w:cs="TimesNewRomanPSMT"/>
          <w:color w:val="000000"/>
        </w:rPr>
        <w:t>, and no deaths due to thrombocyto</w:t>
      </w:r>
      <w:r w:rsidR="001E2D44">
        <w:rPr>
          <w:rFonts w:asciiTheme="minorHAnsi" w:eastAsiaTheme="minorHAnsi" w:hAnsiTheme="minorHAnsi" w:cs="TimesNewRomanPSMT"/>
          <w:color w:val="000000"/>
        </w:rPr>
        <w:t>paenia</w:t>
      </w:r>
      <w:r w:rsidRPr="00921E9B">
        <w:rPr>
          <w:rFonts w:asciiTheme="minorHAnsi" w:eastAsiaTheme="minorHAnsi" w:hAnsiTheme="minorHAnsi" w:cs="TimesNewRomanPSMT"/>
          <w:color w:val="000000"/>
        </w:rPr>
        <w:t xml:space="preserve"> were reported in either sarilumab group. </w:t>
      </w:r>
      <w:r>
        <w:rPr>
          <w:rFonts w:asciiTheme="minorHAnsi" w:eastAsiaTheme="minorHAnsi" w:hAnsiTheme="minorHAnsi" w:cs="TimesNewRomanPSMT"/>
          <w:color w:val="000000"/>
        </w:rPr>
        <w:t>P</w:t>
      </w:r>
      <w:r w:rsidRPr="00921E9B">
        <w:rPr>
          <w:rFonts w:asciiTheme="minorHAnsi" w:eastAsiaTheme="minorHAnsi" w:hAnsiTheme="minorHAnsi" w:cs="TimesNewRomanPSMT"/>
          <w:color w:val="000000"/>
        </w:rPr>
        <w:t xml:space="preserve">latelet count </w:t>
      </w:r>
      <w:r w:rsidR="007F1BEB">
        <w:t>&lt; </w:t>
      </w:r>
      <w:r w:rsidRPr="00921E9B">
        <w:rPr>
          <w:rFonts w:asciiTheme="minorHAnsi" w:eastAsiaTheme="minorHAnsi" w:hAnsiTheme="minorHAnsi" w:cs="TimesNewRomanPSMT"/>
          <w:color w:val="000000"/>
        </w:rPr>
        <w:t>100</w:t>
      </w:r>
      <w:r w:rsidR="0084607A">
        <w:rPr>
          <w:rFonts w:asciiTheme="minorHAnsi" w:eastAsiaTheme="minorHAnsi" w:hAnsiTheme="minorHAnsi" w:cs="TimesNewRomanPSMT"/>
          <w:color w:val="000000"/>
        </w:rPr>
        <w:t> </w:t>
      </w:r>
      <w:r w:rsidRPr="00921E9B">
        <w:rPr>
          <w:rFonts w:asciiTheme="minorHAnsi" w:eastAsiaTheme="minorHAnsi" w:hAnsiTheme="minorHAnsi" w:cs="TimesNewRomanPSMT"/>
          <w:color w:val="000000"/>
        </w:rPr>
        <w:t xml:space="preserve">Giga/L was observed in 11 (1.7%) patients in the </w:t>
      </w:r>
      <w:r>
        <w:rPr>
          <w:rFonts w:asciiTheme="minorHAnsi" w:eastAsiaTheme="minorHAnsi" w:hAnsiTheme="minorHAnsi" w:cs="TimesNewRomanPSMT"/>
          <w:color w:val="000000"/>
        </w:rPr>
        <w:t xml:space="preserve">higher dose sarilumab </w:t>
      </w:r>
      <w:r w:rsidRPr="00921E9B">
        <w:rPr>
          <w:rFonts w:asciiTheme="minorHAnsi" w:eastAsiaTheme="minorHAnsi" w:hAnsiTheme="minorHAnsi" w:cs="TimesNewRomanPSMT"/>
          <w:color w:val="000000"/>
        </w:rPr>
        <w:t xml:space="preserve">group and in 4 (0.6%) patients in the </w:t>
      </w:r>
      <w:r>
        <w:rPr>
          <w:rFonts w:asciiTheme="minorHAnsi" w:eastAsiaTheme="minorHAnsi" w:hAnsiTheme="minorHAnsi" w:cs="TimesNewRomanPSMT"/>
          <w:color w:val="000000"/>
        </w:rPr>
        <w:t xml:space="preserve">lower dose sarilumab group. </w:t>
      </w:r>
      <w:r w:rsidRPr="00921E9B">
        <w:rPr>
          <w:rFonts w:asciiTheme="minorHAnsi" w:eastAsiaTheme="minorHAnsi" w:hAnsiTheme="minorHAnsi" w:cs="TimesNewRomanPSMT"/>
          <w:color w:val="000000"/>
        </w:rPr>
        <w:t>The difference between the two sarilumab groups was 1.1% (95% CI:</w:t>
      </w:r>
      <w:r>
        <w:rPr>
          <w:rFonts w:asciiTheme="minorHAnsi" w:eastAsiaTheme="minorHAnsi" w:hAnsiTheme="minorHAnsi" w:cs="TimesNewRomanPSMT"/>
          <w:color w:val="000000"/>
        </w:rPr>
        <w:t xml:space="preserve"> </w:t>
      </w:r>
      <w:r w:rsidRPr="00921E9B">
        <w:rPr>
          <w:rFonts w:asciiTheme="minorHAnsi" w:eastAsiaTheme="minorHAnsi" w:hAnsiTheme="minorHAnsi" w:cs="TimesNewRomanPSMT"/>
          <w:color w:val="000000"/>
        </w:rPr>
        <w:t>-0.1,</w:t>
      </w:r>
      <w:r>
        <w:rPr>
          <w:rFonts w:asciiTheme="minorHAnsi" w:eastAsiaTheme="minorHAnsi" w:hAnsiTheme="minorHAnsi" w:cs="TimesNewRomanPSMT"/>
          <w:color w:val="000000"/>
        </w:rPr>
        <w:t xml:space="preserve"> </w:t>
      </w:r>
      <w:r w:rsidRPr="00921E9B">
        <w:rPr>
          <w:rFonts w:asciiTheme="minorHAnsi" w:eastAsiaTheme="minorHAnsi" w:hAnsiTheme="minorHAnsi" w:cs="TimesNewRomanPSMT"/>
          <w:color w:val="000000"/>
        </w:rPr>
        <w:t>2.2)</w:t>
      </w:r>
      <w:r>
        <w:rPr>
          <w:rFonts w:asciiTheme="minorHAnsi" w:eastAsiaTheme="minorHAnsi" w:hAnsiTheme="minorHAnsi" w:cs="TimesNewRomanPSMT"/>
          <w:color w:val="000000"/>
        </w:rPr>
        <w:t>. Overall, no clinically meaningful differences in the incidence of patients with thrombocyto</w:t>
      </w:r>
      <w:r w:rsidR="001E2D44">
        <w:rPr>
          <w:rFonts w:asciiTheme="minorHAnsi" w:eastAsiaTheme="minorHAnsi" w:hAnsiTheme="minorHAnsi" w:cs="TimesNewRomanPSMT"/>
          <w:color w:val="000000"/>
        </w:rPr>
        <w:t>paenia</w:t>
      </w:r>
      <w:r>
        <w:rPr>
          <w:rFonts w:asciiTheme="minorHAnsi" w:eastAsiaTheme="minorHAnsi" w:hAnsiTheme="minorHAnsi" w:cs="TimesNewRomanPSMT"/>
          <w:color w:val="000000"/>
        </w:rPr>
        <w:t xml:space="preserve"> were observed between the two sarilumab groups.</w:t>
      </w:r>
    </w:p>
    <w:p w:rsidR="002928AB" w:rsidRPr="00BC0800" w:rsidRDefault="002928AB" w:rsidP="001A7C72">
      <w:pPr>
        <w:pStyle w:val="FigureTitle"/>
        <w:rPr>
          <w:lang w:val="en-US"/>
        </w:rPr>
      </w:pPr>
      <w:bookmarkStart w:id="170" w:name="_Toc514682706"/>
      <w:r>
        <w:t xml:space="preserve">Figure </w:t>
      </w:r>
      <w:r w:rsidR="008948C4">
        <w:t>10</w:t>
      </w:r>
      <w:r>
        <w:t xml:space="preserve">: </w:t>
      </w:r>
      <w:r w:rsidRPr="00BC0800">
        <w:rPr>
          <w:lang w:val="en-US"/>
        </w:rPr>
        <w:t>Pool 1 Mean platelet counts</w:t>
      </w:r>
      <w:r>
        <w:rPr>
          <w:lang w:val="en-US"/>
        </w:rPr>
        <w:t xml:space="preserve"> </w:t>
      </w:r>
      <w:r w:rsidRPr="00BC0800">
        <w:rPr>
          <w:lang w:val="en-US"/>
        </w:rPr>
        <w:t>across visits from baseline across the entire TEAE period</w:t>
      </w:r>
      <w:bookmarkEnd w:id="170"/>
    </w:p>
    <w:p w:rsidR="002928AB" w:rsidRPr="00921E9B" w:rsidRDefault="002928AB" w:rsidP="002928AB">
      <w:pPr>
        <w:autoSpaceDE w:val="0"/>
        <w:autoSpaceDN w:val="0"/>
        <w:adjustRightInd w:val="0"/>
        <w:spacing w:before="0" w:after="0" w:line="240" w:lineRule="auto"/>
        <w:rPr>
          <w:rFonts w:asciiTheme="minorHAnsi" w:eastAsiaTheme="minorHAnsi" w:hAnsiTheme="minorHAnsi" w:cs="TimesNewRomanPSMT"/>
          <w:color w:val="000000"/>
        </w:rPr>
      </w:pPr>
      <w:r>
        <w:rPr>
          <w:noProof/>
          <w:lang w:eastAsia="en-AU"/>
        </w:rPr>
        <w:drawing>
          <wp:inline distT="0" distB="0" distL="0" distR="0" wp14:anchorId="2D926839" wp14:editId="64B52487">
            <wp:extent cx="4476902" cy="2896820"/>
            <wp:effectExtent l="0" t="0" r="0" b="0"/>
            <wp:docPr id="906" name="Picture 906" descr="Pool 1 Mean platelet counts across visits from baseline across the entire TEAE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3" cstate="print">
                      <a:extLst>
                        <a:ext uri="{BEBA8EAE-BF5A-486C-A8C5-ECC9F3942E4B}">
                          <a14:imgProps xmlns:a14="http://schemas.microsoft.com/office/drawing/2010/main">
                            <a14:imgLayer r:embed="rId64">
                              <a14:imgEffect>
                                <a14:sharpenSoften amount="50000"/>
                              </a14:imgEffect>
                            </a14:imgLayer>
                          </a14:imgProps>
                        </a:ext>
                        <a:ext uri="{28A0092B-C50C-407E-A947-70E740481C1C}">
                          <a14:useLocalDpi xmlns:a14="http://schemas.microsoft.com/office/drawing/2010/main" val="0"/>
                        </a:ext>
                      </a:extLst>
                    </a:blip>
                    <a:srcRect b="1070"/>
                    <a:stretch/>
                  </pic:blipFill>
                  <pic:spPr bwMode="auto">
                    <a:xfrm>
                      <a:off x="0" y="0"/>
                      <a:ext cx="4486388" cy="2902958"/>
                    </a:xfrm>
                    <a:prstGeom prst="rect">
                      <a:avLst/>
                    </a:prstGeom>
                    <a:noFill/>
                    <a:ln>
                      <a:noFill/>
                    </a:ln>
                    <a:extLst>
                      <a:ext uri="{53640926-AAD7-44D8-BBD7-CCE9431645EC}">
                        <a14:shadowObscured xmlns:a14="http://schemas.microsoft.com/office/drawing/2010/main"/>
                      </a:ext>
                    </a:extLst>
                  </pic:spPr>
                </pic:pic>
              </a:graphicData>
            </a:graphic>
          </wp:inline>
        </w:drawing>
      </w:r>
    </w:p>
    <w:p w:rsidR="00AA6B20" w:rsidRDefault="002928AB" w:rsidP="001A7C72">
      <w:pPr>
        <w:pStyle w:val="Heading6"/>
        <w:rPr>
          <w:rFonts w:eastAsiaTheme="minorHAnsi"/>
        </w:rPr>
      </w:pPr>
      <w:r w:rsidRPr="00F14011">
        <w:rPr>
          <w:rFonts w:eastAsiaTheme="minorHAnsi"/>
        </w:rPr>
        <w:lastRenderedPageBreak/>
        <w:t>ALT increased</w:t>
      </w:r>
    </w:p>
    <w:p w:rsidR="00AA6B20" w:rsidRDefault="002928AB" w:rsidP="002928AB">
      <w:pPr>
        <w:autoSpaceDE w:val="0"/>
        <w:autoSpaceDN w:val="0"/>
        <w:adjustRightInd w:val="0"/>
        <w:rPr>
          <w:rFonts w:asciiTheme="minorHAnsi" w:eastAsiaTheme="minorHAnsi" w:hAnsiTheme="minorHAnsi" w:cs="TimesNewRomanPSMT"/>
          <w:color w:val="000000"/>
        </w:rPr>
      </w:pPr>
      <w:r w:rsidRPr="00D7157F">
        <w:rPr>
          <w:rFonts w:asciiTheme="minorHAnsi" w:eastAsiaTheme="minorHAnsi" w:hAnsiTheme="minorHAnsi" w:cs="TimesNewRomanPSMT"/>
          <w:color w:val="000000"/>
        </w:rPr>
        <w:t>In Pool 1, 6.8% (</w:t>
      </w:r>
      <w:r w:rsidR="007C7C62">
        <w:rPr>
          <w:rFonts w:asciiTheme="minorHAnsi" w:eastAsiaTheme="minorHAnsi" w:hAnsiTheme="minorHAnsi" w:cs="TimesNewRomanPSMT"/>
          <w:color w:val="000000"/>
        </w:rPr>
        <w:t xml:space="preserve">n = </w:t>
      </w:r>
      <w:r w:rsidRPr="00D7157F">
        <w:rPr>
          <w:rFonts w:asciiTheme="minorHAnsi" w:eastAsiaTheme="minorHAnsi" w:hAnsiTheme="minorHAnsi" w:cs="TimesNewRomanPSMT"/>
          <w:color w:val="000000"/>
        </w:rPr>
        <w:t xml:space="preserve">45) of patients in the sarilumab 200 mg q2w </w:t>
      </w:r>
      <w:r>
        <w:rPr>
          <w:rFonts w:asciiTheme="minorHAnsi" w:eastAsiaTheme="minorHAnsi" w:hAnsiTheme="minorHAnsi" w:cs="TimesNewRomanPSMT"/>
          <w:color w:val="000000"/>
        </w:rPr>
        <w:t xml:space="preserve">+ DMARD group had an ALT increase TEAE </w:t>
      </w:r>
      <w:r w:rsidRPr="00D7157F">
        <w:rPr>
          <w:rFonts w:asciiTheme="minorHAnsi" w:eastAsiaTheme="minorHAnsi" w:hAnsiTheme="minorHAnsi" w:cs="TimesNewRomanPSMT"/>
          <w:color w:val="000000"/>
        </w:rPr>
        <w:t>compared with 6.7% (</w:t>
      </w:r>
      <w:r w:rsidR="007C7C62">
        <w:rPr>
          <w:rFonts w:asciiTheme="minorHAnsi" w:eastAsiaTheme="minorHAnsi" w:hAnsiTheme="minorHAnsi" w:cs="TimesNewRomanPSMT"/>
          <w:color w:val="000000"/>
        </w:rPr>
        <w:t xml:space="preserve">n = </w:t>
      </w:r>
      <w:r w:rsidRPr="00D7157F">
        <w:rPr>
          <w:rFonts w:asciiTheme="minorHAnsi" w:eastAsiaTheme="minorHAnsi" w:hAnsiTheme="minorHAnsi" w:cs="TimesNewRomanPSMT"/>
          <w:color w:val="000000"/>
        </w:rPr>
        <w:t xml:space="preserve">44) of patients in the sarilumab 150 q2w </w:t>
      </w:r>
      <w:r>
        <w:rPr>
          <w:rFonts w:asciiTheme="minorHAnsi" w:eastAsiaTheme="minorHAnsi" w:hAnsiTheme="minorHAnsi" w:cs="TimesNewRomanPSMT"/>
          <w:color w:val="000000"/>
        </w:rPr>
        <w:t xml:space="preserve">+ DMARD </w:t>
      </w:r>
      <w:r w:rsidRPr="00D7157F">
        <w:rPr>
          <w:rFonts w:asciiTheme="minorHAnsi" w:eastAsiaTheme="minorHAnsi" w:hAnsiTheme="minorHAnsi" w:cs="TimesNewRomanPSMT"/>
          <w:color w:val="000000"/>
        </w:rPr>
        <w:t xml:space="preserve">group, and </w:t>
      </w:r>
      <w:r>
        <w:rPr>
          <w:rFonts w:asciiTheme="minorHAnsi" w:eastAsiaTheme="minorHAnsi" w:hAnsiTheme="minorHAnsi" w:cs="TimesNewRomanPSMT"/>
          <w:color w:val="000000"/>
        </w:rPr>
        <w:t>ALT increase</w:t>
      </w:r>
      <w:r w:rsidRPr="00D7157F">
        <w:rPr>
          <w:rFonts w:asciiTheme="minorHAnsi" w:eastAsiaTheme="minorHAnsi" w:hAnsiTheme="minorHAnsi" w:cs="TimesNewRomanPSMT"/>
          <w:color w:val="000000"/>
        </w:rPr>
        <w:t xml:space="preserve"> SAEs</w:t>
      </w:r>
      <w:r>
        <w:rPr>
          <w:rFonts w:asciiTheme="minorHAnsi" w:eastAsiaTheme="minorHAnsi" w:hAnsiTheme="minorHAnsi" w:cs="TimesNewRomanPSMT"/>
          <w:color w:val="000000"/>
        </w:rPr>
        <w:t xml:space="preserve"> </w:t>
      </w:r>
      <w:r w:rsidRPr="00D7157F">
        <w:rPr>
          <w:rFonts w:asciiTheme="minorHAnsi" w:eastAsiaTheme="minorHAnsi" w:hAnsiTheme="minorHAnsi" w:cs="TimesNewRomanPSMT"/>
          <w:color w:val="000000"/>
        </w:rPr>
        <w:t>were reported in 0.2% (</w:t>
      </w:r>
      <w:r w:rsidR="007C7C62">
        <w:rPr>
          <w:rFonts w:asciiTheme="minorHAnsi" w:eastAsiaTheme="minorHAnsi" w:hAnsiTheme="minorHAnsi" w:cs="TimesNewRomanPSMT"/>
          <w:color w:val="000000"/>
        </w:rPr>
        <w:t xml:space="preserve">n = </w:t>
      </w:r>
      <w:r w:rsidRPr="00D7157F">
        <w:rPr>
          <w:rFonts w:asciiTheme="minorHAnsi" w:eastAsiaTheme="minorHAnsi" w:hAnsiTheme="minorHAnsi" w:cs="TimesNewRomanPSMT"/>
          <w:color w:val="000000"/>
        </w:rPr>
        <w:t xml:space="preserve">1) of patients in both sarilumab groups. Permanent treatment </w:t>
      </w:r>
      <w:r>
        <w:rPr>
          <w:rFonts w:asciiTheme="minorHAnsi" w:eastAsiaTheme="minorHAnsi" w:hAnsiTheme="minorHAnsi" w:cs="TimesNewRomanPSMT"/>
          <w:color w:val="000000"/>
        </w:rPr>
        <w:t xml:space="preserve">discontinuation due to ALT increased TEAE </w:t>
      </w:r>
      <w:r w:rsidRPr="00D7157F">
        <w:rPr>
          <w:rFonts w:asciiTheme="minorHAnsi" w:eastAsiaTheme="minorHAnsi" w:hAnsiTheme="minorHAnsi" w:cs="TimesNewRomanPSMT"/>
          <w:color w:val="000000"/>
        </w:rPr>
        <w:t>was reported in a similar proportion of patients in th</w:t>
      </w:r>
      <w:r>
        <w:rPr>
          <w:rFonts w:asciiTheme="minorHAnsi" w:eastAsiaTheme="minorHAnsi" w:hAnsiTheme="minorHAnsi" w:cs="TimesNewRomanPSMT"/>
          <w:color w:val="000000"/>
        </w:rPr>
        <w:t>e</w:t>
      </w:r>
      <w:r w:rsidRPr="00D7157F">
        <w:rPr>
          <w:rFonts w:asciiTheme="minorHAnsi" w:eastAsiaTheme="minorHAnsi" w:hAnsiTheme="minorHAnsi" w:cs="TimesNewRomanPSMT"/>
          <w:color w:val="000000"/>
        </w:rPr>
        <w:t xml:space="preserve"> </w:t>
      </w:r>
      <w:r>
        <w:rPr>
          <w:rFonts w:asciiTheme="minorHAnsi" w:eastAsiaTheme="minorHAnsi" w:hAnsiTheme="minorHAnsi" w:cs="TimesNewRomanPSMT"/>
          <w:color w:val="000000"/>
        </w:rPr>
        <w:t>higher and lower dose sarilumab groups</w:t>
      </w:r>
      <w:r w:rsidRPr="00D7157F">
        <w:rPr>
          <w:rFonts w:asciiTheme="minorHAnsi" w:eastAsiaTheme="minorHAnsi" w:hAnsiTheme="minorHAnsi" w:cs="TimesNewRomanPSMT"/>
          <w:color w:val="000000"/>
        </w:rPr>
        <w:t xml:space="preserve"> (1.4%</w:t>
      </w:r>
      <w:r w:rsidR="003D2290">
        <w:rPr>
          <w:rFonts w:asciiTheme="minorHAnsi" w:eastAsiaTheme="minorHAnsi" w:hAnsiTheme="minorHAnsi" w:cs="TimesNewRomanPSMT"/>
          <w:color w:val="000000"/>
        </w:rPr>
        <w:t xml:space="preserve"> versus </w:t>
      </w:r>
      <w:r w:rsidRPr="00D7157F">
        <w:rPr>
          <w:rFonts w:asciiTheme="minorHAnsi" w:eastAsiaTheme="minorHAnsi" w:hAnsiTheme="minorHAnsi" w:cs="TimesNewRomanPSMT"/>
          <w:color w:val="000000"/>
        </w:rPr>
        <w:t xml:space="preserve">1.7%, respectively). There were no deaths due to increased ALT levels in either of the two sarilumab </w:t>
      </w:r>
      <w:r>
        <w:rPr>
          <w:rFonts w:asciiTheme="minorHAnsi" w:eastAsiaTheme="minorHAnsi" w:hAnsiTheme="minorHAnsi" w:cs="TimesNewRomanPSMT"/>
          <w:color w:val="000000"/>
        </w:rPr>
        <w:t>groups</w:t>
      </w:r>
      <w:r w:rsidRPr="00D7157F">
        <w:rPr>
          <w:rFonts w:asciiTheme="minorHAnsi" w:eastAsiaTheme="minorHAnsi" w:hAnsiTheme="minorHAnsi" w:cs="TimesNewRomanPSMT"/>
          <w:color w:val="000000"/>
        </w:rPr>
        <w:t>.</w:t>
      </w:r>
    </w:p>
    <w:p w:rsidR="00AA6B20" w:rsidRDefault="002928AB" w:rsidP="002928AB">
      <w:pPr>
        <w:autoSpaceDE w:val="0"/>
        <w:autoSpaceDN w:val="0"/>
        <w:adjustRightInd w:val="0"/>
        <w:rPr>
          <w:rFonts w:asciiTheme="minorHAnsi" w:eastAsiaTheme="minorHAnsi" w:hAnsiTheme="minorHAnsi" w:cs="TimesNewRomanPSMT"/>
        </w:rPr>
      </w:pPr>
      <w:r w:rsidRPr="00D7157F">
        <w:rPr>
          <w:rFonts w:asciiTheme="minorHAnsi" w:eastAsiaTheme="minorHAnsi" w:hAnsiTheme="minorHAnsi" w:cs="TimesNewRomanPSMT"/>
          <w:color w:val="000000"/>
        </w:rPr>
        <w:t xml:space="preserve">The mean ALT during the entire TEAE </w:t>
      </w:r>
      <w:r>
        <w:rPr>
          <w:rFonts w:asciiTheme="minorHAnsi" w:eastAsiaTheme="minorHAnsi" w:hAnsiTheme="minorHAnsi" w:cs="TimesNewRomanPSMT"/>
          <w:color w:val="000000"/>
        </w:rPr>
        <w:t xml:space="preserve">period (Pool 1) </w:t>
      </w:r>
      <w:r w:rsidRPr="00D7157F">
        <w:rPr>
          <w:rFonts w:asciiTheme="minorHAnsi" w:eastAsiaTheme="minorHAnsi" w:hAnsiTheme="minorHAnsi" w:cs="TimesNewRomanPSMT"/>
          <w:color w:val="000000"/>
        </w:rPr>
        <w:t xml:space="preserve">is summarised below in Figure </w:t>
      </w:r>
      <w:r w:rsidR="008948C4">
        <w:rPr>
          <w:rFonts w:asciiTheme="minorHAnsi" w:eastAsiaTheme="minorHAnsi" w:hAnsiTheme="minorHAnsi" w:cs="TimesNewRomanPSMT"/>
          <w:color w:val="000000"/>
        </w:rPr>
        <w:t>11</w:t>
      </w:r>
      <w:r w:rsidRPr="00D7157F">
        <w:rPr>
          <w:rFonts w:asciiTheme="minorHAnsi" w:eastAsiaTheme="minorHAnsi" w:hAnsiTheme="minorHAnsi" w:cs="TimesNewRomanPSMT"/>
          <w:color w:val="000000"/>
        </w:rPr>
        <w:t xml:space="preserve">. </w:t>
      </w:r>
      <w:r>
        <w:rPr>
          <w:rFonts w:asciiTheme="minorHAnsi" w:eastAsiaTheme="minorHAnsi" w:hAnsiTheme="minorHAnsi" w:cs="TimesNewRomanPSMT"/>
        </w:rPr>
        <w:t xml:space="preserve">Mean increases in ALT and AST were </w:t>
      </w:r>
      <w:r w:rsidRPr="00D7157F">
        <w:rPr>
          <w:rFonts w:asciiTheme="minorHAnsi" w:eastAsiaTheme="minorHAnsi" w:hAnsiTheme="minorHAnsi" w:cs="TimesNewRomanPSMT"/>
        </w:rPr>
        <w:t xml:space="preserve">observed in the two sarilumab + DMARD groups compared with placebo. </w:t>
      </w:r>
      <w:r>
        <w:rPr>
          <w:rFonts w:asciiTheme="minorHAnsi" w:eastAsiaTheme="minorHAnsi" w:hAnsiTheme="minorHAnsi" w:cs="TimesNewRomanPSMT"/>
        </w:rPr>
        <w:t>At Week 4, i</w:t>
      </w:r>
      <w:r w:rsidRPr="00D7157F">
        <w:rPr>
          <w:rFonts w:asciiTheme="minorHAnsi" w:eastAsiaTheme="minorHAnsi" w:hAnsiTheme="minorHAnsi" w:cs="TimesNewRomanPSMT"/>
        </w:rPr>
        <w:t xml:space="preserve">n the </w:t>
      </w:r>
      <w:r>
        <w:rPr>
          <w:rFonts w:asciiTheme="minorHAnsi" w:eastAsiaTheme="minorHAnsi" w:hAnsiTheme="minorHAnsi" w:cs="TimesNewRomanPSMT"/>
        </w:rPr>
        <w:t xml:space="preserve">two </w:t>
      </w:r>
      <w:r w:rsidRPr="00D7157F">
        <w:rPr>
          <w:rFonts w:asciiTheme="minorHAnsi" w:eastAsiaTheme="minorHAnsi" w:hAnsiTheme="minorHAnsi" w:cs="TimesNewRomanPSMT"/>
        </w:rPr>
        <w:t>sarilumab groups</w:t>
      </w:r>
      <w:r>
        <w:rPr>
          <w:rFonts w:asciiTheme="minorHAnsi" w:eastAsiaTheme="minorHAnsi" w:hAnsiTheme="minorHAnsi" w:cs="TimesNewRomanPSMT"/>
        </w:rPr>
        <w:t xml:space="preserve"> </w:t>
      </w:r>
      <w:r w:rsidRPr="00D7157F">
        <w:rPr>
          <w:rFonts w:asciiTheme="minorHAnsi" w:eastAsiaTheme="minorHAnsi" w:hAnsiTheme="minorHAnsi" w:cs="TimesNewRomanPSMT"/>
        </w:rPr>
        <w:t>mean increases in ALT of 7.14 to 8.61 IU/L and AST of 3</w:t>
      </w:r>
      <w:r>
        <w:rPr>
          <w:rFonts w:asciiTheme="minorHAnsi" w:eastAsiaTheme="minorHAnsi" w:hAnsiTheme="minorHAnsi" w:cs="TimesNewRomanPSMT"/>
        </w:rPr>
        <w:t>.58 to 4.22 IU/L were observed. T</w:t>
      </w:r>
      <w:r w:rsidRPr="00D7157F">
        <w:rPr>
          <w:rFonts w:asciiTheme="minorHAnsi" w:eastAsiaTheme="minorHAnsi" w:hAnsiTheme="minorHAnsi" w:cs="TimesNewRomanPSMT"/>
        </w:rPr>
        <w:t xml:space="preserve">he ALT </w:t>
      </w:r>
      <w:r>
        <w:rPr>
          <w:rFonts w:asciiTheme="minorHAnsi" w:eastAsiaTheme="minorHAnsi" w:hAnsiTheme="minorHAnsi" w:cs="TimesNewRomanPSMT"/>
        </w:rPr>
        <w:t xml:space="preserve">levels then </w:t>
      </w:r>
      <w:r w:rsidRPr="00D7157F">
        <w:rPr>
          <w:rFonts w:asciiTheme="minorHAnsi" w:eastAsiaTheme="minorHAnsi" w:hAnsiTheme="minorHAnsi" w:cs="TimesNewRomanPSMT"/>
        </w:rPr>
        <w:t xml:space="preserve">stabilised </w:t>
      </w:r>
      <w:r>
        <w:rPr>
          <w:rFonts w:asciiTheme="minorHAnsi" w:eastAsiaTheme="minorHAnsi" w:hAnsiTheme="minorHAnsi" w:cs="TimesNewRomanPSMT"/>
        </w:rPr>
        <w:t xml:space="preserve">from Week 4 through </w:t>
      </w:r>
      <w:r w:rsidRPr="00D7157F">
        <w:rPr>
          <w:rFonts w:asciiTheme="minorHAnsi" w:eastAsiaTheme="minorHAnsi" w:hAnsiTheme="minorHAnsi" w:cs="TimesNewRomanPSMT"/>
        </w:rPr>
        <w:t>the remainder of</w:t>
      </w:r>
      <w:r>
        <w:rPr>
          <w:rFonts w:asciiTheme="minorHAnsi" w:eastAsiaTheme="minorHAnsi" w:hAnsiTheme="minorHAnsi" w:cs="TimesNewRomanPSMT"/>
        </w:rPr>
        <w:t xml:space="preserve"> </w:t>
      </w:r>
      <w:r w:rsidRPr="00D7157F">
        <w:rPr>
          <w:rFonts w:asciiTheme="minorHAnsi" w:eastAsiaTheme="minorHAnsi" w:hAnsiTheme="minorHAnsi" w:cs="TimesNewRomanPSMT"/>
        </w:rPr>
        <w:t>treatment</w:t>
      </w:r>
      <w:r>
        <w:rPr>
          <w:rFonts w:asciiTheme="minorHAnsi" w:eastAsiaTheme="minorHAnsi" w:hAnsiTheme="minorHAnsi" w:cs="TimesNewRomanPSMT"/>
        </w:rPr>
        <w:t xml:space="preserve">, </w:t>
      </w:r>
      <w:r w:rsidRPr="00D7157F">
        <w:rPr>
          <w:rFonts w:asciiTheme="minorHAnsi" w:eastAsiaTheme="minorHAnsi" w:hAnsiTheme="minorHAnsi" w:cs="TimesNewRomanPSMT"/>
        </w:rPr>
        <w:t xml:space="preserve">whereas a small increase in AST </w:t>
      </w:r>
      <w:r>
        <w:rPr>
          <w:rFonts w:asciiTheme="minorHAnsi" w:eastAsiaTheme="minorHAnsi" w:hAnsiTheme="minorHAnsi" w:cs="TimesNewRomanPSMT"/>
        </w:rPr>
        <w:t xml:space="preserve">levels </w:t>
      </w:r>
      <w:r w:rsidRPr="00D7157F">
        <w:rPr>
          <w:rFonts w:asciiTheme="minorHAnsi" w:eastAsiaTheme="minorHAnsi" w:hAnsiTheme="minorHAnsi" w:cs="TimesNewRomanPSMT"/>
        </w:rPr>
        <w:t>was observed (5.57 to 5.60 at Week 52). The mean values for both the ALT and AST rema</w:t>
      </w:r>
      <w:r>
        <w:rPr>
          <w:rFonts w:asciiTheme="minorHAnsi" w:eastAsiaTheme="minorHAnsi" w:hAnsiTheme="minorHAnsi" w:cs="TimesNewRomanPSMT"/>
        </w:rPr>
        <w:t xml:space="preserve">ined within the normal range at each </w:t>
      </w:r>
      <w:r w:rsidRPr="00D7157F">
        <w:rPr>
          <w:rFonts w:asciiTheme="minorHAnsi" w:eastAsiaTheme="minorHAnsi" w:hAnsiTheme="minorHAnsi" w:cs="TimesNewRomanPSMT"/>
        </w:rPr>
        <w:t xml:space="preserve">visit throughout the </w:t>
      </w:r>
      <w:r>
        <w:rPr>
          <w:rFonts w:asciiTheme="minorHAnsi" w:eastAsiaTheme="minorHAnsi" w:hAnsiTheme="minorHAnsi" w:cs="TimesNewRomanPSMT"/>
        </w:rPr>
        <w:t>TEAE treatment period in both sarilumab groups.</w:t>
      </w:r>
    </w:p>
    <w:p w:rsidR="002928AB" w:rsidRPr="00BC0800" w:rsidRDefault="002928AB" w:rsidP="001A7C72">
      <w:pPr>
        <w:pStyle w:val="FigureTitle"/>
        <w:rPr>
          <w:lang w:val="en-US"/>
        </w:rPr>
      </w:pPr>
      <w:bookmarkStart w:id="171" w:name="_Toc514682707"/>
      <w:r>
        <w:t xml:space="preserve">Figure </w:t>
      </w:r>
      <w:r w:rsidR="008948C4">
        <w:t>11</w:t>
      </w:r>
      <w:r>
        <w:t xml:space="preserve">: </w:t>
      </w:r>
      <w:r w:rsidRPr="00921E9B">
        <w:rPr>
          <w:lang w:val="en-US"/>
        </w:rPr>
        <w:t xml:space="preserve">Pool 1 </w:t>
      </w:r>
      <w:r w:rsidRPr="00BC0800">
        <w:rPr>
          <w:lang w:val="en-US"/>
        </w:rPr>
        <w:t xml:space="preserve">Mean </w:t>
      </w:r>
      <w:r>
        <w:rPr>
          <w:lang w:val="en-US"/>
        </w:rPr>
        <w:t xml:space="preserve">ALT levels </w:t>
      </w:r>
      <w:r w:rsidRPr="00BC0800">
        <w:rPr>
          <w:lang w:val="en-US"/>
        </w:rPr>
        <w:t xml:space="preserve">across visits from baseline </w:t>
      </w:r>
      <w:r>
        <w:rPr>
          <w:lang w:val="en-US"/>
        </w:rPr>
        <w:t xml:space="preserve">during </w:t>
      </w:r>
      <w:r w:rsidRPr="00BC0800">
        <w:rPr>
          <w:lang w:val="en-US"/>
        </w:rPr>
        <w:t>the entire TEAE period</w:t>
      </w:r>
      <w:bookmarkEnd w:id="171"/>
    </w:p>
    <w:p w:rsidR="002928AB" w:rsidRPr="00921E9B" w:rsidRDefault="002928AB" w:rsidP="002928AB">
      <w:pPr>
        <w:rPr>
          <w:rFonts w:asciiTheme="minorHAnsi" w:hAnsiTheme="minorHAnsi"/>
          <w:b/>
          <w:sz w:val="18"/>
          <w:szCs w:val="18"/>
          <w:lang w:val="en-US"/>
        </w:rPr>
      </w:pPr>
      <w:r>
        <w:rPr>
          <w:noProof/>
          <w:lang w:eastAsia="en-AU"/>
        </w:rPr>
        <w:drawing>
          <wp:inline distT="0" distB="0" distL="0" distR="0" wp14:anchorId="1447365F" wp14:editId="0AFDA080">
            <wp:extent cx="5035387" cy="3364992"/>
            <wp:effectExtent l="0" t="0" r="0" b="6985"/>
            <wp:docPr id="907" name="Picture 907" descr=": Pool 1 - Mean ALT levels across visits from baseline during the entire TEAE perio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045389" cy="3371676"/>
                    </a:xfrm>
                    <a:prstGeom prst="rect">
                      <a:avLst/>
                    </a:prstGeom>
                    <a:noFill/>
                    <a:ln>
                      <a:noFill/>
                    </a:ln>
                  </pic:spPr>
                </pic:pic>
              </a:graphicData>
            </a:graphic>
          </wp:inline>
        </w:drawing>
      </w:r>
    </w:p>
    <w:p w:rsidR="002D6B88" w:rsidRDefault="002D6B88" w:rsidP="002D6B88">
      <w:pPr>
        <w:pStyle w:val="Tabletitle0"/>
        <w:rPr>
          <w:lang w:val="en-US"/>
        </w:rPr>
      </w:pPr>
      <w:bookmarkStart w:id="172" w:name="_Toc514687879"/>
      <w:r>
        <w:lastRenderedPageBreak/>
        <w:t xml:space="preserve">Table 34: </w:t>
      </w:r>
      <w:r>
        <w:rPr>
          <w:lang w:val="en-US"/>
        </w:rPr>
        <w:t>Pool 1 Laboratory abnormalities</w:t>
      </w:r>
      <w:bookmarkEnd w:id="172"/>
    </w:p>
    <w:p w:rsidR="002D6B88" w:rsidRDefault="002D6B88" w:rsidP="002D6B88">
      <w:pPr>
        <w:rPr>
          <w:b/>
          <w:sz w:val="18"/>
          <w:szCs w:val="18"/>
          <w:lang w:val="en-US"/>
        </w:rPr>
      </w:pPr>
      <w:r>
        <w:rPr>
          <w:noProof/>
          <w:lang w:eastAsia="en-AU"/>
        </w:rPr>
        <w:drawing>
          <wp:inline distT="0" distB="0" distL="0" distR="0" wp14:anchorId="3F02F4A4" wp14:editId="6F6FFC82">
            <wp:extent cx="4645152" cy="5587422"/>
            <wp:effectExtent l="0" t="0" r="3175" b="0"/>
            <wp:docPr id="919" name="Picture 919" descr="Pool 1 Laboratory abnormal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649536" cy="5592695"/>
                    </a:xfrm>
                    <a:prstGeom prst="rect">
                      <a:avLst/>
                    </a:prstGeom>
                    <a:noFill/>
                    <a:ln>
                      <a:noFill/>
                    </a:ln>
                  </pic:spPr>
                </pic:pic>
              </a:graphicData>
            </a:graphic>
          </wp:inline>
        </w:drawing>
      </w:r>
    </w:p>
    <w:p w:rsidR="00AA6B20" w:rsidRDefault="002928AB" w:rsidP="002928AB">
      <w:r w:rsidRPr="00D7157F">
        <w:rPr>
          <w:rFonts w:asciiTheme="minorHAnsi" w:eastAsiaTheme="minorHAnsi" w:hAnsiTheme="minorHAnsi" w:cs="TimesNewRomanPSMT"/>
          <w:color w:val="000000"/>
        </w:rPr>
        <w:t xml:space="preserve">The </w:t>
      </w:r>
      <w:r>
        <w:rPr>
          <w:rFonts w:asciiTheme="minorHAnsi" w:eastAsiaTheme="minorHAnsi" w:hAnsiTheme="minorHAnsi" w:cs="TimesNewRomanPSMT"/>
          <w:color w:val="000000"/>
        </w:rPr>
        <w:t xml:space="preserve">incidence of </w:t>
      </w:r>
      <w:r w:rsidRPr="002D6B88">
        <w:rPr>
          <w:rFonts w:asciiTheme="minorHAnsi" w:eastAsiaTheme="minorHAnsi" w:hAnsiTheme="minorHAnsi" w:cs="TimesNewRomanPSMT"/>
          <w:color w:val="000000"/>
        </w:rPr>
        <w:t xml:space="preserve">patients with LFT laboratory abnormalities in Pool 1 are summarised in </w:t>
      </w:r>
      <w:r w:rsidR="002D6B88" w:rsidRPr="002D6B88">
        <w:rPr>
          <w:rFonts w:asciiTheme="minorHAnsi" w:eastAsiaTheme="minorHAnsi" w:hAnsiTheme="minorHAnsi" w:cs="TimesNewRomanPSMT"/>
          <w:color w:val="000000"/>
        </w:rPr>
        <w:t>Table 34 above</w:t>
      </w:r>
      <w:r w:rsidRPr="002D6B88">
        <w:rPr>
          <w:rFonts w:asciiTheme="minorHAnsi" w:eastAsiaTheme="minorHAnsi" w:hAnsiTheme="minorHAnsi" w:cs="TimesNewRomanPSMT"/>
          <w:color w:val="000000"/>
        </w:rPr>
        <w:t xml:space="preserve">, and the results for ALT are summarised below in Table </w:t>
      </w:r>
      <w:r w:rsidR="002D6B88">
        <w:rPr>
          <w:rFonts w:asciiTheme="minorHAnsi" w:eastAsiaTheme="minorHAnsi" w:hAnsiTheme="minorHAnsi" w:cs="TimesNewRomanPSMT"/>
          <w:color w:val="000000"/>
        </w:rPr>
        <w:t>35</w:t>
      </w:r>
      <w:r w:rsidRPr="002D6B88">
        <w:rPr>
          <w:rFonts w:asciiTheme="minorHAnsi" w:eastAsiaTheme="minorHAnsi" w:hAnsiTheme="minorHAnsi" w:cs="TimesNewRomanPSMT"/>
          <w:color w:val="000000"/>
        </w:rPr>
        <w:t xml:space="preserve">. The proportion of patients with ALT </w:t>
      </w:r>
      <w:r w:rsidR="00DD5BCE">
        <w:t>&gt;</w:t>
      </w:r>
      <w:r w:rsidR="007C7C62">
        <w:t xml:space="preserve"> </w:t>
      </w:r>
      <w:r w:rsidRPr="002D6B88">
        <w:rPr>
          <w:rFonts w:asciiTheme="minorHAnsi" w:eastAsiaTheme="minorHAnsi" w:hAnsiTheme="minorHAnsi" w:cs="TimesNewRomanPSMT"/>
          <w:color w:val="000000"/>
        </w:rPr>
        <w:t xml:space="preserve">3 and </w:t>
      </w:r>
      <w:r w:rsidR="00DD5BCE">
        <w:rPr>
          <w:rFonts w:asciiTheme="minorHAnsi" w:eastAsiaTheme="minorHAnsi" w:hAnsiTheme="minorHAnsi" w:cs="TimesNewRomanPSMT"/>
          <w:color w:val="000000"/>
        </w:rPr>
        <w:t>≤</w:t>
      </w:r>
      <w:r w:rsidR="007C7C62">
        <w:rPr>
          <w:rFonts w:asciiTheme="minorHAnsi" w:eastAsiaTheme="minorHAnsi" w:hAnsiTheme="minorHAnsi" w:cs="TimesNewRomanPSMT"/>
          <w:color w:val="000000"/>
        </w:rPr>
        <w:t xml:space="preserve"> </w:t>
      </w:r>
      <w:r w:rsidRPr="002D6B88">
        <w:rPr>
          <w:rFonts w:asciiTheme="minorHAnsi" w:eastAsiaTheme="minorHAnsi" w:hAnsiTheme="minorHAnsi" w:cs="TimesNewRomanPSMT"/>
          <w:color w:val="000000"/>
        </w:rPr>
        <w:t>5 x ULN</w:t>
      </w:r>
      <w:r w:rsidRPr="00D7157F">
        <w:rPr>
          <w:rFonts w:asciiTheme="minorHAnsi" w:eastAsiaTheme="minorHAnsi" w:hAnsiTheme="minorHAnsi" w:cs="TimesNewRomanPSMT"/>
          <w:color w:val="000000"/>
        </w:rPr>
        <w:t xml:space="preserve"> (the levels that would trigger a reduction in sarilumab dose from 200 mg q2w to 150 mg q2w) was similar in the </w:t>
      </w:r>
      <w:r>
        <w:rPr>
          <w:rFonts w:asciiTheme="minorHAnsi" w:eastAsiaTheme="minorHAnsi" w:hAnsiTheme="minorHAnsi" w:cs="TimesNewRomanPSMT"/>
          <w:color w:val="000000"/>
        </w:rPr>
        <w:t xml:space="preserve">two </w:t>
      </w:r>
      <w:r w:rsidRPr="00D7157F">
        <w:rPr>
          <w:rFonts w:asciiTheme="minorHAnsi" w:eastAsiaTheme="minorHAnsi" w:hAnsiTheme="minorHAnsi" w:cs="TimesNewRomanPSMT"/>
          <w:color w:val="000000"/>
        </w:rPr>
        <w:t xml:space="preserve">sarilumab </w:t>
      </w:r>
      <w:r>
        <w:rPr>
          <w:rFonts w:asciiTheme="minorHAnsi" w:eastAsiaTheme="minorHAnsi" w:hAnsiTheme="minorHAnsi" w:cs="TimesNewRomanPSMT"/>
          <w:color w:val="000000"/>
        </w:rPr>
        <w:t xml:space="preserve">+DMARD groups as was the </w:t>
      </w:r>
      <w:r w:rsidRPr="00D7157F">
        <w:rPr>
          <w:rFonts w:asciiTheme="minorHAnsi" w:eastAsiaTheme="minorHAnsi" w:hAnsiTheme="minorHAnsi" w:cs="TimesNewRomanPSMT"/>
          <w:color w:val="000000"/>
        </w:rPr>
        <w:t xml:space="preserve">proportion of patients with ALT levels </w:t>
      </w:r>
      <w:r w:rsidR="00DD5BCE">
        <w:t>&gt;</w:t>
      </w:r>
      <w:r w:rsidR="007C7C62">
        <w:t xml:space="preserve"> </w:t>
      </w:r>
      <w:r w:rsidRPr="00D7157F">
        <w:rPr>
          <w:rFonts w:asciiTheme="minorHAnsi" w:eastAsiaTheme="minorHAnsi" w:hAnsiTheme="minorHAnsi" w:cs="TimesNewRomanPSMT"/>
          <w:color w:val="000000"/>
        </w:rPr>
        <w:t>5 x ULN (which would trigge</w:t>
      </w:r>
      <w:r>
        <w:rPr>
          <w:rFonts w:asciiTheme="minorHAnsi" w:eastAsiaTheme="minorHAnsi" w:hAnsiTheme="minorHAnsi" w:cs="TimesNewRomanPSMT"/>
          <w:color w:val="000000"/>
        </w:rPr>
        <w:t xml:space="preserve">r discontinuation of sarilumab). </w:t>
      </w:r>
      <w:r w:rsidRPr="00D7157F">
        <w:rPr>
          <w:rFonts w:asciiTheme="minorHAnsi" w:eastAsiaTheme="minorHAnsi" w:hAnsiTheme="minorHAnsi" w:cs="TimesNewRomanPSMT"/>
          <w:color w:val="000000"/>
        </w:rPr>
        <w:t xml:space="preserve">There was 1 (0.2%) patient in the </w:t>
      </w:r>
      <w:r>
        <w:rPr>
          <w:rFonts w:asciiTheme="minorHAnsi" w:eastAsiaTheme="minorHAnsi" w:hAnsiTheme="minorHAnsi" w:cs="TimesNewRomanPSMT"/>
          <w:color w:val="000000"/>
        </w:rPr>
        <w:t xml:space="preserve">higher dose </w:t>
      </w:r>
      <w:r w:rsidRPr="00D7157F">
        <w:rPr>
          <w:rFonts w:asciiTheme="minorHAnsi" w:eastAsiaTheme="minorHAnsi" w:hAnsiTheme="minorHAnsi" w:cs="TimesNewRomanPSMT"/>
          <w:color w:val="000000"/>
        </w:rPr>
        <w:t xml:space="preserve">sarilumab group who met potential </w:t>
      </w:r>
      <w:proofErr w:type="spellStart"/>
      <w:r w:rsidRPr="00D7157F">
        <w:rPr>
          <w:rFonts w:asciiTheme="minorHAnsi" w:eastAsiaTheme="minorHAnsi" w:hAnsiTheme="minorHAnsi" w:cs="TimesNewRomanPSMT"/>
          <w:color w:val="000000"/>
        </w:rPr>
        <w:t>Hy’s</w:t>
      </w:r>
      <w:proofErr w:type="spellEnd"/>
      <w:r w:rsidRPr="00D7157F">
        <w:rPr>
          <w:rFonts w:asciiTheme="minorHAnsi" w:eastAsiaTheme="minorHAnsi" w:hAnsiTheme="minorHAnsi" w:cs="TimesNewRomanPSMT"/>
          <w:color w:val="000000"/>
        </w:rPr>
        <w:t xml:space="preserve"> law criteria for drug induced liver injury (ALT </w:t>
      </w:r>
      <w:r w:rsidR="00DD5BCE">
        <w:t>&gt;</w:t>
      </w:r>
      <w:r w:rsidR="007C7C62">
        <w:t xml:space="preserve"> </w:t>
      </w:r>
      <w:r w:rsidRPr="00D7157F">
        <w:rPr>
          <w:rFonts w:asciiTheme="minorHAnsi" w:eastAsiaTheme="minorHAnsi" w:hAnsiTheme="minorHAnsi" w:cs="TimesNewRomanPSMT"/>
          <w:color w:val="000000"/>
        </w:rPr>
        <w:t xml:space="preserve">3x ULN and total bilirubin </w:t>
      </w:r>
      <w:r w:rsidR="00DD5BCE">
        <w:t>&gt;</w:t>
      </w:r>
      <w:r w:rsidR="007C7C62">
        <w:t xml:space="preserve"> </w:t>
      </w:r>
      <w:r w:rsidRPr="00D7157F">
        <w:rPr>
          <w:rFonts w:asciiTheme="minorHAnsi" w:eastAsiaTheme="minorHAnsi" w:hAnsiTheme="minorHAnsi" w:cs="TimesNewRomanPSMT"/>
          <w:color w:val="000000"/>
        </w:rPr>
        <w:t xml:space="preserve">2 x ULN) compared with 2 (0.3%) patients in the </w:t>
      </w:r>
      <w:r>
        <w:rPr>
          <w:rFonts w:asciiTheme="minorHAnsi" w:eastAsiaTheme="minorHAnsi" w:hAnsiTheme="minorHAnsi" w:cs="TimesNewRomanPSMT"/>
          <w:color w:val="000000"/>
        </w:rPr>
        <w:t xml:space="preserve">lower dose </w:t>
      </w:r>
      <w:r w:rsidRPr="00D7157F">
        <w:rPr>
          <w:rFonts w:asciiTheme="minorHAnsi" w:eastAsiaTheme="minorHAnsi" w:hAnsiTheme="minorHAnsi" w:cs="TimesNewRomanPSMT"/>
          <w:color w:val="000000"/>
        </w:rPr>
        <w:t xml:space="preserve">sarilumab group. </w:t>
      </w:r>
      <w:r>
        <w:t>Overall, the differences between the two sarilumab groups in the incidence of ALT increases are unlikely to be clinically meaningful.</w:t>
      </w:r>
    </w:p>
    <w:p w:rsidR="002928AB" w:rsidRPr="00D7157F" w:rsidRDefault="002928AB" w:rsidP="001A7C72">
      <w:pPr>
        <w:pStyle w:val="Tabletitle0"/>
      </w:pPr>
      <w:bookmarkStart w:id="173" w:name="_Toc514687846"/>
      <w:r>
        <w:lastRenderedPageBreak/>
        <w:t xml:space="preserve">Table </w:t>
      </w:r>
      <w:r w:rsidR="002D6B88">
        <w:t>35</w:t>
      </w:r>
      <w:r>
        <w:t xml:space="preserve">: </w:t>
      </w:r>
      <w:r w:rsidRPr="00D7157F">
        <w:t>Pool 1 Laboratory ALT abnormalities</w:t>
      </w:r>
      <w:bookmarkEnd w:id="173"/>
    </w:p>
    <w:p w:rsidR="002928AB" w:rsidRDefault="002928AB" w:rsidP="00AB6393">
      <w:pPr>
        <w:rPr>
          <w:rFonts w:ascii="TimesNewRomanPSMT" w:eastAsiaTheme="minorHAnsi" w:hAnsi="TimesNewRomanPSMT" w:cs="TimesNewRomanPSMT"/>
          <w:color w:val="000000"/>
          <w:sz w:val="24"/>
          <w:szCs w:val="24"/>
        </w:rPr>
      </w:pPr>
      <w:r w:rsidRPr="00AB6393">
        <w:rPr>
          <w:noProof/>
          <w:lang w:eastAsia="en-AU"/>
        </w:rPr>
        <w:drawing>
          <wp:inline distT="0" distB="0" distL="0" distR="0" wp14:anchorId="36370BA0" wp14:editId="78C5D176">
            <wp:extent cx="5003596" cy="1679375"/>
            <wp:effectExtent l="0" t="0" r="6985" b="0"/>
            <wp:docPr id="908" name="Picture 908" descr="Pool 1 Laboratory ALT abnormal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009378" cy="1681316"/>
                    </a:xfrm>
                    <a:prstGeom prst="rect">
                      <a:avLst/>
                    </a:prstGeom>
                    <a:noFill/>
                    <a:ln>
                      <a:noFill/>
                    </a:ln>
                  </pic:spPr>
                </pic:pic>
              </a:graphicData>
            </a:graphic>
          </wp:inline>
        </w:drawing>
      </w:r>
    </w:p>
    <w:p w:rsidR="00AA6B20" w:rsidRDefault="002928AB" w:rsidP="001A7C72">
      <w:pPr>
        <w:pStyle w:val="Heading5"/>
        <w:rPr>
          <w:lang w:eastAsia="ja-JP"/>
        </w:rPr>
      </w:pPr>
      <w:r w:rsidRPr="00F14011">
        <w:rPr>
          <w:lang w:eastAsia="ja-JP"/>
        </w:rPr>
        <w:t xml:space="preserve">Pool 2 </w:t>
      </w:r>
      <w:proofErr w:type="spellStart"/>
      <w:r>
        <w:rPr>
          <w:lang w:eastAsia="ja-JP"/>
        </w:rPr>
        <w:t>Sarilumab</w:t>
      </w:r>
      <w:proofErr w:type="spellEnd"/>
      <w:r>
        <w:rPr>
          <w:lang w:eastAsia="ja-JP"/>
        </w:rPr>
        <w:t xml:space="preserve"> + </w:t>
      </w:r>
      <w:proofErr w:type="spellStart"/>
      <w:r>
        <w:rPr>
          <w:lang w:eastAsia="ja-JP"/>
        </w:rPr>
        <w:t>cDMARD</w:t>
      </w:r>
      <w:proofErr w:type="spellEnd"/>
      <w:r>
        <w:rPr>
          <w:lang w:eastAsia="ja-JP"/>
        </w:rPr>
        <w:t xml:space="preserve"> long-term safety population</w:t>
      </w:r>
    </w:p>
    <w:p w:rsidR="00AA6B20" w:rsidRDefault="002928AB" w:rsidP="002928AB">
      <w:pPr>
        <w:rPr>
          <w:rFonts w:asciiTheme="minorHAnsi" w:hAnsiTheme="minorHAnsi"/>
          <w:lang w:eastAsia="ja-JP"/>
        </w:rPr>
      </w:pPr>
      <w:r w:rsidRPr="00CF0677">
        <w:rPr>
          <w:rFonts w:asciiTheme="minorHAnsi" w:hAnsiTheme="minorHAnsi"/>
          <w:lang w:eastAsia="ja-JP"/>
        </w:rPr>
        <w:t>As of 26 January 2016, Pool 2 included a total of 2887 patients who received any dose of</w:t>
      </w:r>
      <w:r>
        <w:rPr>
          <w:rFonts w:asciiTheme="minorHAnsi" w:hAnsiTheme="minorHAnsi"/>
          <w:lang w:eastAsia="ja-JP"/>
        </w:rPr>
        <w:t xml:space="preserve"> </w:t>
      </w:r>
      <w:r w:rsidRPr="00CF0677">
        <w:rPr>
          <w:rFonts w:asciiTheme="minorHAnsi" w:hAnsiTheme="minorHAnsi"/>
          <w:lang w:eastAsia="ja-JP"/>
        </w:rPr>
        <w:t xml:space="preserve">sarilumab + DMARD, comprising 1155 patients initially treated with 150 mg q2w and 1351 patients initially treated with 200 mg q2w until discontinuation or dose modification. The </w:t>
      </w:r>
      <w:r w:rsidR="00125CC4">
        <w:rPr>
          <w:rFonts w:asciiTheme="minorHAnsi" w:hAnsiTheme="minorHAnsi"/>
          <w:lang w:eastAsia="ja-JP"/>
        </w:rPr>
        <w:t>‘</w:t>
      </w:r>
      <w:r w:rsidRPr="00CF0677">
        <w:rPr>
          <w:rFonts w:asciiTheme="minorHAnsi" w:hAnsiTheme="minorHAnsi"/>
          <w:lang w:eastAsia="ja-JP"/>
        </w:rPr>
        <w:t>any sarilumab dose + DMARD group</w:t>
      </w:r>
      <w:r w:rsidR="00125CC4">
        <w:rPr>
          <w:rFonts w:asciiTheme="minorHAnsi" w:hAnsiTheme="minorHAnsi"/>
          <w:lang w:eastAsia="ja-JP"/>
        </w:rPr>
        <w:t>’</w:t>
      </w:r>
      <w:r w:rsidRPr="00CF0677">
        <w:rPr>
          <w:rFonts w:asciiTheme="minorHAnsi" w:hAnsiTheme="minorHAnsi"/>
          <w:lang w:eastAsia="ja-JP"/>
        </w:rPr>
        <w:t xml:space="preserve"> included safety data from the time of the first dose of sarilumab to the last dose of sarilumab + 60 days, last patient contact</w:t>
      </w:r>
      <w:r w:rsidR="00F147C9">
        <w:rPr>
          <w:rFonts w:asciiTheme="minorHAnsi" w:hAnsiTheme="minorHAnsi"/>
          <w:lang w:eastAsia="ja-JP"/>
        </w:rPr>
        <w:t xml:space="preserve"> date, date of death or the cut-</w:t>
      </w:r>
      <w:r w:rsidRPr="00CF0677">
        <w:rPr>
          <w:rFonts w:asciiTheme="minorHAnsi" w:hAnsiTheme="minorHAnsi"/>
          <w:lang w:eastAsia="ja-JP"/>
        </w:rPr>
        <w:t>off date, whichever came first.</w:t>
      </w:r>
    </w:p>
    <w:p w:rsidR="00AA6B20" w:rsidRDefault="002928AB" w:rsidP="002928AB">
      <w:pPr>
        <w:autoSpaceDE w:val="0"/>
        <w:autoSpaceDN w:val="0"/>
        <w:adjustRightInd w:val="0"/>
        <w:rPr>
          <w:rFonts w:asciiTheme="minorHAnsi" w:eastAsiaTheme="minorHAnsi" w:hAnsiTheme="minorHAnsi" w:cs="TimesNewRomanPSMT"/>
        </w:rPr>
      </w:pPr>
      <w:r w:rsidRPr="00CF0677">
        <w:rPr>
          <w:rFonts w:asciiTheme="minorHAnsi" w:eastAsiaTheme="minorHAnsi" w:hAnsiTheme="minorHAnsi" w:cs="TimesNewRomanPSMT"/>
        </w:rPr>
        <w:t xml:space="preserve">Total exposure in Pool 2 to any dose of sarilumab was 2887 patients for 5681.6 </w:t>
      </w:r>
      <w:r>
        <w:rPr>
          <w:rFonts w:asciiTheme="minorHAnsi" w:eastAsiaTheme="minorHAnsi" w:hAnsiTheme="minorHAnsi" w:cs="TimesNewRomanPSMT"/>
        </w:rPr>
        <w:t>PY of exposure</w:t>
      </w:r>
      <w:r w:rsidRPr="00CF0677">
        <w:rPr>
          <w:rFonts w:asciiTheme="minorHAnsi" w:eastAsiaTheme="minorHAnsi" w:hAnsiTheme="minorHAnsi" w:cs="TimesNewRomanPSMT"/>
        </w:rPr>
        <w:t xml:space="preserve">, with 1960 patients exposed for </w:t>
      </w:r>
      <w:r w:rsidR="00DD5BCE">
        <w:t>&gt;</w:t>
      </w:r>
      <w:r w:rsidR="007C7C62">
        <w:t xml:space="preserve"> </w:t>
      </w:r>
      <w:r w:rsidRPr="00CF0677">
        <w:rPr>
          <w:rFonts w:asciiTheme="minorHAnsi" w:eastAsiaTheme="minorHAnsi" w:hAnsiTheme="minorHAnsi" w:cs="TimesNewRomanPSMT"/>
        </w:rPr>
        <w:t>48 weeks,</w:t>
      </w:r>
      <w:r w:rsidR="00125CC4">
        <w:rPr>
          <w:rFonts w:asciiTheme="minorHAnsi" w:eastAsiaTheme="minorHAnsi" w:hAnsiTheme="minorHAnsi" w:cs="TimesNewRomanPSMT"/>
        </w:rPr>
        <w:t xml:space="preserve"> </w:t>
      </w:r>
      <w:r w:rsidRPr="00CF0677">
        <w:rPr>
          <w:rFonts w:asciiTheme="minorHAnsi" w:eastAsiaTheme="minorHAnsi" w:hAnsiTheme="minorHAnsi" w:cs="TimesNewRomanPSMT"/>
        </w:rPr>
        <w:t xml:space="preserve">1298 patients exposed for </w:t>
      </w:r>
      <w:r w:rsidR="00DD5BCE">
        <w:t>&gt;</w:t>
      </w:r>
      <w:r w:rsidR="006711A8">
        <w:t> </w:t>
      </w:r>
      <w:r w:rsidRPr="00CF0677">
        <w:rPr>
          <w:rFonts w:asciiTheme="minorHAnsi" w:eastAsiaTheme="minorHAnsi" w:hAnsiTheme="minorHAnsi" w:cs="TimesNewRomanPSMT"/>
        </w:rPr>
        <w:t>96</w:t>
      </w:r>
      <w:r w:rsidR="0084607A">
        <w:rPr>
          <w:rFonts w:asciiTheme="minorHAnsi" w:eastAsiaTheme="minorHAnsi" w:hAnsiTheme="minorHAnsi" w:cs="TimesNewRomanPSMT"/>
        </w:rPr>
        <w:t> </w:t>
      </w:r>
      <w:r w:rsidRPr="00CF0677">
        <w:rPr>
          <w:rFonts w:asciiTheme="minorHAnsi" w:eastAsiaTheme="minorHAnsi" w:hAnsiTheme="minorHAnsi" w:cs="TimesNewRomanPSMT"/>
        </w:rPr>
        <w:t xml:space="preserve">weeks, 906 patients exposed for </w:t>
      </w:r>
      <w:r w:rsidR="00DD5BCE">
        <w:t>&gt;</w:t>
      </w:r>
      <w:r w:rsidR="007C7C62">
        <w:t xml:space="preserve"> </w:t>
      </w:r>
      <w:r w:rsidRPr="00CF0677">
        <w:rPr>
          <w:rFonts w:asciiTheme="minorHAnsi" w:eastAsiaTheme="minorHAnsi" w:hAnsiTheme="minorHAnsi" w:cs="TimesNewRomanPSMT"/>
        </w:rPr>
        <w:t xml:space="preserve">144 weeks, and 523 patients exposed for </w:t>
      </w:r>
      <w:r w:rsidR="00DD5BCE">
        <w:t>&gt;</w:t>
      </w:r>
      <w:r w:rsidR="006711A8">
        <w:t> </w:t>
      </w:r>
      <w:r w:rsidRPr="00CF0677">
        <w:rPr>
          <w:rFonts w:asciiTheme="minorHAnsi" w:eastAsiaTheme="minorHAnsi" w:hAnsiTheme="minorHAnsi" w:cs="TimesNewRomanPSMT"/>
        </w:rPr>
        <w:t>192</w:t>
      </w:r>
      <w:r w:rsidR="0084607A">
        <w:rPr>
          <w:rFonts w:asciiTheme="minorHAnsi" w:eastAsiaTheme="minorHAnsi" w:hAnsiTheme="minorHAnsi" w:cs="TimesNewRomanPSMT"/>
        </w:rPr>
        <w:t> </w:t>
      </w:r>
      <w:r w:rsidRPr="00CF0677">
        <w:rPr>
          <w:rFonts w:asciiTheme="minorHAnsi" w:eastAsiaTheme="minorHAnsi" w:hAnsiTheme="minorHAnsi" w:cs="TimesNewRomanPSMT"/>
        </w:rPr>
        <w:t>weeks. Based</w:t>
      </w:r>
      <w:r>
        <w:rPr>
          <w:rFonts w:asciiTheme="minorHAnsi" w:eastAsiaTheme="minorHAnsi" w:hAnsiTheme="minorHAnsi" w:cs="TimesNewRomanPSMT"/>
        </w:rPr>
        <w:t xml:space="preserve"> on exposure at any time during </w:t>
      </w:r>
      <w:r w:rsidRPr="00CF0677">
        <w:rPr>
          <w:rFonts w:asciiTheme="minorHAnsi" w:eastAsiaTheme="minorHAnsi" w:hAnsiTheme="minorHAnsi" w:cs="TimesNewRomanPSMT"/>
        </w:rPr>
        <w:t>sarilumab treatment, a total of 2157</w:t>
      </w:r>
      <w:r w:rsidR="0084607A">
        <w:rPr>
          <w:rFonts w:asciiTheme="minorHAnsi" w:eastAsiaTheme="minorHAnsi" w:hAnsiTheme="minorHAnsi" w:cs="TimesNewRomanPSMT"/>
        </w:rPr>
        <w:t> </w:t>
      </w:r>
      <w:r w:rsidRPr="00CF0677">
        <w:rPr>
          <w:rFonts w:asciiTheme="minorHAnsi" w:eastAsiaTheme="minorHAnsi" w:hAnsiTheme="minorHAnsi" w:cs="TimesNewRomanPSMT"/>
        </w:rPr>
        <w:t xml:space="preserve">patients received at least one dose of 200 mg q2w for a total of 3897.2 </w:t>
      </w:r>
      <w:r>
        <w:rPr>
          <w:rFonts w:asciiTheme="minorHAnsi" w:eastAsiaTheme="minorHAnsi" w:hAnsiTheme="minorHAnsi" w:cs="TimesNewRomanPSMT"/>
        </w:rPr>
        <w:t>PY</w:t>
      </w:r>
      <w:r w:rsidRPr="00CF0677">
        <w:rPr>
          <w:rFonts w:asciiTheme="minorHAnsi" w:eastAsiaTheme="minorHAnsi" w:hAnsiTheme="minorHAnsi" w:cs="TimesNewRomanPSMT"/>
        </w:rPr>
        <w:t xml:space="preserve"> of exposure and 1565 patients received at least one dose of 150 mg q2w for a total of 1505.9</w:t>
      </w:r>
      <w:r w:rsidR="0084607A">
        <w:rPr>
          <w:rFonts w:asciiTheme="minorHAnsi" w:eastAsiaTheme="minorHAnsi" w:hAnsiTheme="minorHAnsi" w:cs="TimesNewRomanPSMT"/>
        </w:rPr>
        <w:t> </w:t>
      </w:r>
      <w:r>
        <w:rPr>
          <w:rFonts w:asciiTheme="minorHAnsi" w:eastAsiaTheme="minorHAnsi" w:hAnsiTheme="minorHAnsi" w:cs="TimesNewRomanPSMT"/>
        </w:rPr>
        <w:t>PY</w:t>
      </w:r>
      <w:r w:rsidRPr="00CF0677">
        <w:rPr>
          <w:rFonts w:asciiTheme="minorHAnsi" w:eastAsiaTheme="minorHAnsi" w:hAnsiTheme="minorHAnsi" w:cs="TimesNewRomanPSMT"/>
        </w:rPr>
        <w:t xml:space="preserve"> of exposure.</w:t>
      </w:r>
    </w:p>
    <w:p w:rsidR="00AA6B20" w:rsidRDefault="002928AB" w:rsidP="002928AB">
      <w:pPr>
        <w:autoSpaceDE w:val="0"/>
        <w:autoSpaceDN w:val="0"/>
        <w:adjustRightInd w:val="0"/>
        <w:rPr>
          <w:rFonts w:asciiTheme="minorHAnsi" w:eastAsiaTheme="minorHAnsi" w:hAnsiTheme="minorHAnsi" w:cs="TimesNewRomanPSMT"/>
        </w:rPr>
      </w:pPr>
      <w:r>
        <w:rPr>
          <w:rFonts w:asciiTheme="minorHAnsi" w:eastAsiaTheme="minorHAnsi" w:hAnsiTheme="minorHAnsi" w:cs="TimesNewRomanPSMT"/>
        </w:rPr>
        <w:t xml:space="preserve">Of the 2887 patients in Pool 2 in the any dose sarilumab group, 1341 (46.4%) are receiving on-going treatment, 594 (20.6%) have completed treatment, and 952 (33.0%) have discontinued treatment (primarily due to AEs </w:t>
      </w:r>
      <w:r w:rsidR="0084607A">
        <w:rPr>
          <w:rFonts w:asciiTheme="minorHAnsi" w:eastAsiaTheme="minorHAnsi" w:hAnsiTheme="minorHAnsi" w:cs="TimesNewRomanPSMT"/>
        </w:rPr>
        <w:t>(</w:t>
      </w:r>
      <w:r w:rsidR="007C7C62">
        <w:rPr>
          <w:rFonts w:asciiTheme="minorHAnsi" w:eastAsiaTheme="minorHAnsi" w:hAnsiTheme="minorHAnsi" w:cs="TimesNewRomanPSMT"/>
        </w:rPr>
        <w:t xml:space="preserve">n = </w:t>
      </w:r>
      <w:r>
        <w:rPr>
          <w:rFonts w:asciiTheme="minorHAnsi" w:eastAsiaTheme="minorHAnsi" w:hAnsiTheme="minorHAnsi" w:cs="TimesNewRomanPSMT"/>
        </w:rPr>
        <w:t>601; 20.8%</w:t>
      </w:r>
      <w:r w:rsidR="0084607A">
        <w:rPr>
          <w:rFonts w:asciiTheme="minorHAnsi" w:eastAsiaTheme="minorHAnsi" w:hAnsiTheme="minorHAnsi" w:cs="TimesNewRomanPSMT"/>
        </w:rPr>
        <w:t>)</w:t>
      </w:r>
      <w:r>
        <w:rPr>
          <w:rFonts w:asciiTheme="minorHAnsi" w:eastAsiaTheme="minorHAnsi" w:hAnsiTheme="minorHAnsi" w:cs="TimesNewRomanPSMT"/>
        </w:rPr>
        <w:t>).</w:t>
      </w:r>
    </w:p>
    <w:p w:rsidR="00AA6B20" w:rsidRDefault="002928AB" w:rsidP="002928AB">
      <w:pPr>
        <w:autoSpaceDE w:val="0"/>
        <w:autoSpaceDN w:val="0"/>
        <w:adjustRightInd w:val="0"/>
        <w:rPr>
          <w:rFonts w:asciiTheme="minorHAnsi" w:eastAsiaTheme="minorHAnsi" w:hAnsiTheme="minorHAnsi" w:cs="TimesNewRomanPSMT"/>
        </w:rPr>
      </w:pPr>
      <w:r w:rsidRPr="00CF0677">
        <w:rPr>
          <w:rFonts w:asciiTheme="minorHAnsi" w:eastAsiaTheme="minorHAnsi" w:hAnsiTheme="minorHAnsi" w:cs="TimesNewRomanPSMT"/>
        </w:rPr>
        <w:t xml:space="preserve">Based on exposure-adjusted </w:t>
      </w:r>
      <w:r>
        <w:rPr>
          <w:rFonts w:asciiTheme="minorHAnsi" w:eastAsiaTheme="minorHAnsi" w:hAnsiTheme="minorHAnsi" w:cs="TimesNewRomanPSMT"/>
        </w:rPr>
        <w:t xml:space="preserve">patient </w:t>
      </w:r>
      <w:r w:rsidRPr="00CF0677">
        <w:rPr>
          <w:rFonts w:asciiTheme="minorHAnsi" w:eastAsiaTheme="minorHAnsi" w:hAnsiTheme="minorHAnsi" w:cs="TimesNewRomanPSMT"/>
        </w:rPr>
        <w:t xml:space="preserve">incidence </w:t>
      </w:r>
      <w:r>
        <w:rPr>
          <w:rFonts w:asciiTheme="minorHAnsi" w:eastAsiaTheme="minorHAnsi" w:hAnsiTheme="minorHAnsi" w:cs="TimesNewRomanPSMT"/>
        </w:rPr>
        <w:t xml:space="preserve">rates, no clinically meaningful </w:t>
      </w:r>
      <w:r w:rsidRPr="00CF0677">
        <w:rPr>
          <w:rFonts w:asciiTheme="minorHAnsi" w:eastAsiaTheme="minorHAnsi" w:hAnsiTheme="minorHAnsi" w:cs="TimesNewRomanPSMT"/>
        </w:rPr>
        <w:t xml:space="preserve">differences </w:t>
      </w:r>
      <w:r>
        <w:rPr>
          <w:rFonts w:asciiTheme="minorHAnsi" w:eastAsiaTheme="minorHAnsi" w:hAnsiTheme="minorHAnsi" w:cs="TimesNewRomanPSMT"/>
        </w:rPr>
        <w:t xml:space="preserve">were observed </w:t>
      </w:r>
      <w:r w:rsidRPr="00CF0677">
        <w:rPr>
          <w:rFonts w:asciiTheme="minorHAnsi" w:eastAsiaTheme="minorHAnsi" w:hAnsiTheme="minorHAnsi" w:cs="TimesNewRomanPSMT"/>
        </w:rPr>
        <w:t xml:space="preserve">between </w:t>
      </w:r>
      <w:r>
        <w:rPr>
          <w:rFonts w:asciiTheme="minorHAnsi" w:eastAsiaTheme="minorHAnsi" w:hAnsiTheme="minorHAnsi" w:cs="TimesNewRomanPSMT"/>
        </w:rPr>
        <w:t xml:space="preserve">the </w:t>
      </w:r>
      <w:r w:rsidRPr="00CF0677">
        <w:rPr>
          <w:rFonts w:asciiTheme="minorHAnsi" w:eastAsiaTheme="minorHAnsi" w:hAnsiTheme="minorHAnsi" w:cs="TimesNewRomanPSMT"/>
        </w:rPr>
        <w:t xml:space="preserve">sarilumab + DMARD long-term safety population (Pool 2) and the sarilumab + DMARD placebo-controlled population (Pool 1). The exposure-adjusted </w:t>
      </w:r>
      <w:r>
        <w:rPr>
          <w:rFonts w:asciiTheme="minorHAnsi" w:eastAsiaTheme="minorHAnsi" w:hAnsiTheme="minorHAnsi" w:cs="TimesNewRomanPSMT"/>
        </w:rPr>
        <w:t xml:space="preserve">patient </w:t>
      </w:r>
      <w:r w:rsidRPr="00CF0677">
        <w:rPr>
          <w:rFonts w:asciiTheme="minorHAnsi" w:eastAsiaTheme="minorHAnsi" w:hAnsiTheme="minorHAnsi" w:cs="TimesNewRomanPSMT"/>
        </w:rPr>
        <w:t xml:space="preserve">incidence rates of TEAEs, SAEs, and discontinuations </w:t>
      </w:r>
      <w:r>
        <w:rPr>
          <w:rFonts w:asciiTheme="minorHAnsi" w:eastAsiaTheme="minorHAnsi" w:hAnsiTheme="minorHAnsi" w:cs="TimesNewRomanPSMT"/>
        </w:rPr>
        <w:t xml:space="preserve">for sarilumab </w:t>
      </w:r>
      <w:r w:rsidRPr="00CF0677">
        <w:rPr>
          <w:rFonts w:asciiTheme="minorHAnsi" w:eastAsiaTheme="minorHAnsi" w:hAnsiTheme="minorHAnsi" w:cs="TimesNewRomanPSMT"/>
        </w:rPr>
        <w:t xml:space="preserve">due to TEAE </w:t>
      </w:r>
      <w:r>
        <w:rPr>
          <w:rFonts w:asciiTheme="minorHAnsi" w:eastAsiaTheme="minorHAnsi" w:hAnsiTheme="minorHAnsi" w:cs="TimesNewRomanPSMT"/>
        </w:rPr>
        <w:t xml:space="preserve">in the long-term population </w:t>
      </w:r>
      <w:r w:rsidRPr="00CF0677">
        <w:rPr>
          <w:rFonts w:asciiTheme="minorHAnsi" w:eastAsiaTheme="minorHAnsi" w:hAnsiTheme="minorHAnsi" w:cs="TimesNewRomanPSMT"/>
        </w:rPr>
        <w:t xml:space="preserve">were generally similar or slightly lower than the rates observed in the placebo-controlled population. The exposure-adjusted </w:t>
      </w:r>
      <w:r>
        <w:rPr>
          <w:rFonts w:asciiTheme="minorHAnsi" w:eastAsiaTheme="minorHAnsi" w:hAnsiTheme="minorHAnsi" w:cs="TimesNewRomanPSMT"/>
        </w:rPr>
        <w:t xml:space="preserve">patient </w:t>
      </w:r>
      <w:r w:rsidRPr="00CF0677">
        <w:rPr>
          <w:rFonts w:asciiTheme="minorHAnsi" w:eastAsiaTheme="minorHAnsi" w:hAnsiTheme="minorHAnsi" w:cs="TimesNewRomanPSMT"/>
        </w:rPr>
        <w:t xml:space="preserve">incidence rate for </w:t>
      </w:r>
      <w:r>
        <w:rPr>
          <w:rFonts w:asciiTheme="minorHAnsi" w:eastAsiaTheme="minorHAnsi" w:hAnsiTheme="minorHAnsi" w:cs="TimesNewRomanPSMT"/>
        </w:rPr>
        <w:t xml:space="preserve">death in the sarilumab group in the long-term population </w:t>
      </w:r>
      <w:r w:rsidRPr="00CF0677">
        <w:rPr>
          <w:rFonts w:asciiTheme="minorHAnsi" w:eastAsiaTheme="minorHAnsi" w:hAnsiTheme="minorHAnsi" w:cs="TimesNewRomanPSMT"/>
        </w:rPr>
        <w:t xml:space="preserve">was similar to the rate observed in the </w:t>
      </w:r>
      <w:r>
        <w:rPr>
          <w:rFonts w:asciiTheme="minorHAnsi" w:eastAsiaTheme="minorHAnsi" w:hAnsiTheme="minorHAnsi" w:cs="TimesNewRomanPSMT"/>
        </w:rPr>
        <w:t xml:space="preserve">sarilumab </w:t>
      </w:r>
      <w:r w:rsidRPr="00CF0677">
        <w:rPr>
          <w:rFonts w:asciiTheme="minorHAnsi" w:eastAsiaTheme="minorHAnsi" w:hAnsiTheme="minorHAnsi" w:cs="TimesNewRomanPSMT"/>
        </w:rPr>
        <w:t>placebo-controlled population.</w:t>
      </w:r>
    </w:p>
    <w:p w:rsidR="002928AB" w:rsidRDefault="002928AB" w:rsidP="002928AB">
      <w:pPr>
        <w:autoSpaceDE w:val="0"/>
        <w:autoSpaceDN w:val="0"/>
        <w:adjustRightInd w:val="0"/>
        <w:rPr>
          <w:rFonts w:asciiTheme="minorHAnsi" w:eastAsiaTheme="minorHAnsi" w:hAnsiTheme="minorHAnsi" w:cs="TimesNewRomanPSMT"/>
        </w:rPr>
      </w:pPr>
      <w:r w:rsidRPr="00CF0677">
        <w:rPr>
          <w:rFonts w:asciiTheme="minorHAnsi" w:eastAsiaTheme="minorHAnsi" w:hAnsiTheme="minorHAnsi" w:cs="TimesNewRomanPSMT"/>
        </w:rPr>
        <w:t>The overview of the AE profile for the any sarilumab dose group from Pool 2 is pr</w:t>
      </w:r>
      <w:r>
        <w:rPr>
          <w:rFonts w:asciiTheme="minorHAnsi" w:eastAsiaTheme="minorHAnsi" w:hAnsiTheme="minorHAnsi" w:cs="TimesNewRomanPSMT"/>
        </w:rPr>
        <w:t xml:space="preserve">ovided below in Table </w:t>
      </w:r>
      <w:r w:rsidR="002D6B88">
        <w:rPr>
          <w:rFonts w:asciiTheme="minorHAnsi" w:eastAsiaTheme="minorHAnsi" w:hAnsiTheme="minorHAnsi" w:cs="TimesNewRomanPSMT"/>
        </w:rPr>
        <w:t>36</w:t>
      </w:r>
      <w:r>
        <w:rPr>
          <w:rFonts w:asciiTheme="minorHAnsi" w:eastAsiaTheme="minorHAnsi" w:hAnsiTheme="minorHAnsi" w:cs="TimesNewRomanPSMT"/>
        </w:rPr>
        <w:t xml:space="preserve">, and the overview of the AE profiles for each sarilumab dose group are </w:t>
      </w:r>
      <w:r w:rsidRPr="00B2047B">
        <w:rPr>
          <w:rFonts w:asciiTheme="minorHAnsi" w:eastAsiaTheme="minorHAnsi" w:hAnsiTheme="minorHAnsi" w:cs="TimesNewRomanPSMT"/>
        </w:rPr>
        <w:t xml:space="preserve">summarised in Table </w:t>
      </w:r>
      <w:r w:rsidR="002D6B88" w:rsidRPr="00B2047B">
        <w:rPr>
          <w:rFonts w:asciiTheme="minorHAnsi" w:eastAsiaTheme="minorHAnsi" w:hAnsiTheme="minorHAnsi" w:cs="TimesNewRomanPSMT"/>
        </w:rPr>
        <w:t>37</w:t>
      </w:r>
      <w:r>
        <w:rPr>
          <w:rFonts w:asciiTheme="minorHAnsi" w:eastAsiaTheme="minorHAnsi" w:hAnsiTheme="minorHAnsi" w:cs="TimesNewRomanPSMT"/>
        </w:rPr>
        <w:t xml:space="preserve">. The raw patient incidence rates were higher in the sarilumab 200 mg initial dose group than in the initial sarilumab 150 mg dose group for each of the AE categories: </w:t>
      </w:r>
      <w:r w:rsidR="00B06B30">
        <w:rPr>
          <w:rFonts w:asciiTheme="minorHAnsi" w:eastAsiaTheme="minorHAnsi" w:hAnsiTheme="minorHAnsi" w:cs="TimesNewRomanPSMT"/>
        </w:rPr>
        <w:t>that is,</w:t>
      </w:r>
      <w:r>
        <w:rPr>
          <w:rFonts w:asciiTheme="minorHAnsi" w:eastAsiaTheme="minorHAnsi" w:hAnsiTheme="minorHAnsi" w:cs="TimesNewRomanPSMT"/>
        </w:rPr>
        <w:t xml:space="preserve"> any TEAE (85.2%</w:t>
      </w:r>
      <w:r w:rsidR="003D2290">
        <w:rPr>
          <w:rFonts w:asciiTheme="minorHAnsi" w:eastAsiaTheme="minorHAnsi" w:hAnsiTheme="minorHAnsi" w:cs="TimesNewRomanPSMT"/>
        </w:rPr>
        <w:t xml:space="preserve"> versus </w:t>
      </w:r>
      <w:r>
        <w:rPr>
          <w:rFonts w:asciiTheme="minorHAnsi" w:eastAsiaTheme="minorHAnsi" w:hAnsiTheme="minorHAnsi" w:cs="TimesNewRomanPSMT"/>
        </w:rPr>
        <w:t>67.4%, respectively); any treatment-emergent SAEs (16.9%</w:t>
      </w:r>
      <w:r w:rsidR="003D2290">
        <w:rPr>
          <w:rFonts w:asciiTheme="minorHAnsi" w:eastAsiaTheme="minorHAnsi" w:hAnsiTheme="minorHAnsi" w:cs="TimesNewRomanPSMT"/>
        </w:rPr>
        <w:t xml:space="preserve"> versus </w:t>
      </w:r>
      <w:r>
        <w:rPr>
          <w:rFonts w:asciiTheme="minorHAnsi" w:eastAsiaTheme="minorHAnsi" w:hAnsiTheme="minorHAnsi" w:cs="TimesNewRomanPSMT"/>
        </w:rPr>
        <w:t>5.5%, respectively); any TEAEs leading to death (0.6%</w:t>
      </w:r>
      <w:r w:rsidR="003D2290">
        <w:rPr>
          <w:rFonts w:asciiTheme="minorHAnsi" w:eastAsiaTheme="minorHAnsi" w:hAnsiTheme="minorHAnsi" w:cs="TimesNewRomanPSMT"/>
        </w:rPr>
        <w:t xml:space="preserve"> versus </w:t>
      </w:r>
      <w:r>
        <w:rPr>
          <w:rFonts w:asciiTheme="minorHAnsi" w:eastAsiaTheme="minorHAnsi" w:hAnsiTheme="minorHAnsi" w:cs="TimesNewRomanPSMT"/>
        </w:rPr>
        <w:t>0.2%, respectively); and any TEAEs leading to permanent treatment discontinuation (17.2%</w:t>
      </w:r>
      <w:r w:rsidR="003D2290">
        <w:rPr>
          <w:rFonts w:asciiTheme="minorHAnsi" w:eastAsiaTheme="minorHAnsi" w:hAnsiTheme="minorHAnsi" w:cs="TimesNewRomanPSMT"/>
        </w:rPr>
        <w:t xml:space="preserve"> versus </w:t>
      </w:r>
      <w:r>
        <w:rPr>
          <w:rFonts w:asciiTheme="minorHAnsi" w:eastAsiaTheme="minorHAnsi" w:hAnsiTheme="minorHAnsi" w:cs="TimesNewRomanPSMT"/>
        </w:rPr>
        <w:t xml:space="preserve">10.0%, respectively). However, exposure-adjusted event rates in the initial sarilumab 150 mg q2w group were greater than or the same as exposure-adjusted event rates in the initial sarilumab 200 mg q2w group: </w:t>
      </w:r>
      <w:r w:rsidR="00B06B30">
        <w:rPr>
          <w:rFonts w:asciiTheme="minorHAnsi" w:eastAsiaTheme="minorHAnsi" w:hAnsiTheme="minorHAnsi" w:cs="TimesNewRomanPSMT"/>
        </w:rPr>
        <w:t>that is,</w:t>
      </w:r>
      <w:r>
        <w:rPr>
          <w:rFonts w:asciiTheme="minorHAnsi" w:eastAsiaTheme="minorHAnsi" w:hAnsiTheme="minorHAnsi" w:cs="TimesNewRomanPSMT"/>
        </w:rPr>
        <w:t xml:space="preserve"> any TEAEs (326.0</w:t>
      </w:r>
      <w:r w:rsidR="003D2290">
        <w:rPr>
          <w:rFonts w:asciiTheme="minorHAnsi" w:eastAsiaTheme="minorHAnsi" w:hAnsiTheme="minorHAnsi" w:cs="TimesNewRomanPSMT"/>
        </w:rPr>
        <w:t xml:space="preserve"> versus </w:t>
      </w:r>
      <w:r>
        <w:rPr>
          <w:rFonts w:asciiTheme="minorHAnsi" w:eastAsiaTheme="minorHAnsi" w:hAnsiTheme="minorHAnsi" w:cs="TimesNewRomanPSMT"/>
        </w:rPr>
        <w:t>251.6</w:t>
      </w:r>
      <w:r w:rsidR="0084607A">
        <w:rPr>
          <w:rFonts w:asciiTheme="minorHAnsi" w:eastAsiaTheme="minorHAnsi" w:hAnsiTheme="minorHAnsi" w:cs="TimesNewRomanPSMT"/>
        </w:rPr>
        <w:t> </w:t>
      </w:r>
      <w:r>
        <w:rPr>
          <w:rFonts w:asciiTheme="minorHAnsi" w:eastAsiaTheme="minorHAnsi" w:hAnsiTheme="minorHAnsi" w:cs="TimesNewRomanPSMT"/>
        </w:rPr>
        <w:t>per 100 PY, respectively); any treatment-emergent SAEs (12.6</w:t>
      </w:r>
      <w:r w:rsidR="003D2290">
        <w:rPr>
          <w:rFonts w:asciiTheme="minorHAnsi" w:eastAsiaTheme="minorHAnsi" w:hAnsiTheme="minorHAnsi" w:cs="TimesNewRomanPSMT"/>
        </w:rPr>
        <w:t xml:space="preserve"> versus </w:t>
      </w:r>
      <w:r>
        <w:rPr>
          <w:rFonts w:asciiTheme="minorHAnsi" w:eastAsiaTheme="minorHAnsi" w:hAnsiTheme="minorHAnsi" w:cs="TimesNewRomanPSMT"/>
        </w:rPr>
        <w:t>14.6 per 100</w:t>
      </w:r>
      <w:r w:rsidR="0084607A">
        <w:rPr>
          <w:rFonts w:asciiTheme="minorHAnsi" w:eastAsiaTheme="minorHAnsi" w:hAnsiTheme="minorHAnsi" w:cs="TimesNewRomanPSMT"/>
        </w:rPr>
        <w:t> </w:t>
      </w:r>
      <w:r>
        <w:rPr>
          <w:rFonts w:asciiTheme="minorHAnsi" w:eastAsiaTheme="minorHAnsi" w:hAnsiTheme="minorHAnsi" w:cs="TimesNewRomanPSMT"/>
        </w:rPr>
        <w:t>PY, respectively); any TEAEs leading to death (0.3/100 PY in both groups); and any TEAEs leading to permanent treatment discontinuation (18.7</w:t>
      </w:r>
      <w:r w:rsidR="003D2290">
        <w:rPr>
          <w:rFonts w:asciiTheme="minorHAnsi" w:eastAsiaTheme="minorHAnsi" w:hAnsiTheme="minorHAnsi" w:cs="TimesNewRomanPSMT"/>
        </w:rPr>
        <w:t xml:space="preserve"> versus </w:t>
      </w:r>
      <w:r>
        <w:rPr>
          <w:rFonts w:asciiTheme="minorHAnsi" w:eastAsiaTheme="minorHAnsi" w:hAnsiTheme="minorHAnsi" w:cs="TimesNewRomanPSMT"/>
        </w:rPr>
        <w:t xml:space="preserve">11.0 per 100 PY, respectively). The exposure-adjusted event rates were similar in the initial sarilumab </w:t>
      </w:r>
      <w:r>
        <w:rPr>
          <w:rFonts w:asciiTheme="minorHAnsi" w:eastAsiaTheme="minorHAnsi" w:hAnsiTheme="minorHAnsi" w:cs="TimesNewRomanPSMT"/>
        </w:rPr>
        <w:lastRenderedPageBreak/>
        <w:t>200</w:t>
      </w:r>
      <w:r w:rsidR="0084607A">
        <w:rPr>
          <w:rFonts w:asciiTheme="minorHAnsi" w:eastAsiaTheme="minorHAnsi" w:hAnsiTheme="minorHAnsi" w:cs="TimesNewRomanPSMT"/>
        </w:rPr>
        <w:t> </w:t>
      </w:r>
      <w:r>
        <w:rPr>
          <w:rFonts w:asciiTheme="minorHAnsi" w:eastAsiaTheme="minorHAnsi" w:hAnsiTheme="minorHAnsi" w:cs="TimesNewRomanPSMT"/>
        </w:rPr>
        <w:t>mg q2w and the any sarilumab dose groups. Therefore, the review of the safety data for Pool 2 provided below focuses o</w:t>
      </w:r>
      <w:r w:rsidR="001A7C72">
        <w:rPr>
          <w:rFonts w:asciiTheme="minorHAnsi" w:eastAsiaTheme="minorHAnsi" w:hAnsiTheme="minorHAnsi" w:cs="TimesNewRomanPSMT"/>
        </w:rPr>
        <w:t>n the any sarilumab dose group.</w:t>
      </w:r>
    </w:p>
    <w:p w:rsidR="002D6B88" w:rsidRPr="00CF0677" w:rsidRDefault="002D6B88" w:rsidP="002D6B88">
      <w:pPr>
        <w:pStyle w:val="Tabletitle0"/>
      </w:pPr>
      <w:bookmarkStart w:id="174" w:name="_Toc514687847"/>
      <w:r>
        <w:t>Table 36: Pool 2 O</w:t>
      </w:r>
      <w:r w:rsidRPr="00CF0677">
        <w:t>verview of the AE profile</w:t>
      </w:r>
      <w:bookmarkEnd w:id="174"/>
    </w:p>
    <w:p w:rsidR="002D6B88" w:rsidRPr="00CF0677" w:rsidRDefault="006711A8" w:rsidP="002D6B88">
      <w:pPr>
        <w:autoSpaceDE w:val="0"/>
        <w:autoSpaceDN w:val="0"/>
        <w:adjustRightInd w:val="0"/>
        <w:spacing w:before="0" w:after="0" w:line="240" w:lineRule="auto"/>
        <w:rPr>
          <w:rFonts w:ascii="TimesNewRomanPSMT" w:eastAsiaTheme="minorHAnsi" w:hAnsi="TimesNewRomanPSMT" w:cs="TimesNewRomanPSMT"/>
        </w:rPr>
      </w:pPr>
      <w:r>
        <w:rPr>
          <w:noProof/>
          <w:lang w:eastAsia="en-AU"/>
        </w:rPr>
        <w:drawing>
          <wp:inline distT="0" distB="0" distL="0" distR="0" wp14:anchorId="5801A1FD" wp14:editId="51B045FE">
            <wp:extent cx="5400040" cy="2502711"/>
            <wp:effectExtent l="0" t="0" r="0" b="0"/>
            <wp:docPr id="3" name="Picture 3" descr="Pool 2 Overview of the AE pro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400040" cy="2502711"/>
                    </a:xfrm>
                    <a:prstGeom prst="rect">
                      <a:avLst/>
                    </a:prstGeom>
                  </pic:spPr>
                </pic:pic>
              </a:graphicData>
            </a:graphic>
          </wp:inline>
        </w:drawing>
      </w:r>
    </w:p>
    <w:p w:rsidR="002D6B88" w:rsidRPr="00CF0677" w:rsidRDefault="002D6B88" w:rsidP="002D6B88">
      <w:pPr>
        <w:pStyle w:val="TableDescription"/>
      </w:pPr>
      <w:r w:rsidRPr="00CF0677">
        <w:t>TEAE = Treatment-emergent adverse event, SAE = Serious adverse event. n (%) = number and percentage of patients with at least one TEAE</w:t>
      </w:r>
      <w:r w:rsidR="0084607A">
        <w:t xml:space="preserve">; </w:t>
      </w:r>
      <w:r w:rsidRPr="00CF0677">
        <w:t>a</w:t>
      </w:r>
      <w:r w:rsidR="0084607A">
        <w:t>)</w:t>
      </w:r>
      <w:r w:rsidRPr="00CF0677">
        <w:t xml:space="preserve"> Number of patients with at least one event per 100 </w:t>
      </w:r>
      <w:r>
        <w:t>PY</w:t>
      </w:r>
      <w:r w:rsidRPr="00CF0677">
        <w:t>, where the exposure time for patients who have experienced the specific</w:t>
      </w:r>
      <w:r>
        <w:t xml:space="preserve"> </w:t>
      </w:r>
      <w:r w:rsidRPr="00CF0677">
        <w:t>adverse experience was defined as the time to first adverse experience of interest whereas the exposure time for those who have not had this adverse experience was total TEAE period duration.</w:t>
      </w:r>
    </w:p>
    <w:p w:rsidR="00805BFC" w:rsidRPr="00CF0677" w:rsidRDefault="00805BFC" w:rsidP="002D6B88">
      <w:pPr>
        <w:pStyle w:val="Tabletitle0"/>
      </w:pPr>
      <w:bookmarkStart w:id="175" w:name="_Toc514687882"/>
      <w:r>
        <w:t xml:space="preserve">Table </w:t>
      </w:r>
      <w:r w:rsidR="002D6B88">
        <w:t>37</w:t>
      </w:r>
      <w:r>
        <w:t xml:space="preserve">: </w:t>
      </w:r>
      <w:r w:rsidRPr="00CF0677">
        <w:t>Pool 2 Adverse event profile of each of the sarilumab dose groups in the long-term safety population</w:t>
      </w:r>
      <w:bookmarkEnd w:id="175"/>
    </w:p>
    <w:p w:rsidR="00805BFC" w:rsidRPr="00CF0677" w:rsidRDefault="00805BFC" w:rsidP="002928AB">
      <w:pPr>
        <w:autoSpaceDE w:val="0"/>
        <w:autoSpaceDN w:val="0"/>
        <w:adjustRightInd w:val="0"/>
        <w:rPr>
          <w:rFonts w:asciiTheme="minorHAnsi" w:eastAsiaTheme="minorHAnsi" w:hAnsiTheme="minorHAnsi" w:cs="TimesNewRomanPSMT"/>
        </w:rPr>
      </w:pPr>
      <w:r>
        <w:rPr>
          <w:noProof/>
          <w:lang w:eastAsia="en-AU"/>
        </w:rPr>
        <w:drawing>
          <wp:inline distT="0" distB="0" distL="0" distR="0" wp14:anchorId="727A0E5E" wp14:editId="4F8617F8">
            <wp:extent cx="5332780" cy="1236772"/>
            <wp:effectExtent l="0" t="0" r="1270" b="1905"/>
            <wp:docPr id="896" name="Picture 896" descr=": Pool 2 Adverse event profile of each of the sarilumab dose groups in the long-term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extLst>
                        <a:ext uri="{BEBA8EAE-BF5A-486C-A8C5-ECC9F3942E4B}">
                          <a14:imgProps xmlns:a14="http://schemas.microsoft.com/office/drawing/2010/main">
                            <a14:imgLayer r:embed="rId70">
                              <a14:imgEffect>
                                <a14:sharpenSoften amount="50000"/>
                              </a14:imgEffect>
                            </a14:imgLayer>
                          </a14:imgProps>
                        </a:ext>
                      </a:extLst>
                    </a:blip>
                    <a:srcRect l="760" t="6358" r="2785"/>
                    <a:stretch/>
                  </pic:blipFill>
                  <pic:spPr bwMode="auto">
                    <a:xfrm>
                      <a:off x="0" y="0"/>
                      <a:ext cx="5352663" cy="1241383"/>
                    </a:xfrm>
                    <a:prstGeom prst="rect">
                      <a:avLst/>
                    </a:prstGeom>
                    <a:ln>
                      <a:noFill/>
                    </a:ln>
                    <a:extLst>
                      <a:ext uri="{53640926-AAD7-44D8-BBD7-CCE9431645EC}">
                        <a14:shadowObscured xmlns:a14="http://schemas.microsoft.com/office/drawing/2010/main"/>
                      </a:ext>
                    </a:extLst>
                  </pic:spPr>
                </pic:pic>
              </a:graphicData>
            </a:graphic>
          </wp:inline>
        </w:drawing>
      </w:r>
    </w:p>
    <w:p w:rsidR="00AA6B20" w:rsidRDefault="002928AB" w:rsidP="002928AB">
      <w:pPr>
        <w:rPr>
          <w:lang w:eastAsia="ja-JP"/>
        </w:rPr>
      </w:pPr>
      <w:r>
        <w:rPr>
          <w:lang w:eastAsia="ja-JP"/>
        </w:rPr>
        <w:t xml:space="preserve">TEAEs (any class) were reported in 2418 (83.8%) patients in the any sarilumab dose group, and the exposure-adjusted event rate was 238.2/100 PY. The most frequently reported TEAEs in patients in the any sarilumab dose group by SOC were </w:t>
      </w:r>
      <w:r w:rsidR="006C5D08" w:rsidRPr="00485E22">
        <w:rPr>
          <w:lang w:eastAsia="ja-JP"/>
        </w:rPr>
        <w:t>I</w:t>
      </w:r>
      <w:r w:rsidRPr="00485E22">
        <w:rPr>
          <w:lang w:eastAsia="ja-JP"/>
        </w:rPr>
        <w:t>nfections and infestations</w:t>
      </w:r>
      <w:r>
        <w:rPr>
          <w:lang w:eastAsia="ja-JP"/>
        </w:rPr>
        <w:t xml:space="preserve"> (49.5%). TEAEs (any class), preferred term, reported in </w:t>
      </w:r>
      <w:r w:rsidR="00DD5BCE">
        <w:t>≥</w:t>
      </w:r>
      <w:r w:rsidR="007C7C62">
        <w:t xml:space="preserve"> </w:t>
      </w:r>
      <w:r>
        <w:rPr>
          <w:lang w:eastAsia="ja-JP"/>
        </w:rPr>
        <w:t>5% of patients in the any sarilumab dose group, in descending order of frequency were: neutro</w:t>
      </w:r>
      <w:r w:rsidR="001E2D44">
        <w:rPr>
          <w:lang w:eastAsia="ja-JP"/>
        </w:rPr>
        <w:t>paenia</w:t>
      </w:r>
      <w:r>
        <w:rPr>
          <w:lang w:eastAsia="ja-JP"/>
        </w:rPr>
        <w:t xml:space="preserve"> (17.6%); upper respiratory tract infection (11.3%); accidental overdose (10.9%); ALT increased (10.0%); urinary tract infection (8.7%); nasopharyngitis (8.2%); injection site erythema (7.4%); hypertension (7.1%); bronchitis (6.8%); and RA (6.1%). The most frequently reported TEAEs (any class) reported in the any dose sarilumab group are summarised by patient incidence and exposure-</w:t>
      </w:r>
      <w:r w:rsidRPr="002D6B88">
        <w:rPr>
          <w:lang w:eastAsia="ja-JP"/>
        </w:rPr>
        <w:t xml:space="preserve">adjusted event rate in Table </w:t>
      </w:r>
      <w:r w:rsidR="002D6B88" w:rsidRPr="002D6B88">
        <w:rPr>
          <w:lang w:eastAsia="ja-JP"/>
        </w:rPr>
        <w:t>38</w:t>
      </w:r>
      <w:r>
        <w:rPr>
          <w:lang w:eastAsia="ja-JP"/>
        </w:rPr>
        <w:t>.</w:t>
      </w:r>
    </w:p>
    <w:p w:rsidR="00805BFC" w:rsidRPr="00EA7B61" w:rsidRDefault="00805BFC" w:rsidP="002D6B88">
      <w:pPr>
        <w:pStyle w:val="Tabletitle0"/>
      </w:pPr>
      <w:bookmarkStart w:id="176" w:name="_Toc514687883"/>
      <w:r>
        <w:lastRenderedPageBreak/>
        <w:t xml:space="preserve">Table </w:t>
      </w:r>
      <w:r w:rsidR="002D6B88">
        <w:t>38</w:t>
      </w:r>
      <w:r>
        <w:t xml:space="preserve">: </w:t>
      </w:r>
      <w:r w:rsidRPr="00EA7B61">
        <w:t>Pool 2 TEAEs (any) i</w:t>
      </w:r>
      <w:r>
        <w:t>n the any sarilumab dose group</w:t>
      </w:r>
      <w:bookmarkEnd w:id="176"/>
    </w:p>
    <w:p w:rsidR="00805BFC" w:rsidRDefault="002D6B88" w:rsidP="00805BFC">
      <w:pPr>
        <w:autoSpaceDE w:val="0"/>
        <w:autoSpaceDN w:val="0"/>
        <w:adjustRightInd w:val="0"/>
        <w:spacing w:before="0" w:after="0" w:line="240" w:lineRule="auto"/>
        <w:rPr>
          <w:rFonts w:asciiTheme="minorHAnsi" w:eastAsiaTheme="minorHAnsi" w:hAnsiTheme="minorHAnsi" w:cs="TimesNewRomanPSMT"/>
          <w:sz w:val="18"/>
          <w:szCs w:val="18"/>
        </w:rPr>
      </w:pPr>
      <w:r>
        <w:rPr>
          <w:noProof/>
          <w:lang w:eastAsia="en-AU"/>
        </w:rPr>
        <w:drawing>
          <wp:inline distT="0" distB="0" distL="0" distR="0" wp14:anchorId="66526D9E" wp14:editId="03442F27">
            <wp:extent cx="4712454" cy="6788506"/>
            <wp:effectExtent l="0" t="0" r="0" b="0"/>
            <wp:docPr id="920" name="Picture 920" descr="Pool 2 TEAEs (any) in the any sarilumab dose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BEBA8EAE-BF5A-486C-A8C5-ECC9F3942E4B}">
                          <a14:imgProps xmlns:a14="http://schemas.microsoft.com/office/drawing/2010/main">
                            <a14:imgLayer r:embed="rId72">
                              <a14:imgEffect>
                                <a14:sharpenSoften amount="50000"/>
                              </a14:imgEffect>
                            </a14:imgLayer>
                          </a14:imgProps>
                        </a:ext>
                      </a:extLst>
                    </a:blip>
                    <a:stretch>
                      <a:fillRect/>
                    </a:stretch>
                  </pic:blipFill>
                  <pic:spPr>
                    <a:xfrm>
                      <a:off x="0" y="0"/>
                      <a:ext cx="4712234" cy="6788189"/>
                    </a:xfrm>
                    <a:prstGeom prst="rect">
                      <a:avLst/>
                    </a:prstGeom>
                  </pic:spPr>
                </pic:pic>
              </a:graphicData>
            </a:graphic>
          </wp:inline>
        </w:drawing>
      </w:r>
    </w:p>
    <w:p w:rsidR="00805BFC" w:rsidRDefault="00805BFC" w:rsidP="002D6B88">
      <w:pPr>
        <w:pStyle w:val="Tabletitle0"/>
        <w:keepLines/>
      </w:pPr>
      <w:r w:rsidRPr="00EA7B61">
        <w:lastRenderedPageBreak/>
        <w:t xml:space="preserve">Table </w:t>
      </w:r>
      <w:r w:rsidR="002D6B88">
        <w:t xml:space="preserve">38 </w:t>
      </w:r>
      <w:r>
        <w:t>(continued)</w:t>
      </w:r>
      <w:r w:rsidRPr="00EA7B61">
        <w:t>: Pool 2 TEAEs (any) in the any sarilumab dose group</w:t>
      </w:r>
    </w:p>
    <w:p w:rsidR="002D6B88" w:rsidRPr="002D6B88" w:rsidRDefault="002D6B88" w:rsidP="002D6B88">
      <w:r>
        <w:rPr>
          <w:noProof/>
          <w:lang w:eastAsia="en-AU"/>
        </w:rPr>
        <w:drawing>
          <wp:inline distT="0" distB="0" distL="0" distR="0" wp14:anchorId="69D19C18" wp14:editId="295E3604">
            <wp:extent cx="4974336" cy="2908382"/>
            <wp:effectExtent l="0" t="0" r="0" b="6350"/>
            <wp:docPr id="922" name="Picture 922" descr="Pool 2 TEAEs (any) in the any sarilumab dose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BEBA8EAE-BF5A-486C-A8C5-ECC9F3942E4B}">
                          <a14:imgProps xmlns:a14="http://schemas.microsoft.com/office/drawing/2010/main">
                            <a14:imgLayer r:embed="rId74">
                              <a14:imgEffect>
                                <a14:sharpenSoften amount="50000"/>
                              </a14:imgEffect>
                            </a14:imgLayer>
                          </a14:imgProps>
                        </a:ext>
                      </a:extLst>
                    </a:blip>
                    <a:stretch>
                      <a:fillRect/>
                    </a:stretch>
                  </pic:blipFill>
                  <pic:spPr>
                    <a:xfrm>
                      <a:off x="0" y="0"/>
                      <a:ext cx="4973053" cy="2907632"/>
                    </a:xfrm>
                    <a:prstGeom prst="rect">
                      <a:avLst/>
                    </a:prstGeom>
                  </pic:spPr>
                </pic:pic>
              </a:graphicData>
            </a:graphic>
          </wp:inline>
        </w:drawing>
      </w:r>
    </w:p>
    <w:p w:rsidR="00AA6B20" w:rsidRDefault="002928AB" w:rsidP="002928AB">
      <w:pPr>
        <w:rPr>
          <w:lang w:eastAsia="ja-JP"/>
        </w:rPr>
      </w:pPr>
      <w:r>
        <w:rPr>
          <w:lang w:eastAsia="ja-JP"/>
        </w:rPr>
        <w:t xml:space="preserve">Death was reported in 22 (0.5%) patients in the any sarilumab dose group, including (preferred terms): </w:t>
      </w:r>
      <w:r w:rsidRPr="00F64914">
        <w:rPr>
          <w:lang w:eastAsia="ja-JP"/>
        </w:rPr>
        <w:t>2 x pneumonia; 2 x cerebrovascular</w:t>
      </w:r>
      <w:r>
        <w:rPr>
          <w:lang w:eastAsia="ja-JP"/>
        </w:rPr>
        <w:t xml:space="preserve"> accident; 2 x cardiac failure; </w:t>
      </w:r>
      <w:r w:rsidRPr="00F64914">
        <w:rPr>
          <w:lang w:eastAsia="ja-JP"/>
        </w:rPr>
        <w:t>1 x pneumonia viral; 1 x sepsis; 1 x septic shock; 1 x ductal adenocarcinoma of the pancreas; 1</w:t>
      </w:r>
      <w:r w:rsidR="006711A8">
        <w:rPr>
          <w:lang w:eastAsia="ja-JP"/>
        </w:rPr>
        <w:t> </w:t>
      </w:r>
      <w:r w:rsidRPr="00F64914">
        <w:rPr>
          <w:lang w:eastAsia="ja-JP"/>
        </w:rPr>
        <w:t>x cervix cancer metastatic; 1 x metastatic bronchial cancer; 1 x pulmonary oedema; 1 x pulmonary embolism; 1 x acute respiratory distress syndrome; 1 x respiratory distress; 1</w:t>
      </w:r>
      <w:r w:rsidR="006711A8">
        <w:rPr>
          <w:lang w:eastAsia="ja-JP"/>
        </w:rPr>
        <w:t> </w:t>
      </w:r>
      <w:r w:rsidRPr="00F64914">
        <w:rPr>
          <w:lang w:eastAsia="ja-JP"/>
        </w:rPr>
        <w:t>x acute respiratory failure; 1 x death; 1 x sudden death; 1 x multi</w:t>
      </w:r>
      <w:r w:rsidR="006C5D08">
        <w:rPr>
          <w:lang w:eastAsia="ja-JP"/>
        </w:rPr>
        <w:t xml:space="preserve"> </w:t>
      </w:r>
      <w:r w:rsidRPr="00F64914">
        <w:rPr>
          <w:lang w:eastAsia="ja-JP"/>
        </w:rPr>
        <w:t>organ failure; 1 x toxicity to various agents; and 1 x alcohol poisoning.</w:t>
      </w:r>
    </w:p>
    <w:p w:rsidR="00AA6B20" w:rsidRDefault="002928AB" w:rsidP="002928AB">
      <w:pPr>
        <w:rPr>
          <w:lang w:eastAsia="ja-JP"/>
        </w:rPr>
      </w:pPr>
      <w:r>
        <w:rPr>
          <w:lang w:eastAsia="ja-JP"/>
        </w:rPr>
        <w:t xml:space="preserve">SAEs (any class) were reported in 529 (18.3%) patients in any sarilumab dose group, with an exposure-adjusted event rate of 14.1/100 PY (824 events). The most frequently reported SAEs in patients in the any sarilumab dose group by SOC were </w:t>
      </w:r>
      <w:r w:rsidR="006C5D08" w:rsidRPr="00AB6393">
        <w:rPr>
          <w:lang w:eastAsia="ja-JP"/>
        </w:rPr>
        <w:t>I</w:t>
      </w:r>
      <w:r w:rsidRPr="00AB6393">
        <w:rPr>
          <w:lang w:eastAsia="ja-JP"/>
        </w:rPr>
        <w:t>nfections and infestation</w:t>
      </w:r>
      <w:r w:rsidRPr="00EA7B61">
        <w:rPr>
          <w:i/>
          <w:lang w:eastAsia="ja-JP"/>
        </w:rPr>
        <w:t>s</w:t>
      </w:r>
      <w:r>
        <w:rPr>
          <w:lang w:eastAsia="ja-JP"/>
        </w:rPr>
        <w:t xml:space="preserve"> (6.4%), with an exposure-adjusted incident rate of 3.8/100 PY (22 events). SAEs (any class), preferred term, reported in </w:t>
      </w:r>
      <w:r w:rsidR="00DD5BCE">
        <w:t>≥</w:t>
      </w:r>
      <w:r w:rsidR="007C7C62">
        <w:t xml:space="preserve"> </w:t>
      </w:r>
      <w:r>
        <w:rPr>
          <w:lang w:eastAsia="ja-JP"/>
        </w:rPr>
        <w:t xml:space="preserve">0.2% of patients in the any sarilumab dose group are summarised below in Table </w:t>
      </w:r>
      <w:r w:rsidR="000F5B2C">
        <w:rPr>
          <w:lang w:eastAsia="ja-JP"/>
        </w:rPr>
        <w:t>39</w:t>
      </w:r>
      <w:r>
        <w:rPr>
          <w:lang w:eastAsia="ja-JP"/>
        </w:rPr>
        <w:t>.</w:t>
      </w:r>
    </w:p>
    <w:p w:rsidR="002928AB" w:rsidRPr="00EA7B61" w:rsidRDefault="002928AB" w:rsidP="00BF5020">
      <w:pPr>
        <w:pStyle w:val="Tabletitle0"/>
        <w:rPr>
          <w:lang w:eastAsia="ja-JP"/>
        </w:rPr>
      </w:pPr>
      <w:bookmarkStart w:id="177" w:name="_Toc514687848"/>
      <w:r>
        <w:t xml:space="preserve">Table </w:t>
      </w:r>
      <w:r w:rsidR="000F5B2C">
        <w:t>39</w:t>
      </w:r>
      <w:r>
        <w:t xml:space="preserve">: </w:t>
      </w:r>
      <w:r w:rsidRPr="00EA7B61">
        <w:rPr>
          <w:lang w:eastAsia="ja-JP"/>
        </w:rPr>
        <w:t>Pool 2 SAEs (preferred term) any sarilumab dose in combination with DMARD group</w:t>
      </w:r>
      <w:bookmarkEnd w:id="177"/>
    </w:p>
    <w:tbl>
      <w:tblPr>
        <w:tblStyle w:val="TableTGAblue"/>
        <w:tblW w:w="0" w:type="auto"/>
        <w:tblInd w:w="108" w:type="dxa"/>
        <w:tblLook w:val="04A0" w:firstRow="1" w:lastRow="0" w:firstColumn="1" w:lastColumn="0" w:noHBand="0" w:noVBand="1"/>
      </w:tblPr>
      <w:tblGrid>
        <w:gridCol w:w="2552"/>
        <w:gridCol w:w="2835"/>
        <w:gridCol w:w="3225"/>
      </w:tblGrid>
      <w:tr w:rsidR="002928AB" w:rsidRPr="00EA7B61" w:rsidTr="00AB6393">
        <w:trPr>
          <w:cnfStyle w:val="100000000000" w:firstRow="1" w:lastRow="0" w:firstColumn="0" w:lastColumn="0" w:oddVBand="0" w:evenVBand="0" w:oddHBand="0" w:evenHBand="0" w:firstRowFirstColumn="0" w:firstRowLastColumn="0" w:lastRowFirstColumn="0" w:lastRowLastColumn="0"/>
          <w:cantSplit/>
        </w:trPr>
        <w:tc>
          <w:tcPr>
            <w:tcW w:w="2552" w:type="dxa"/>
          </w:tcPr>
          <w:p w:rsidR="002928AB" w:rsidRPr="006C5D08" w:rsidRDefault="002928AB" w:rsidP="00BF5020">
            <w:pPr>
              <w:rPr>
                <w:rFonts w:asciiTheme="minorHAnsi" w:hAnsiTheme="minorHAnsi"/>
                <w:sz w:val="20"/>
                <w:szCs w:val="20"/>
                <w:lang w:eastAsia="ja-JP"/>
              </w:rPr>
            </w:pPr>
            <w:r w:rsidRPr="006C5D08">
              <w:rPr>
                <w:rFonts w:asciiTheme="minorHAnsi" w:hAnsiTheme="minorHAnsi"/>
                <w:sz w:val="20"/>
                <w:szCs w:val="20"/>
                <w:lang w:eastAsia="ja-JP"/>
              </w:rPr>
              <w:t>Preferred term</w:t>
            </w:r>
          </w:p>
        </w:tc>
        <w:tc>
          <w:tcPr>
            <w:tcW w:w="2835" w:type="dxa"/>
          </w:tcPr>
          <w:p w:rsidR="002928AB" w:rsidRPr="006C5D08" w:rsidRDefault="002928AB" w:rsidP="00BF5020">
            <w:pPr>
              <w:rPr>
                <w:rFonts w:asciiTheme="minorHAnsi" w:hAnsiTheme="minorHAnsi"/>
                <w:sz w:val="20"/>
                <w:szCs w:val="20"/>
                <w:lang w:eastAsia="ja-JP"/>
              </w:rPr>
            </w:pPr>
            <w:r w:rsidRPr="006C5D08">
              <w:rPr>
                <w:rFonts w:asciiTheme="minorHAnsi" w:hAnsiTheme="minorHAnsi"/>
                <w:sz w:val="20"/>
                <w:szCs w:val="20"/>
                <w:lang w:eastAsia="ja-JP"/>
              </w:rPr>
              <w:t>Sarilumab any dose (</w:t>
            </w:r>
            <w:r w:rsidR="007C7C62">
              <w:rPr>
                <w:rFonts w:asciiTheme="minorHAnsi" w:hAnsiTheme="minorHAnsi"/>
                <w:sz w:val="20"/>
                <w:szCs w:val="20"/>
                <w:lang w:eastAsia="ja-JP"/>
              </w:rPr>
              <w:t>N</w:t>
            </w:r>
            <w:r w:rsidR="006711A8">
              <w:rPr>
                <w:rFonts w:asciiTheme="minorHAnsi" w:hAnsiTheme="minorHAnsi"/>
                <w:sz w:val="20"/>
                <w:szCs w:val="20"/>
                <w:lang w:eastAsia="ja-JP"/>
              </w:rPr>
              <w:t> </w:t>
            </w:r>
            <w:r w:rsidR="007C7C62">
              <w:rPr>
                <w:rFonts w:asciiTheme="minorHAnsi" w:hAnsiTheme="minorHAnsi"/>
                <w:sz w:val="20"/>
                <w:szCs w:val="20"/>
                <w:lang w:eastAsia="ja-JP"/>
              </w:rPr>
              <w:t>=</w:t>
            </w:r>
            <w:r w:rsidR="006711A8">
              <w:rPr>
                <w:rFonts w:asciiTheme="minorHAnsi" w:hAnsiTheme="minorHAnsi"/>
                <w:sz w:val="20"/>
                <w:szCs w:val="20"/>
                <w:lang w:eastAsia="ja-JP"/>
              </w:rPr>
              <w:t> </w:t>
            </w:r>
            <w:r w:rsidRPr="006C5D08">
              <w:rPr>
                <w:rFonts w:asciiTheme="minorHAnsi" w:hAnsiTheme="minorHAnsi"/>
                <w:sz w:val="20"/>
                <w:szCs w:val="20"/>
                <w:lang w:eastAsia="ja-JP"/>
              </w:rPr>
              <w:t>2887), n (%)</w:t>
            </w:r>
          </w:p>
        </w:tc>
        <w:tc>
          <w:tcPr>
            <w:tcW w:w="3225" w:type="dxa"/>
          </w:tcPr>
          <w:p w:rsidR="002928AB" w:rsidRPr="006C5D08" w:rsidRDefault="006C5D08" w:rsidP="00BF5020">
            <w:pPr>
              <w:rPr>
                <w:rFonts w:asciiTheme="minorHAnsi" w:hAnsiTheme="minorHAnsi"/>
                <w:sz w:val="20"/>
                <w:szCs w:val="20"/>
                <w:lang w:eastAsia="ja-JP"/>
              </w:rPr>
            </w:pPr>
            <w:r>
              <w:rPr>
                <w:rFonts w:asciiTheme="minorHAnsi" w:hAnsiTheme="minorHAnsi"/>
                <w:sz w:val="20"/>
                <w:szCs w:val="20"/>
                <w:lang w:eastAsia="ja-JP"/>
              </w:rPr>
              <w:t>N</w:t>
            </w:r>
            <w:r w:rsidR="002928AB" w:rsidRPr="006C5D08">
              <w:rPr>
                <w:rFonts w:asciiTheme="minorHAnsi" w:hAnsiTheme="minorHAnsi"/>
                <w:sz w:val="20"/>
                <w:szCs w:val="20"/>
                <w:lang w:eastAsia="ja-JP"/>
              </w:rPr>
              <w:t>umber of events (events/100 PY); 5844.9 PYE</w:t>
            </w:r>
          </w:p>
        </w:tc>
      </w:tr>
      <w:tr w:rsidR="002928AB" w:rsidRPr="00EA7B61" w:rsidTr="00AB6393">
        <w:tc>
          <w:tcPr>
            <w:tcW w:w="2552" w:type="dxa"/>
          </w:tcPr>
          <w:p w:rsidR="002928AB" w:rsidRPr="006C5D08" w:rsidRDefault="002928AB" w:rsidP="00BF5020">
            <w:pPr>
              <w:rPr>
                <w:rFonts w:asciiTheme="minorHAnsi" w:hAnsiTheme="minorHAnsi"/>
                <w:sz w:val="20"/>
                <w:szCs w:val="20"/>
                <w:lang w:eastAsia="ja-JP"/>
              </w:rPr>
            </w:pPr>
            <w:r w:rsidRPr="006C5D08">
              <w:rPr>
                <w:rFonts w:asciiTheme="minorHAnsi" w:eastAsiaTheme="minorHAnsi" w:hAnsiTheme="minorHAnsi"/>
                <w:sz w:val="20"/>
                <w:szCs w:val="20"/>
              </w:rPr>
              <w:t>SAE Any class</w:t>
            </w:r>
          </w:p>
        </w:tc>
        <w:tc>
          <w:tcPr>
            <w:tcW w:w="2835" w:type="dxa"/>
          </w:tcPr>
          <w:p w:rsidR="002928AB" w:rsidRPr="006C5D08" w:rsidRDefault="002928AB" w:rsidP="00BF5020">
            <w:pPr>
              <w:rPr>
                <w:rFonts w:asciiTheme="minorHAnsi" w:hAnsiTheme="minorHAnsi"/>
                <w:sz w:val="20"/>
                <w:szCs w:val="20"/>
                <w:lang w:eastAsia="ja-JP"/>
              </w:rPr>
            </w:pPr>
            <w:r w:rsidRPr="006C5D08">
              <w:rPr>
                <w:rFonts w:asciiTheme="minorHAnsi" w:eastAsiaTheme="minorHAnsi" w:hAnsiTheme="minorHAnsi"/>
                <w:sz w:val="20"/>
                <w:szCs w:val="20"/>
              </w:rPr>
              <w:t>529 (18.3%)</w:t>
            </w:r>
          </w:p>
        </w:tc>
        <w:tc>
          <w:tcPr>
            <w:tcW w:w="3225" w:type="dxa"/>
          </w:tcPr>
          <w:p w:rsidR="002928AB" w:rsidRPr="006C5D08" w:rsidRDefault="002928AB" w:rsidP="00BF5020">
            <w:pPr>
              <w:rPr>
                <w:rFonts w:asciiTheme="minorHAnsi" w:hAnsiTheme="minorHAnsi"/>
                <w:sz w:val="20"/>
                <w:szCs w:val="20"/>
                <w:lang w:eastAsia="ja-JP"/>
              </w:rPr>
            </w:pPr>
            <w:r w:rsidRPr="006C5D08">
              <w:rPr>
                <w:rFonts w:asciiTheme="minorHAnsi" w:eastAsiaTheme="minorHAnsi" w:hAnsiTheme="minorHAnsi"/>
                <w:sz w:val="20"/>
                <w:szCs w:val="20"/>
              </w:rPr>
              <w:t>824 (14.1)</w:t>
            </w:r>
          </w:p>
        </w:tc>
      </w:tr>
      <w:tr w:rsidR="002928AB" w:rsidRPr="00EA7B61" w:rsidTr="00AB6393">
        <w:tc>
          <w:tcPr>
            <w:tcW w:w="2552" w:type="dxa"/>
          </w:tcPr>
          <w:p w:rsidR="002928AB" w:rsidRPr="006C5D08" w:rsidRDefault="002928AB" w:rsidP="00BF5020">
            <w:pPr>
              <w:rPr>
                <w:rFonts w:asciiTheme="minorHAnsi" w:hAnsiTheme="minorHAnsi"/>
                <w:sz w:val="20"/>
                <w:szCs w:val="20"/>
                <w:lang w:eastAsia="ja-JP"/>
              </w:rPr>
            </w:pPr>
            <w:r w:rsidRPr="006C5D08">
              <w:rPr>
                <w:rFonts w:asciiTheme="minorHAnsi" w:eastAsiaTheme="minorHAnsi" w:hAnsiTheme="minorHAnsi"/>
                <w:sz w:val="20"/>
                <w:szCs w:val="20"/>
              </w:rPr>
              <w:t>Pneumonia</w:t>
            </w:r>
          </w:p>
        </w:tc>
        <w:tc>
          <w:tcPr>
            <w:tcW w:w="2835" w:type="dxa"/>
          </w:tcPr>
          <w:p w:rsidR="002928AB" w:rsidRPr="006C5D08" w:rsidRDefault="002928AB" w:rsidP="00BF5020">
            <w:pPr>
              <w:rPr>
                <w:rFonts w:asciiTheme="minorHAnsi" w:hAnsiTheme="minorHAnsi"/>
                <w:sz w:val="20"/>
                <w:szCs w:val="20"/>
                <w:lang w:eastAsia="ja-JP"/>
              </w:rPr>
            </w:pPr>
            <w:r w:rsidRPr="006C5D08">
              <w:rPr>
                <w:rFonts w:asciiTheme="minorHAnsi" w:eastAsiaTheme="minorHAnsi" w:hAnsiTheme="minorHAnsi"/>
                <w:sz w:val="20"/>
                <w:szCs w:val="20"/>
              </w:rPr>
              <w:t>35 (1.2%)</w:t>
            </w:r>
          </w:p>
        </w:tc>
        <w:tc>
          <w:tcPr>
            <w:tcW w:w="3225" w:type="dxa"/>
          </w:tcPr>
          <w:p w:rsidR="002928AB" w:rsidRPr="006C5D08" w:rsidRDefault="002928AB" w:rsidP="00BF5020">
            <w:pPr>
              <w:rPr>
                <w:rFonts w:asciiTheme="minorHAnsi" w:hAnsiTheme="minorHAnsi"/>
                <w:sz w:val="20"/>
                <w:szCs w:val="20"/>
                <w:lang w:eastAsia="ja-JP"/>
              </w:rPr>
            </w:pPr>
            <w:r w:rsidRPr="006C5D08">
              <w:rPr>
                <w:rFonts w:asciiTheme="minorHAnsi" w:eastAsiaTheme="minorHAnsi" w:hAnsiTheme="minorHAnsi"/>
                <w:sz w:val="20"/>
                <w:szCs w:val="20"/>
              </w:rPr>
              <w:t>36 (0.6)</w:t>
            </w:r>
          </w:p>
        </w:tc>
      </w:tr>
      <w:tr w:rsidR="002928AB" w:rsidRPr="00EA7B61" w:rsidTr="00AB6393">
        <w:tc>
          <w:tcPr>
            <w:tcW w:w="2552"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Osteoarthritis</w:t>
            </w:r>
          </w:p>
        </w:tc>
        <w:tc>
          <w:tcPr>
            <w:tcW w:w="2835"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28 (1.0%)</w:t>
            </w:r>
          </w:p>
        </w:tc>
        <w:tc>
          <w:tcPr>
            <w:tcW w:w="3225"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32 (0.5)</w:t>
            </w:r>
          </w:p>
        </w:tc>
      </w:tr>
      <w:tr w:rsidR="002928AB" w:rsidRPr="00EA7B61" w:rsidTr="00AB6393">
        <w:tc>
          <w:tcPr>
            <w:tcW w:w="2552"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Rheumatoid arthritis</w:t>
            </w:r>
          </w:p>
        </w:tc>
        <w:tc>
          <w:tcPr>
            <w:tcW w:w="2835"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23 (0.8%))</w:t>
            </w:r>
          </w:p>
        </w:tc>
        <w:tc>
          <w:tcPr>
            <w:tcW w:w="3225"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24 (0.4</w:t>
            </w:r>
          </w:p>
        </w:tc>
      </w:tr>
      <w:tr w:rsidR="002928AB" w:rsidRPr="00EA7B61" w:rsidTr="00AB6393">
        <w:tc>
          <w:tcPr>
            <w:tcW w:w="2552" w:type="dxa"/>
          </w:tcPr>
          <w:p w:rsidR="002928AB" w:rsidRPr="006C5D08" w:rsidRDefault="002928AB" w:rsidP="00BF5020">
            <w:pPr>
              <w:rPr>
                <w:rFonts w:asciiTheme="minorHAnsi" w:hAnsiTheme="minorHAnsi"/>
                <w:sz w:val="20"/>
                <w:szCs w:val="20"/>
              </w:rPr>
            </w:pPr>
            <w:r w:rsidRPr="006C5D08">
              <w:rPr>
                <w:rFonts w:asciiTheme="minorHAnsi" w:eastAsiaTheme="minorHAnsi" w:hAnsiTheme="minorHAnsi"/>
                <w:sz w:val="20"/>
                <w:szCs w:val="20"/>
              </w:rPr>
              <w:t>Neutro</w:t>
            </w:r>
            <w:r w:rsidR="001E2D44" w:rsidRPr="006C5D08">
              <w:rPr>
                <w:rFonts w:asciiTheme="minorHAnsi" w:eastAsiaTheme="minorHAnsi" w:hAnsiTheme="minorHAnsi"/>
                <w:sz w:val="20"/>
                <w:szCs w:val="20"/>
              </w:rPr>
              <w:t>paenia</w:t>
            </w:r>
          </w:p>
        </w:tc>
        <w:tc>
          <w:tcPr>
            <w:tcW w:w="2835" w:type="dxa"/>
          </w:tcPr>
          <w:p w:rsidR="002928AB" w:rsidRPr="006C5D08" w:rsidRDefault="002928AB" w:rsidP="00BF5020">
            <w:pPr>
              <w:rPr>
                <w:rFonts w:asciiTheme="minorHAnsi" w:hAnsiTheme="minorHAnsi"/>
                <w:sz w:val="20"/>
                <w:szCs w:val="20"/>
              </w:rPr>
            </w:pPr>
            <w:r w:rsidRPr="006C5D08">
              <w:rPr>
                <w:rFonts w:asciiTheme="minorHAnsi" w:eastAsiaTheme="minorHAnsi" w:hAnsiTheme="minorHAnsi"/>
                <w:sz w:val="20"/>
                <w:szCs w:val="20"/>
              </w:rPr>
              <w:t>20 (0.7%)</w:t>
            </w:r>
          </w:p>
        </w:tc>
        <w:tc>
          <w:tcPr>
            <w:tcW w:w="3225" w:type="dxa"/>
          </w:tcPr>
          <w:p w:rsidR="002928AB" w:rsidRPr="006C5D08" w:rsidRDefault="002928AB" w:rsidP="00BF5020">
            <w:pPr>
              <w:rPr>
                <w:rFonts w:asciiTheme="minorHAnsi" w:hAnsiTheme="minorHAnsi"/>
                <w:sz w:val="20"/>
                <w:szCs w:val="20"/>
              </w:rPr>
            </w:pPr>
            <w:r w:rsidRPr="006C5D08">
              <w:rPr>
                <w:rFonts w:asciiTheme="minorHAnsi" w:eastAsiaTheme="minorHAnsi" w:hAnsiTheme="minorHAnsi"/>
                <w:sz w:val="20"/>
                <w:szCs w:val="20"/>
              </w:rPr>
              <w:t>21 (0.4)</w:t>
            </w:r>
          </w:p>
        </w:tc>
      </w:tr>
      <w:tr w:rsidR="002928AB" w:rsidRPr="00EA7B61" w:rsidTr="00AB6393">
        <w:tc>
          <w:tcPr>
            <w:tcW w:w="2552" w:type="dxa"/>
          </w:tcPr>
          <w:p w:rsidR="002928AB" w:rsidRPr="006C5D08" w:rsidRDefault="002928AB" w:rsidP="00BF5020">
            <w:pPr>
              <w:rPr>
                <w:rFonts w:asciiTheme="minorHAnsi" w:hAnsiTheme="minorHAnsi"/>
                <w:sz w:val="20"/>
                <w:szCs w:val="20"/>
                <w:lang w:eastAsia="ja-JP"/>
              </w:rPr>
            </w:pPr>
            <w:r w:rsidRPr="006C5D08">
              <w:rPr>
                <w:rFonts w:asciiTheme="minorHAnsi" w:eastAsiaTheme="minorHAnsi" w:hAnsiTheme="minorHAnsi"/>
                <w:sz w:val="20"/>
                <w:szCs w:val="20"/>
              </w:rPr>
              <w:t>Cellulitis</w:t>
            </w:r>
          </w:p>
        </w:tc>
        <w:tc>
          <w:tcPr>
            <w:tcW w:w="2835" w:type="dxa"/>
          </w:tcPr>
          <w:p w:rsidR="002928AB" w:rsidRPr="006C5D08" w:rsidRDefault="002928AB" w:rsidP="00BF5020">
            <w:pPr>
              <w:rPr>
                <w:rFonts w:asciiTheme="minorHAnsi" w:hAnsiTheme="minorHAnsi"/>
                <w:sz w:val="20"/>
                <w:szCs w:val="20"/>
                <w:lang w:eastAsia="ja-JP"/>
              </w:rPr>
            </w:pPr>
            <w:r w:rsidRPr="006C5D08">
              <w:rPr>
                <w:rFonts w:asciiTheme="minorHAnsi" w:eastAsiaTheme="minorHAnsi" w:hAnsiTheme="minorHAnsi"/>
                <w:sz w:val="20"/>
                <w:szCs w:val="20"/>
              </w:rPr>
              <w:t>15 (0.5%)</w:t>
            </w:r>
          </w:p>
        </w:tc>
        <w:tc>
          <w:tcPr>
            <w:tcW w:w="3225" w:type="dxa"/>
          </w:tcPr>
          <w:p w:rsidR="002928AB" w:rsidRPr="006C5D08" w:rsidRDefault="002928AB" w:rsidP="00BF5020">
            <w:pPr>
              <w:rPr>
                <w:rFonts w:asciiTheme="minorHAnsi" w:hAnsiTheme="minorHAnsi"/>
                <w:sz w:val="20"/>
                <w:szCs w:val="20"/>
                <w:lang w:eastAsia="ja-JP"/>
              </w:rPr>
            </w:pPr>
            <w:r w:rsidRPr="006C5D08">
              <w:rPr>
                <w:rFonts w:asciiTheme="minorHAnsi" w:eastAsiaTheme="minorHAnsi" w:hAnsiTheme="minorHAnsi"/>
                <w:sz w:val="20"/>
                <w:szCs w:val="20"/>
              </w:rPr>
              <w:t>17 (0.3)</w:t>
            </w:r>
          </w:p>
        </w:tc>
      </w:tr>
      <w:tr w:rsidR="002928AB" w:rsidRPr="00EA7B61" w:rsidTr="00AB6393">
        <w:tc>
          <w:tcPr>
            <w:tcW w:w="2552" w:type="dxa"/>
          </w:tcPr>
          <w:p w:rsidR="002928AB" w:rsidRPr="006C5D08" w:rsidRDefault="002928AB" w:rsidP="00BF5020">
            <w:pPr>
              <w:rPr>
                <w:rFonts w:asciiTheme="minorHAnsi" w:eastAsiaTheme="minorHAnsi" w:hAnsiTheme="minorHAnsi"/>
                <w:sz w:val="20"/>
                <w:szCs w:val="20"/>
              </w:rPr>
            </w:pPr>
            <w:proofErr w:type="spellStart"/>
            <w:r w:rsidRPr="006C5D08">
              <w:rPr>
                <w:rFonts w:asciiTheme="minorHAnsi" w:eastAsiaTheme="minorHAnsi" w:hAnsiTheme="minorHAnsi"/>
                <w:sz w:val="20"/>
                <w:szCs w:val="20"/>
              </w:rPr>
              <w:t>Cholelithiasis</w:t>
            </w:r>
            <w:proofErr w:type="spellEnd"/>
          </w:p>
        </w:tc>
        <w:tc>
          <w:tcPr>
            <w:tcW w:w="2835"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12 (0.4%)</w:t>
            </w:r>
          </w:p>
        </w:tc>
        <w:tc>
          <w:tcPr>
            <w:tcW w:w="3225"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12 (0.2)</w:t>
            </w:r>
          </w:p>
        </w:tc>
      </w:tr>
      <w:tr w:rsidR="002928AB" w:rsidRPr="00EA7B61" w:rsidTr="00AB6393">
        <w:tc>
          <w:tcPr>
            <w:tcW w:w="2552"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lastRenderedPageBreak/>
              <w:t>Pulmonary embolism</w:t>
            </w:r>
          </w:p>
        </w:tc>
        <w:tc>
          <w:tcPr>
            <w:tcW w:w="2835"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10 (0.3%)</w:t>
            </w:r>
          </w:p>
        </w:tc>
        <w:tc>
          <w:tcPr>
            <w:tcW w:w="3225"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11 (0.2)</w:t>
            </w:r>
          </w:p>
        </w:tc>
      </w:tr>
      <w:tr w:rsidR="002928AB" w:rsidRPr="00EA7B61" w:rsidTr="00AB6393">
        <w:tc>
          <w:tcPr>
            <w:tcW w:w="2552"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Deep vein thrombosis</w:t>
            </w:r>
          </w:p>
        </w:tc>
        <w:tc>
          <w:tcPr>
            <w:tcW w:w="2835"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9 (0.3%)</w:t>
            </w:r>
          </w:p>
        </w:tc>
        <w:tc>
          <w:tcPr>
            <w:tcW w:w="3225"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9 (0.2)</w:t>
            </w:r>
          </w:p>
        </w:tc>
      </w:tr>
      <w:tr w:rsidR="002928AB" w:rsidRPr="00EA7B61" w:rsidTr="00AB6393">
        <w:tc>
          <w:tcPr>
            <w:tcW w:w="2552" w:type="dxa"/>
          </w:tcPr>
          <w:p w:rsidR="002928AB" w:rsidRPr="006C5D08" w:rsidRDefault="002928AB" w:rsidP="00BF5020">
            <w:pPr>
              <w:rPr>
                <w:rFonts w:asciiTheme="minorHAnsi" w:hAnsiTheme="minorHAnsi"/>
                <w:sz w:val="20"/>
                <w:szCs w:val="20"/>
                <w:lang w:eastAsia="ja-JP"/>
              </w:rPr>
            </w:pPr>
            <w:r w:rsidRPr="006C5D08">
              <w:rPr>
                <w:rFonts w:asciiTheme="minorHAnsi" w:eastAsiaTheme="minorHAnsi" w:hAnsiTheme="minorHAnsi"/>
                <w:sz w:val="20"/>
                <w:szCs w:val="20"/>
              </w:rPr>
              <w:t>Erysipelas</w:t>
            </w:r>
          </w:p>
        </w:tc>
        <w:tc>
          <w:tcPr>
            <w:tcW w:w="2835" w:type="dxa"/>
          </w:tcPr>
          <w:p w:rsidR="002928AB" w:rsidRPr="006C5D08" w:rsidRDefault="002928AB" w:rsidP="00BF5020">
            <w:pPr>
              <w:rPr>
                <w:rFonts w:asciiTheme="minorHAnsi" w:hAnsiTheme="minorHAnsi"/>
                <w:sz w:val="20"/>
                <w:szCs w:val="20"/>
                <w:lang w:eastAsia="ja-JP"/>
              </w:rPr>
            </w:pPr>
            <w:r w:rsidRPr="006C5D08">
              <w:rPr>
                <w:rFonts w:asciiTheme="minorHAnsi" w:eastAsiaTheme="minorHAnsi" w:hAnsiTheme="minorHAnsi"/>
                <w:sz w:val="20"/>
                <w:szCs w:val="20"/>
              </w:rPr>
              <w:t>8 (0.3%)</w:t>
            </w:r>
          </w:p>
        </w:tc>
        <w:tc>
          <w:tcPr>
            <w:tcW w:w="3225" w:type="dxa"/>
          </w:tcPr>
          <w:p w:rsidR="002928AB" w:rsidRPr="006C5D08" w:rsidRDefault="002928AB" w:rsidP="00BF5020">
            <w:pPr>
              <w:rPr>
                <w:rFonts w:asciiTheme="minorHAnsi" w:hAnsiTheme="minorHAnsi"/>
                <w:sz w:val="20"/>
                <w:szCs w:val="20"/>
                <w:lang w:eastAsia="ja-JP"/>
              </w:rPr>
            </w:pPr>
            <w:r w:rsidRPr="006C5D08">
              <w:rPr>
                <w:rFonts w:asciiTheme="minorHAnsi" w:eastAsiaTheme="minorHAnsi" w:hAnsiTheme="minorHAnsi"/>
                <w:sz w:val="20"/>
                <w:szCs w:val="20"/>
              </w:rPr>
              <w:t>8 (0.1)</w:t>
            </w:r>
          </w:p>
        </w:tc>
      </w:tr>
      <w:tr w:rsidR="002928AB" w:rsidRPr="00EA7B61" w:rsidTr="00AB6393">
        <w:tc>
          <w:tcPr>
            <w:tcW w:w="2552"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Diverticulitis</w:t>
            </w:r>
          </w:p>
        </w:tc>
        <w:tc>
          <w:tcPr>
            <w:tcW w:w="2835"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7 (0.2%)</w:t>
            </w:r>
          </w:p>
        </w:tc>
        <w:tc>
          <w:tcPr>
            <w:tcW w:w="3225"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7 (0.1)</w:t>
            </w:r>
          </w:p>
        </w:tc>
      </w:tr>
      <w:tr w:rsidR="002928AB" w:rsidRPr="00EA7B61" w:rsidTr="00AB6393">
        <w:tc>
          <w:tcPr>
            <w:tcW w:w="2552"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Acute myocardial infarction</w:t>
            </w:r>
          </w:p>
        </w:tc>
        <w:tc>
          <w:tcPr>
            <w:tcW w:w="2835"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7 (0.2%)</w:t>
            </w:r>
          </w:p>
        </w:tc>
        <w:tc>
          <w:tcPr>
            <w:tcW w:w="3225"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7 (0.1)</w:t>
            </w:r>
          </w:p>
        </w:tc>
      </w:tr>
      <w:tr w:rsidR="002928AB" w:rsidRPr="00EA7B61" w:rsidTr="00AB6393">
        <w:tc>
          <w:tcPr>
            <w:tcW w:w="2552"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ALT increased</w:t>
            </w:r>
          </w:p>
        </w:tc>
        <w:tc>
          <w:tcPr>
            <w:tcW w:w="2835"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7 (0.2%)</w:t>
            </w:r>
          </w:p>
        </w:tc>
        <w:tc>
          <w:tcPr>
            <w:tcW w:w="3225"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7 (0.1)</w:t>
            </w:r>
          </w:p>
        </w:tc>
      </w:tr>
      <w:tr w:rsidR="002928AB" w:rsidRPr="00EA7B61" w:rsidTr="00AB6393">
        <w:tc>
          <w:tcPr>
            <w:tcW w:w="2552" w:type="dxa"/>
          </w:tcPr>
          <w:p w:rsidR="002928AB" w:rsidRPr="006C5D08" w:rsidRDefault="002928AB" w:rsidP="00BF5020">
            <w:pPr>
              <w:rPr>
                <w:rFonts w:asciiTheme="minorHAnsi" w:hAnsiTheme="minorHAnsi"/>
                <w:sz w:val="20"/>
                <w:szCs w:val="20"/>
              </w:rPr>
            </w:pPr>
            <w:r w:rsidRPr="006C5D08">
              <w:rPr>
                <w:rFonts w:asciiTheme="minorHAnsi" w:eastAsiaTheme="minorHAnsi" w:hAnsiTheme="minorHAnsi"/>
                <w:sz w:val="20"/>
                <w:szCs w:val="20"/>
              </w:rPr>
              <w:t>Atrial fibrillation</w:t>
            </w:r>
          </w:p>
        </w:tc>
        <w:tc>
          <w:tcPr>
            <w:tcW w:w="2835" w:type="dxa"/>
          </w:tcPr>
          <w:p w:rsidR="002928AB" w:rsidRPr="006C5D08" w:rsidRDefault="002928AB" w:rsidP="00BF5020">
            <w:pPr>
              <w:rPr>
                <w:rFonts w:asciiTheme="minorHAnsi" w:hAnsiTheme="minorHAnsi"/>
                <w:sz w:val="20"/>
                <w:szCs w:val="20"/>
              </w:rPr>
            </w:pPr>
            <w:r w:rsidRPr="006C5D08">
              <w:rPr>
                <w:rFonts w:asciiTheme="minorHAnsi" w:eastAsiaTheme="minorHAnsi" w:hAnsiTheme="minorHAnsi"/>
                <w:sz w:val="20"/>
                <w:szCs w:val="20"/>
              </w:rPr>
              <w:t>6 (0.2%)</w:t>
            </w:r>
          </w:p>
        </w:tc>
        <w:tc>
          <w:tcPr>
            <w:tcW w:w="3225" w:type="dxa"/>
          </w:tcPr>
          <w:p w:rsidR="002928AB" w:rsidRPr="006C5D08" w:rsidRDefault="002928AB" w:rsidP="00BF5020">
            <w:pPr>
              <w:rPr>
                <w:rFonts w:asciiTheme="minorHAnsi" w:hAnsiTheme="minorHAnsi"/>
                <w:sz w:val="20"/>
                <w:szCs w:val="20"/>
              </w:rPr>
            </w:pPr>
            <w:r w:rsidRPr="006C5D08">
              <w:rPr>
                <w:rFonts w:asciiTheme="minorHAnsi" w:eastAsiaTheme="minorHAnsi" w:hAnsiTheme="minorHAnsi"/>
                <w:sz w:val="20"/>
                <w:szCs w:val="20"/>
              </w:rPr>
              <w:t>7 (0.1)</w:t>
            </w:r>
          </w:p>
        </w:tc>
      </w:tr>
      <w:tr w:rsidR="002928AB" w:rsidRPr="00EA7B61" w:rsidTr="00AB6393">
        <w:tc>
          <w:tcPr>
            <w:tcW w:w="2552"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Bronchitis</w:t>
            </w:r>
          </w:p>
        </w:tc>
        <w:tc>
          <w:tcPr>
            <w:tcW w:w="2835"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6 (0.2%)</w:t>
            </w:r>
          </w:p>
        </w:tc>
        <w:tc>
          <w:tcPr>
            <w:tcW w:w="3225"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6 (0.1)</w:t>
            </w:r>
          </w:p>
        </w:tc>
      </w:tr>
      <w:tr w:rsidR="002928AB" w:rsidRPr="00EA7B61" w:rsidTr="00AB6393">
        <w:tc>
          <w:tcPr>
            <w:tcW w:w="2552"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Herpes zoster</w:t>
            </w:r>
          </w:p>
        </w:tc>
        <w:tc>
          <w:tcPr>
            <w:tcW w:w="2835"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6 (0.2%)</w:t>
            </w:r>
          </w:p>
        </w:tc>
        <w:tc>
          <w:tcPr>
            <w:tcW w:w="3225"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6 (0.1)</w:t>
            </w:r>
          </w:p>
        </w:tc>
      </w:tr>
      <w:tr w:rsidR="002928AB" w:rsidRPr="00EA7B61" w:rsidTr="00AB6393">
        <w:tc>
          <w:tcPr>
            <w:tcW w:w="2552"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Osteomyelitis</w:t>
            </w:r>
          </w:p>
        </w:tc>
        <w:tc>
          <w:tcPr>
            <w:tcW w:w="2835"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6 (0.2%)</w:t>
            </w:r>
          </w:p>
        </w:tc>
        <w:tc>
          <w:tcPr>
            <w:tcW w:w="3225"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6 (0.1)</w:t>
            </w:r>
          </w:p>
        </w:tc>
      </w:tr>
      <w:tr w:rsidR="002928AB" w:rsidRPr="00EA7B61" w:rsidTr="00AB6393">
        <w:tc>
          <w:tcPr>
            <w:tcW w:w="2552"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Subcutaneous abscess</w:t>
            </w:r>
          </w:p>
        </w:tc>
        <w:tc>
          <w:tcPr>
            <w:tcW w:w="2835"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6 (0.2%)</w:t>
            </w:r>
          </w:p>
        </w:tc>
        <w:tc>
          <w:tcPr>
            <w:tcW w:w="3225"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6 (0.1)</w:t>
            </w:r>
          </w:p>
        </w:tc>
      </w:tr>
      <w:tr w:rsidR="002928AB" w:rsidRPr="00EA7B61" w:rsidTr="00AB6393">
        <w:tc>
          <w:tcPr>
            <w:tcW w:w="2552"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Foot deformity</w:t>
            </w:r>
          </w:p>
        </w:tc>
        <w:tc>
          <w:tcPr>
            <w:tcW w:w="2835"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6 (0.2%)</w:t>
            </w:r>
          </w:p>
        </w:tc>
        <w:tc>
          <w:tcPr>
            <w:tcW w:w="3225"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9 (0.2)</w:t>
            </w:r>
          </w:p>
        </w:tc>
      </w:tr>
      <w:tr w:rsidR="002928AB" w:rsidRPr="00EA7B61" w:rsidTr="00AB6393">
        <w:tc>
          <w:tcPr>
            <w:tcW w:w="2552"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Nephrolithiasis</w:t>
            </w:r>
          </w:p>
        </w:tc>
        <w:tc>
          <w:tcPr>
            <w:tcW w:w="2835"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6 (0.2%)</w:t>
            </w:r>
          </w:p>
        </w:tc>
        <w:tc>
          <w:tcPr>
            <w:tcW w:w="3225"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6 (0.1)</w:t>
            </w:r>
          </w:p>
        </w:tc>
      </w:tr>
      <w:tr w:rsidR="002928AB" w:rsidRPr="00EA7B61" w:rsidTr="00AB6393">
        <w:tc>
          <w:tcPr>
            <w:tcW w:w="2552"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Femoral neck fracture</w:t>
            </w:r>
          </w:p>
        </w:tc>
        <w:tc>
          <w:tcPr>
            <w:tcW w:w="2835"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6 (0.2%)</w:t>
            </w:r>
          </w:p>
        </w:tc>
        <w:tc>
          <w:tcPr>
            <w:tcW w:w="3225"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6 (0.1)</w:t>
            </w:r>
          </w:p>
        </w:tc>
      </w:tr>
      <w:tr w:rsidR="002928AB" w:rsidRPr="00EA7B61" w:rsidTr="00AB6393">
        <w:tc>
          <w:tcPr>
            <w:tcW w:w="2552"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Femur fracture</w:t>
            </w:r>
          </w:p>
        </w:tc>
        <w:tc>
          <w:tcPr>
            <w:tcW w:w="2835"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6 (0.2%)</w:t>
            </w:r>
          </w:p>
        </w:tc>
        <w:tc>
          <w:tcPr>
            <w:tcW w:w="3225"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6 (0.1)</w:t>
            </w:r>
          </w:p>
        </w:tc>
      </w:tr>
      <w:tr w:rsidR="002928AB" w:rsidRPr="00EA7B61" w:rsidTr="00AB6393">
        <w:tc>
          <w:tcPr>
            <w:tcW w:w="2552"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Tendon rupture</w:t>
            </w:r>
          </w:p>
        </w:tc>
        <w:tc>
          <w:tcPr>
            <w:tcW w:w="2835"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6 (0.2%)</w:t>
            </w:r>
          </w:p>
        </w:tc>
        <w:tc>
          <w:tcPr>
            <w:tcW w:w="3225"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6 (0.1)</w:t>
            </w:r>
          </w:p>
        </w:tc>
      </w:tr>
      <w:tr w:rsidR="002928AB" w:rsidRPr="00EA7B61" w:rsidTr="00AB6393">
        <w:tc>
          <w:tcPr>
            <w:tcW w:w="2552"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Pancreatitis</w:t>
            </w:r>
          </w:p>
        </w:tc>
        <w:tc>
          <w:tcPr>
            <w:tcW w:w="2835"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5 (0.2%)</w:t>
            </w:r>
          </w:p>
        </w:tc>
        <w:tc>
          <w:tcPr>
            <w:tcW w:w="3225"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5 (0.1)</w:t>
            </w:r>
          </w:p>
        </w:tc>
      </w:tr>
      <w:tr w:rsidR="002928AB" w:rsidRPr="00EA7B61" w:rsidTr="00AB6393">
        <w:tc>
          <w:tcPr>
            <w:tcW w:w="2552"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Basal cell carcinoma</w:t>
            </w:r>
          </w:p>
        </w:tc>
        <w:tc>
          <w:tcPr>
            <w:tcW w:w="2835"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5 (0.2%)</w:t>
            </w:r>
          </w:p>
        </w:tc>
        <w:tc>
          <w:tcPr>
            <w:tcW w:w="3225"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5 (0.1)</w:t>
            </w:r>
          </w:p>
        </w:tc>
      </w:tr>
      <w:tr w:rsidR="002928AB" w:rsidRPr="00EA7B61" w:rsidTr="00AB6393">
        <w:tc>
          <w:tcPr>
            <w:tcW w:w="2552"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Cerebrovascular accident</w:t>
            </w:r>
          </w:p>
        </w:tc>
        <w:tc>
          <w:tcPr>
            <w:tcW w:w="2835"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5 (0.2%)</w:t>
            </w:r>
          </w:p>
        </w:tc>
        <w:tc>
          <w:tcPr>
            <w:tcW w:w="3225"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5 (0.1)</w:t>
            </w:r>
          </w:p>
        </w:tc>
      </w:tr>
      <w:tr w:rsidR="002928AB" w:rsidRPr="00EA7B61" w:rsidTr="00AB6393">
        <w:tc>
          <w:tcPr>
            <w:tcW w:w="2552"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Transient ischaemic attack</w:t>
            </w:r>
          </w:p>
        </w:tc>
        <w:tc>
          <w:tcPr>
            <w:tcW w:w="2835"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5 (0.2%)</w:t>
            </w:r>
          </w:p>
        </w:tc>
        <w:tc>
          <w:tcPr>
            <w:tcW w:w="3225" w:type="dxa"/>
          </w:tcPr>
          <w:p w:rsidR="002928AB" w:rsidRPr="006C5D08" w:rsidRDefault="002928AB" w:rsidP="00BF5020">
            <w:pPr>
              <w:rPr>
                <w:rFonts w:asciiTheme="minorHAnsi" w:eastAsiaTheme="minorHAnsi" w:hAnsiTheme="minorHAnsi"/>
                <w:sz w:val="20"/>
                <w:szCs w:val="20"/>
              </w:rPr>
            </w:pPr>
            <w:r w:rsidRPr="006C5D08">
              <w:rPr>
                <w:rFonts w:asciiTheme="minorHAnsi" w:eastAsiaTheme="minorHAnsi" w:hAnsiTheme="minorHAnsi"/>
                <w:sz w:val="20"/>
                <w:szCs w:val="20"/>
              </w:rPr>
              <w:t>6 (0.1)</w:t>
            </w:r>
          </w:p>
        </w:tc>
      </w:tr>
    </w:tbl>
    <w:p w:rsidR="00AA6B20" w:rsidRDefault="002928AB" w:rsidP="002928AB">
      <w:pPr>
        <w:rPr>
          <w:lang w:eastAsia="ja-JP"/>
        </w:rPr>
      </w:pPr>
      <w:r>
        <w:rPr>
          <w:lang w:eastAsia="ja-JP"/>
        </w:rPr>
        <w:t xml:space="preserve">TEAEs (any class) leading to permanent treatment discontinuation were reported in 595 (20.6%) patients in any sarilumab dose group, with an exposure-adjusted event rate of 11.4/100 PY (660 events). The most frequently reported TEAEs leading to permanent treatment discontinuation in patients in the any sarilumab dose group by SOC were </w:t>
      </w:r>
      <w:r w:rsidR="006C5D08" w:rsidRPr="00AB6393">
        <w:rPr>
          <w:lang w:eastAsia="ja-JP"/>
        </w:rPr>
        <w:t>I</w:t>
      </w:r>
      <w:r w:rsidRPr="00AB6393">
        <w:rPr>
          <w:lang w:eastAsia="ja-JP"/>
        </w:rPr>
        <w:t>nfections and infestations</w:t>
      </w:r>
      <w:r>
        <w:rPr>
          <w:lang w:eastAsia="ja-JP"/>
        </w:rPr>
        <w:t xml:space="preserve"> (6.2%), with an exposure-adjusted event rate of 3.3/100 PY (190 events).</w:t>
      </w:r>
      <w:r w:rsidR="003E7288">
        <w:rPr>
          <w:lang w:eastAsia="ja-JP"/>
        </w:rPr>
        <w:t xml:space="preserve"> </w:t>
      </w:r>
      <w:r>
        <w:rPr>
          <w:lang w:eastAsia="ja-JP"/>
        </w:rPr>
        <w:t xml:space="preserve">TEAEs leading to permanent treatment discontinuation reported in </w:t>
      </w:r>
      <w:r w:rsidR="00DD5BCE">
        <w:t>≥</w:t>
      </w:r>
      <w:r w:rsidR="007C7C62">
        <w:t xml:space="preserve"> </w:t>
      </w:r>
      <w:r>
        <w:rPr>
          <w:lang w:eastAsia="ja-JP"/>
        </w:rPr>
        <w:t xml:space="preserve">0.5% of patients in the any sarilumab dose group by descending order of frequency were: </w:t>
      </w:r>
      <w:r w:rsidRPr="00505195">
        <w:rPr>
          <w:lang w:eastAsia="ja-JP"/>
        </w:rPr>
        <w:t>neutro</w:t>
      </w:r>
      <w:r w:rsidR="001E2D44">
        <w:rPr>
          <w:lang w:eastAsia="ja-JP"/>
        </w:rPr>
        <w:t>paenia</w:t>
      </w:r>
      <w:r w:rsidRPr="00505195">
        <w:rPr>
          <w:lang w:eastAsia="ja-JP"/>
        </w:rPr>
        <w:t xml:space="preserve"> (3.0%); ALT increased (2.1%); herpes zoster (1.1%); pneumonia (0.7%); </w:t>
      </w:r>
      <w:r w:rsidRPr="00505195">
        <w:rPr>
          <w:lang w:eastAsia="ja-JP"/>
        </w:rPr>
        <w:lastRenderedPageBreak/>
        <w:t>transaminases increased (0.6%); cellulitis (0.5%); thrombocyto</w:t>
      </w:r>
      <w:r w:rsidR="001E2D44">
        <w:rPr>
          <w:lang w:eastAsia="ja-JP"/>
        </w:rPr>
        <w:t>paenia</w:t>
      </w:r>
      <w:r w:rsidRPr="00505195">
        <w:rPr>
          <w:lang w:eastAsia="ja-JP"/>
        </w:rPr>
        <w:t xml:space="preserve"> (0.5%); injection site reaction (0.5%); and RA (0.5%).</w:t>
      </w:r>
    </w:p>
    <w:p w:rsidR="00AA6B20" w:rsidRDefault="002928AB" w:rsidP="002928AB">
      <w:pPr>
        <w:rPr>
          <w:lang w:eastAsia="ja-JP"/>
        </w:rPr>
      </w:pPr>
      <w:r>
        <w:rPr>
          <w:lang w:eastAsia="ja-JP"/>
        </w:rPr>
        <w:t xml:space="preserve">Treatment-emergent adverse events of special interest (AESI) for the sarilumab + DMARD groups are summarised below in Table </w:t>
      </w:r>
      <w:r w:rsidR="000F5B2C">
        <w:rPr>
          <w:lang w:eastAsia="ja-JP"/>
        </w:rPr>
        <w:t>40</w:t>
      </w:r>
      <w:r>
        <w:rPr>
          <w:lang w:eastAsia="ja-JP"/>
        </w:rPr>
        <w:t>. The most frequently reported AESI in the any sarilumab group was infections (49.5%), followed by leuko</w:t>
      </w:r>
      <w:r w:rsidR="001E2D44">
        <w:rPr>
          <w:lang w:eastAsia="ja-JP"/>
        </w:rPr>
        <w:t>paenia</w:t>
      </w:r>
      <w:r>
        <w:rPr>
          <w:lang w:eastAsia="ja-JP"/>
        </w:rPr>
        <w:t xml:space="preserve"> (predominantly neutro</w:t>
      </w:r>
      <w:r w:rsidR="001E2D44">
        <w:rPr>
          <w:lang w:eastAsia="ja-JP"/>
        </w:rPr>
        <w:t>paenia</w:t>
      </w:r>
      <w:r>
        <w:rPr>
          <w:lang w:eastAsia="ja-JP"/>
        </w:rPr>
        <w:t>) (20.2%), hepatic disorders (14.1%), and elevation in lipids (10.1%). AESI occurred consistently more frequently in the higher initial dose sarilumab group (200</w:t>
      </w:r>
      <w:r w:rsidR="0084607A">
        <w:rPr>
          <w:lang w:eastAsia="ja-JP"/>
        </w:rPr>
        <w:t> </w:t>
      </w:r>
      <w:r>
        <w:rPr>
          <w:lang w:eastAsia="ja-JP"/>
        </w:rPr>
        <w:t>mg</w:t>
      </w:r>
      <w:r w:rsidR="0084607A">
        <w:rPr>
          <w:lang w:eastAsia="ja-JP"/>
        </w:rPr>
        <w:t> </w:t>
      </w:r>
      <w:r>
        <w:rPr>
          <w:lang w:eastAsia="ja-JP"/>
        </w:rPr>
        <w:t>q2w) than in the lower initial dose sarilumab group (150 mg q2w), but there was no consistent relationship between the two doses for the exposure-adjusted event rates.</w:t>
      </w:r>
    </w:p>
    <w:p w:rsidR="002928AB" w:rsidRDefault="002928AB" w:rsidP="00BF5020">
      <w:pPr>
        <w:pStyle w:val="Tabletitle0"/>
        <w:rPr>
          <w:lang w:eastAsia="ja-JP"/>
        </w:rPr>
      </w:pPr>
      <w:bookmarkStart w:id="178" w:name="_Toc514687849"/>
      <w:r>
        <w:t xml:space="preserve">Table </w:t>
      </w:r>
      <w:r w:rsidR="000F5B2C">
        <w:t>40</w:t>
      </w:r>
      <w:r>
        <w:t xml:space="preserve">: </w:t>
      </w:r>
      <w:r w:rsidRPr="00177608">
        <w:rPr>
          <w:lang w:eastAsia="ja-JP"/>
        </w:rPr>
        <w:t>Pool 2 Adverse events of special interest</w:t>
      </w:r>
      <w:bookmarkEnd w:id="178"/>
    </w:p>
    <w:p w:rsidR="002928AB" w:rsidRDefault="00BF5020" w:rsidP="002928AB">
      <w:pPr>
        <w:rPr>
          <w:lang w:eastAsia="ja-JP"/>
        </w:rPr>
      </w:pPr>
      <w:r>
        <w:rPr>
          <w:noProof/>
          <w:lang w:eastAsia="en-AU"/>
        </w:rPr>
        <w:drawing>
          <wp:inline distT="0" distB="0" distL="0" distR="0" wp14:anchorId="1E4AF426" wp14:editId="3C850E3A">
            <wp:extent cx="5488631" cy="2904134"/>
            <wp:effectExtent l="0" t="0" r="0" b="0"/>
            <wp:docPr id="26" name="Picture 26" descr=": Pool 2 Adverse events of special inte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BEBA8EAE-BF5A-486C-A8C5-ECC9F3942E4B}">
                          <a14:imgProps xmlns:a14="http://schemas.microsoft.com/office/drawing/2010/main">
                            <a14:imgLayer r:embed="rId76">
                              <a14:imgEffect>
                                <a14:sharpenSoften amount="50000"/>
                              </a14:imgEffect>
                              <a14:imgEffect>
                                <a14:brightnessContrast contrast="-40000"/>
                              </a14:imgEffect>
                            </a14:imgLayer>
                          </a14:imgProps>
                        </a:ext>
                      </a:extLst>
                    </a:blip>
                    <a:stretch>
                      <a:fillRect/>
                    </a:stretch>
                  </pic:blipFill>
                  <pic:spPr>
                    <a:xfrm>
                      <a:off x="0" y="0"/>
                      <a:ext cx="5490078" cy="2904899"/>
                    </a:xfrm>
                    <a:prstGeom prst="rect">
                      <a:avLst/>
                    </a:prstGeom>
                  </pic:spPr>
                </pic:pic>
              </a:graphicData>
            </a:graphic>
          </wp:inline>
        </w:drawing>
      </w:r>
    </w:p>
    <w:p w:rsidR="00AA6B20" w:rsidRDefault="002928AB" w:rsidP="002928AB">
      <w:pPr>
        <w:rPr>
          <w:lang w:eastAsia="ja-JP"/>
        </w:rPr>
      </w:pPr>
      <w:r>
        <w:rPr>
          <w:lang w:eastAsia="ja-JP"/>
        </w:rPr>
        <w:t>In the any sarilumab dose group, there were 28 (1.0%) patients with adjudicated MACE (primary) events, with an event rate of 0.5/100 PY (31 events). The 31 events were non-fatal myocardial infarction (11 events), non-fatal stroke (9 events), cardiovascular death (7 events), and hospitalisation for non-fatal transient ischaemic attack.</w:t>
      </w:r>
    </w:p>
    <w:p w:rsidR="00AA6B20" w:rsidRDefault="002928AB" w:rsidP="002928AB">
      <w:pPr>
        <w:autoSpaceDE w:val="0"/>
        <w:autoSpaceDN w:val="0"/>
        <w:adjustRightInd w:val="0"/>
        <w:rPr>
          <w:rFonts w:asciiTheme="minorHAnsi" w:hAnsiTheme="minorHAnsi"/>
          <w:lang w:val="en-US"/>
        </w:rPr>
      </w:pPr>
      <w:r w:rsidRPr="00F14011">
        <w:rPr>
          <w:rFonts w:asciiTheme="minorHAnsi" w:hAnsiTheme="minorHAnsi"/>
          <w:lang w:val="en-US"/>
        </w:rPr>
        <w:t>Review of the safety data for the adverse events of parti</w:t>
      </w:r>
      <w:r>
        <w:rPr>
          <w:rFonts w:asciiTheme="minorHAnsi" w:hAnsiTheme="minorHAnsi"/>
          <w:lang w:val="en-US"/>
        </w:rPr>
        <w:t>cular significance (neutro</w:t>
      </w:r>
      <w:r w:rsidR="001E2D44">
        <w:rPr>
          <w:rFonts w:asciiTheme="minorHAnsi" w:hAnsiTheme="minorHAnsi"/>
          <w:lang w:val="en-US"/>
        </w:rPr>
        <w:t>paenia</w:t>
      </w:r>
      <w:r w:rsidRPr="00F14011">
        <w:rPr>
          <w:rFonts w:asciiTheme="minorHAnsi" w:hAnsiTheme="minorHAnsi"/>
          <w:lang w:val="en-US"/>
        </w:rPr>
        <w:t>, thrombocyto</w:t>
      </w:r>
      <w:r w:rsidR="001E2D44">
        <w:rPr>
          <w:rFonts w:asciiTheme="minorHAnsi" w:hAnsiTheme="minorHAnsi"/>
          <w:lang w:val="en-US"/>
        </w:rPr>
        <w:t>paenia</w:t>
      </w:r>
      <w:r w:rsidRPr="00F14011">
        <w:rPr>
          <w:rFonts w:asciiTheme="minorHAnsi" w:hAnsiTheme="minorHAnsi"/>
          <w:lang w:val="en-US"/>
        </w:rPr>
        <w:t xml:space="preserve"> and ALT increase</w:t>
      </w:r>
      <w:r>
        <w:rPr>
          <w:rFonts w:asciiTheme="minorHAnsi" w:hAnsiTheme="minorHAnsi"/>
          <w:lang w:val="en-US"/>
        </w:rPr>
        <w:t>)</w:t>
      </w:r>
      <w:r w:rsidRPr="00F14011">
        <w:rPr>
          <w:rFonts w:asciiTheme="minorHAnsi" w:hAnsiTheme="minorHAnsi"/>
          <w:lang w:val="en-US"/>
        </w:rPr>
        <w:t>, which govern the decision to reduce the initial sarilumab 200 mg q2w dose to 150 mg q2w is presented below.</w:t>
      </w:r>
    </w:p>
    <w:p w:rsidR="00AA6B20" w:rsidRDefault="002928AB" w:rsidP="00BF5020">
      <w:pPr>
        <w:pStyle w:val="Heading6"/>
        <w:rPr>
          <w:lang w:val="en-US"/>
        </w:rPr>
      </w:pPr>
      <w:r w:rsidRPr="00F64914">
        <w:rPr>
          <w:lang w:val="en-US"/>
        </w:rPr>
        <w:t>Neutro</w:t>
      </w:r>
      <w:r w:rsidR="001E2D44">
        <w:rPr>
          <w:lang w:val="en-US"/>
        </w:rPr>
        <w:t>paenia</w:t>
      </w:r>
    </w:p>
    <w:p w:rsidR="00AA6B20" w:rsidRDefault="002928AB" w:rsidP="002928AB">
      <w:pPr>
        <w:rPr>
          <w:lang w:val="en-US"/>
        </w:rPr>
      </w:pPr>
      <w:r>
        <w:rPr>
          <w:lang w:val="en-US"/>
        </w:rPr>
        <w:t xml:space="preserve">In Pool 2, the incidence of ANC </w:t>
      </w:r>
      <w:r w:rsidR="007F1BEB">
        <w:t>&lt; </w:t>
      </w:r>
      <w:r>
        <w:rPr>
          <w:lang w:val="en-US"/>
        </w:rPr>
        <w:t xml:space="preserve">1.0 Giga/L in the any sarilumab dose + DMARD group was 11.8% (340/2879), which was numerically higher than the rates in the sarilumab + DMARD groups in Pool 1. The sponsor comments that this finding was not unexpected given that the observation time was longer in Pool 2 compared with Pool 1. The ANC data for Pool 2 are summarised below in Table </w:t>
      </w:r>
      <w:r w:rsidR="000F5B2C">
        <w:rPr>
          <w:lang w:val="en-US"/>
        </w:rPr>
        <w:t>41</w:t>
      </w:r>
      <w:r>
        <w:rPr>
          <w:lang w:val="en-US"/>
        </w:rPr>
        <w:t>.</w:t>
      </w:r>
    </w:p>
    <w:p w:rsidR="00AA6B20" w:rsidRDefault="002928AB" w:rsidP="00BF5020">
      <w:pPr>
        <w:pStyle w:val="Tabletitle0"/>
        <w:rPr>
          <w:lang w:val="en-US"/>
        </w:rPr>
      </w:pPr>
      <w:bookmarkStart w:id="179" w:name="_Toc514687850"/>
      <w:r>
        <w:lastRenderedPageBreak/>
        <w:t xml:space="preserve">Table </w:t>
      </w:r>
      <w:r w:rsidR="000F5B2C">
        <w:t>41</w:t>
      </w:r>
      <w:r>
        <w:t xml:space="preserve">: </w:t>
      </w:r>
      <w:r w:rsidRPr="00121F3F">
        <w:rPr>
          <w:lang w:val="en-US"/>
        </w:rPr>
        <w:t>Pool 2 (sarilumab + DMARD long-term safety population), patients with decrease in ANC during the entire TEAE period</w:t>
      </w:r>
      <w:bookmarkEnd w:id="179"/>
    </w:p>
    <w:p w:rsidR="002928AB" w:rsidRDefault="002928AB" w:rsidP="002928AB">
      <w:pPr>
        <w:spacing w:after="0"/>
        <w:rPr>
          <w:lang w:val="en-US"/>
        </w:rPr>
      </w:pPr>
      <w:r>
        <w:rPr>
          <w:noProof/>
          <w:lang w:eastAsia="en-AU"/>
        </w:rPr>
        <w:drawing>
          <wp:inline distT="0" distB="0" distL="0" distR="0" wp14:anchorId="577F984B" wp14:editId="55024B30">
            <wp:extent cx="5117941" cy="1845095"/>
            <wp:effectExtent l="0" t="0" r="6985" b="3175"/>
            <wp:docPr id="475" name="Picture 4" descr="Pool 2 (sarilumab + DMARD long-term safety population), patients with decrease in ANC during the entire TEAE perio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cstate="print">
                      <a:extLst>
                        <a:ext uri="{BEBA8EAE-BF5A-486C-A8C5-ECC9F3942E4B}">
                          <a14:imgProps xmlns:a14="http://schemas.microsoft.com/office/drawing/2010/main">
                            <a14:imgLayer r:embed="rId7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124494" cy="1847458"/>
                    </a:xfrm>
                    <a:prstGeom prst="rect">
                      <a:avLst/>
                    </a:prstGeom>
                    <a:noFill/>
                    <a:ln>
                      <a:noFill/>
                    </a:ln>
                  </pic:spPr>
                </pic:pic>
              </a:graphicData>
            </a:graphic>
          </wp:inline>
        </w:drawing>
      </w:r>
    </w:p>
    <w:p w:rsidR="00AA6B20" w:rsidRDefault="002928AB" w:rsidP="002928AB">
      <w:pPr>
        <w:rPr>
          <w:lang w:val="en-US"/>
        </w:rPr>
      </w:pPr>
      <w:r w:rsidRPr="00A72FC8">
        <w:rPr>
          <w:lang w:val="en-US"/>
        </w:rPr>
        <w:t xml:space="preserve">The sponsor provided an assessment of the outcome </w:t>
      </w:r>
      <w:r>
        <w:rPr>
          <w:lang w:val="en-US"/>
        </w:rPr>
        <w:t>f</w:t>
      </w:r>
      <w:r w:rsidRPr="00A72FC8">
        <w:rPr>
          <w:lang w:val="en-US"/>
        </w:rPr>
        <w:t xml:space="preserve">or patients in Pool 2 with an ANC </w:t>
      </w:r>
      <w:r w:rsidR="007F1BEB">
        <w:t>&lt; </w:t>
      </w:r>
      <w:r w:rsidRPr="00A72FC8">
        <w:rPr>
          <w:lang w:val="en-US"/>
        </w:rPr>
        <w:t xml:space="preserve">1.0 Giga/L. Per protocol, sarilumab was to be permanently discontinued </w:t>
      </w:r>
      <w:r>
        <w:rPr>
          <w:lang w:val="en-US"/>
        </w:rPr>
        <w:t>for Grade 4 neutro</w:t>
      </w:r>
      <w:r w:rsidR="001E2D44">
        <w:rPr>
          <w:lang w:val="en-US"/>
        </w:rPr>
        <w:t>paenia</w:t>
      </w:r>
      <w:r>
        <w:rPr>
          <w:lang w:val="en-US"/>
        </w:rPr>
        <w:t>, irrespective of associated infection, or Grade 3 neutro</w:t>
      </w:r>
      <w:r w:rsidR="001E2D44">
        <w:rPr>
          <w:lang w:val="en-US"/>
        </w:rPr>
        <w:t>paenia</w:t>
      </w:r>
      <w:r>
        <w:rPr>
          <w:lang w:val="en-US"/>
        </w:rPr>
        <w:t xml:space="preserve"> </w:t>
      </w:r>
      <w:r w:rsidRPr="00A72FC8">
        <w:rPr>
          <w:lang w:val="en-US"/>
        </w:rPr>
        <w:t>associated with infection. In the setting of Grade 3 neutro</w:t>
      </w:r>
      <w:r w:rsidR="001E2D44">
        <w:rPr>
          <w:lang w:val="en-US"/>
        </w:rPr>
        <w:t>paenia</w:t>
      </w:r>
      <w:r w:rsidRPr="00A72FC8">
        <w:rPr>
          <w:lang w:val="en-US"/>
        </w:rPr>
        <w:t xml:space="preserve"> without associated infection, </w:t>
      </w:r>
      <w:r>
        <w:rPr>
          <w:lang w:val="en-US"/>
        </w:rPr>
        <w:t>treatment</w:t>
      </w:r>
      <w:r w:rsidRPr="00A72FC8">
        <w:rPr>
          <w:lang w:val="en-US"/>
        </w:rPr>
        <w:t xml:space="preserve"> was to be temporarily withheld and re-initiated after the neutrophil count </w:t>
      </w:r>
      <w:r>
        <w:rPr>
          <w:lang w:val="en-US"/>
        </w:rPr>
        <w:t>had recovered to Grade 2 (</w:t>
      </w:r>
      <w:r w:rsidR="00DD5BCE">
        <w:t>≥</w:t>
      </w:r>
      <w:r w:rsidR="007C7C62">
        <w:t xml:space="preserve"> </w:t>
      </w:r>
      <w:r>
        <w:rPr>
          <w:lang w:val="en-US"/>
        </w:rPr>
        <w:t xml:space="preserve">1.0 </w:t>
      </w:r>
      <w:r w:rsidRPr="00A72FC8">
        <w:rPr>
          <w:lang w:val="en-US"/>
        </w:rPr>
        <w:t>Giga/L</w:t>
      </w:r>
      <w:r>
        <w:rPr>
          <w:lang w:val="en-US"/>
        </w:rPr>
        <w:t>).</w:t>
      </w:r>
      <w:r w:rsidRPr="00A72FC8">
        <w:rPr>
          <w:lang w:val="en-US"/>
        </w:rPr>
        <w:t xml:space="preserve"> </w:t>
      </w:r>
      <w:r>
        <w:rPr>
          <w:lang w:val="en-US"/>
        </w:rPr>
        <w:t xml:space="preserve">The outcomes for patients with ANC </w:t>
      </w:r>
      <w:r w:rsidR="007F1BEB">
        <w:t>&lt; </w:t>
      </w:r>
      <w:r>
        <w:rPr>
          <w:lang w:val="en-US"/>
        </w:rPr>
        <w:t xml:space="preserve">1.0 Giga/L are summarised below in Table </w:t>
      </w:r>
      <w:r w:rsidR="000F5B2C">
        <w:rPr>
          <w:lang w:val="en-US"/>
        </w:rPr>
        <w:t>42</w:t>
      </w:r>
      <w:r>
        <w:rPr>
          <w:lang w:val="en-US"/>
        </w:rPr>
        <w:t>.</w:t>
      </w:r>
    </w:p>
    <w:p w:rsidR="002928AB" w:rsidRDefault="002928AB" w:rsidP="00BF5020">
      <w:pPr>
        <w:pStyle w:val="Tabletitle0"/>
        <w:rPr>
          <w:lang w:val="en-US"/>
        </w:rPr>
      </w:pPr>
      <w:bookmarkStart w:id="180" w:name="_Toc514687851"/>
      <w:r>
        <w:t xml:space="preserve">Table </w:t>
      </w:r>
      <w:r w:rsidR="000F5B2C">
        <w:t>42</w:t>
      </w:r>
      <w:r>
        <w:t xml:space="preserve">: </w:t>
      </w:r>
      <w:r w:rsidRPr="00BC0800">
        <w:rPr>
          <w:lang w:val="en-US"/>
        </w:rPr>
        <w:t>Pool 2 (</w:t>
      </w:r>
      <w:r>
        <w:rPr>
          <w:lang w:val="en-US"/>
        </w:rPr>
        <w:t xml:space="preserve">sarilumab + DMARD </w:t>
      </w:r>
      <w:r w:rsidRPr="00BC0800">
        <w:rPr>
          <w:lang w:val="en-US"/>
        </w:rPr>
        <w:t>long-term safet</w:t>
      </w:r>
      <w:r>
        <w:rPr>
          <w:lang w:val="en-US"/>
        </w:rPr>
        <w:t xml:space="preserve">y population) Overview of outcome in patients with </w:t>
      </w:r>
      <w:r w:rsidRPr="00BC0800">
        <w:rPr>
          <w:lang w:val="en-US"/>
        </w:rPr>
        <w:t xml:space="preserve">ANC </w:t>
      </w:r>
      <w:r w:rsidR="007F1BEB">
        <w:t>&lt; </w:t>
      </w:r>
      <w:r w:rsidRPr="00BC0800">
        <w:rPr>
          <w:lang w:val="en-US"/>
        </w:rPr>
        <w:t>1.0 Giga/L</w:t>
      </w:r>
      <w:bookmarkEnd w:id="180"/>
    </w:p>
    <w:tbl>
      <w:tblPr>
        <w:tblStyle w:val="TableTGAblue"/>
        <w:tblW w:w="0" w:type="auto"/>
        <w:tblInd w:w="108" w:type="dxa"/>
        <w:tblLook w:val="04A0" w:firstRow="1" w:lastRow="0" w:firstColumn="1" w:lastColumn="0" w:noHBand="0" w:noVBand="1"/>
      </w:tblPr>
      <w:tblGrid>
        <w:gridCol w:w="3969"/>
        <w:gridCol w:w="4395"/>
      </w:tblGrid>
      <w:tr w:rsidR="002928AB" w:rsidRPr="00FF4F0A" w:rsidTr="00AB6393">
        <w:trPr>
          <w:cnfStyle w:val="100000000000" w:firstRow="1" w:lastRow="0" w:firstColumn="0" w:lastColumn="0" w:oddVBand="0" w:evenVBand="0" w:oddHBand="0" w:evenHBand="0" w:firstRowFirstColumn="0" w:firstRowLastColumn="0" w:lastRowFirstColumn="0" w:lastRowLastColumn="0"/>
        </w:trPr>
        <w:tc>
          <w:tcPr>
            <w:tcW w:w="3969" w:type="dxa"/>
          </w:tcPr>
          <w:p w:rsidR="002928AB" w:rsidRPr="00BF5020" w:rsidRDefault="002928AB" w:rsidP="00BF5020">
            <w:pPr>
              <w:rPr>
                <w:sz w:val="20"/>
                <w:szCs w:val="20"/>
                <w:lang w:val="en-US"/>
              </w:rPr>
            </w:pPr>
            <w:r w:rsidRPr="00BF5020">
              <w:rPr>
                <w:sz w:val="20"/>
                <w:szCs w:val="20"/>
                <w:lang w:val="en-US"/>
              </w:rPr>
              <w:t xml:space="preserve">Patient group </w:t>
            </w:r>
          </w:p>
        </w:tc>
        <w:tc>
          <w:tcPr>
            <w:tcW w:w="4395" w:type="dxa"/>
          </w:tcPr>
          <w:p w:rsidR="002928AB" w:rsidRPr="00BF5020" w:rsidRDefault="002928AB" w:rsidP="00BF5020">
            <w:pPr>
              <w:rPr>
                <w:sz w:val="20"/>
                <w:szCs w:val="20"/>
                <w:lang w:val="en-US"/>
              </w:rPr>
            </w:pPr>
            <w:r w:rsidRPr="00BF5020">
              <w:rPr>
                <w:sz w:val="20"/>
                <w:szCs w:val="20"/>
                <w:lang w:val="en-US"/>
              </w:rPr>
              <w:t xml:space="preserve">Sarilumab (any dose) + DMARD; </w:t>
            </w:r>
            <w:r w:rsidR="007C7C62">
              <w:rPr>
                <w:sz w:val="20"/>
                <w:szCs w:val="20"/>
                <w:lang w:val="en-US"/>
              </w:rPr>
              <w:t xml:space="preserve">n = </w:t>
            </w:r>
            <w:r w:rsidRPr="00BF5020">
              <w:rPr>
                <w:sz w:val="20"/>
                <w:szCs w:val="20"/>
                <w:lang w:val="en-US"/>
              </w:rPr>
              <w:t>2887; n/N1</w:t>
            </w:r>
            <w:r w:rsidR="00AB6393">
              <w:rPr>
                <w:sz w:val="20"/>
                <w:szCs w:val="20"/>
                <w:lang w:val="en-US"/>
              </w:rPr>
              <w:t xml:space="preserve"> </w:t>
            </w:r>
            <w:r w:rsidRPr="00BF5020">
              <w:rPr>
                <w:sz w:val="20"/>
                <w:szCs w:val="20"/>
                <w:lang w:val="en-US"/>
              </w:rPr>
              <w:t>(%)</w:t>
            </w:r>
          </w:p>
        </w:tc>
      </w:tr>
      <w:tr w:rsidR="002928AB" w:rsidRPr="00FF4F0A" w:rsidTr="00AB6393">
        <w:tc>
          <w:tcPr>
            <w:tcW w:w="3969" w:type="dxa"/>
          </w:tcPr>
          <w:p w:rsidR="002928AB" w:rsidRPr="00BF5020" w:rsidRDefault="002928AB" w:rsidP="00BF5020">
            <w:pPr>
              <w:rPr>
                <w:sz w:val="20"/>
                <w:szCs w:val="20"/>
                <w:lang w:val="en-US"/>
              </w:rPr>
            </w:pPr>
            <w:r w:rsidRPr="00BF5020">
              <w:rPr>
                <w:rFonts w:eastAsiaTheme="minorHAnsi"/>
                <w:sz w:val="20"/>
                <w:szCs w:val="20"/>
              </w:rPr>
              <w:t>Patients with ANC &lt;1.0 Giga/L</w:t>
            </w:r>
          </w:p>
        </w:tc>
        <w:tc>
          <w:tcPr>
            <w:tcW w:w="4395" w:type="dxa"/>
          </w:tcPr>
          <w:p w:rsidR="002928AB" w:rsidRPr="00BF5020" w:rsidRDefault="002928AB" w:rsidP="00BF5020">
            <w:pPr>
              <w:rPr>
                <w:sz w:val="20"/>
                <w:szCs w:val="20"/>
                <w:lang w:val="en-US"/>
              </w:rPr>
            </w:pPr>
            <w:r w:rsidRPr="00BF5020">
              <w:rPr>
                <w:rFonts w:eastAsiaTheme="minorHAnsi"/>
                <w:sz w:val="20"/>
                <w:szCs w:val="20"/>
              </w:rPr>
              <w:t>340/2879 (11.8%)</w:t>
            </w:r>
          </w:p>
        </w:tc>
      </w:tr>
      <w:tr w:rsidR="002928AB" w:rsidRPr="00FF4F0A" w:rsidTr="00AB6393">
        <w:tc>
          <w:tcPr>
            <w:tcW w:w="3969" w:type="dxa"/>
          </w:tcPr>
          <w:p w:rsidR="002928AB" w:rsidRPr="00BF5020" w:rsidRDefault="0095541E" w:rsidP="00BF5020">
            <w:pPr>
              <w:rPr>
                <w:sz w:val="20"/>
                <w:szCs w:val="20"/>
                <w:lang w:val="en-US"/>
              </w:rPr>
            </w:pPr>
            <w:r>
              <w:rPr>
                <w:rFonts w:eastAsiaTheme="minorHAnsi"/>
                <w:sz w:val="20"/>
                <w:szCs w:val="20"/>
              </w:rPr>
              <w:t>Normalis</w:t>
            </w:r>
            <w:r w:rsidR="002928AB" w:rsidRPr="00BF5020">
              <w:rPr>
                <w:rFonts w:eastAsiaTheme="minorHAnsi"/>
                <w:sz w:val="20"/>
                <w:szCs w:val="20"/>
              </w:rPr>
              <w:t xml:space="preserve">ed on-treatment </w:t>
            </w:r>
            <w:r w:rsidR="002928AB" w:rsidRPr="00BF5020">
              <w:rPr>
                <w:rFonts w:eastAsiaTheme="minorHAnsi"/>
                <w:sz w:val="20"/>
                <w:szCs w:val="20"/>
                <w:vertAlign w:val="superscript"/>
              </w:rPr>
              <w:t>a</w:t>
            </w:r>
          </w:p>
        </w:tc>
        <w:tc>
          <w:tcPr>
            <w:tcW w:w="4395" w:type="dxa"/>
          </w:tcPr>
          <w:p w:rsidR="002928AB" w:rsidRPr="00BF5020" w:rsidRDefault="002928AB" w:rsidP="00BF5020">
            <w:pPr>
              <w:rPr>
                <w:sz w:val="20"/>
                <w:szCs w:val="20"/>
                <w:lang w:val="en-US"/>
              </w:rPr>
            </w:pPr>
            <w:r w:rsidRPr="00BF5020">
              <w:rPr>
                <w:rFonts w:eastAsiaTheme="minorHAnsi"/>
                <w:sz w:val="20"/>
                <w:szCs w:val="20"/>
              </w:rPr>
              <w:t>242/2879 (8.4%)</w:t>
            </w:r>
          </w:p>
        </w:tc>
      </w:tr>
      <w:tr w:rsidR="002928AB" w:rsidRPr="00FF4F0A" w:rsidTr="00AB6393">
        <w:tc>
          <w:tcPr>
            <w:tcW w:w="3969" w:type="dxa"/>
          </w:tcPr>
          <w:p w:rsidR="002928AB" w:rsidRPr="00BF5020" w:rsidRDefault="0095541E" w:rsidP="00BF5020">
            <w:pPr>
              <w:rPr>
                <w:sz w:val="20"/>
                <w:szCs w:val="20"/>
                <w:lang w:val="en-US"/>
              </w:rPr>
            </w:pPr>
            <w:r>
              <w:rPr>
                <w:rFonts w:eastAsiaTheme="minorHAnsi"/>
                <w:sz w:val="20"/>
                <w:szCs w:val="20"/>
              </w:rPr>
              <w:t>Normalis</w:t>
            </w:r>
            <w:r w:rsidR="002928AB" w:rsidRPr="00BF5020">
              <w:rPr>
                <w:rFonts w:eastAsiaTheme="minorHAnsi"/>
                <w:sz w:val="20"/>
                <w:szCs w:val="20"/>
              </w:rPr>
              <w:t>ed after the last dose of IMP</w:t>
            </w:r>
          </w:p>
        </w:tc>
        <w:tc>
          <w:tcPr>
            <w:tcW w:w="4395" w:type="dxa"/>
          </w:tcPr>
          <w:p w:rsidR="002928AB" w:rsidRPr="00BF5020" w:rsidRDefault="002928AB" w:rsidP="00BF5020">
            <w:pPr>
              <w:rPr>
                <w:sz w:val="20"/>
                <w:szCs w:val="20"/>
                <w:lang w:val="en-US"/>
              </w:rPr>
            </w:pPr>
            <w:r w:rsidRPr="00BF5020">
              <w:rPr>
                <w:rFonts w:eastAsiaTheme="minorHAnsi"/>
                <w:sz w:val="20"/>
                <w:szCs w:val="20"/>
              </w:rPr>
              <w:t>66/2879 (2.3%)</w:t>
            </w:r>
          </w:p>
        </w:tc>
      </w:tr>
      <w:tr w:rsidR="002928AB" w:rsidRPr="00FF4F0A" w:rsidTr="00AB6393">
        <w:tc>
          <w:tcPr>
            <w:tcW w:w="3969" w:type="dxa"/>
          </w:tcPr>
          <w:p w:rsidR="002928AB" w:rsidRPr="00BF5020" w:rsidRDefault="0095541E" w:rsidP="00BF5020">
            <w:pPr>
              <w:rPr>
                <w:sz w:val="20"/>
                <w:szCs w:val="20"/>
                <w:lang w:val="en-US"/>
              </w:rPr>
            </w:pPr>
            <w:r>
              <w:rPr>
                <w:rFonts w:eastAsiaTheme="minorHAnsi"/>
                <w:sz w:val="20"/>
                <w:szCs w:val="20"/>
              </w:rPr>
              <w:t>Did not normalis</w:t>
            </w:r>
            <w:r w:rsidR="002928AB" w:rsidRPr="00BF5020">
              <w:rPr>
                <w:rFonts w:eastAsiaTheme="minorHAnsi"/>
                <w:sz w:val="20"/>
                <w:szCs w:val="20"/>
              </w:rPr>
              <w:t>e after the last episode</w:t>
            </w:r>
          </w:p>
        </w:tc>
        <w:tc>
          <w:tcPr>
            <w:tcW w:w="4395" w:type="dxa"/>
          </w:tcPr>
          <w:p w:rsidR="002928AB" w:rsidRPr="00BF5020" w:rsidRDefault="002928AB" w:rsidP="00BF5020">
            <w:pPr>
              <w:rPr>
                <w:sz w:val="20"/>
                <w:szCs w:val="20"/>
                <w:lang w:val="en-US"/>
              </w:rPr>
            </w:pPr>
            <w:r w:rsidRPr="00BF5020">
              <w:rPr>
                <w:rFonts w:eastAsiaTheme="minorHAnsi"/>
                <w:sz w:val="20"/>
                <w:szCs w:val="20"/>
              </w:rPr>
              <w:t>32/2879 (1.1%)</w:t>
            </w:r>
          </w:p>
        </w:tc>
      </w:tr>
      <w:tr w:rsidR="002928AB" w:rsidRPr="00FF4F0A" w:rsidTr="00AB6393">
        <w:tc>
          <w:tcPr>
            <w:tcW w:w="3969" w:type="dxa"/>
          </w:tcPr>
          <w:p w:rsidR="002928AB" w:rsidRPr="00BF5020" w:rsidRDefault="002928AB" w:rsidP="00BF5020">
            <w:pPr>
              <w:rPr>
                <w:rFonts w:eastAsiaTheme="minorHAnsi"/>
                <w:sz w:val="20"/>
                <w:szCs w:val="20"/>
              </w:rPr>
            </w:pPr>
            <w:r w:rsidRPr="00BF5020">
              <w:rPr>
                <w:rFonts w:eastAsiaTheme="minorHAnsi"/>
                <w:sz w:val="20"/>
                <w:szCs w:val="20"/>
              </w:rPr>
              <w:t xml:space="preserve">IMP continuing </w:t>
            </w:r>
            <w:r w:rsidRPr="00BF5020">
              <w:rPr>
                <w:rFonts w:eastAsiaTheme="minorHAnsi"/>
                <w:sz w:val="20"/>
                <w:szCs w:val="20"/>
                <w:vertAlign w:val="superscript"/>
              </w:rPr>
              <w:t>b</w:t>
            </w:r>
          </w:p>
        </w:tc>
        <w:tc>
          <w:tcPr>
            <w:tcW w:w="4395" w:type="dxa"/>
          </w:tcPr>
          <w:p w:rsidR="002928AB" w:rsidRPr="00BF5020" w:rsidRDefault="002928AB" w:rsidP="00BF5020">
            <w:pPr>
              <w:rPr>
                <w:rFonts w:eastAsiaTheme="minorHAnsi"/>
                <w:sz w:val="20"/>
                <w:szCs w:val="20"/>
              </w:rPr>
            </w:pPr>
            <w:r w:rsidRPr="00BF5020">
              <w:rPr>
                <w:rFonts w:eastAsiaTheme="minorHAnsi"/>
                <w:sz w:val="20"/>
                <w:szCs w:val="20"/>
              </w:rPr>
              <w:t>16/2879 (0.6%)</w:t>
            </w:r>
          </w:p>
        </w:tc>
      </w:tr>
      <w:tr w:rsidR="002928AB" w:rsidRPr="00FF4F0A" w:rsidTr="00AB6393">
        <w:tc>
          <w:tcPr>
            <w:tcW w:w="3969" w:type="dxa"/>
          </w:tcPr>
          <w:p w:rsidR="002928AB" w:rsidRPr="00BF5020" w:rsidRDefault="002928AB" w:rsidP="00BF5020">
            <w:pPr>
              <w:rPr>
                <w:rFonts w:eastAsiaTheme="minorHAnsi"/>
                <w:sz w:val="20"/>
                <w:szCs w:val="20"/>
              </w:rPr>
            </w:pPr>
            <w:r w:rsidRPr="00BF5020">
              <w:rPr>
                <w:rFonts w:eastAsiaTheme="minorHAnsi"/>
                <w:sz w:val="20"/>
                <w:szCs w:val="20"/>
              </w:rPr>
              <w:t>IMP discontinued - last value available</w:t>
            </w:r>
          </w:p>
        </w:tc>
        <w:tc>
          <w:tcPr>
            <w:tcW w:w="4395" w:type="dxa"/>
          </w:tcPr>
          <w:p w:rsidR="002928AB" w:rsidRPr="00BF5020" w:rsidRDefault="002928AB" w:rsidP="00BF5020">
            <w:pPr>
              <w:rPr>
                <w:rFonts w:eastAsiaTheme="minorHAnsi"/>
                <w:sz w:val="20"/>
                <w:szCs w:val="20"/>
              </w:rPr>
            </w:pPr>
            <w:r w:rsidRPr="00BF5020">
              <w:rPr>
                <w:rFonts w:eastAsiaTheme="minorHAnsi"/>
                <w:sz w:val="20"/>
                <w:szCs w:val="20"/>
              </w:rPr>
              <w:t>16/2879 (0.6%)</w:t>
            </w:r>
          </w:p>
        </w:tc>
      </w:tr>
      <w:tr w:rsidR="002928AB" w:rsidRPr="00FF4F0A" w:rsidTr="00AB6393">
        <w:tc>
          <w:tcPr>
            <w:tcW w:w="3969" w:type="dxa"/>
          </w:tcPr>
          <w:p w:rsidR="002928AB" w:rsidRPr="00BF5020" w:rsidRDefault="002928AB" w:rsidP="00BF5020">
            <w:pPr>
              <w:rPr>
                <w:rFonts w:eastAsiaTheme="minorHAnsi"/>
                <w:sz w:val="20"/>
                <w:szCs w:val="20"/>
              </w:rPr>
            </w:pPr>
            <w:r w:rsidRPr="00BF5020">
              <w:rPr>
                <w:rFonts w:eastAsiaTheme="minorHAnsi"/>
                <w:sz w:val="20"/>
                <w:szCs w:val="20"/>
              </w:rPr>
              <w:t xml:space="preserve">Grade 1: </w:t>
            </w:r>
            <w:r w:rsidR="00DD5BCE">
              <w:rPr>
                <w:rFonts w:eastAsia="SymbolMT"/>
                <w:sz w:val="20"/>
                <w:szCs w:val="20"/>
              </w:rPr>
              <w:t xml:space="preserve">≥ </w:t>
            </w:r>
            <w:r w:rsidRPr="00BF5020">
              <w:rPr>
                <w:rFonts w:eastAsiaTheme="minorHAnsi"/>
                <w:sz w:val="20"/>
                <w:szCs w:val="20"/>
              </w:rPr>
              <w:t>1.5 Giga/L – LLN</w:t>
            </w:r>
          </w:p>
        </w:tc>
        <w:tc>
          <w:tcPr>
            <w:tcW w:w="4395" w:type="dxa"/>
          </w:tcPr>
          <w:p w:rsidR="002928AB" w:rsidRPr="00BF5020" w:rsidRDefault="002928AB" w:rsidP="00BF5020">
            <w:pPr>
              <w:rPr>
                <w:rFonts w:eastAsiaTheme="minorHAnsi"/>
                <w:sz w:val="20"/>
                <w:szCs w:val="20"/>
              </w:rPr>
            </w:pPr>
            <w:r w:rsidRPr="00BF5020">
              <w:rPr>
                <w:rFonts w:eastAsiaTheme="minorHAnsi"/>
                <w:sz w:val="20"/>
                <w:szCs w:val="20"/>
              </w:rPr>
              <w:t>2/2879 (&lt;0.1%)</w:t>
            </w:r>
          </w:p>
        </w:tc>
      </w:tr>
      <w:tr w:rsidR="002928AB" w:rsidRPr="00FF4F0A" w:rsidTr="00AB6393">
        <w:tc>
          <w:tcPr>
            <w:tcW w:w="3969" w:type="dxa"/>
          </w:tcPr>
          <w:p w:rsidR="002928AB" w:rsidRPr="00BF5020" w:rsidRDefault="002928AB" w:rsidP="00BF5020">
            <w:pPr>
              <w:rPr>
                <w:rFonts w:eastAsiaTheme="minorHAnsi"/>
                <w:sz w:val="20"/>
                <w:szCs w:val="20"/>
              </w:rPr>
            </w:pPr>
            <w:r w:rsidRPr="00BF5020">
              <w:rPr>
                <w:rFonts w:eastAsiaTheme="minorHAnsi"/>
                <w:sz w:val="20"/>
                <w:szCs w:val="20"/>
              </w:rPr>
              <w:t xml:space="preserve">Grade 2: </w:t>
            </w:r>
            <w:r w:rsidR="00DD5BCE">
              <w:rPr>
                <w:rFonts w:eastAsia="SymbolMT"/>
                <w:sz w:val="20"/>
                <w:szCs w:val="20"/>
              </w:rPr>
              <w:t xml:space="preserve">≥ </w:t>
            </w:r>
            <w:r w:rsidRPr="00BF5020">
              <w:rPr>
                <w:rFonts w:eastAsiaTheme="minorHAnsi"/>
                <w:sz w:val="20"/>
                <w:szCs w:val="20"/>
              </w:rPr>
              <w:t>1 - 1.5 Giga/L</w:t>
            </w:r>
          </w:p>
        </w:tc>
        <w:tc>
          <w:tcPr>
            <w:tcW w:w="4395" w:type="dxa"/>
          </w:tcPr>
          <w:p w:rsidR="002928AB" w:rsidRPr="00BF5020" w:rsidRDefault="002928AB" w:rsidP="00BF5020">
            <w:pPr>
              <w:rPr>
                <w:rFonts w:eastAsiaTheme="minorHAnsi"/>
                <w:sz w:val="20"/>
                <w:szCs w:val="20"/>
              </w:rPr>
            </w:pPr>
            <w:r w:rsidRPr="00BF5020">
              <w:rPr>
                <w:rFonts w:eastAsiaTheme="minorHAnsi"/>
                <w:sz w:val="20"/>
                <w:szCs w:val="20"/>
              </w:rPr>
              <w:t>10/2879 (0.3%)</w:t>
            </w:r>
          </w:p>
        </w:tc>
      </w:tr>
      <w:tr w:rsidR="002928AB" w:rsidRPr="00FF4F0A" w:rsidTr="00AB6393">
        <w:tc>
          <w:tcPr>
            <w:tcW w:w="3969" w:type="dxa"/>
          </w:tcPr>
          <w:p w:rsidR="002928AB" w:rsidRPr="00BF5020" w:rsidRDefault="002928AB" w:rsidP="00BF5020">
            <w:pPr>
              <w:rPr>
                <w:rFonts w:eastAsiaTheme="minorHAnsi"/>
                <w:sz w:val="20"/>
                <w:szCs w:val="20"/>
              </w:rPr>
            </w:pPr>
            <w:r w:rsidRPr="00BF5020">
              <w:rPr>
                <w:rFonts w:eastAsiaTheme="minorHAnsi"/>
                <w:sz w:val="20"/>
                <w:szCs w:val="20"/>
              </w:rPr>
              <w:t>Grade 3-4:&lt;1.0 Giga/L</w:t>
            </w:r>
          </w:p>
        </w:tc>
        <w:tc>
          <w:tcPr>
            <w:tcW w:w="4395" w:type="dxa"/>
          </w:tcPr>
          <w:p w:rsidR="002928AB" w:rsidRPr="00BF5020" w:rsidRDefault="002928AB" w:rsidP="00BF5020">
            <w:pPr>
              <w:rPr>
                <w:rFonts w:eastAsiaTheme="minorHAnsi"/>
                <w:sz w:val="20"/>
                <w:szCs w:val="20"/>
              </w:rPr>
            </w:pPr>
            <w:r w:rsidRPr="00BF5020">
              <w:rPr>
                <w:rFonts w:eastAsiaTheme="minorHAnsi"/>
                <w:sz w:val="20"/>
                <w:szCs w:val="20"/>
              </w:rPr>
              <w:t>4/2879 (0.1%)</w:t>
            </w:r>
          </w:p>
        </w:tc>
      </w:tr>
    </w:tbl>
    <w:p w:rsidR="002928AB" w:rsidRPr="0095541E" w:rsidRDefault="002928AB" w:rsidP="0095541E">
      <w:pPr>
        <w:pStyle w:val="TableDescription"/>
      </w:pPr>
      <w:r w:rsidRPr="0095541E">
        <w:t xml:space="preserve">Note: The number (n) represents the subset of the total number of patients who met the criterion in question at least once during treatment. The denominator (/N1) for each parameter within a treatment group is the number of patients for the treatment group who had that parameter assessed during the TEAE period. ANC = absolute neutrophil count. Note: normalisation/normal is defined as absolute neutrophil count </w:t>
      </w:r>
      <w:r w:rsidR="00DD5BCE">
        <w:t>&gt;</w:t>
      </w:r>
      <w:r w:rsidR="007C7C62">
        <w:t xml:space="preserve"> </w:t>
      </w:r>
      <w:r w:rsidRPr="0095541E">
        <w:t xml:space="preserve">LLN or return to baseline if baseline is &lt;LLN after the last episode of ANC&lt;1.0 Giga/L. a = End of treatment defined as </w:t>
      </w:r>
      <w:r w:rsidR="00DD5BCE">
        <w:t>≤</w:t>
      </w:r>
      <w:r w:rsidR="007C7C62">
        <w:t xml:space="preserve"> </w:t>
      </w:r>
      <w:r w:rsidRPr="0095541E">
        <w:t>17 days after date of last dose of IMP. b = Patient was still in the study at time of data extraction.</w:t>
      </w:r>
    </w:p>
    <w:p w:rsidR="00AA6B20" w:rsidRDefault="002928AB" w:rsidP="002928AB">
      <w:pPr>
        <w:rPr>
          <w:color w:val="000000"/>
          <w:lang w:val="en-US"/>
        </w:rPr>
      </w:pPr>
      <w:r w:rsidRPr="00A72FC8">
        <w:rPr>
          <w:lang w:val="en-US"/>
        </w:rPr>
        <w:t xml:space="preserve">Of the 340 patients </w:t>
      </w:r>
      <w:r>
        <w:rPr>
          <w:lang w:val="en-US"/>
        </w:rPr>
        <w:t xml:space="preserve">in </w:t>
      </w:r>
      <w:r>
        <w:rPr>
          <w:color w:val="000000"/>
          <w:lang w:val="en-US"/>
        </w:rPr>
        <w:t xml:space="preserve">the any </w:t>
      </w:r>
      <w:r w:rsidRPr="00A72FC8">
        <w:rPr>
          <w:color w:val="000000"/>
          <w:lang w:val="en-US"/>
        </w:rPr>
        <w:t xml:space="preserve">sarilumab </w:t>
      </w:r>
      <w:r>
        <w:rPr>
          <w:color w:val="000000"/>
          <w:lang w:val="en-US"/>
        </w:rPr>
        <w:t>dose group</w:t>
      </w:r>
      <w:r w:rsidRPr="00A72FC8">
        <w:rPr>
          <w:color w:val="000000"/>
          <w:lang w:val="en-US"/>
        </w:rPr>
        <w:t xml:space="preserve"> </w:t>
      </w:r>
      <w:r>
        <w:rPr>
          <w:color w:val="000000"/>
          <w:lang w:val="en-US"/>
        </w:rPr>
        <w:t xml:space="preserve">with </w:t>
      </w:r>
      <w:r w:rsidRPr="00A72FC8">
        <w:rPr>
          <w:color w:val="000000"/>
          <w:lang w:val="en-US"/>
        </w:rPr>
        <w:t xml:space="preserve">an ANC &lt;1.0 Giga/L, 292 </w:t>
      </w:r>
      <w:r>
        <w:rPr>
          <w:color w:val="000000"/>
          <w:lang w:val="en-US"/>
        </w:rPr>
        <w:t xml:space="preserve">patients </w:t>
      </w:r>
      <w:r w:rsidRPr="00A72FC8">
        <w:rPr>
          <w:color w:val="000000"/>
          <w:lang w:val="en-US"/>
        </w:rPr>
        <w:t>re-initiated treatment with sarilumab after the initi</w:t>
      </w:r>
      <w:r>
        <w:rPr>
          <w:color w:val="000000"/>
          <w:lang w:val="en-US"/>
        </w:rPr>
        <w:t xml:space="preserve">al episode of ANC </w:t>
      </w:r>
      <w:r w:rsidR="007F1BEB">
        <w:t>&lt; </w:t>
      </w:r>
      <w:r>
        <w:rPr>
          <w:color w:val="000000"/>
          <w:lang w:val="en-US"/>
        </w:rPr>
        <w:t>1.0 Giga/L and t</w:t>
      </w:r>
      <w:r>
        <w:rPr>
          <w:lang w:val="en-US"/>
        </w:rPr>
        <w:t xml:space="preserve">he </w:t>
      </w:r>
      <w:r>
        <w:rPr>
          <w:lang w:val="en-US"/>
        </w:rPr>
        <w:lastRenderedPageBreak/>
        <w:t xml:space="preserve">majority of these patients were able to continue therapy with no or a single recurrence of ANC </w:t>
      </w:r>
      <w:r w:rsidR="007F1BEB">
        <w:t>&lt; </w:t>
      </w:r>
      <w:r>
        <w:rPr>
          <w:lang w:val="en-US"/>
        </w:rPr>
        <w:t>1.0 Giga/L (</w:t>
      </w:r>
      <w:r w:rsidR="007C7C62">
        <w:rPr>
          <w:lang w:val="en-US"/>
        </w:rPr>
        <w:t xml:space="preserve">n = </w:t>
      </w:r>
      <w:r>
        <w:rPr>
          <w:lang w:val="en-US"/>
        </w:rPr>
        <w:t>139), while 49 patients eventually discontinued due to neutro</w:t>
      </w:r>
      <w:r w:rsidR="001E2D44">
        <w:rPr>
          <w:lang w:val="en-US"/>
        </w:rPr>
        <w:t>paenia</w:t>
      </w:r>
      <w:r>
        <w:rPr>
          <w:lang w:val="en-US"/>
        </w:rPr>
        <w:t>, decreased neutrophil count or leuko</w:t>
      </w:r>
      <w:r w:rsidR="001E2D44">
        <w:rPr>
          <w:lang w:val="en-US"/>
        </w:rPr>
        <w:t>paenia</w:t>
      </w:r>
      <w:r>
        <w:rPr>
          <w:lang w:val="en-US"/>
        </w:rPr>
        <w:t xml:space="preserve">. </w:t>
      </w:r>
      <w:r>
        <w:rPr>
          <w:color w:val="000000"/>
          <w:lang w:val="en-US"/>
        </w:rPr>
        <w:t xml:space="preserve">Overall, the </w:t>
      </w:r>
      <w:proofErr w:type="spellStart"/>
      <w:r>
        <w:rPr>
          <w:color w:val="000000"/>
          <w:lang w:val="en-US"/>
        </w:rPr>
        <w:t>normalisation</w:t>
      </w:r>
      <w:proofErr w:type="spellEnd"/>
      <w:r>
        <w:rPr>
          <w:color w:val="000000"/>
          <w:lang w:val="en-US"/>
        </w:rPr>
        <w:t xml:space="preserve"> and re-initiation data for patients in the any sarilumab dose group with an ANC </w:t>
      </w:r>
      <w:r w:rsidR="007F1BEB">
        <w:t>&lt; </w:t>
      </w:r>
      <w:r>
        <w:rPr>
          <w:color w:val="000000"/>
          <w:lang w:val="en-US"/>
        </w:rPr>
        <w:t>1.0 Giga/L showed that neutro</w:t>
      </w:r>
      <w:r w:rsidR="001E2D44">
        <w:rPr>
          <w:color w:val="000000"/>
          <w:lang w:val="en-US"/>
        </w:rPr>
        <w:t>paenia</w:t>
      </w:r>
      <w:r>
        <w:rPr>
          <w:color w:val="000000"/>
          <w:lang w:val="en-US"/>
        </w:rPr>
        <w:t xml:space="preserve"> associated with sarilumab treatment was reversible.</w:t>
      </w:r>
    </w:p>
    <w:p w:rsidR="002928AB" w:rsidRPr="00F64914" w:rsidRDefault="002928AB" w:rsidP="00BF5020">
      <w:pPr>
        <w:pStyle w:val="Heading6"/>
        <w:rPr>
          <w:lang w:eastAsia="ja-JP"/>
        </w:rPr>
      </w:pPr>
      <w:r w:rsidRPr="00F64914">
        <w:rPr>
          <w:lang w:eastAsia="ja-JP"/>
        </w:rPr>
        <w:t>Thrombocyto</w:t>
      </w:r>
      <w:r w:rsidR="001E2D44">
        <w:rPr>
          <w:lang w:eastAsia="ja-JP"/>
        </w:rPr>
        <w:t>paenia</w:t>
      </w:r>
    </w:p>
    <w:p w:rsidR="00AA6B20" w:rsidRDefault="002928AB" w:rsidP="002928AB">
      <w:pPr>
        <w:rPr>
          <w:rFonts w:asciiTheme="minorHAnsi" w:hAnsiTheme="minorHAnsi"/>
          <w:lang w:eastAsia="ja-JP"/>
        </w:rPr>
      </w:pPr>
      <w:r w:rsidRPr="00F64914">
        <w:rPr>
          <w:rFonts w:asciiTheme="minorHAnsi" w:hAnsiTheme="minorHAnsi"/>
          <w:lang w:eastAsia="ja-JP"/>
        </w:rPr>
        <w:t xml:space="preserve">In the any sarilumab dose group, 65 (2.3%) patients had a platelet count of </w:t>
      </w:r>
      <w:r w:rsidR="007F1BEB">
        <w:t>&lt; </w:t>
      </w:r>
      <w:r w:rsidRPr="00F64914">
        <w:rPr>
          <w:rFonts w:asciiTheme="minorHAnsi" w:hAnsiTheme="minorHAnsi"/>
          <w:lang w:eastAsia="ja-JP"/>
        </w:rPr>
        <w:t xml:space="preserve">100 Giga/L, with 36 patients having one platelet count </w:t>
      </w:r>
      <w:r w:rsidR="007F1BEB">
        <w:t>&lt; </w:t>
      </w:r>
      <w:r w:rsidRPr="00F64914">
        <w:rPr>
          <w:rFonts w:asciiTheme="minorHAnsi" w:hAnsiTheme="minorHAnsi"/>
          <w:lang w:eastAsia="ja-JP"/>
        </w:rPr>
        <w:t xml:space="preserve">100 Giga/L and 29 patients having more than one platelet count </w:t>
      </w:r>
      <w:r w:rsidR="007F1BEB">
        <w:t>&lt; </w:t>
      </w:r>
      <w:r w:rsidRPr="00F64914">
        <w:rPr>
          <w:rFonts w:asciiTheme="minorHAnsi" w:hAnsiTheme="minorHAnsi"/>
          <w:lang w:eastAsia="ja-JP"/>
        </w:rPr>
        <w:t>100 Giga/L</w:t>
      </w:r>
      <w:r>
        <w:rPr>
          <w:rFonts w:asciiTheme="minorHAnsi" w:hAnsiTheme="minorHAnsi"/>
          <w:lang w:eastAsia="ja-JP"/>
        </w:rPr>
        <w:t>.</w:t>
      </w:r>
    </w:p>
    <w:p w:rsidR="002928AB" w:rsidRPr="00F64914" w:rsidRDefault="002928AB" w:rsidP="002928AB">
      <w:pPr>
        <w:autoSpaceDE w:val="0"/>
        <w:autoSpaceDN w:val="0"/>
        <w:adjustRightInd w:val="0"/>
        <w:rPr>
          <w:rFonts w:asciiTheme="minorHAnsi" w:eastAsiaTheme="minorHAnsi" w:hAnsiTheme="minorHAnsi" w:cs="TimesNewRomanPSMT"/>
        </w:rPr>
      </w:pPr>
      <w:r w:rsidRPr="00F64914">
        <w:rPr>
          <w:rFonts w:asciiTheme="minorHAnsi" w:eastAsiaTheme="minorHAnsi" w:hAnsiTheme="minorHAnsi" w:cs="TimesNewRomanPSMT"/>
        </w:rPr>
        <w:t xml:space="preserve">Sarilumab was to be discontinued in </w:t>
      </w:r>
      <w:r>
        <w:rPr>
          <w:rFonts w:asciiTheme="minorHAnsi" w:eastAsiaTheme="minorHAnsi" w:hAnsiTheme="minorHAnsi" w:cs="TimesNewRomanPSMT"/>
        </w:rPr>
        <w:t xml:space="preserve">patients with platelet counts </w:t>
      </w:r>
      <w:r w:rsidR="007F1BEB">
        <w:t>&lt; </w:t>
      </w:r>
      <w:r>
        <w:rPr>
          <w:rFonts w:asciiTheme="minorHAnsi" w:eastAsiaTheme="minorHAnsi" w:hAnsiTheme="minorHAnsi" w:cs="TimesNewRomanPSMT"/>
        </w:rPr>
        <w:t xml:space="preserve">50 Giga/L, </w:t>
      </w:r>
      <w:r w:rsidRPr="00F64914">
        <w:rPr>
          <w:rFonts w:asciiTheme="minorHAnsi" w:eastAsiaTheme="minorHAnsi" w:hAnsiTheme="minorHAnsi" w:cs="TimesNewRomanPSMT"/>
        </w:rPr>
        <w:t xml:space="preserve">or </w:t>
      </w:r>
      <w:r>
        <w:rPr>
          <w:rFonts w:asciiTheme="minorHAnsi" w:eastAsiaTheme="minorHAnsi" w:hAnsiTheme="minorHAnsi" w:cs="TimesNewRomanPSMT"/>
        </w:rPr>
        <w:t xml:space="preserve">in patients with platelet counts </w:t>
      </w:r>
      <w:r w:rsidR="007F1BEB">
        <w:t>&lt; </w:t>
      </w:r>
      <w:r>
        <w:rPr>
          <w:rFonts w:asciiTheme="minorHAnsi" w:eastAsiaTheme="minorHAnsi" w:hAnsiTheme="minorHAnsi" w:cs="TimesNewRomanPSMT"/>
        </w:rPr>
        <w:t xml:space="preserve">100 Giga/L and </w:t>
      </w:r>
      <w:r w:rsidRPr="00F64914">
        <w:rPr>
          <w:rFonts w:asciiTheme="minorHAnsi" w:eastAsiaTheme="minorHAnsi" w:hAnsiTheme="minorHAnsi" w:cs="TimesNewRomanPSMT"/>
        </w:rPr>
        <w:t xml:space="preserve">evidence of bleeding. If </w:t>
      </w:r>
      <w:r>
        <w:rPr>
          <w:rFonts w:asciiTheme="minorHAnsi" w:eastAsiaTheme="minorHAnsi" w:hAnsiTheme="minorHAnsi" w:cs="TimesNewRomanPSMT"/>
        </w:rPr>
        <w:t xml:space="preserve">the </w:t>
      </w:r>
      <w:r w:rsidRPr="00F64914">
        <w:rPr>
          <w:rFonts w:asciiTheme="minorHAnsi" w:eastAsiaTheme="minorHAnsi" w:hAnsiTheme="minorHAnsi" w:cs="TimesNewRomanPSMT"/>
        </w:rPr>
        <w:t xml:space="preserve">platelet count was </w:t>
      </w:r>
      <w:proofErr w:type="gramStart"/>
      <w:r w:rsidRPr="00F64914">
        <w:rPr>
          <w:rFonts w:asciiTheme="minorHAnsi" w:eastAsiaTheme="minorHAnsi" w:hAnsiTheme="minorHAnsi" w:cs="TimesNewRomanPSMT"/>
        </w:rPr>
        <w:t>50</w:t>
      </w:r>
      <w:r w:rsidR="00CC63CB">
        <w:rPr>
          <w:rFonts w:asciiTheme="minorHAnsi" w:eastAsiaTheme="minorHAnsi" w:hAnsiTheme="minorHAnsi" w:cs="TimesNewRomanPSMT"/>
        </w:rPr>
        <w:t xml:space="preserve"> to </w:t>
      </w:r>
      <w:r w:rsidRPr="00F64914">
        <w:rPr>
          <w:rFonts w:asciiTheme="minorHAnsi" w:eastAsiaTheme="minorHAnsi" w:hAnsiTheme="minorHAnsi" w:cs="TimesNewRomanPSMT"/>
        </w:rPr>
        <w:t>100 Giga/L with no evidence of bleeding,</w:t>
      </w:r>
      <w:proofErr w:type="gramEnd"/>
      <w:r w:rsidRPr="00F64914">
        <w:rPr>
          <w:rFonts w:asciiTheme="minorHAnsi" w:eastAsiaTheme="minorHAnsi" w:hAnsiTheme="minorHAnsi" w:cs="TimesNewRomanPSMT"/>
        </w:rPr>
        <w:t xml:space="preserve"> administration of the treatment regimen was to be temporarily</w:t>
      </w:r>
      <w:r>
        <w:rPr>
          <w:rFonts w:asciiTheme="minorHAnsi" w:eastAsiaTheme="minorHAnsi" w:hAnsiTheme="minorHAnsi" w:cs="TimesNewRomanPSMT"/>
        </w:rPr>
        <w:t xml:space="preserve"> withheld and re-initiated once the platelet </w:t>
      </w:r>
      <w:r w:rsidRPr="00F64914">
        <w:rPr>
          <w:rFonts w:asciiTheme="minorHAnsi" w:eastAsiaTheme="minorHAnsi" w:hAnsiTheme="minorHAnsi" w:cs="TimesNewRomanPSMT"/>
        </w:rPr>
        <w:t xml:space="preserve">count </w:t>
      </w:r>
      <w:r>
        <w:rPr>
          <w:rFonts w:asciiTheme="minorHAnsi" w:eastAsiaTheme="minorHAnsi" w:hAnsiTheme="minorHAnsi" w:cs="TimesNewRomanPSMT"/>
        </w:rPr>
        <w:t xml:space="preserve">was </w:t>
      </w:r>
      <w:r w:rsidR="00DD5BCE">
        <w:rPr>
          <w:rFonts w:asciiTheme="minorHAnsi" w:eastAsiaTheme="minorHAnsi" w:hAnsiTheme="minorHAnsi" w:cs="TimesNewRomanPSMT"/>
        </w:rPr>
        <w:t xml:space="preserve">&gt; </w:t>
      </w:r>
      <w:r w:rsidRPr="00F64914">
        <w:rPr>
          <w:rFonts w:asciiTheme="minorHAnsi" w:eastAsiaTheme="minorHAnsi" w:hAnsiTheme="minorHAnsi" w:cs="TimesNewRomanPSMT"/>
        </w:rPr>
        <w:t>100</w:t>
      </w:r>
      <w:r w:rsidR="00CC63CB">
        <w:rPr>
          <w:rFonts w:asciiTheme="minorHAnsi" w:eastAsiaTheme="minorHAnsi" w:hAnsiTheme="minorHAnsi" w:cs="TimesNewRomanPSMT"/>
        </w:rPr>
        <w:t> </w:t>
      </w:r>
      <w:r w:rsidRPr="00F64914">
        <w:rPr>
          <w:rFonts w:asciiTheme="minorHAnsi" w:eastAsiaTheme="minorHAnsi" w:hAnsiTheme="minorHAnsi" w:cs="TimesNewRomanPSMT"/>
        </w:rPr>
        <w:t xml:space="preserve">Giga/L. The outcomes for the 65 patients with platelet counts </w:t>
      </w:r>
      <w:r w:rsidR="007F1BEB">
        <w:t>&lt; </w:t>
      </w:r>
      <w:r w:rsidRPr="00F64914">
        <w:rPr>
          <w:rFonts w:asciiTheme="minorHAnsi" w:eastAsiaTheme="minorHAnsi" w:hAnsiTheme="minorHAnsi" w:cs="TimesNewRomanPSMT"/>
        </w:rPr>
        <w:t xml:space="preserve">100 Giga/L are summarised below in Table </w:t>
      </w:r>
      <w:r w:rsidR="000F5B2C">
        <w:rPr>
          <w:rFonts w:asciiTheme="minorHAnsi" w:eastAsiaTheme="minorHAnsi" w:hAnsiTheme="minorHAnsi" w:cs="TimesNewRomanPSMT"/>
        </w:rPr>
        <w:t>43</w:t>
      </w:r>
      <w:r w:rsidRPr="00F64914">
        <w:rPr>
          <w:rFonts w:asciiTheme="minorHAnsi" w:eastAsiaTheme="minorHAnsi" w:hAnsiTheme="minorHAnsi" w:cs="TimesNewRomanPSMT"/>
        </w:rPr>
        <w:t>.</w:t>
      </w:r>
    </w:p>
    <w:p w:rsidR="002928AB" w:rsidRPr="00F64914" w:rsidRDefault="002928AB" w:rsidP="002928AB">
      <w:pPr>
        <w:autoSpaceDE w:val="0"/>
        <w:autoSpaceDN w:val="0"/>
        <w:adjustRightInd w:val="0"/>
        <w:rPr>
          <w:rFonts w:asciiTheme="minorHAnsi" w:eastAsiaTheme="minorHAnsi" w:hAnsiTheme="minorHAnsi" w:cs="TimesNewRomanPSMT"/>
        </w:rPr>
      </w:pPr>
      <w:r w:rsidRPr="00F64914">
        <w:rPr>
          <w:rFonts w:asciiTheme="minorHAnsi" w:eastAsiaTheme="minorHAnsi" w:hAnsiTheme="minorHAnsi" w:cs="TimesNewRomanPSMT"/>
        </w:rPr>
        <w:t>A total of 5 patients with platelet count</w:t>
      </w:r>
      <w:r>
        <w:rPr>
          <w:rFonts w:asciiTheme="minorHAnsi" w:eastAsiaTheme="minorHAnsi" w:hAnsiTheme="minorHAnsi" w:cs="TimesNewRomanPSMT"/>
        </w:rPr>
        <w:t>s</w:t>
      </w:r>
      <w:r w:rsidRPr="00F64914">
        <w:rPr>
          <w:rFonts w:asciiTheme="minorHAnsi" w:eastAsiaTheme="minorHAnsi" w:hAnsiTheme="minorHAnsi" w:cs="TimesNewRomanPSMT"/>
        </w:rPr>
        <w:t xml:space="preserve"> &lt;</w:t>
      </w:r>
      <w:r w:rsidR="0014526F">
        <w:rPr>
          <w:rFonts w:asciiTheme="minorHAnsi" w:eastAsiaTheme="minorHAnsi" w:hAnsiTheme="minorHAnsi" w:cs="TimesNewRomanPSMT"/>
        </w:rPr>
        <w:t xml:space="preserve"> </w:t>
      </w:r>
      <w:r w:rsidRPr="00F64914">
        <w:rPr>
          <w:rFonts w:asciiTheme="minorHAnsi" w:eastAsiaTheme="minorHAnsi" w:hAnsiTheme="minorHAnsi" w:cs="TimesNewRomanPSMT"/>
        </w:rPr>
        <w:t xml:space="preserve">100 Giga/L had a </w:t>
      </w:r>
      <w:r>
        <w:rPr>
          <w:rFonts w:asciiTheme="minorHAnsi" w:eastAsiaTheme="minorHAnsi" w:hAnsiTheme="minorHAnsi" w:cs="TimesNewRomanPSMT"/>
        </w:rPr>
        <w:t>bleeding event (</w:t>
      </w:r>
      <w:r w:rsidRPr="00F64914">
        <w:rPr>
          <w:rFonts w:asciiTheme="minorHAnsi" w:eastAsiaTheme="minorHAnsi" w:hAnsiTheme="minorHAnsi" w:cs="TimesNewRomanPSMT"/>
        </w:rPr>
        <w:t>TEAE within the SMQ</w:t>
      </w:r>
      <w:r>
        <w:rPr>
          <w:rFonts w:asciiTheme="minorHAnsi" w:eastAsiaTheme="minorHAnsi" w:hAnsiTheme="minorHAnsi" w:cs="TimesNewRomanPSMT"/>
        </w:rPr>
        <w:t xml:space="preserve"> </w:t>
      </w:r>
      <w:r w:rsidR="00CC63CB">
        <w:rPr>
          <w:rFonts w:asciiTheme="minorHAnsi" w:eastAsiaTheme="minorHAnsi" w:hAnsiTheme="minorHAnsi" w:cs="TimesNewRomanPSMT"/>
        </w:rPr>
        <w:t>h</w:t>
      </w:r>
      <w:r w:rsidR="00CC63CB" w:rsidRPr="00F64914">
        <w:rPr>
          <w:rFonts w:asciiTheme="minorHAnsi" w:eastAsiaTheme="minorHAnsi" w:hAnsiTheme="minorHAnsi" w:cs="TimesNewRomanPSMT"/>
        </w:rPr>
        <w:t>aemorrhages</w:t>
      </w:r>
      <w:r>
        <w:rPr>
          <w:rFonts w:asciiTheme="minorHAnsi" w:eastAsiaTheme="minorHAnsi" w:hAnsiTheme="minorHAnsi" w:cs="TimesNewRomanPSMT"/>
        </w:rPr>
        <w:t>)</w:t>
      </w:r>
      <w:r w:rsidRPr="00F64914">
        <w:rPr>
          <w:rFonts w:asciiTheme="minorHAnsi" w:eastAsiaTheme="minorHAnsi" w:hAnsiTheme="minorHAnsi" w:cs="TimesNewRomanPSMT"/>
        </w:rPr>
        <w:t>. In 3 patients, the events were not concurrent, and therefore the decrease in</w:t>
      </w:r>
      <w:r>
        <w:rPr>
          <w:rFonts w:asciiTheme="minorHAnsi" w:eastAsiaTheme="minorHAnsi" w:hAnsiTheme="minorHAnsi" w:cs="TimesNewRomanPSMT"/>
        </w:rPr>
        <w:t xml:space="preserve"> platelet count was not considered to be a </w:t>
      </w:r>
      <w:r w:rsidRPr="00F64914">
        <w:rPr>
          <w:rFonts w:asciiTheme="minorHAnsi" w:eastAsiaTheme="minorHAnsi" w:hAnsiTheme="minorHAnsi" w:cs="TimesNewRomanPSMT"/>
        </w:rPr>
        <w:t xml:space="preserve">potential cause for the </w:t>
      </w:r>
      <w:r>
        <w:rPr>
          <w:rFonts w:asciiTheme="minorHAnsi" w:eastAsiaTheme="minorHAnsi" w:hAnsiTheme="minorHAnsi" w:cs="TimesNewRomanPSMT"/>
        </w:rPr>
        <w:t xml:space="preserve">bleeding </w:t>
      </w:r>
      <w:r w:rsidRPr="00F64914">
        <w:rPr>
          <w:rFonts w:asciiTheme="minorHAnsi" w:eastAsiaTheme="minorHAnsi" w:hAnsiTheme="minorHAnsi" w:cs="TimesNewRomanPSMT"/>
        </w:rPr>
        <w:t xml:space="preserve">event. In the remaining </w:t>
      </w:r>
      <w:r>
        <w:rPr>
          <w:rFonts w:asciiTheme="minorHAnsi" w:eastAsiaTheme="minorHAnsi" w:hAnsiTheme="minorHAnsi" w:cs="TimesNewRomanPSMT"/>
        </w:rPr>
        <w:t xml:space="preserve">2 patients, the bleeding events </w:t>
      </w:r>
      <w:r w:rsidRPr="00F64914">
        <w:rPr>
          <w:rFonts w:asciiTheme="minorHAnsi" w:eastAsiaTheme="minorHAnsi" w:hAnsiTheme="minorHAnsi" w:cs="TimesNewRomanPSMT"/>
        </w:rPr>
        <w:t>were</w:t>
      </w:r>
      <w:r>
        <w:rPr>
          <w:rFonts w:asciiTheme="minorHAnsi" w:eastAsiaTheme="minorHAnsi" w:hAnsiTheme="minorHAnsi" w:cs="TimesNewRomanPSMT"/>
        </w:rPr>
        <w:t xml:space="preserve"> mild in intensity and </w:t>
      </w:r>
      <w:r w:rsidRPr="00F64914">
        <w:rPr>
          <w:rFonts w:asciiTheme="minorHAnsi" w:eastAsiaTheme="minorHAnsi" w:hAnsiTheme="minorHAnsi" w:cs="TimesNewRomanPSMT"/>
        </w:rPr>
        <w:t>non-serious</w:t>
      </w:r>
      <w:r>
        <w:rPr>
          <w:rFonts w:asciiTheme="minorHAnsi" w:eastAsiaTheme="minorHAnsi" w:hAnsiTheme="minorHAnsi" w:cs="TimesNewRomanPSMT"/>
        </w:rPr>
        <w:t xml:space="preserve">, and consisted </w:t>
      </w:r>
      <w:r w:rsidRPr="00F64914">
        <w:rPr>
          <w:rFonts w:asciiTheme="minorHAnsi" w:eastAsiaTheme="minorHAnsi" w:hAnsiTheme="minorHAnsi" w:cs="TimesNewRomanPSMT"/>
        </w:rPr>
        <w:t>of injection site</w:t>
      </w:r>
      <w:r>
        <w:rPr>
          <w:rFonts w:asciiTheme="minorHAnsi" w:eastAsiaTheme="minorHAnsi" w:hAnsiTheme="minorHAnsi" w:cs="TimesNewRomanPSMT"/>
        </w:rPr>
        <w:t xml:space="preserve"> ecchymosis </w:t>
      </w:r>
      <w:r w:rsidRPr="00F64914">
        <w:rPr>
          <w:rFonts w:asciiTheme="minorHAnsi" w:eastAsiaTheme="minorHAnsi" w:hAnsiTheme="minorHAnsi" w:cs="TimesNewRomanPSMT"/>
        </w:rPr>
        <w:t>with a platelet count between 58</w:t>
      </w:r>
      <w:r w:rsidR="00AB6393">
        <w:rPr>
          <w:rFonts w:asciiTheme="minorHAnsi" w:eastAsiaTheme="minorHAnsi" w:hAnsiTheme="minorHAnsi" w:cs="TimesNewRomanPSMT"/>
        </w:rPr>
        <w:t xml:space="preserve"> and </w:t>
      </w:r>
      <w:r w:rsidRPr="00F64914">
        <w:rPr>
          <w:rFonts w:asciiTheme="minorHAnsi" w:eastAsiaTheme="minorHAnsi" w:hAnsiTheme="minorHAnsi" w:cs="TimesNewRomanPSMT"/>
        </w:rPr>
        <w:t>91 Giga/L and left arm hematoma with a platelet count between</w:t>
      </w:r>
      <w:r>
        <w:rPr>
          <w:rFonts w:asciiTheme="minorHAnsi" w:eastAsiaTheme="minorHAnsi" w:hAnsiTheme="minorHAnsi" w:cs="TimesNewRomanPSMT"/>
        </w:rPr>
        <w:t xml:space="preserve"> 60</w:t>
      </w:r>
      <w:r w:rsidR="005A2C47">
        <w:rPr>
          <w:rFonts w:asciiTheme="minorHAnsi" w:eastAsiaTheme="minorHAnsi" w:hAnsiTheme="minorHAnsi" w:cs="TimesNewRomanPSMT"/>
        </w:rPr>
        <w:t xml:space="preserve"> to </w:t>
      </w:r>
      <w:r>
        <w:rPr>
          <w:rFonts w:asciiTheme="minorHAnsi" w:eastAsiaTheme="minorHAnsi" w:hAnsiTheme="minorHAnsi" w:cs="TimesNewRomanPSMT"/>
        </w:rPr>
        <w:t xml:space="preserve">93 Giga/L. The patient with </w:t>
      </w:r>
      <w:r w:rsidRPr="00F64914">
        <w:rPr>
          <w:rFonts w:asciiTheme="minorHAnsi" w:eastAsiaTheme="minorHAnsi" w:hAnsiTheme="minorHAnsi" w:cs="TimesNewRomanPSMT"/>
        </w:rPr>
        <w:t xml:space="preserve">left arm hematoma also had prior AEs of intermittent hematoma </w:t>
      </w:r>
      <w:r>
        <w:rPr>
          <w:rFonts w:asciiTheme="minorHAnsi" w:eastAsiaTheme="minorHAnsi" w:hAnsiTheme="minorHAnsi" w:cs="TimesNewRomanPSMT"/>
        </w:rPr>
        <w:t xml:space="preserve">in the upper arms which occurred </w:t>
      </w:r>
      <w:r w:rsidRPr="00F64914">
        <w:rPr>
          <w:rFonts w:asciiTheme="minorHAnsi" w:eastAsiaTheme="minorHAnsi" w:hAnsiTheme="minorHAnsi" w:cs="TimesNewRomanPSMT"/>
        </w:rPr>
        <w:t xml:space="preserve">without concurrent decrease in platelet count, making it unlikely </w:t>
      </w:r>
      <w:r>
        <w:rPr>
          <w:rFonts w:asciiTheme="minorHAnsi" w:eastAsiaTheme="minorHAnsi" w:hAnsiTheme="minorHAnsi" w:cs="TimesNewRomanPSMT"/>
        </w:rPr>
        <w:t xml:space="preserve">that the observed </w:t>
      </w:r>
      <w:r w:rsidRPr="00F64914">
        <w:rPr>
          <w:rFonts w:asciiTheme="minorHAnsi" w:eastAsiaTheme="minorHAnsi" w:hAnsiTheme="minorHAnsi" w:cs="TimesNewRomanPSMT"/>
        </w:rPr>
        <w:t>event was related to the</w:t>
      </w:r>
      <w:r>
        <w:rPr>
          <w:rFonts w:asciiTheme="minorHAnsi" w:eastAsiaTheme="minorHAnsi" w:hAnsiTheme="minorHAnsi" w:cs="TimesNewRomanPSMT"/>
        </w:rPr>
        <w:t xml:space="preserve"> </w:t>
      </w:r>
      <w:r w:rsidRPr="00F64914">
        <w:rPr>
          <w:rFonts w:asciiTheme="minorHAnsi" w:eastAsiaTheme="minorHAnsi" w:hAnsiTheme="minorHAnsi" w:cs="TimesNewRomanPSMT"/>
        </w:rPr>
        <w:t>platelet count &lt;</w:t>
      </w:r>
      <w:r w:rsidR="0014526F">
        <w:rPr>
          <w:rFonts w:asciiTheme="minorHAnsi" w:eastAsiaTheme="minorHAnsi" w:hAnsiTheme="minorHAnsi" w:cs="TimesNewRomanPSMT"/>
        </w:rPr>
        <w:t xml:space="preserve"> </w:t>
      </w:r>
      <w:r w:rsidRPr="00F64914">
        <w:rPr>
          <w:rFonts w:asciiTheme="minorHAnsi" w:eastAsiaTheme="minorHAnsi" w:hAnsiTheme="minorHAnsi" w:cs="TimesNewRomanPSMT"/>
        </w:rPr>
        <w:t>100 Giga/L.</w:t>
      </w:r>
    </w:p>
    <w:p w:rsidR="002928AB" w:rsidRDefault="002928AB" w:rsidP="00BF5020">
      <w:pPr>
        <w:pStyle w:val="Tabletitle0"/>
        <w:rPr>
          <w:lang w:val="en-US"/>
        </w:rPr>
      </w:pPr>
      <w:bookmarkStart w:id="181" w:name="_Toc514687852"/>
      <w:r>
        <w:t xml:space="preserve">Table </w:t>
      </w:r>
      <w:r w:rsidR="000F5B2C">
        <w:t>43</w:t>
      </w:r>
      <w:r>
        <w:t xml:space="preserve">: </w:t>
      </w:r>
      <w:r w:rsidRPr="00BC0800">
        <w:rPr>
          <w:lang w:val="en-US"/>
        </w:rPr>
        <w:t>Pool 2 (</w:t>
      </w:r>
      <w:r>
        <w:rPr>
          <w:lang w:val="en-US"/>
        </w:rPr>
        <w:t xml:space="preserve">sarilumab + DMARD </w:t>
      </w:r>
      <w:r w:rsidRPr="00BC0800">
        <w:rPr>
          <w:lang w:val="en-US"/>
        </w:rPr>
        <w:t>long-term safet</w:t>
      </w:r>
      <w:r>
        <w:rPr>
          <w:lang w:val="en-US"/>
        </w:rPr>
        <w:t xml:space="preserve">y population) Overview of outcome in patients with platelet counts </w:t>
      </w:r>
      <w:r w:rsidR="007F1BEB">
        <w:t>&lt; </w:t>
      </w:r>
      <w:r>
        <w:rPr>
          <w:lang w:val="en-US"/>
        </w:rPr>
        <w:t xml:space="preserve">100 </w:t>
      </w:r>
      <w:r w:rsidRPr="00BC0800">
        <w:rPr>
          <w:lang w:val="en-US"/>
        </w:rPr>
        <w:t>Giga/L</w:t>
      </w:r>
      <w:bookmarkEnd w:id="181"/>
    </w:p>
    <w:p w:rsidR="002928AB" w:rsidRPr="001569B7" w:rsidRDefault="001569B7" w:rsidP="005A2C47">
      <w:pPr>
        <w:rPr>
          <w:lang w:val="en-US"/>
        </w:rPr>
      </w:pPr>
      <w:r>
        <w:rPr>
          <w:noProof/>
          <w:lang w:eastAsia="en-AU"/>
        </w:rPr>
        <w:drawing>
          <wp:inline distT="0" distB="0" distL="0" distR="0" wp14:anchorId="535CE0C7" wp14:editId="2DB61AE4">
            <wp:extent cx="5400040" cy="3197331"/>
            <wp:effectExtent l="0" t="0" r="0" b="3175"/>
            <wp:docPr id="17" name="Picture 17" descr="Pool 2 (sarilumab + DMARD long-term safety population) Overview of outcome in patients with platelet counts &lt; 100 Gig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400040" cy="3197331"/>
                    </a:xfrm>
                    <a:prstGeom prst="rect">
                      <a:avLst/>
                    </a:prstGeom>
                  </pic:spPr>
                </pic:pic>
              </a:graphicData>
            </a:graphic>
          </wp:inline>
        </w:drawing>
      </w:r>
    </w:p>
    <w:p w:rsidR="00AA6B20" w:rsidRDefault="002928AB" w:rsidP="00BF5020">
      <w:pPr>
        <w:pStyle w:val="Heading6"/>
        <w:rPr>
          <w:lang w:eastAsia="ja-JP"/>
        </w:rPr>
      </w:pPr>
      <w:r w:rsidRPr="00F64914">
        <w:rPr>
          <w:lang w:eastAsia="ja-JP"/>
        </w:rPr>
        <w:t>ALT increased</w:t>
      </w:r>
    </w:p>
    <w:p w:rsidR="00AA6B20" w:rsidRDefault="002928AB" w:rsidP="002928AB">
      <w:pPr>
        <w:rPr>
          <w:lang w:eastAsia="ja-JP"/>
        </w:rPr>
      </w:pPr>
      <w:r>
        <w:rPr>
          <w:lang w:eastAsia="ja-JP"/>
        </w:rPr>
        <w:t xml:space="preserve">Liver function laboratory abnormalities are summarised below in Table </w:t>
      </w:r>
      <w:r w:rsidR="000F5B2C">
        <w:rPr>
          <w:lang w:eastAsia="ja-JP"/>
        </w:rPr>
        <w:t>44</w:t>
      </w:r>
      <w:r>
        <w:rPr>
          <w:lang w:eastAsia="ja-JP"/>
        </w:rPr>
        <w:t>. In the any sarilumab dose group, 62.7% (</w:t>
      </w:r>
      <w:r w:rsidR="007C7C62">
        <w:rPr>
          <w:lang w:eastAsia="ja-JP"/>
        </w:rPr>
        <w:t xml:space="preserve">n = </w:t>
      </w:r>
      <w:r>
        <w:rPr>
          <w:lang w:eastAsia="ja-JP"/>
        </w:rPr>
        <w:t xml:space="preserve">3876) of patients had ALT levels (laboratory) </w:t>
      </w:r>
      <w:r w:rsidR="00DD5BCE">
        <w:t>&gt;</w:t>
      </w:r>
      <w:r w:rsidR="007C7C62">
        <w:t xml:space="preserve"> </w:t>
      </w:r>
      <w:r>
        <w:rPr>
          <w:lang w:eastAsia="ja-JP"/>
        </w:rPr>
        <w:t xml:space="preserve">1 x ULN, with the majority of these patients having levels </w:t>
      </w:r>
      <w:r w:rsidR="00DD5BCE">
        <w:rPr>
          <w:lang w:eastAsia="ja-JP"/>
        </w:rPr>
        <w:t>≤</w:t>
      </w:r>
      <w:r w:rsidR="007C7C62">
        <w:rPr>
          <w:lang w:eastAsia="ja-JP"/>
        </w:rPr>
        <w:t xml:space="preserve"> </w:t>
      </w:r>
      <w:r>
        <w:rPr>
          <w:lang w:eastAsia="ja-JP"/>
        </w:rPr>
        <w:t xml:space="preserve">3 x ULN. There were 279 (9.7%) patients with increased ALT levels (laboratory) </w:t>
      </w:r>
      <w:r w:rsidR="00DD5BCE">
        <w:t>&gt;</w:t>
      </w:r>
      <w:r w:rsidR="007C7C62">
        <w:t xml:space="preserve"> </w:t>
      </w:r>
      <w:r>
        <w:rPr>
          <w:lang w:eastAsia="ja-JP"/>
        </w:rPr>
        <w:t xml:space="preserve">3 x ULN. There were 8 (0.3%) patients </w:t>
      </w:r>
      <w:r>
        <w:rPr>
          <w:lang w:eastAsia="ja-JP"/>
        </w:rPr>
        <w:lastRenderedPageBreak/>
        <w:t xml:space="preserve">meeting </w:t>
      </w:r>
      <w:proofErr w:type="spellStart"/>
      <w:r>
        <w:rPr>
          <w:lang w:eastAsia="ja-JP"/>
        </w:rPr>
        <w:t>Hy’s</w:t>
      </w:r>
      <w:proofErr w:type="spellEnd"/>
      <w:r>
        <w:rPr>
          <w:lang w:eastAsia="ja-JP"/>
        </w:rPr>
        <w:t xml:space="preserve"> law criteria for drug induced liver injury (ALT </w:t>
      </w:r>
      <w:r w:rsidR="00DD5BCE">
        <w:t>&gt;</w:t>
      </w:r>
      <w:r w:rsidR="007C7C62">
        <w:t xml:space="preserve"> </w:t>
      </w:r>
      <w:r>
        <w:rPr>
          <w:lang w:eastAsia="ja-JP"/>
        </w:rPr>
        <w:t xml:space="preserve">3 x ULN and total bilirubin </w:t>
      </w:r>
      <w:r w:rsidR="00DD5BCE">
        <w:t>&gt;</w:t>
      </w:r>
      <w:r w:rsidR="007C7C62">
        <w:t xml:space="preserve"> </w:t>
      </w:r>
      <w:r>
        <w:rPr>
          <w:lang w:eastAsia="ja-JP"/>
        </w:rPr>
        <w:t>2 x ULN).</w:t>
      </w:r>
    </w:p>
    <w:p w:rsidR="00AA6B20" w:rsidRDefault="002928AB" w:rsidP="002928AB">
      <w:pPr>
        <w:autoSpaceDE w:val="0"/>
        <w:autoSpaceDN w:val="0"/>
        <w:adjustRightInd w:val="0"/>
        <w:rPr>
          <w:rFonts w:asciiTheme="minorHAnsi" w:eastAsiaTheme="minorHAnsi" w:hAnsiTheme="minorHAnsi" w:cs="TimesNewRomanPSMT"/>
        </w:rPr>
      </w:pPr>
      <w:r w:rsidRPr="00F64914">
        <w:rPr>
          <w:rFonts w:asciiTheme="minorHAnsi" w:eastAsiaTheme="minorHAnsi" w:hAnsiTheme="minorHAnsi" w:cs="TimesNewRomanPSMT"/>
        </w:rPr>
        <w:t xml:space="preserve">Of the 279 patients in the any sarilumab dose group who had an ALT </w:t>
      </w:r>
      <w:r w:rsidR="00DD5BCE">
        <w:t>&gt;</w:t>
      </w:r>
      <w:r w:rsidR="007C7C62">
        <w:t xml:space="preserve"> </w:t>
      </w:r>
      <w:r w:rsidRPr="00F64914">
        <w:rPr>
          <w:rFonts w:asciiTheme="minorHAnsi" w:eastAsiaTheme="minorHAnsi" w:hAnsiTheme="minorHAnsi" w:cs="TimesNewRomanPSMT"/>
        </w:rPr>
        <w:t>3</w:t>
      </w:r>
      <w:r>
        <w:rPr>
          <w:rFonts w:asciiTheme="minorHAnsi" w:eastAsiaTheme="minorHAnsi" w:hAnsiTheme="minorHAnsi" w:cs="TimesNewRomanPSMT"/>
        </w:rPr>
        <w:t xml:space="preserve"> </w:t>
      </w:r>
      <w:r w:rsidRPr="00F64914">
        <w:rPr>
          <w:rFonts w:asciiTheme="minorHAnsi" w:eastAsiaTheme="minorHAnsi" w:hAnsiTheme="minorHAnsi" w:cs="TimesNewRomanPSMT"/>
        </w:rPr>
        <w:t>x</w:t>
      </w:r>
      <w:r>
        <w:rPr>
          <w:rFonts w:asciiTheme="minorHAnsi" w:eastAsiaTheme="minorHAnsi" w:hAnsiTheme="minorHAnsi" w:cs="TimesNewRomanPSMT"/>
        </w:rPr>
        <w:t xml:space="preserve"> </w:t>
      </w:r>
      <w:r w:rsidRPr="00F64914">
        <w:rPr>
          <w:rFonts w:asciiTheme="minorHAnsi" w:eastAsiaTheme="minorHAnsi" w:hAnsiTheme="minorHAnsi" w:cs="TimesNewRomanPSMT"/>
        </w:rPr>
        <w:t xml:space="preserve">ULN, 150 (54%) patients normalised on-treatment (at least 1 ALT value was normal within </w:t>
      </w:r>
      <w:r w:rsidR="00DD5BCE">
        <w:rPr>
          <w:rFonts w:asciiTheme="minorHAnsi" w:eastAsiaTheme="minorHAnsi" w:hAnsiTheme="minorHAnsi" w:cs="TimesNewRomanPSMT"/>
        </w:rPr>
        <w:t xml:space="preserve">≤ </w:t>
      </w:r>
      <w:r w:rsidRPr="00F64914">
        <w:rPr>
          <w:rFonts w:asciiTheme="minorHAnsi" w:eastAsiaTheme="minorHAnsi" w:hAnsiTheme="minorHAnsi" w:cs="TimesNewRomanPSMT"/>
        </w:rPr>
        <w:t>17 days after last dose of sarilumab), 60 (22%) patients normalised after discontinuation of sarilumab, and 69 (25%)</w:t>
      </w:r>
      <w:r>
        <w:rPr>
          <w:rFonts w:asciiTheme="minorHAnsi" w:eastAsiaTheme="minorHAnsi" w:hAnsiTheme="minorHAnsi" w:cs="TimesNewRomanPSMT"/>
        </w:rPr>
        <w:t xml:space="preserve"> </w:t>
      </w:r>
      <w:r w:rsidRPr="00F64914">
        <w:rPr>
          <w:rFonts w:asciiTheme="minorHAnsi" w:eastAsiaTheme="minorHAnsi" w:hAnsiTheme="minorHAnsi" w:cs="TimesNewRomanPSMT"/>
        </w:rPr>
        <w:t>patients had not normalised as of the last available assessment. In the 69 patients who had not normalised, 24 (35%) patients were still enrolled in the studies and continued receiving sarilumab therapy.</w:t>
      </w:r>
    </w:p>
    <w:p w:rsidR="002928AB" w:rsidRDefault="002928AB" w:rsidP="002928AB">
      <w:pPr>
        <w:autoSpaceDE w:val="0"/>
        <w:autoSpaceDN w:val="0"/>
        <w:adjustRightInd w:val="0"/>
        <w:rPr>
          <w:rFonts w:asciiTheme="minorHAnsi" w:eastAsiaTheme="minorHAnsi" w:hAnsiTheme="minorHAnsi" w:cs="TimesNewRomanPSMT"/>
          <w:color w:val="000000"/>
        </w:rPr>
      </w:pPr>
      <w:r w:rsidRPr="00F64914">
        <w:rPr>
          <w:rFonts w:asciiTheme="minorHAnsi" w:eastAsiaTheme="minorHAnsi" w:hAnsiTheme="minorHAnsi" w:cs="TimesNewRomanPSMT"/>
          <w:color w:val="000000"/>
        </w:rPr>
        <w:t>Of the 279 patients in the any sarilumab dose group</w:t>
      </w:r>
      <w:r>
        <w:rPr>
          <w:rFonts w:asciiTheme="minorHAnsi" w:eastAsiaTheme="minorHAnsi" w:hAnsiTheme="minorHAnsi" w:cs="TimesNewRomanPSMT"/>
          <w:color w:val="000000"/>
        </w:rPr>
        <w:t xml:space="preserve"> who had an ALT </w:t>
      </w:r>
      <w:r w:rsidR="00DD5BCE">
        <w:t>&gt;</w:t>
      </w:r>
      <w:r w:rsidR="007C7C62">
        <w:t xml:space="preserve"> </w:t>
      </w:r>
      <w:r>
        <w:rPr>
          <w:rFonts w:asciiTheme="minorHAnsi" w:eastAsiaTheme="minorHAnsi" w:hAnsiTheme="minorHAnsi" w:cs="TimesNewRomanPSMT"/>
          <w:color w:val="000000"/>
        </w:rPr>
        <w:t>3 x ULN</w:t>
      </w:r>
      <w:r w:rsidRPr="00F64914">
        <w:rPr>
          <w:rFonts w:asciiTheme="minorHAnsi" w:eastAsiaTheme="minorHAnsi" w:hAnsiTheme="minorHAnsi" w:cs="TimesNewRomanPSMT"/>
          <w:color w:val="000000"/>
        </w:rPr>
        <w:t>,</w:t>
      </w:r>
      <w:r>
        <w:rPr>
          <w:rFonts w:asciiTheme="minorHAnsi" w:eastAsiaTheme="minorHAnsi" w:hAnsiTheme="minorHAnsi" w:cs="TimesNewRomanPSMT"/>
          <w:color w:val="000000"/>
        </w:rPr>
        <w:t xml:space="preserve"> </w:t>
      </w:r>
      <w:r w:rsidRPr="00F64914">
        <w:rPr>
          <w:rFonts w:asciiTheme="minorHAnsi" w:eastAsiaTheme="minorHAnsi" w:hAnsiTheme="minorHAnsi" w:cs="TimesNewRomanPSMT"/>
          <w:color w:val="000000"/>
        </w:rPr>
        <w:t xml:space="preserve">208 (75%) patients re-initiated sarilumab after the initial episode of ALT </w:t>
      </w:r>
      <w:r w:rsidR="00DD5BCE">
        <w:t>&gt;</w:t>
      </w:r>
      <w:r w:rsidR="007C7C62">
        <w:t xml:space="preserve"> </w:t>
      </w:r>
      <w:r w:rsidRPr="00F64914">
        <w:rPr>
          <w:rFonts w:asciiTheme="minorHAnsi" w:eastAsiaTheme="minorHAnsi" w:hAnsiTheme="minorHAnsi" w:cs="TimesNewRomanPSMT"/>
          <w:color w:val="000000"/>
        </w:rPr>
        <w:t xml:space="preserve">3 x ULN and 107 (51%) patients were able to re-initiate within </w:t>
      </w:r>
      <w:r w:rsidR="00DD5BCE">
        <w:rPr>
          <w:rFonts w:asciiTheme="minorHAnsi" w:eastAsiaTheme="minorHAnsi" w:hAnsiTheme="minorHAnsi" w:cs="TimesNewRomanPSMT"/>
          <w:color w:val="000000"/>
        </w:rPr>
        <w:t>≤</w:t>
      </w:r>
      <w:r w:rsidR="007C7C62">
        <w:rPr>
          <w:rFonts w:asciiTheme="minorHAnsi" w:eastAsiaTheme="minorHAnsi" w:hAnsiTheme="minorHAnsi" w:cs="TimesNewRomanPSMT"/>
          <w:color w:val="000000"/>
        </w:rPr>
        <w:t xml:space="preserve"> </w:t>
      </w:r>
      <w:r w:rsidRPr="00F64914">
        <w:rPr>
          <w:rFonts w:asciiTheme="minorHAnsi" w:eastAsiaTheme="minorHAnsi" w:hAnsiTheme="minorHAnsi" w:cs="TimesNewRomanPSMT"/>
          <w:color w:val="000000"/>
        </w:rPr>
        <w:t xml:space="preserve">17 days for q2w dosing and </w:t>
      </w:r>
      <w:r w:rsidR="00DD5BCE">
        <w:rPr>
          <w:rFonts w:asciiTheme="minorHAnsi" w:eastAsiaTheme="minorHAnsi" w:hAnsiTheme="minorHAnsi" w:cs="TimesNewRomanPSMT"/>
          <w:color w:val="000000"/>
        </w:rPr>
        <w:t>≤</w:t>
      </w:r>
      <w:r w:rsidR="007C7C62">
        <w:rPr>
          <w:rFonts w:asciiTheme="minorHAnsi" w:eastAsiaTheme="minorHAnsi" w:hAnsiTheme="minorHAnsi" w:cs="TimesNewRomanPSMT"/>
          <w:color w:val="000000"/>
        </w:rPr>
        <w:t xml:space="preserve"> </w:t>
      </w:r>
      <w:r w:rsidRPr="00F64914">
        <w:rPr>
          <w:rFonts w:asciiTheme="minorHAnsi" w:eastAsiaTheme="minorHAnsi" w:hAnsiTheme="minorHAnsi" w:cs="TimesNewRomanPSMT"/>
          <w:color w:val="000000"/>
        </w:rPr>
        <w:t xml:space="preserve">9 days for </w:t>
      </w:r>
      <w:proofErr w:type="spellStart"/>
      <w:r w:rsidRPr="00F64914">
        <w:rPr>
          <w:rFonts w:asciiTheme="minorHAnsi" w:eastAsiaTheme="minorHAnsi" w:hAnsiTheme="minorHAnsi" w:cs="TimesNewRomanPSMT"/>
          <w:color w:val="000000"/>
        </w:rPr>
        <w:t>qw</w:t>
      </w:r>
      <w:proofErr w:type="spellEnd"/>
      <w:r w:rsidRPr="00F64914">
        <w:rPr>
          <w:rFonts w:asciiTheme="minorHAnsi" w:eastAsiaTheme="minorHAnsi" w:hAnsiTheme="minorHAnsi" w:cs="TimesNewRomanPSMT"/>
          <w:color w:val="000000"/>
        </w:rPr>
        <w:t xml:space="preserve"> dosing per protocol. Of the 208 patients who re-initiated sarilumab, 147 (71%) patients had no recurrence of ALT </w:t>
      </w:r>
      <w:r w:rsidR="00DD5BCE">
        <w:t>&gt;</w:t>
      </w:r>
      <w:r w:rsidR="007C7C62">
        <w:t xml:space="preserve"> </w:t>
      </w:r>
      <w:r w:rsidRPr="00F64914">
        <w:rPr>
          <w:rFonts w:asciiTheme="minorHAnsi" w:eastAsiaTheme="minorHAnsi" w:hAnsiTheme="minorHAnsi" w:cs="TimesNewRomanPSMT"/>
          <w:color w:val="000000"/>
        </w:rPr>
        <w:t>3</w:t>
      </w:r>
      <w:r>
        <w:rPr>
          <w:rFonts w:asciiTheme="minorHAnsi" w:eastAsiaTheme="minorHAnsi" w:hAnsiTheme="minorHAnsi" w:cs="TimesNewRomanPSMT"/>
          <w:color w:val="000000"/>
        </w:rPr>
        <w:t xml:space="preserve"> </w:t>
      </w:r>
      <w:r w:rsidRPr="00F64914">
        <w:rPr>
          <w:rFonts w:asciiTheme="minorHAnsi" w:eastAsiaTheme="minorHAnsi" w:hAnsiTheme="minorHAnsi" w:cs="TimesNewRomanPSMT"/>
          <w:color w:val="000000"/>
        </w:rPr>
        <w:t>x ULN, 39 (19%) had 1 recurrence and 22 (11%) had 2 or more recurrences. Of the patients who re-initiated</w:t>
      </w:r>
      <w:r>
        <w:rPr>
          <w:rFonts w:asciiTheme="minorHAnsi" w:eastAsiaTheme="minorHAnsi" w:hAnsiTheme="minorHAnsi" w:cs="TimesNewRomanPSMT"/>
          <w:color w:val="000000"/>
        </w:rPr>
        <w:t xml:space="preserve"> treatment</w:t>
      </w:r>
      <w:r w:rsidRPr="00F64914">
        <w:rPr>
          <w:rFonts w:asciiTheme="minorHAnsi" w:eastAsiaTheme="minorHAnsi" w:hAnsiTheme="minorHAnsi" w:cs="TimesNewRomanPSMT"/>
          <w:color w:val="000000"/>
        </w:rPr>
        <w:t>, 35 (17%) patients eventually discontinued due to transaminase or ALT increase, and</w:t>
      </w:r>
      <w:r>
        <w:rPr>
          <w:rFonts w:asciiTheme="minorHAnsi" w:eastAsiaTheme="minorHAnsi" w:hAnsiTheme="minorHAnsi" w:cs="TimesNewRomanPSMT"/>
          <w:color w:val="000000"/>
        </w:rPr>
        <w:t xml:space="preserve"> 22 patients had 1 or no </w:t>
      </w:r>
      <w:r w:rsidRPr="00F64914">
        <w:rPr>
          <w:rFonts w:asciiTheme="minorHAnsi" w:eastAsiaTheme="minorHAnsi" w:hAnsiTheme="minorHAnsi" w:cs="TimesNewRomanPSMT"/>
          <w:color w:val="000000"/>
        </w:rPr>
        <w:t>recurrence and 13 patients had 2 or more recurrences prior to discontinuation.</w:t>
      </w:r>
    </w:p>
    <w:p w:rsidR="00AA6B20" w:rsidRDefault="002928AB" w:rsidP="002928AB">
      <w:pPr>
        <w:rPr>
          <w:rFonts w:asciiTheme="minorHAnsi" w:eastAsiaTheme="minorHAnsi" w:hAnsiTheme="minorHAnsi" w:cs="TimesNewRomanPSMT"/>
          <w:color w:val="000000"/>
        </w:rPr>
      </w:pPr>
      <w:r w:rsidRPr="00F64914">
        <w:rPr>
          <w:rFonts w:asciiTheme="minorHAnsi" w:eastAsiaTheme="minorHAnsi" w:hAnsiTheme="minorHAnsi" w:cs="TimesNewRomanPSMT"/>
          <w:color w:val="000000"/>
        </w:rPr>
        <w:t xml:space="preserve">Overall, </w:t>
      </w:r>
      <w:r>
        <w:rPr>
          <w:rFonts w:asciiTheme="minorHAnsi" w:eastAsiaTheme="minorHAnsi" w:hAnsiTheme="minorHAnsi" w:cs="TimesNewRomanPSMT"/>
          <w:color w:val="000000"/>
        </w:rPr>
        <w:t xml:space="preserve">the reports of </w:t>
      </w:r>
      <w:r w:rsidRPr="00F64914">
        <w:rPr>
          <w:rFonts w:asciiTheme="minorHAnsi" w:eastAsiaTheme="minorHAnsi" w:hAnsiTheme="minorHAnsi" w:cs="TimesNewRomanPSMT"/>
          <w:color w:val="000000"/>
        </w:rPr>
        <w:t xml:space="preserve">ALT </w:t>
      </w:r>
      <w:r w:rsidR="00DD5BCE">
        <w:t>&gt;</w:t>
      </w:r>
      <w:r w:rsidR="007C7C62">
        <w:t xml:space="preserve"> </w:t>
      </w:r>
      <w:r w:rsidRPr="00F64914">
        <w:rPr>
          <w:rFonts w:asciiTheme="minorHAnsi" w:eastAsiaTheme="minorHAnsi" w:hAnsiTheme="minorHAnsi" w:cs="TimesNewRomanPSMT"/>
          <w:color w:val="000000"/>
        </w:rPr>
        <w:t xml:space="preserve">3 x ULN in patients treated with sarilumab + DMARD </w:t>
      </w:r>
      <w:r>
        <w:rPr>
          <w:rFonts w:asciiTheme="minorHAnsi" w:eastAsiaTheme="minorHAnsi" w:hAnsiTheme="minorHAnsi" w:cs="TimesNewRomanPSMT"/>
          <w:color w:val="000000"/>
        </w:rPr>
        <w:t>were transient with the majority of patients being able to re-initiate treatment.</w:t>
      </w:r>
    </w:p>
    <w:p w:rsidR="002928AB" w:rsidRPr="00CC40A7" w:rsidRDefault="002928AB" w:rsidP="00BF5020">
      <w:pPr>
        <w:pStyle w:val="Tabletitle0"/>
        <w:rPr>
          <w:lang w:eastAsia="ja-JP"/>
        </w:rPr>
      </w:pPr>
      <w:bookmarkStart w:id="182" w:name="_Toc514687853"/>
      <w:r>
        <w:t xml:space="preserve">Table </w:t>
      </w:r>
      <w:r w:rsidR="000F5B2C">
        <w:t>44:</w:t>
      </w:r>
      <w:r>
        <w:t xml:space="preserve"> </w:t>
      </w:r>
      <w:r w:rsidRPr="00CC40A7">
        <w:rPr>
          <w:lang w:eastAsia="ja-JP"/>
        </w:rPr>
        <w:t>Pool 2 (sarilumab + DMARD</w:t>
      </w:r>
      <w:r>
        <w:rPr>
          <w:lang w:eastAsia="ja-JP"/>
        </w:rPr>
        <w:t xml:space="preserve"> long-term safety population</w:t>
      </w:r>
      <w:r w:rsidRPr="00CC40A7">
        <w:rPr>
          <w:lang w:eastAsia="ja-JP"/>
        </w:rPr>
        <w:t>), any sarilumab dose group</w:t>
      </w:r>
      <w:bookmarkEnd w:id="182"/>
    </w:p>
    <w:p w:rsidR="002928AB" w:rsidRDefault="00BF5020" w:rsidP="002928AB">
      <w:pPr>
        <w:rPr>
          <w:lang w:eastAsia="ja-JP"/>
        </w:rPr>
      </w:pPr>
      <w:r>
        <w:rPr>
          <w:noProof/>
          <w:lang w:eastAsia="en-AU"/>
        </w:rPr>
        <w:drawing>
          <wp:inline distT="0" distB="0" distL="0" distR="0" wp14:anchorId="58A3AC7C" wp14:editId="1A1CFA79">
            <wp:extent cx="4337912" cy="4067251"/>
            <wp:effectExtent l="0" t="0" r="5715" b="0"/>
            <wp:docPr id="25" name="Picture 25" descr="Pool 2 (sarilumab + DMARD long-term safety population), any sarilumab dose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BEBA8EAE-BF5A-486C-A8C5-ECC9F3942E4B}">
                          <a14:imgProps xmlns:a14="http://schemas.microsoft.com/office/drawing/2010/main">
                            <a14:imgLayer r:embed="rId81">
                              <a14:imgEffect>
                                <a14:sharpenSoften amount="50000"/>
                              </a14:imgEffect>
                              <a14:imgEffect>
                                <a14:brightnessContrast contrast="-40000"/>
                              </a14:imgEffect>
                            </a14:imgLayer>
                          </a14:imgProps>
                        </a:ext>
                      </a:extLst>
                    </a:blip>
                    <a:stretch>
                      <a:fillRect/>
                    </a:stretch>
                  </pic:blipFill>
                  <pic:spPr>
                    <a:xfrm>
                      <a:off x="0" y="0"/>
                      <a:ext cx="4342828" cy="4071860"/>
                    </a:xfrm>
                    <a:prstGeom prst="rect">
                      <a:avLst/>
                    </a:prstGeom>
                  </pic:spPr>
                </pic:pic>
              </a:graphicData>
            </a:graphic>
          </wp:inline>
        </w:drawing>
      </w:r>
    </w:p>
    <w:p w:rsidR="00AA6B20" w:rsidRDefault="002928AB" w:rsidP="002928AB">
      <w:pPr>
        <w:autoSpaceDE w:val="0"/>
        <w:autoSpaceDN w:val="0"/>
        <w:adjustRightInd w:val="0"/>
        <w:rPr>
          <w:rFonts w:asciiTheme="minorHAnsi" w:eastAsiaTheme="minorHAnsi" w:hAnsiTheme="minorHAnsi" w:cs="TimesNewRomanPSMT"/>
          <w:b/>
          <w:i/>
          <w:color w:val="000000"/>
        </w:rPr>
      </w:pPr>
      <w:r w:rsidRPr="00CC40A7">
        <w:rPr>
          <w:rFonts w:asciiTheme="minorHAnsi" w:eastAsiaTheme="minorHAnsi" w:hAnsiTheme="minorHAnsi" w:cs="TimesNewRomanPSMT"/>
          <w:b/>
          <w:i/>
          <w:color w:val="000000"/>
        </w:rPr>
        <w:t xml:space="preserve">Strengths of the sarilumab in combination with </w:t>
      </w:r>
      <w:proofErr w:type="spellStart"/>
      <w:r w:rsidRPr="00CC40A7">
        <w:rPr>
          <w:rFonts w:asciiTheme="minorHAnsi" w:eastAsiaTheme="minorHAnsi" w:hAnsiTheme="minorHAnsi" w:cs="TimesNewRomanPSMT"/>
          <w:b/>
          <w:i/>
          <w:color w:val="000000"/>
        </w:rPr>
        <w:t>cDMARD</w:t>
      </w:r>
      <w:proofErr w:type="spellEnd"/>
      <w:r w:rsidRPr="00CC40A7">
        <w:rPr>
          <w:rFonts w:asciiTheme="minorHAnsi" w:eastAsiaTheme="minorHAnsi" w:hAnsiTheme="minorHAnsi" w:cs="TimesNewRomanPSMT"/>
          <w:b/>
          <w:i/>
          <w:color w:val="000000"/>
        </w:rPr>
        <w:t xml:space="preserve"> risk data</w:t>
      </w:r>
    </w:p>
    <w:p w:rsidR="00AA6B20" w:rsidRDefault="002928AB" w:rsidP="00F147C9">
      <w:pPr>
        <w:pStyle w:val="Numberbullet0"/>
        <w:numPr>
          <w:ilvl w:val="0"/>
          <w:numId w:val="21"/>
        </w:numPr>
      </w:pPr>
      <w:r>
        <w:t xml:space="preserve">The </w:t>
      </w:r>
      <w:proofErr w:type="spellStart"/>
      <w:r>
        <w:t>sarilumab</w:t>
      </w:r>
      <w:proofErr w:type="spellEnd"/>
      <w:r>
        <w:t xml:space="preserve"> + </w:t>
      </w:r>
      <w:proofErr w:type="spellStart"/>
      <w:r>
        <w:t>cDMARD</w:t>
      </w:r>
      <w:proofErr w:type="spellEnd"/>
      <w:r>
        <w:t xml:space="preserve"> </w:t>
      </w:r>
      <w:r w:rsidRPr="00CC40A7">
        <w:t xml:space="preserve">data allowed the risks of combination treatment to be adequately characterised in the placebo-controlled population </w:t>
      </w:r>
      <w:r>
        <w:t xml:space="preserve">(Pool 1). </w:t>
      </w:r>
      <w:r w:rsidRPr="00CC40A7">
        <w:t xml:space="preserve">In </w:t>
      </w:r>
      <w:r>
        <w:t>Pool 1</w:t>
      </w:r>
      <w:r w:rsidRPr="00CC40A7">
        <w:t xml:space="preserve">, TEAEs, SAEs, and TEAEs leading to </w:t>
      </w:r>
      <w:r>
        <w:t xml:space="preserve">permanent treatment </w:t>
      </w:r>
      <w:r w:rsidRPr="00CC40A7">
        <w:t xml:space="preserve">discontinuation were observed in </w:t>
      </w:r>
      <w:r>
        <w:t xml:space="preserve">a higher proportion of </w:t>
      </w:r>
      <w:r w:rsidRPr="00CC40A7">
        <w:t xml:space="preserve">patients in both </w:t>
      </w:r>
      <w:proofErr w:type="spellStart"/>
      <w:r w:rsidRPr="00CC40A7">
        <w:t>sarilumab</w:t>
      </w:r>
      <w:proofErr w:type="spellEnd"/>
      <w:r w:rsidRPr="00CC40A7">
        <w:t xml:space="preserve"> + </w:t>
      </w:r>
      <w:proofErr w:type="spellStart"/>
      <w:r w:rsidRPr="00CC40A7">
        <w:t>cDMARD</w:t>
      </w:r>
      <w:proofErr w:type="spellEnd"/>
      <w:r w:rsidRPr="00CC40A7">
        <w:t xml:space="preserve"> treatment groups relative to the placebo + DMARD group</w:t>
      </w:r>
      <w:r>
        <w:t xml:space="preserve">, while only a small number of deaths </w:t>
      </w:r>
      <w:r>
        <w:lastRenderedPageBreak/>
        <w:t xml:space="preserve">were observed in the three treatment groups. In patients treated with the higher sarilumab dose compared with the lower sarilumab dose there were small numerical increase in the risks of TEAEs (difference = 3.4% [95% CI: -1.4, 8.2]), serious TEAEs (difference = 2.6% </w:t>
      </w:r>
      <w:r w:rsidR="00CC63CB">
        <w:t>(</w:t>
      </w:r>
      <w:r>
        <w:t xml:space="preserve">95% CI: -0.3, 5.4), and TEAEs leading to permanent treatment discontinuation (difference = 1.7% </w:t>
      </w:r>
      <w:r w:rsidR="00CC63CB">
        <w:t>(</w:t>
      </w:r>
      <w:r>
        <w:t>95% CI: -1.8, 5.1</w:t>
      </w:r>
      <w:r w:rsidR="00CC63CB">
        <w:t>)</w:t>
      </w:r>
      <w:r>
        <w:t>).</w:t>
      </w:r>
    </w:p>
    <w:p w:rsidR="00AA6B20" w:rsidRDefault="002928AB" w:rsidP="00BF5020">
      <w:pPr>
        <w:pStyle w:val="Numberbullet0"/>
      </w:pPr>
      <w:r>
        <w:t xml:space="preserve">The </w:t>
      </w:r>
      <w:proofErr w:type="spellStart"/>
      <w:r>
        <w:t>sarilumab</w:t>
      </w:r>
      <w:proofErr w:type="spellEnd"/>
      <w:r>
        <w:t xml:space="preserve"> + </w:t>
      </w:r>
      <w:proofErr w:type="spellStart"/>
      <w:r>
        <w:t>cDMARD</w:t>
      </w:r>
      <w:proofErr w:type="spellEnd"/>
      <w:r>
        <w:t xml:space="preserve"> data allowed the long-term risks of combination treatment to be adequately characterised in a total of 2887 patients treated with any </w:t>
      </w:r>
      <w:proofErr w:type="spellStart"/>
      <w:r>
        <w:t>sarilumab</w:t>
      </w:r>
      <w:proofErr w:type="spellEnd"/>
      <w:r>
        <w:t xml:space="preserve"> dose + </w:t>
      </w:r>
      <w:proofErr w:type="spellStart"/>
      <w:r>
        <w:t>cDMARD</w:t>
      </w:r>
      <w:proofErr w:type="spellEnd"/>
      <w:r>
        <w:t xml:space="preserve">, with an exposure of 5681.6 PY (Pool 2). The exposure-adjusted patient incidence rate for TEAEs was lower in the any </w:t>
      </w:r>
      <w:proofErr w:type="spellStart"/>
      <w:r>
        <w:t>sarilumab</w:t>
      </w:r>
      <w:proofErr w:type="spellEnd"/>
      <w:r>
        <w:t xml:space="preserve"> + </w:t>
      </w:r>
      <w:proofErr w:type="spellStart"/>
      <w:r>
        <w:t>cDMARD</w:t>
      </w:r>
      <w:proofErr w:type="spellEnd"/>
      <w:r>
        <w:t xml:space="preserve"> dose group (Pool 2) than in the sarilumab 200 mg q2w and 150 mg q2w groups (Pool 1) (158.5</w:t>
      </w:r>
      <w:r w:rsidR="003D2290">
        <w:t xml:space="preserve"> versus </w:t>
      </w:r>
      <w:r>
        <w:t>252.0</w:t>
      </w:r>
      <w:r w:rsidR="003D2290">
        <w:t xml:space="preserve"> versus </w:t>
      </w:r>
      <w:r>
        <w:t>215.7 per 100 PY, respectively), while the exposure-adjusted patient incidence rate for serious TEAEs was similar in the three treatment groups (9.9</w:t>
      </w:r>
      <w:r w:rsidR="003D2290">
        <w:t xml:space="preserve"> versus </w:t>
      </w:r>
      <w:r>
        <w:t>13.8</w:t>
      </w:r>
      <w:r w:rsidR="003D2290">
        <w:t xml:space="preserve"> versus </w:t>
      </w:r>
      <w:r>
        <w:t>9.7 per 100 PY, respectively) as was the exposure-adjusted patient incidence rate for TEAEs leading to death (0.4</w:t>
      </w:r>
      <w:r w:rsidR="003D2290">
        <w:t xml:space="preserve"> versus </w:t>
      </w:r>
      <w:r>
        <w:t>0.2</w:t>
      </w:r>
      <w:r w:rsidR="003D2290">
        <w:t xml:space="preserve"> versus </w:t>
      </w:r>
      <w:r>
        <w:t xml:space="preserve">0.5 per 100 PY, respectively). The exposure-adjusted patient incidence rate for TEAEs leading to permanent treatment discontinuation was lower in the any </w:t>
      </w:r>
      <w:proofErr w:type="spellStart"/>
      <w:r>
        <w:t>sarilumab</w:t>
      </w:r>
      <w:proofErr w:type="spellEnd"/>
      <w:r>
        <w:t xml:space="preserve"> + </w:t>
      </w:r>
      <w:proofErr w:type="spellStart"/>
      <w:r>
        <w:t>cDMARD</w:t>
      </w:r>
      <w:proofErr w:type="spellEnd"/>
      <w:r>
        <w:t xml:space="preserve"> dose group (Pool 2) than in the sarilumab 200 mg q2w and 150 mg q2w groups (Pool 1) (10.4</w:t>
      </w:r>
      <w:r w:rsidR="003D2290">
        <w:t xml:space="preserve"> versus </w:t>
      </w:r>
      <w:r>
        <w:t>19.4</w:t>
      </w:r>
      <w:r w:rsidR="003D2290">
        <w:t xml:space="preserve"> versus </w:t>
      </w:r>
      <w:r>
        <w:t xml:space="preserve">16.8 per 100 PY, respectively). Overall, the exposure-adjusted patient incidence rates for Pool 2 indicate that adverse events do not increase over time for patients treated with </w:t>
      </w:r>
      <w:proofErr w:type="spellStart"/>
      <w:r>
        <w:t>sarilumab</w:t>
      </w:r>
      <w:proofErr w:type="spellEnd"/>
      <w:r>
        <w:t xml:space="preserve"> + </w:t>
      </w:r>
      <w:proofErr w:type="spellStart"/>
      <w:r>
        <w:t>cDMARD</w:t>
      </w:r>
      <w:proofErr w:type="spellEnd"/>
      <w:r>
        <w:t xml:space="preserve">. In general, the safety profiles of the </w:t>
      </w:r>
      <w:proofErr w:type="spellStart"/>
      <w:r>
        <w:t>sarilumab</w:t>
      </w:r>
      <w:proofErr w:type="spellEnd"/>
      <w:r>
        <w:t xml:space="preserve"> + </w:t>
      </w:r>
      <w:proofErr w:type="spellStart"/>
      <w:r>
        <w:t>cDMARD</w:t>
      </w:r>
      <w:proofErr w:type="spellEnd"/>
      <w:r>
        <w:t xml:space="preserve"> populations in Pool 2 and Pool 1 were generally consistent. No new safety signals emerged with long-term treatment with sarilumab in combination with </w:t>
      </w:r>
      <w:proofErr w:type="spellStart"/>
      <w:r>
        <w:t>cDMARD</w:t>
      </w:r>
      <w:proofErr w:type="spellEnd"/>
      <w:r>
        <w:t>.</w:t>
      </w:r>
    </w:p>
    <w:p w:rsidR="00AA6B20" w:rsidRDefault="002928AB" w:rsidP="00BF5020">
      <w:pPr>
        <w:pStyle w:val="Heading5"/>
        <w:rPr>
          <w:rFonts w:eastAsiaTheme="minorHAnsi"/>
        </w:rPr>
      </w:pPr>
      <w:r>
        <w:rPr>
          <w:rFonts w:eastAsiaTheme="minorHAnsi"/>
        </w:rPr>
        <w:t xml:space="preserve">Limitations and uncertainties </w:t>
      </w:r>
      <w:r w:rsidRPr="00CC40A7">
        <w:rPr>
          <w:rFonts w:eastAsiaTheme="minorHAnsi"/>
        </w:rPr>
        <w:t xml:space="preserve">of the sarilumab in combination with </w:t>
      </w:r>
      <w:proofErr w:type="spellStart"/>
      <w:r w:rsidRPr="00CC40A7">
        <w:rPr>
          <w:rFonts w:eastAsiaTheme="minorHAnsi"/>
        </w:rPr>
        <w:t>cDMARD</w:t>
      </w:r>
      <w:proofErr w:type="spellEnd"/>
      <w:r w:rsidRPr="00CC40A7">
        <w:rPr>
          <w:rFonts w:eastAsiaTheme="minorHAnsi"/>
        </w:rPr>
        <w:t xml:space="preserve"> risk data</w:t>
      </w:r>
    </w:p>
    <w:p w:rsidR="00AA6B20" w:rsidRDefault="002928AB" w:rsidP="00F147C9">
      <w:pPr>
        <w:pStyle w:val="Numberbullet0"/>
        <w:numPr>
          <w:ilvl w:val="0"/>
          <w:numId w:val="20"/>
        </w:numPr>
      </w:pPr>
      <w:r w:rsidRPr="00CC40A7">
        <w:t xml:space="preserve">There was no control group (active or placebo) in the </w:t>
      </w:r>
      <w:proofErr w:type="spellStart"/>
      <w:r w:rsidRPr="00CC40A7">
        <w:t>sarilumab</w:t>
      </w:r>
      <w:proofErr w:type="spellEnd"/>
      <w:r w:rsidRPr="00CC40A7">
        <w:t xml:space="preserve"> + </w:t>
      </w:r>
      <w:proofErr w:type="spellStart"/>
      <w:r w:rsidRPr="00CC40A7">
        <w:t>cDMARD</w:t>
      </w:r>
      <w:proofErr w:type="spellEnd"/>
      <w:r w:rsidRPr="00CC40A7">
        <w:t xml:space="preserve"> long-term safety population. This raises uncertainties relating to interpretation of the long-term risk data.</w:t>
      </w:r>
    </w:p>
    <w:p w:rsidR="00AA6B20" w:rsidRDefault="002928AB" w:rsidP="00BF5020">
      <w:pPr>
        <w:pStyle w:val="Numberbullet0"/>
        <w:rPr>
          <w:rFonts w:cs="Times"/>
          <w:lang w:val="en-US"/>
        </w:rPr>
      </w:pPr>
      <w:r w:rsidRPr="00CC40A7">
        <w:t>The total patient population in Pool 2 (</w:t>
      </w:r>
      <w:proofErr w:type="spellStart"/>
      <w:r w:rsidRPr="00CC40A7">
        <w:t>sarilumab</w:t>
      </w:r>
      <w:proofErr w:type="spellEnd"/>
      <w:r w:rsidRPr="00CC40A7">
        <w:t xml:space="preserve"> + </w:t>
      </w:r>
      <w:proofErr w:type="spellStart"/>
      <w:r w:rsidRPr="00CC40A7">
        <w:t>cDMARD</w:t>
      </w:r>
      <w:proofErr w:type="spellEnd"/>
      <w:r w:rsidRPr="00CC40A7">
        <w:t xml:space="preserve"> long-term safety population) in the any sarilumab dose group (</w:t>
      </w:r>
      <w:r w:rsidR="007C7C62">
        <w:t xml:space="preserve">n = </w:t>
      </w:r>
      <w:r w:rsidRPr="00CC40A7">
        <w:t>2887)</w:t>
      </w:r>
      <w:r w:rsidRPr="00CC40A7">
        <w:rPr>
          <w:rFonts w:cs="Times"/>
          <w:lang w:val="en-US"/>
        </w:rPr>
        <w:t xml:space="preserve"> was sufficient to detect adverse reactions to sarilumab occurring with an incidence of </w:t>
      </w:r>
      <w:r w:rsidR="00DD5BCE">
        <w:t>&gt;</w:t>
      </w:r>
      <w:r w:rsidR="007C7C62">
        <w:t xml:space="preserve"> </w:t>
      </w:r>
      <w:r w:rsidRPr="00CC40A7">
        <w:rPr>
          <w:rFonts w:cs="Times"/>
          <w:lang w:val="en-US"/>
        </w:rPr>
        <w:t xml:space="preserve">0.1%, based on </w:t>
      </w:r>
      <w:r w:rsidR="001470FB">
        <w:rPr>
          <w:rFonts w:cs="Times"/>
          <w:lang w:val="en-US"/>
        </w:rPr>
        <w:t>‘</w:t>
      </w:r>
      <w:r w:rsidRPr="00CC40A7">
        <w:rPr>
          <w:rFonts w:cs="Times"/>
          <w:lang w:val="en-US"/>
        </w:rPr>
        <w:t>the rule of threes</w:t>
      </w:r>
      <w:r w:rsidR="001470FB">
        <w:rPr>
          <w:rFonts w:cs="Times"/>
          <w:lang w:val="en-US"/>
        </w:rPr>
        <w:t>’</w:t>
      </w:r>
      <w:r w:rsidRPr="00CC40A7">
        <w:rPr>
          <w:rFonts w:cs="Times"/>
          <w:lang w:val="en-US"/>
        </w:rPr>
        <w:t xml:space="preserve">. However, it is unlikely that the total population exposed to any sarilumab dose in Pool 2 </w:t>
      </w:r>
      <w:r>
        <w:rPr>
          <w:rFonts w:cs="Times"/>
          <w:lang w:val="en-US"/>
        </w:rPr>
        <w:t xml:space="preserve">is </w:t>
      </w:r>
      <w:r w:rsidRPr="00CC40A7">
        <w:rPr>
          <w:rFonts w:cs="Times"/>
          <w:lang w:val="en-US"/>
        </w:rPr>
        <w:t xml:space="preserve">sufficient to detect adverse reactions </w:t>
      </w:r>
      <w:r>
        <w:rPr>
          <w:rFonts w:cs="Times"/>
          <w:lang w:val="en-US"/>
        </w:rPr>
        <w:t xml:space="preserve">occurring </w:t>
      </w:r>
      <w:r w:rsidRPr="00CC40A7">
        <w:rPr>
          <w:rFonts w:cs="Times"/>
          <w:lang w:val="en-US"/>
        </w:rPr>
        <w:t xml:space="preserve">with an incidence of </w:t>
      </w:r>
      <w:r w:rsidR="007F1BEB">
        <w:t>&lt; </w:t>
      </w:r>
      <w:r w:rsidRPr="00CC40A7">
        <w:rPr>
          <w:rFonts w:cs="Times"/>
          <w:lang w:val="en-US"/>
        </w:rPr>
        <w:t>0.1%.</w:t>
      </w:r>
    </w:p>
    <w:p w:rsidR="00AA6B20" w:rsidRDefault="002928AB" w:rsidP="00BF5020">
      <w:pPr>
        <w:pStyle w:val="Numberbullet0"/>
      </w:pPr>
      <w:r w:rsidRPr="00CC40A7">
        <w:t xml:space="preserve">There are uncertainties associated with the use of long-term </w:t>
      </w:r>
      <w:proofErr w:type="spellStart"/>
      <w:r w:rsidRPr="00CC40A7">
        <w:t>sarilumab</w:t>
      </w:r>
      <w:proofErr w:type="spellEnd"/>
      <w:r w:rsidRPr="00CC40A7">
        <w:t xml:space="preserve"> + </w:t>
      </w:r>
      <w:proofErr w:type="spellStart"/>
      <w:r w:rsidRPr="00CC40A7">
        <w:t>cDMARD</w:t>
      </w:r>
      <w:proofErr w:type="spellEnd"/>
      <w:r w:rsidRPr="00CC40A7">
        <w:t xml:space="preserve"> as regards adverse events that might emerge only after prolonged exposure (</w:t>
      </w:r>
      <w:r w:rsidR="0095541E">
        <w:t>for example,</w:t>
      </w:r>
      <w:r w:rsidRPr="00CC40A7">
        <w:t xml:space="preserve"> malignancies and cardiovascular events). In Pool 2 (</w:t>
      </w:r>
      <w:proofErr w:type="spellStart"/>
      <w:r w:rsidRPr="00CC40A7">
        <w:t>sarilumab</w:t>
      </w:r>
      <w:proofErr w:type="spellEnd"/>
      <w:r w:rsidRPr="00CC40A7">
        <w:t xml:space="preserve"> + </w:t>
      </w:r>
      <w:proofErr w:type="spellStart"/>
      <w:r w:rsidRPr="00CC40A7">
        <w:t>cDMARD</w:t>
      </w:r>
      <w:proofErr w:type="spellEnd"/>
      <w:r w:rsidRPr="00CC40A7">
        <w:t xml:space="preserve"> long-term safety population), 1960 patients had been exposed to any </w:t>
      </w:r>
      <w:proofErr w:type="spellStart"/>
      <w:r w:rsidRPr="00CC40A7">
        <w:t>sarilumab</w:t>
      </w:r>
      <w:proofErr w:type="spellEnd"/>
      <w:r w:rsidRPr="00CC40A7">
        <w:t xml:space="preserve"> dose + </w:t>
      </w:r>
      <w:proofErr w:type="spellStart"/>
      <w:r w:rsidRPr="00CC40A7">
        <w:t>cDMARD</w:t>
      </w:r>
      <w:proofErr w:type="spellEnd"/>
      <w:r w:rsidRPr="00CC40A7">
        <w:t xml:space="preserve"> for </w:t>
      </w:r>
      <w:r w:rsidR="00DD5BCE">
        <w:t>&gt;</w:t>
      </w:r>
      <w:r w:rsidR="007C7C62">
        <w:t xml:space="preserve"> </w:t>
      </w:r>
      <w:r w:rsidRPr="00CC40A7">
        <w:t xml:space="preserve">48 weeks, 1298 for </w:t>
      </w:r>
      <w:r w:rsidR="00DD5BCE">
        <w:t>&gt;</w:t>
      </w:r>
      <w:r w:rsidR="007C7C62">
        <w:t xml:space="preserve"> </w:t>
      </w:r>
      <w:r w:rsidRPr="00CC40A7">
        <w:t xml:space="preserve">96 weeks, 906 for </w:t>
      </w:r>
      <w:r w:rsidR="00DD5BCE">
        <w:t>&gt;</w:t>
      </w:r>
      <w:r w:rsidR="007C7C62">
        <w:t xml:space="preserve"> </w:t>
      </w:r>
      <w:r w:rsidRPr="00CC40A7">
        <w:t xml:space="preserve">144 weeks, 523 for </w:t>
      </w:r>
      <w:r w:rsidR="00DD5BCE">
        <w:t>&gt;</w:t>
      </w:r>
      <w:r w:rsidR="007C7C62">
        <w:t xml:space="preserve"> </w:t>
      </w:r>
      <w:r w:rsidRPr="00CC40A7">
        <w:t>192</w:t>
      </w:r>
      <w:r w:rsidR="00CC63CB">
        <w:t> </w:t>
      </w:r>
      <w:r w:rsidRPr="00CC40A7">
        <w:t xml:space="preserve">weeks, 180 for </w:t>
      </w:r>
      <w:r w:rsidR="00DD5BCE">
        <w:t>&gt;</w:t>
      </w:r>
      <w:r w:rsidR="007C7C62">
        <w:t xml:space="preserve"> </w:t>
      </w:r>
      <w:r w:rsidRPr="00CC40A7">
        <w:t xml:space="preserve">240 weeks, and 39 for </w:t>
      </w:r>
      <w:r w:rsidR="00DD5BCE">
        <w:t>&gt;</w:t>
      </w:r>
      <w:r w:rsidR="007C7C62">
        <w:t xml:space="preserve"> </w:t>
      </w:r>
      <w:r w:rsidRPr="00CC40A7">
        <w:t>264 weeks.</w:t>
      </w:r>
    </w:p>
    <w:p w:rsidR="00AA6B20" w:rsidRDefault="002928AB" w:rsidP="00BF5020">
      <w:pPr>
        <w:pStyle w:val="Numberbullet0"/>
      </w:pPr>
      <w:r w:rsidRPr="00CC40A7">
        <w:rPr>
          <w:color w:val="000000"/>
        </w:rPr>
        <w:t>In Pool 2 (</w:t>
      </w:r>
      <w:proofErr w:type="spellStart"/>
      <w:r w:rsidRPr="00CC40A7">
        <w:t>sarilumab</w:t>
      </w:r>
      <w:proofErr w:type="spellEnd"/>
      <w:r w:rsidRPr="00CC40A7">
        <w:t xml:space="preserve"> + </w:t>
      </w:r>
      <w:proofErr w:type="spellStart"/>
      <w:r w:rsidRPr="00CC40A7">
        <w:t>cDMARD</w:t>
      </w:r>
      <w:proofErr w:type="spellEnd"/>
      <w:r w:rsidRPr="00CC40A7">
        <w:t xml:space="preserve"> long-term safety population), MACE (primary) occurred in 28 (1.0%) patients in the any </w:t>
      </w:r>
      <w:proofErr w:type="spellStart"/>
      <w:r w:rsidRPr="00CC40A7">
        <w:t>sarilumab</w:t>
      </w:r>
      <w:proofErr w:type="spellEnd"/>
      <w:r w:rsidRPr="00CC40A7">
        <w:t xml:space="preserve"> dose + </w:t>
      </w:r>
      <w:proofErr w:type="spellStart"/>
      <w:r w:rsidRPr="00CC40A7">
        <w:t>cDMARD</w:t>
      </w:r>
      <w:proofErr w:type="spellEnd"/>
      <w:r w:rsidRPr="00CC40A7">
        <w:t xml:space="preserve"> group, with an event-rate of 0.5/100 PY (31 events). In Pool 2, malignancy occurred in 44 (1.5%) patients, with an event-rate of 0.8/100 PY. The event rate for non-melanoma skin cancers (NMSC) was 0.3/100 PY (15 events), the event rate for solid tumours excluding NMSC was 0.5/100 PY (29 events), and the event rate for haematological malignancies was 0.1/100 PY (3 events). The </w:t>
      </w:r>
      <w:r>
        <w:t xml:space="preserve">currently </w:t>
      </w:r>
      <w:r w:rsidRPr="00CC40A7">
        <w:t>available data for MACE and malignancies do not give rise to particular concern</w:t>
      </w:r>
      <w:r>
        <w:t xml:space="preserve"> relating to these adverse events</w:t>
      </w:r>
      <w:r w:rsidRPr="00CC40A7">
        <w:t xml:space="preserve">, but only 523 patients have been exposed for </w:t>
      </w:r>
      <w:r w:rsidR="00DD5BCE">
        <w:t>&gt;</w:t>
      </w:r>
      <w:r w:rsidR="007C7C62">
        <w:t xml:space="preserve"> </w:t>
      </w:r>
      <w:r w:rsidRPr="00CC40A7">
        <w:t xml:space="preserve">192 weeks. Therefore, conclusive data for these adverse </w:t>
      </w:r>
      <w:r>
        <w:t>event</w:t>
      </w:r>
      <w:r w:rsidR="0095541E">
        <w:t>s</w:t>
      </w:r>
      <w:r>
        <w:t xml:space="preserve"> are</w:t>
      </w:r>
      <w:r w:rsidRPr="00CC40A7">
        <w:t xml:space="preserve"> dependent on post-marketing exposure in a large number of patients.</w:t>
      </w:r>
    </w:p>
    <w:p w:rsidR="00AA6B20" w:rsidRDefault="002928AB" w:rsidP="00BF5020">
      <w:pPr>
        <w:pStyle w:val="Heading4"/>
      </w:pPr>
      <w:r>
        <w:lastRenderedPageBreak/>
        <w:t>Key risks associated with sarilumab 200 mg q2w and sarilumab 150 mg q2w</w:t>
      </w:r>
    </w:p>
    <w:p w:rsidR="00AA6B20" w:rsidRDefault="002928AB" w:rsidP="002928AB">
      <w:r>
        <w:t xml:space="preserve">In its consideration of the sponsor’s initial submission to register sarilumab in combination with </w:t>
      </w:r>
      <w:proofErr w:type="spellStart"/>
      <w:r>
        <w:t>cDMARD</w:t>
      </w:r>
      <w:proofErr w:type="spellEnd"/>
      <w:r>
        <w:t xml:space="preserve"> for the treatment of the proposed indication the ACM noted that the safety of sarilumab 150 mg q2w was superior compared with sarilumab 200 mg q2w and that, although there was a trend towards superior efficacy with the higher compared with the lower sarilumab dose, there was no statistically significant difference in efficacy between the two doses. Consequently, based on the safety concerns and the efficacy findings the ACM recommended that treatment be initiated with sarilumab 150 mg q2w and increased to sarilumab 200 mg q2w if considered to be clinically appropriate.</w:t>
      </w:r>
    </w:p>
    <w:p w:rsidR="002928AB" w:rsidRDefault="002928AB" w:rsidP="002928AB">
      <w:r>
        <w:t>Therefore, based on the initial recommendation</w:t>
      </w:r>
      <w:r w:rsidR="005A2C47">
        <w:t xml:space="preserve"> by the ACM</w:t>
      </w:r>
      <w:r>
        <w:t>, it is considered that t</w:t>
      </w:r>
      <w:r w:rsidRPr="00560A16">
        <w:t xml:space="preserve">he key </w:t>
      </w:r>
      <w:r>
        <w:t xml:space="preserve">issue in the re-submission </w:t>
      </w:r>
      <w:r w:rsidRPr="00560A16">
        <w:t xml:space="preserve">centres on whether </w:t>
      </w:r>
      <w:r>
        <w:t xml:space="preserve">the totality of the previously evaluated clinical studies and the new clinical studies support the sponsor’s proposal that treatment for the proposed indication be </w:t>
      </w:r>
      <w:r w:rsidRPr="00560A16">
        <w:t xml:space="preserve">initiated with the sarilumab 200 mg q2w with reduction to </w:t>
      </w:r>
      <w:r>
        <w:t xml:space="preserve">sarilumab </w:t>
      </w:r>
      <w:r w:rsidRPr="00560A16">
        <w:t>150 mg q2w in the event of neutro</w:t>
      </w:r>
      <w:r w:rsidR="001E2D44">
        <w:t>paenia</w:t>
      </w:r>
      <w:r w:rsidRPr="00560A16">
        <w:t>, throm</w:t>
      </w:r>
      <w:r>
        <w:t>bocyto</w:t>
      </w:r>
      <w:r w:rsidR="001E2D44">
        <w:t>paenia</w:t>
      </w:r>
      <w:r>
        <w:t>, or increased ALT</w:t>
      </w:r>
      <w:r w:rsidR="0095541E">
        <w:t>.</w:t>
      </w:r>
    </w:p>
    <w:p w:rsidR="00AA6B20" w:rsidRDefault="002928AB" w:rsidP="002928AB">
      <w:r>
        <w:t>In order to address the key safety concerns, the risks of infection, thrombocyto</w:t>
      </w:r>
      <w:r w:rsidR="001E2D44">
        <w:t>paenia</w:t>
      </w:r>
      <w:r>
        <w:t xml:space="preserve"> and increased ALT with both doses of sarilumab based on the totality of the submitted data are reviewed below. Of note, there appeared to be no major concerns raised in the initial evaluation relating to the safety of either sarilumab 150 mg q2w or sarilumab 200 mg q2w in combination with </w:t>
      </w:r>
      <w:proofErr w:type="spellStart"/>
      <w:r>
        <w:t>cDMARD</w:t>
      </w:r>
      <w:proofErr w:type="spellEnd"/>
      <w:r>
        <w:t xml:space="preserve"> that would have precluded approval of both doses for the treatment of the initially proposed indication.</w:t>
      </w:r>
    </w:p>
    <w:p w:rsidR="00AA6B20" w:rsidRDefault="002928AB" w:rsidP="00BF5020">
      <w:pPr>
        <w:pStyle w:val="Heading5"/>
      </w:pPr>
      <w:r w:rsidRPr="00C15B90">
        <w:t>Infections</w:t>
      </w:r>
    </w:p>
    <w:p w:rsidR="00AA6B20" w:rsidRDefault="002928AB" w:rsidP="00BF5020">
      <w:pPr>
        <w:pStyle w:val="ListBullet"/>
      </w:pPr>
      <w:r w:rsidRPr="00560A16">
        <w:t xml:space="preserve">The most commonly reported </w:t>
      </w:r>
      <w:r>
        <w:t xml:space="preserve">treatment-emergent </w:t>
      </w:r>
      <w:r w:rsidRPr="00560A16">
        <w:t>AESI</w:t>
      </w:r>
      <w:r>
        <w:t>s</w:t>
      </w:r>
      <w:r w:rsidRPr="00560A16">
        <w:t xml:space="preserve"> of concern in the sarilumab monotherapy </w:t>
      </w:r>
      <w:r>
        <w:t xml:space="preserve">and </w:t>
      </w:r>
      <w:r w:rsidRPr="00560A16">
        <w:t>sarilumab + DMARD</w:t>
      </w:r>
      <w:r>
        <w:t xml:space="preserve"> studies related to infections.</w:t>
      </w:r>
    </w:p>
    <w:p w:rsidR="00AA6B20" w:rsidRDefault="002928AB" w:rsidP="00BF5020">
      <w:pPr>
        <w:pStyle w:val="ListBullet"/>
      </w:pPr>
      <w:r w:rsidRPr="00560A16">
        <w:t xml:space="preserve">In the pivotal monotherapy </w:t>
      </w:r>
      <w:r w:rsidR="00894642">
        <w:t>Study EFC</w:t>
      </w:r>
      <w:r w:rsidRPr="00560A16">
        <w:t>14092</w:t>
      </w:r>
      <w:r w:rsidR="001F3EAD">
        <w:t xml:space="preserve"> MONARCH</w:t>
      </w:r>
      <w:r w:rsidRPr="00560A16">
        <w:t>, infections occurred in a similar proportion of patients in the sarilumab 200 mg q2w and the adalimumab 40 mg q2</w:t>
      </w:r>
      <w:r>
        <w:t>w</w:t>
      </w:r>
      <w:r w:rsidRPr="00560A16">
        <w:t xml:space="preserve"> groups (28.8%, </w:t>
      </w:r>
      <w:r w:rsidR="007C7C62">
        <w:t xml:space="preserve">n = </w:t>
      </w:r>
      <w:r w:rsidRPr="00560A16">
        <w:t>53</w:t>
      </w:r>
      <w:r w:rsidR="003D2290">
        <w:t xml:space="preserve"> versus </w:t>
      </w:r>
      <w:r w:rsidRPr="00560A16">
        <w:t>27.</w:t>
      </w:r>
      <w:r>
        <w:t>7</w:t>
      </w:r>
      <w:r w:rsidRPr="00560A16">
        <w:t xml:space="preserve">%, </w:t>
      </w:r>
      <w:r w:rsidR="007C7C62">
        <w:t xml:space="preserve">n = </w:t>
      </w:r>
      <w:r w:rsidRPr="00560A16">
        <w:t xml:space="preserve">51, </w:t>
      </w:r>
      <w:r>
        <w:t>respectively). S</w:t>
      </w:r>
      <w:r w:rsidRPr="00560A16">
        <w:t xml:space="preserve">erious infections occurred in the same proportion of patients in both treatment groups (1.1%, </w:t>
      </w:r>
      <w:r w:rsidR="007C7C62">
        <w:t xml:space="preserve">n = </w:t>
      </w:r>
      <w:r w:rsidRPr="00560A16">
        <w:t>2)</w:t>
      </w:r>
      <w:r>
        <w:t xml:space="preserve">, as did opportunistic infections (0.5%, </w:t>
      </w:r>
      <w:r w:rsidR="007C7C62">
        <w:t xml:space="preserve">n = </w:t>
      </w:r>
      <w:r>
        <w:t xml:space="preserve">1), while TB was reported in 1 (0.5%) patient in the adalimumab group and no patients in the sarilumab group. </w:t>
      </w:r>
      <w:r w:rsidRPr="00560A16">
        <w:t>Infection</w:t>
      </w:r>
      <w:r>
        <w:t xml:space="preserve">s </w:t>
      </w:r>
      <w:r w:rsidRPr="00560A16">
        <w:t xml:space="preserve">reported in </w:t>
      </w:r>
      <w:r w:rsidR="00DD5BCE">
        <w:t>≥</w:t>
      </w:r>
      <w:r w:rsidR="0014526F">
        <w:t> </w:t>
      </w:r>
      <w:r w:rsidRPr="00560A16">
        <w:t>2% of patients in either of the two treatment groups</w:t>
      </w:r>
      <w:r>
        <w:t xml:space="preserve">, </w:t>
      </w:r>
      <w:r w:rsidRPr="00560A16">
        <w:t>sarilumab</w:t>
      </w:r>
      <w:r w:rsidR="003D2290">
        <w:t xml:space="preserve"> versus </w:t>
      </w:r>
      <w:r w:rsidRPr="00560A16">
        <w:t>adalimumab</w:t>
      </w:r>
      <w:r>
        <w:t xml:space="preserve">, respectively, in decreasing order of frequency in the sarilumab group </w:t>
      </w:r>
      <w:r w:rsidRPr="00560A16">
        <w:t>were bronchitis (6.5%</w:t>
      </w:r>
      <w:r w:rsidR="003D2290">
        <w:t xml:space="preserve"> versus </w:t>
      </w:r>
      <w:r w:rsidRPr="00560A16">
        <w:t>3.8%), nasopharyn</w:t>
      </w:r>
      <w:r>
        <w:t xml:space="preserve">gitis </w:t>
      </w:r>
      <w:r w:rsidRPr="00560A16">
        <w:t>(6.0%</w:t>
      </w:r>
      <w:r w:rsidR="003D2290">
        <w:t xml:space="preserve"> versus </w:t>
      </w:r>
      <w:r w:rsidRPr="00560A16">
        <w:t>7.6%), urinary tract infection (2.7%</w:t>
      </w:r>
      <w:r w:rsidR="003D2290">
        <w:t xml:space="preserve"> versus </w:t>
      </w:r>
      <w:r w:rsidRPr="00560A16">
        <w:t>2.2%), pharyngitis (1.6%</w:t>
      </w:r>
      <w:r w:rsidR="003D2290">
        <w:t xml:space="preserve"> versus </w:t>
      </w:r>
      <w:r w:rsidRPr="00560A16">
        <w:t xml:space="preserve">2.7%), </w:t>
      </w:r>
      <w:r>
        <w:t xml:space="preserve">and </w:t>
      </w:r>
      <w:r w:rsidRPr="00560A16">
        <w:t>upper respiratory tract infection (1.6%</w:t>
      </w:r>
      <w:r w:rsidR="003D2290">
        <w:t xml:space="preserve"> versus </w:t>
      </w:r>
      <w:r w:rsidRPr="00560A16">
        <w:t>3.8%)</w:t>
      </w:r>
      <w:r>
        <w:t xml:space="preserve">. Serious infections </w:t>
      </w:r>
      <w:r w:rsidRPr="00560A16">
        <w:t xml:space="preserve">occurred in 2 (1.1%) patients in the sarilumab group (1x bursitis infective, </w:t>
      </w:r>
      <w:proofErr w:type="gramStart"/>
      <w:r w:rsidRPr="00560A16">
        <w:t>1</w:t>
      </w:r>
      <w:r w:rsidR="0014526F">
        <w:t xml:space="preserve"> </w:t>
      </w:r>
      <w:r w:rsidRPr="00560A16">
        <w:t>x mastitis</w:t>
      </w:r>
      <w:proofErr w:type="gramEnd"/>
      <w:r w:rsidRPr="00560A16">
        <w:t>) and 2</w:t>
      </w:r>
      <w:r>
        <w:t xml:space="preserve"> (1.1%) patients in the adalimu</w:t>
      </w:r>
      <w:r w:rsidRPr="00560A16">
        <w:t>m</w:t>
      </w:r>
      <w:r>
        <w:t>a</w:t>
      </w:r>
      <w:r w:rsidRPr="00560A16">
        <w:t xml:space="preserve">b group (1x arthritis bacterial, 1 x respiratory tract infection). Infections leading to permanent treatment discontinuation were reported infrequently in both treatment groups (0.5%, </w:t>
      </w:r>
      <w:r w:rsidR="007C7C62">
        <w:t xml:space="preserve">n = </w:t>
      </w:r>
      <w:r w:rsidRPr="00560A16">
        <w:t>1, sarilumab [</w:t>
      </w:r>
      <w:r>
        <w:t xml:space="preserve">1x </w:t>
      </w:r>
      <w:r w:rsidRPr="00560A16">
        <w:t>herpes zoster]</w:t>
      </w:r>
      <w:r w:rsidR="003D2290">
        <w:t xml:space="preserve"> versus </w:t>
      </w:r>
      <w:r w:rsidRPr="00560A16">
        <w:t xml:space="preserve">1.1%, </w:t>
      </w:r>
      <w:r w:rsidR="007C7C62">
        <w:t xml:space="preserve">n = </w:t>
      </w:r>
      <w:r w:rsidRPr="00560A16">
        <w:t xml:space="preserve">2, adalimumab </w:t>
      </w:r>
      <w:r w:rsidR="00CC63CB">
        <w:t>(</w:t>
      </w:r>
      <w:r w:rsidRPr="00560A16">
        <w:t>1</w:t>
      </w:r>
      <w:r w:rsidR="0014526F">
        <w:t xml:space="preserve"> </w:t>
      </w:r>
      <w:r w:rsidRPr="00560A16">
        <w:t>x arthritis bacterial, 1x pulmonary TB</w:t>
      </w:r>
      <w:r w:rsidR="00CC63CB">
        <w:t>)</w:t>
      </w:r>
      <w:r w:rsidRPr="00560A16">
        <w:t xml:space="preserve">). There were no deaths due to infections reported in either of the two treatment groups. </w:t>
      </w:r>
      <w:r>
        <w:t xml:space="preserve">Overall, it is considered that there </w:t>
      </w:r>
      <w:r w:rsidRPr="00560A16">
        <w:t xml:space="preserve">were no clinically meaningful differences </w:t>
      </w:r>
      <w:r>
        <w:t>between sarilumab 200 mg q2w and adalimumab 40 mg q2w in the pattern of infections observed in the pivotal monotherapy study.</w:t>
      </w:r>
    </w:p>
    <w:p w:rsidR="00AA6B20" w:rsidRDefault="002928AB" w:rsidP="00BF5020">
      <w:pPr>
        <w:pStyle w:val="ListBullet"/>
      </w:pPr>
      <w:r>
        <w:t>In Pool 1 (sarilumab + DMARD placebo-controlled population)</w:t>
      </w:r>
      <w:r w:rsidRPr="00560A16">
        <w:t xml:space="preserve">, infections occurred in a similar proportion of patients in the sarilumab 200 mg q2w </w:t>
      </w:r>
      <w:r>
        <w:t xml:space="preserve">+ DMARD </w:t>
      </w:r>
      <w:r w:rsidRPr="00560A16">
        <w:t xml:space="preserve">and </w:t>
      </w:r>
      <w:r>
        <w:t xml:space="preserve">sarilumab </w:t>
      </w:r>
      <w:r w:rsidRPr="00560A16">
        <w:t xml:space="preserve">150 mg q2w </w:t>
      </w:r>
      <w:r>
        <w:t xml:space="preserve">+ DMARD </w:t>
      </w:r>
      <w:r w:rsidRPr="00560A16">
        <w:t xml:space="preserve">groups (35.2%, </w:t>
      </w:r>
      <w:r w:rsidR="007C7C62">
        <w:t xml:space="preserve">n = </w:t>
      </w:r>
      <w:r w:rsidRPr="00560A16">
        <w:t>233</w:t>
      </w:r>
      <w:r w:rsidR="003D2290">
        <w:t xml:space="preserve"> versus </w:t>
      </w:r>
      <w:r w:rsidRPr="00560A16">
        <w:t>34.</w:t>
      </w:r>
      <w:r>
        <w:t>4</w:t>
      </w:r>
      <w:r w:rsidRPr="00560A16">
        <w:t xml:space="preserve">%, </w:t>
      </w:r>
      <w:r w:rsidR="007C7C62">
        <w:t xml:space="preserve">n = </w:t>
      </w:r>
      <w:r w:rsidRPr="00560A16">
        <w:t xml:space="preserve">227, respectively), as did serious infections (2.9%, </w:t>
      </w:r>
      <w:r w:rsidR="007C7C62">
        <w:t xml:space="preserve">n = </w:t>
      </w:r>
      <w:r w:rsidRPr="00560A16">
        <w:t>19</w:t>
      </w:r>
      <w:r w:rsidR="003D2290">
        <w:t xml:space="preserve"> versus </w:t>
      </w:r>
      <w:r w:rsidRPr="00560A16">
        <w:t xml:space="preserve">1.8%, </w:t>
      </w:r>
      <w:r w:rsidR="007C7C62">
        <w:t xml:space="preserve">n = </w:t>
      </w:r>
      <w:r w:rsidRPr="00560A16">
        <w:t>12, respectiv</w:t>
      </w:r>
      <w:r>
        <w:t>e</w:t>
      </w:r>
      <w:r w:rsidRPr="00560A16">
        <w:t>ly) and opportunistic infectio</w:t>
      </w:r>
      <w:r>
        <w:t xml:space="preserve">ns (0.9%, </w:t>
      </w:r>
      <w:r w:rsidR="007C7C62">
        <w:t xml:space="preserve">n = </w:t>
      </w:r>
      <w:r>
        <w:t>6</w:t>
      </w:r>
      <w:r w:rsidR="003D2290">
        <w:t xml:space="preserve"> versus </w:t>
      </w:r>
      <w:r>
        <w:t xml:space="preserve">0.6%, </w:t>
      </w:r>
      <w:r w:rsidR="007C7C62">
        <w:t xml:space="preserve">n = </w:t>
      </w:r>
      <w:r>
        <w:t xml:space="preserve">4). The event rates for the total number of infections in the two treatment groups were 84.5/100 PY in the sarilumab 200 mg q2w + DMARD group (373 events) and 81.0/100 PY in the sarilumab 150 mg </w:t>
      </w:r>
      <w:r>
        <w:lastRenderedPageBreak/>
        <w:t>q2w +DMARD group (357 events), and the event rates for the number of serious infections were 5.2/100 PY (23 events) and 3.6/100 PY (16 events), respectively.</w:t>
      </w:r>
    </w:p>
    <w:p w:rsidR="00AA6B20" w:rsidRDefault="002928AB" w:rsidP="00BF5020">
      <w:pPr>
        <w:pStyle w:val="ListBullet"/>
      </w:pPr>
      <w:r>
        <w:t xml:space="preserve">In Pool 1 (sarilumab + DMARD placebo-controlled population), infections </w:t>
      </w:r>
      <w:r w:rsidRPr="00560A16">
        <w:t xml:space="preserve">reported in </w:t>
      </w:r>
      <w:r w:rsidR="00DD5BCE">
        <w:t>≥</w:t>
      </w:r>
      <w:r w:rsidR="007C7C62">
        <w:t xml:space="preserve"> </w:t>
      </w:r>
      <w:r w:rsidRPr="00560A16">
        <w:t>2% of patients in either of the two sarilumab treatment groups (200 mg q</w:t>
      </w:r>
      <w:r>
        <w:t>2w</w:t>
      </w:r>
      <w:r w:rsidR="003D2290">
        <w:t xml:space="preserve"> versus </w:t>
      </w:r>
      <w:r>
        <w:t xml:space="preserve">150 mg q2w, respectively), in decreasing order of frequency in the 200 mg q2w group </w:t>
      </w:r>
      <w:r w:rsidRPr="00560A16">
        <w:t>were upper respiratory tract infection (7.1%</w:t>
      </w:r>
      <w:r w:rsidR="003D2290">
        <w:t xml:space="preserve"> versus </w:t>
      </w:r>
      <w:r w:rsidRPr="00560A16">
        <w:t>6.4%), urinary tract infection (5.7%</w:t>
      </w:r>
      <w:r w:rsidR="003D2290">
        <w:t xml:space="preserve"> versus </w:t>
      </w:r>
      <w:r w:rsidRPr="00560A16">
        <w:t>4.4%), nasopharyngitis (4.2%</w:t>
      </w:r>
      <w:r w:rsidR="003D2290">
        <w:t xml:space="preserve"> versus </w:t>
      </w:r>
      <w:r w:rsidRPr="00560A16">
        <w:t>5.5%), bronchitis (3.8%</w:t>
      </w:r>
      <w:r w:rsidR="003D2290">
        <w:t xml:space="preserve"> versus </w:t>
      </w:r>
      <w:r w:rsidRPr="00560A16">
        <w:t>2.7%), influenza (2.4%</w:t>
      </w:r>
      <w:r w:rsidR="003D2290">
        <w:t xml:space="preserve"> versus </w:t>
      </w:r>
      <w:r w:rsidRPr="00560A16">
        <w:t>2.6%), pharyngitis (2.4%</w:t>
      </w:r>
      <w:r w:rsidR="003D2290">
        <w:t xml:space="preserve"> versus </w:t>
      </w:r>
      <w:r w:rsidRPr="00560A16">
        <w:t>2.3%), and sinusitis (2.4%</w:t>
      </w:r>
      <w:r w:rsidR="003D2290">
        <w:t xml:space="preserve"> versus </w:t>
      </w:r>
      <w:r w:rsidRPr="00560A16">
        <w:t>2.1%).</w:t>
      </w:r>
    </w:p>
    <w:p w:rsidR="00AA6B20" w:rsidRDefault="002928AB" w:rsidP="00BF5020">
      <w:pPr>
        <w:pStyle w:val="ListBullet"/>
      </w:pPr>
      <w:r>
        <w:t xml:space="preserve">In Pool 1 (sarilumab + DMARD placebo-controlled population), serious infections </w:t>
      </w:r>
      <w:r w:rsidRPr="00560A16">
        <w:t>occurred in 19 (2.9%) patients in the sarilumab 200 mg q2w group</w:t>
      </w:r>
      <w:r>
        <w:t>, and serious i</w:t>
      </w:r>
      <w:r w:rsidRPr="00560A16">
        <w:t>nfe</w:t>
      </w:r>
      <w:r>
        <w:t xml:space="preserve">ctions reported in </w:t>
      </w:r>
      <w:r w:rsidR="00DD5BCE">
        <w:t>≥</w:t>
      </w:r>
      <w:r w:rsidR="007C7C62">
        <w:t xml:space="preserve"> </w:t>
      </w:r>
      <w:r>
        <w:t xml:space="preserve">2 patients were </w:t>
      </w:r>
      <w:r w:rsidRPr="00560A16">
        <w:t>erysipelas (x</w:t>
      </w:r>
      <w:r w:rsidR="0014526F">
        <w:t xml:space="preserve"> </w:t>
      </w:r>
      <w:r w:rsidRPr="00560A16">
        <w:t xml:space="preserve">3), </w:t>
      </w:r>
      <w:r>
        <w:t>pneumonia (x</w:t>
      </w:r>
      <w:r w:rsidR="0014526F">
        <w:t xml:space="preserve"> </w:t>
      </w:r>
      <w:r>
        <w:t xml:space="preserve">3), </w:t>
      </w:r>
      <w:r w:rsidRPr="00560A16">
        <w:t>bronchitis (</w:t>
      </w:r>
      <w:r>
        <w:t>x</w:t>
      </w:r>
      <w:r w:rsidR="0014526F">
        <w:t xml:space="preserve"> </w:t>
      </w:r>
      <w:r>
        <w:t>2), and cellulitis (x</w:t>
      </w:r>
      <w:r w:rsidR="0014526F">
        <w:t xml:space="preserve"> </w:t>
      </w:r>
      <w:r>
        <w:t xml:space="preserve">2). In the sarilumab 150 mg q2w group, serious infection occurred in </w:t>
      </w:r>
      <w:r w:rsidRPr="00560A16">
        <w:t xml:space="preserve">12 (1.8%) patients </w:t>
      </w:r>
      <w:r>
        <w:t>and</w:t>
      </w:r>
      <w:r w:rsidRPr="00560A16">
        <w:t xml:space="preserve"> no </w:t>
      </w:r>
      <w:r>
        <w:t xml:space="preserve">serious </w:t>
      </w:r>
      <w:r w:rsidRPr="00560A16">
        <w:t xml:space="preserve">infections </w:t>
      </w:r>
      <w:r>
        <w:t xml:space="preserve">were </w:t>
      </w:r>
      <w:r w:rsidRPr="00560A16">
        <w:t xml:space="preserve">reported in </w:t>
      </w:r>
      <w:r w:rsidR="00DD5BCE">
        <w:t>≥</w:t>
      </w:r>
      <w:r w:rsidR="007C7C62">
        <w:t xml:space="preserve"> </w:t>
      </w:r>
      <w:r w:rsidRPr="00560A16">
        <w:t>2 patients.</w:t>
      </w:r>
    </w:p>
    <w:p w:rsidR="00AA6B20" w:rsidRDefault="002928AB" w:rsidP="00BF5020">
      <w:pPr>
        <w:pStyle w:val="ListBullet"/>
      </w:pPr>
      <w:r>
        <w:t>In Pool 1 (sarilumab + DMARD placebo-controlled population), i</w:t>
      </w:r>
      <w:r w:rsidRPr="00560A16">
        <w:t>nfections leading to perm</w:t>
      </w:r>
      <w:r>
        <w:t xml:space="preserve">anent treatment discontinuation </w:t>
      </w:r>
      <w:r w:rsidRPr="00560A16">
        <w:t xml:space="preserve">were reported in the same proportion of patients in both sarilumab treatment groups (3.0%, </w:t>
      </w:r>
      <w:r w:rsidR="007C7C62">
        <w:t xml:space="preserve">n = </w:t>
      </w:r>
      <w:r w:rsidRPr="00560A16">
        <w:t xml:space="preserve">20), and infections reported in </w:t>
      </w:r>
      <w:r w:rsidR="00DD5BCE">
        <w:t>≥</w:t>
      </w:r>
      <w:r w:rsidR="007C7C62">
        <w:t xml:space="preserve"> </w:t>
      </w:r>
      <w:r w:rsidRPr="00560A16">
        <w:t xml:space="preserve">2 patients in </w:t>
      </w:r>
      <w:r>
        <w:t xml:space="preserve">either </w:t>
      </w:r>
      <w:r w:rsidRPr="00560A16">
        <w:t xml:space="preserve">the 200 mg q2w group or the 150 mg q2w group, respectively, were herpes zoster (0.8%, </w:t>
      </w:r>
      <w:r w:rsidR="007C7C62">
        <w:t xml:space="preserve">n = </w:t>
      </w:r>
      <w:r w:rsidRPr="00560A16">
        <w:t>5</w:t>
      </w:r>
      <w:r w:rsidR="003D2290">
        <w:t xml:space="preserve"> versus </w:t>
      </w:r>
      <w:r w:rsidRPr="00560A16">
        <w:t xml:space="preserve">0.5%, </w:t>
      </w:r>
      <w:r w:rsidR="007C7C62">
        <w:t xml:space="preserve">n = </w:t>
      </w:r>
      <w:r w:rsidRPr="00560A16">
        <w:t xml:space="preserve">3), cellulitis (0.3%, </w:t>
      </w:r>
      <w:r w:rsidR="007C7C62">
        <w:t xml:space="preserve">n = </w:t>
      </w:r>
      <w:r w:rsidRPr="00560A16">
        <w:t>2</w:t>
      </w:r>
      <w:r w:rsidR="003D2290">
        <w:t xml:space="preserve"> versus </w:t>
      </w:r>
      <w:r w:rsidRPr="00560A16">
        <w:t xml:space="preserve">0.3%, </w:t>
      </w:r>
      <w:r w:rsidR="007C7C62">
        <w:t xml:space="preserve">n = </w:t>
      </w:r>
      <w:r w:rsidRPr="00560A16">
        <w:t xml:space="preserve">2), pneumonia (0.3%, </w:t>
      </w:r>
      <w:r w:rsidR="007C7C62">
        <w:t xml:space="preserve">n = </w:t>
      </w:r>
      <w:r w:rsidRPr="00560A16">
        <w:t>2</w:t>
      </w:r>
      <w:r w:rsidR="003D2290">
        <w:t xml:space="preserve"> versus </w:t>
      </w:r>
      <w:r w:rsidRPr="00560A16">
        <w:t xml:space="preserve">0.3%, </w:t>
      </w:r>
      <w:r w:rsidR="007C7C62">
        <w:t xml:space="preserve">n = </w:t>
      </w:r>
      <w:r w:rsidRPr="00560A16">
        <w:t xml:space="preserve">2), oral herpes (0.2%, </w:t>
      </w:r>
      <w:r w:rsidR="007C7C62">
        <w:t xml:space="preserve">n = </w:t>
      </w:r>
      <w:r w:rsidRPr="00560A16">
        <w:t>1</w:t>
      </w:r>
      <w:r w:rsidR="003D2290">
        <w:t xml:space="preserve"> versus </w:t>
      </w:r>
      <w:r w:rsidRPr="00560A16">
        <w:t xml:space="preserve">0.3%, </w:t>
      </w:r>
      <w:r w:rsidR="007C7C62">
        <w:t xml:space="preserve">n = </w:t>
      </w:r>
      <w:r w:rsidRPr="00560A16">
        <w:t xml:space="preserve">2), and urinary tract infection (0.2%, </w:t>
      </w:r>
      <w:r w:rsidR="007C7C62">
        <w:t xml:space="preserve">n = </w:t>
      </w:r>
      <w:r w:rsidRPr="00560A16">
        <w:t>1</w:t>
      </w:r>
      <w:r w:rsidR="003D2290">
        <w:t xml:space="preserve"> versus </w:t>
      </w:r>
      <w:r w:rsidRPr="00560A16">
        <w:t xml:space="preserve">0%). There were no deaths due to infection in either </w:t>
      </w:r>
      <w:r>
        <w:t xml:space="preserve">of the two </w:t>
      </w:r>
      <w:r w:rsidRPr="00560A16">
        <w:t>sarilumab group</w:t>
      </w:r>
      <w:r>
        <w:t>s</w:t>
      </w:r>
      <w:r w:rsidRPr="00560A16">
        <w:t>.</w:t>
      </w:r>
    </w:p>
    <w:p w:rsidR="00AA6B20" w:rsidRDefault="002928AB" w:rsidP="00BF5020">
      <w:pPr>
        <w:pStyle w:val="ListBullet"/>
      </w:pPr>
      <w:r>
        <w:t>In Pool 2 (sarilumab + DMARD long-term safety population), infections in the sarilumab 200 mg q2w initial dose group were reported more frequently than in the sarilumab 150 mg q2w initial dose group (46.0%</w:t>
      </w:r>
      <w:r w:rsidR="003D2290">
        <w:t xml:space="preserve"> versus </w:t>
      </w:r>
      <w:r>
        <w:t>32.6%, respectively), but the exposure-adjusted event rates were greater in the 150 mg q2w initial dose group than in the 200 mg q2w initial dose group (77.7/100 PY [597 events]</w:t>
      </w:r>
      <w:r w:rsidR="003D2290">
        <w:t xml:space="preserve"> versus </w:t>
      </w:r>
      <w:r>
        <w:t xml:space="preserve">59.0/100 PY </w:t>
      </w:r>
      <w:r w:rsidR="00CC63CB">
        <w:t>(</w:t>
      </w:r>
      <w:r>
        <w:t>1363 events</w:t>
      </w:r>
      <w:r w:rsidR="00CC63CB">
        <w:t>)</w:t>
      </w:r>
      <w:r>
        <w:t>).</w:t>
      </w:r>
    </w:p>
    <w:p w:rsidR="00AA6B20" w:rsidRDefault="002928AB" w:rsidP="00BF5020">
      <w:pPr>
        <w:pStyle w:val="ListBullet"/>
      </w:pPr>
      <w:r>
        <w:t>In Pool 2 (sarilumab + DMARD long term safety population), in the any sarilumab dose group infections were reported in 49.5% (</w:t>
      </w:r>
      <w:r w:rsidR="007C7C62">
        <w:t xml:space="preserve">n = </w:t>
      </w:r>
      <w:r>
        <w:t xml:space="preserve">1428) of patients, and the exposure-adjusted event rate was 57.3/100 PY (3352 events). Infections reported in </w:t>
      </w:r>
      <w:r w:rsidR="00DD5BCE">
        <w:t>≥</w:t>
      </w:r>
      <w:r w:rsidR="007C7C62">
        <w:t xml:space="preserve"> </w:t>
      </w:r>
      <w:r>
        <w:t xml:space="preserve">5% of patients in the any sarilumab dose group were upper respiratory tract infection (11.3%), urinary tract infection (8.7%), nasopharyngitis (8.2%) and bronchitis (6.8%). The exposure-adjusted event rates for these commonly reported infections in the sarilumab 150 mg q2w and 200 mg q2w initial dose groups, respectively, were: upper respiratory tract infection (12.3/100 PY </w:t>
      </w:r>
      <w:r w:rsidR="00CC63CB">
        <w:t>(</w:t>
      </w:r>
      <w:r>
        <w:t>94 events</w:t>
      </w:r>
      <w:r w:rsidR="00CC63CB">
        <w:t>)</w:t>
      </w:r>
      <w:r w:rsidR="003D2290">
        <w:t xml:space="preserve"> versus </w:t>
      </w:r>
      <w:r>
        <w:t xml:space="preserve">7.9/100 PY </w:t>
      </w:r>
      <w:r w:rsidR="00CC63CB">
        <w:t>(</w:t>
      </w:r>
      <w:r>
        <w:t>183 events</w:t>
      </w:r>
      <w:r w:rsidR="00CC63CB">
        <w:t>)</w:t>
      </w:r>
      <w:r>
        <w:t xml:space="preserve">); urinary tract infection (6.6/100 PY </w:t>
      </w:r>
      <w:r w:rsidR="00CC63CB">
        <w:t>(</w:t>
      </w:r>
      <w:r>
        <w:t>51 events</w:t>
      </w:r>
      <w:r w:rsidR="00CC63CB">
        <w:t>)</w:t>
      </w:r>
      <w:r w:rsidR="003D2290">
        <w:t xml:space="preserve"> versus </w:t>
      </w:r>
      <w:r>
        <w:t xml:space="preserve">7.0/100 PY </w:t>
      </w:r>
      <w:r w:rsidR="00CC63CB">
        <w:t>(</w:t>
      </w:r>
      <w:r>
        <w:t>162 events</w:t>
      </w:r>
      <w:r w:rsidR="00CC63CB">
        <w:t>)</w:t>
      </w:r>
      <w:r>
        <w:t xml:space="preserve">; nasopharyngitis (9.4/100 PY </w:t>
      </w:r>
      <w:r w:rsidR="00CC63CB">
        <w:t>(</w:t>
      </w:r>
      <w:r>
        <w:t>72 events</w:t>
      </w:r>
      <w:r w:rsidR="00CC63CB">
        <w:t xml:space="preserve">) </w:t>
      </w:r>
      <w:r w:rsidR="003D2290">
        <w:t xml:space="preserve">versus </w:t>
      </w:r>
      <w:r>
        <w:t xml:space="preserve">4.9 /100 PY </w:t>
      </w:r>
      <w:r w:rsidR="00CC63CB">
        <w:t>(</w:t>
      </w:r>
      <w:r>
        <w:t>113 events</w:t>
      </w:r>
      <w:r w:rsidR="00CC63CB">
        <w:t xml:space="preserve">)); </w:t>
      </w:r>
      <w:r>
        <w:t xml:space="preserve">and bronchitis (5.5/100 PY </w:t>
      </w:r>
      <w:r w:rsidR="00CC63CB">
        <w:t>(</w:t>
      </w:r>
      <w:r>
        <w:t>42 events</w:t>
      </w:r>
      <w:r w:rsidR="00CC63CB">
        <w:t xml:space="preserve">) </w:t>
      </w:r>
      <w:r w:rsidR="003D2290">
        <w:t xml:space="preserve">versus </w:t>
      </w:r>
      <w:r>
        <w:t xml:space="preserve">4.3/100 PY </w:t>
      </w:r>
      <w:r w:rsidR="00CC63CB">
        <w:t>(</w:t>
      </w:r>
      <w:r>
        <w:t>100 events</w:t>
      </w:r>
      <w:r w:rsidR="00CC63CB">
        <w:t xml:space="preserve">)). </w:t>
      </w:r>
      <w:r>
        <w:t>Of note, the exposure-adjusted event rates for the commonly reported infections in the sarilumab 200 mg q2w initial dose group were either lower than or similar to those in the sarilumab 150 mg q2w initial dose group.</w:t>
      </w:r>
    </w:p>
    <w:p w:rsidR="00AA6B20" w:rsidRDefault="002928AB" w:rsidP="00BF5020">
      <w:pPr>
        <w:pStyle w:val="ListBullet"/>
      </w:pPr>
      <w:r>
        <w:t xml:space="preserve">In </w:t>
      </w:r>
      <w:r w:rsidR="004E48E2">
        <w:t>P</w:t>
      </w:r>
      <w:r>
        <w:t>ool 2 (sarilumab + DMARD long-term safety population), in the any sarilumab dose group serious infections were reported in 6.4% (</w:t>
      </w:r>
      <w:r w:rsidR="007C7C62">
        <w:t xml:space="preserve">n = </w:t>
      </w:r>
      <w:r>
        <w:t>184) of patients, and the exposure-adjusted event rate was 3.8/100 PY (222 events). Serious infections were reported more frequently in patients in the sarilumab 200 mg q2w initial dose group than in the sarilumab 150 mg q2w initial dose group (5.7%</w:t>
      </w:r>
      <w:r w:rsidR="003D2290">
        <w:t xml:space="preserve"> versus </w:t>
      </w:r>
      <w:r>
        <w:t xml:space="preserve">1.4%, respectively), and the exposure-adjusted event rate was higher in the sarilumab 200 mg q2w dose group than in the sarilumab 150 mg q2w initial dose group (4.0/100 PY </w:t>
      </w:r>
      <w:r w:rsidR="00CC63CB">
        <w:t>(</w:t>
      </w:r>
      <w:r>
        <w:t>93 events</w:t>
      </w:r>
      <w:r w:rsidR="00CC63CB">
        <w:t>)</w:t>
      </w:r>
      <w:r w:rsidR="003D2290">
        <w:t xml:space="preserve"> versus </w:t>
      </w:r>
      <w:r>
        <w:t xml:space="preserve">2.7/100 PY </w:t>
      </w:r>
      <w:r w:rsidR="00CC63CB">
        <w:t>(</w:t>
      </w:r>
      <w:r>
        <w:t>21 events</w:t>
      </w:r>
      <w:r w:rsidR="00CC63CB">
        <w:t>)</w:t>
      </w:r>
      <w:r>
        <w:t xml:space="preserve">, respectively). The most commonly reported serious </w:t>
      </w:r>
      <w:r>
        <w:lastRenderedPageBreak/>
        <w:t xml:space="preserve">infection in the any sarilumab dose group was pneumonia (1.2%, </w:t>
      </w:r>
      <w:r w:rsidR="007C7C62">
        <w:t xml:space="preserve">n = </w:t>
      </w:r>
      <w:r>
        <w:t xml:space="preserve">5), and all other serious infections were reported in </w:t>
      </w:r>
      <w:r w:rsidR="007F1BEB">
        <w:t>&lt; </w:t>
      </w:r>
      <w:r>
        <w:t>1.0% of patients.</w:t>
      </w:r>
    </w:p>
    <w:p w:rsidR="00AA6B20" w:rsidRDefault="002928AB" w:rsidP="00BF5020">
      <w:pPr>
        <w:pStyle w:val="ListBullet"/>
      </w:pPr>
      <w:r>
        <w:t xml:space="preserve">In </w:t>
      </w:r>
      <w:r w:rsidR="004E48E2">
        <w:t>P</w:t>
      </w:r>
      <w:r>
        <w:t>ool 2 (sarilumab + DMARD long-term safety population), infections leading to permanent treatment discontinuation occurred in 6.2% (</w:t>
      </w:r>
      <w:r w:rsidR="007C7C62">
        <w:t xml:space="preserve">n = </w:t>
      </w:r>
      <w:r>
        <w:t>179) of patients in the any sarilumab dose group, and the exposure-adjusted event rate was 3.1/100 PY. Infections leading to permanent treatment discontinuation were reported more frequently in patients in the sarilumab 200 mg q2w initial dose group than in the sarilumab 150 mg q2w initial dose group (5.4%</w:t>
      </w:r>
      <w:r w:rsidR="003D2290">
        <w:t xml:space="preserve"> versus </w:t>
      </w:r>
      <w:r>
        <w:t>2.3%, respectively), but the exposure-adjusted event rate was similar in the two treatment groups (3.1</w:t>
      </w:r>
      <w:r w:rsidR="003D2290">
        <w:t xml:space="preserve"> versus </w:t>
      </w:r>
      <w:r>
        <w:t xml:space="preserve">3.5 per 100/PY, respectively). In the any sarilumab dose group, infections leading to permanent treatment discontinuation and reported in </w:t>
      </w:r>
      <w:r w:rsidR="00DD5BCE">
        <w:t>≥</w:t>
      </w:r>
      <w:r w:rsidR="007C7C62">
        <w:t xml:space="preserve"> </w:t>
      </w:r>
      <w:r>
        <w:t>0.5% of patients were herpes zoster (1.1%), pneumonia (0.7%) and cellulitis (0.5%). There were 6 (0.2%) patients with infection leading to death in the any sarilumab dose group (2 x pneumonia, 1 x each pneumonia viral, psoas abscess, sepsis</w:t>
      </w:r>
      <w:r w:rsidR="004E48E2">
        <w:t xml:space="preserve"> and</w:t>
      </w:r>
      <w:r>
        <w:t xml:space="preserve"> septic shock).</w:t>
      </w:r>
    </w:p>
    <w:p w:rsidR="00AA6B20" w:rsidRDefault="002928AB" w:rsidP="00BF5020">
      <w:pPr>
        <w:pStyle w:val="ListBullet"/>
      </w:pPr>
      <w:r w:rsidRPr="00560A16">
        <w:t>Overall, it is considered that there were no clinically meaningful differences in the patterns of infec</w:t>
      </w:r>
      <w:r>
        <w:t>tion in the sarilumab 200 mg q2w</w:t>
      </w:r>
      <w:r w:rsidRPr="00560A16">
        <w:t xml:space="preserve"> + DMARD and saril</w:t>
      </w:r>
      <w:r>
        <w:t>umab 150 mg q2w + DMARD groups.</w:t>
      </w:r>
    </w:p>
    <w:p w:rsidR="00AA6B20" w:rsidRDefault="002928AB" w:rsidP="00BF5020">
      <w:pPr>
        <w:pStyle w:val="Heading5"/>
      </w:pPr>
      <w:r w:rsidRPr="00C15B90">
        <w:t>Neutro</w:t>
      </w:r>
      <w:r w:rsidR="001E2D44">
        <w:t>paenia</w:t>
      </w:r>
    </w:p>
    <w:p w:rsidR="00AA6B20" w:rsidRDefault="002928AB" w:rsidP="00BF5020">
      <w:pPr>
        <w:pStyle w:val="ListBullet"/>
      </w:pPr>
      <w:r w:rsidRPr="00560A16">
        <w:t>The sponsor proposes that the treatment with sarilumab 200 mg q2w be interrupted wh</w:t>
      </w:r>
      <w:r>
        <w:t xml:space="preserve">en the ANC is 0.5 to 1.0 Giga/L, </w:t>
      </w:r>
      <w:r w:rsidRPr="00560A16">
        <w:t xml:space="preserve">and treatment with sarilumab 150 mg q2w be resumed as clinically appropriate. </w:t>
      </w:r>
      <w:r>
        <w:t>T</w:t>
      </w:r>
      <w:r w:rsidRPr="00560A16">
        <w:t xml:space="preserve">he sponsor proposes that treatment with sarilumab be discontinued when the ANC is </w:t>
      </w:r>
      <w:r w:rsidR="007F1BEB">
        <w:t>&lt; </w:t>
      </w:r>
      <w:r w:rsidRPr="00560A16">
        <w:t>0.5 Giga/L.</w:t>
      </w:r>
    </w:p>
    <w:p w:rsidR="00AA6B20" w:rsidRDefault="002928AB" w:rsidP="00BF5020">
      <w:pPr>
        <w:pStyle w:val="ListBullet"/>
        <w:rPr>
          <w:lang w:val="en-US"/>
        </w:rPr>
      </w:pPr>
      <w:r w:rsidRPr="00560A16">
        <w:t>In the pivo</w:t>
      </w:r>
      <w:r>
        <w:t xml:space="preserve">tal monotherapy </w:t>
      </w:r>
      <w:r w:rsidR="00894642">
        <w:t>Study EFC</w:t>
      </w:r>
      <w:r>
        <w:t>14092</w:t>
      </w:r>
      <w:r w:rsidR="001F3EAD">
        <w:t xml:space="preserve"> MONARCH</w:t>
      </w:r>
      <w:r>
        <w:t>, neutro</w:t>
      </w:r>
      <w:r w:rsidR="001E2D44">
        <w:t>paenia</w:t>
      </w:r>
      <w:r>
        <w:t xml:space="preserve"> TEAEs </w:t>
      </w:r>
      <w:r w:rsidRPr="00560A16">
        <w:t>occurred notably more frequently in the sarilumab 200 mg q2w group than in the adalimumab 40 mg q2w group (13.6%,</w:t>
      </w:r>
      <w:r>
        <w:t xml:space="preserve"> </w:t>
      </w:r>
      <w:r w:rsidR="007C7C62">
        <w:t xml:space="preserve">n = </w:t>
      </w:r>
      <w:r>
        <w:t>25</w:t>
      </w:r>
      <w:r w:rsidR="003D2290">
        <w:t xml:space="preserve"> versus </w:t>
      </w:r>
      <w:r>
        <w:t xml:space="preserve">0.5%, </w:t>
      </w:r>
      <w:r w:rsidR="007C7C62">
        <w:t xml:space="preserve">n = </w:t>
      </w:r>
      <w:r>
        <w:t>1), while neutro</w:t>
      </w:r>
      <w:r w:rsidR="001E2D44">
        <w:t>paenia</w:t>
      </w:r>
      <w:r>
        <w:t xml:space="preserve"> SAEs </w:t>
      </w:r>
      <w:r w:rsidRPr="00560A16">
        <w:t xml:space="preserve">were reported in only 1 patient (sarilumab group). Permanent treatment </w:t>
      </w:r>
      <w:r w:rsidRPr="00560A16">
        <w:rPr>
          <w:lang w:val="en-US"/>
        </w:rPr>
        <w:t>discontinu</w:t>
      </w:r>
      <w:r>
        <w:rPr>
          <w:lang w:val="en-US"/>
        </w:rPr>
        <w:t xml:space="preserve">ation </w:t>
      </w:r>
      <w:r w:rsidRPr="00560A16">
        <w:rPr>
          <w:lang w:val="en-US"/>
        </w:rPr>
        <w:t>due to neutro</w:t>
      </w:r>
      <w:r w:rsidR="001E2D44">
        <w:rPr>
          <w:lang w:val="en-US"/>
        </w:rPr>
        <w:t>paenia</w:t>
      </w:r>
      <w:r w:rsidRPr="00560A16">
        <w:rPr>
          <w:lang w:val="en-US"/>
        </w:rPr>
        <w:t xml:space="preserve"> </w:t>
      </w:r>
      <w:r>
        <w:rPr>
          <w:lang w:val="en-US"/>
        </w:rPr>
        <w:t>TEAEs was</w:t>
      </w:r>
      <w:r w:rsidRPr="00560A16">
        <w:rPr>
          <w:lang w:val="en-US"/>
        </w:rPr>
        <w:t xml:space="preserve"> reported in 5 (2.7%) patients in the sarilumab group and </w:t>
      </w:r>
      <w:r>
        <w:rPr>
          <w:lang w:val="en-US"/>
        </w:rPr>
        <w:t xml:space="preserve">in </w:t>
      </w:r>
      <w:r w:rsidRPr="00560A16">
        <w:rPr>
          <w:lang w:val="en-US"/>
        </w:rPr>
        <w:t>1 (0.5%) patient in the adalimumab group. No deaths occurred due to neutro</w:t>
      </w:r>
      <w:r w:rsidR="001E2D44">
        <w:rPr>
          <w:lang w:val="en-US"/>
        </w:rPr>
        <w:t>paenia</w:t>
      </w:r>
      <w:r w:rsidRPr="00560A16">
        <w:rPr>
          <w:lang w:val="en-US"/>
        </w:rPr>
        <w:t xml:space="preserve"> in either of the two treatment groups.</w:t>
      </w:r>
    </w:p>
    <w:p w:rsidR="00AA6B20" w:rsidRDefault="002928AB" w:rsidP="00BF5020">
      <w:pPr>
        <w:pStyle w:val="ListBullet"/>
        <w:rPr>
          <w:lang w:val="en-US"/>
        </w:rPr>
      </w:pPr>
      <w:r>
        <w:rPr>
          <w:lang w:val="en-US"/>
        </w:rPr>
        <w:t xml:space="preserve">In the pivotal </w:t>
      </w:r>
      <w:r w:rsidRPr="00560A16">
        <w:rPr>
          <w:lang w:val="en-US"/>
        </w:rPr>
        <w:t xml:space="preserve">monotherapy </w:t>
      </w:r>
      <w:r w:rsidR="00894642">
        <w:rPr>
          <w:lang w:val="en-US"/>
        </w:rPr>
        <w:t>Study EFC</w:t>
      </w:r>
      <w:r w:rsidRPr="00560A16">
        <w:rPr>
          <w:lang w:val="en-US"/>
        </w:rPr>
        <w:t>14092</w:t>
      </w:r>
      <w:r w:rsidR="001F3EAD">
        <w:rPr>
          <w:lang w:val="en-US"/>
        </w:rPr>
        <w:t xml:space="preserve"> </w:t>
      </w:r>
      <w:r w:rsidR="001F3EAD">
        <w:t>MONARCH</w:t>
      </w:r>
      <w:r w:rsidRPr="00560A16">
        <w:rPr>
          <w:lang w:val="en-US"/>
        </w:rPr>
        <w:t xml:space="preserve">, the majority of laboratory assessed ANCs in both treatment groups were Grade 1 or 2 in severity and </w:t>
      </w:r>
      <w:r>
        <w:rPr>
          <w:lang w:val="en-US"/>
        </w:rPr>
        <w:t xml:space="preserve">occurred </w:t>
      </w:r>
      <w:r w:rsidRPr="00560A16">
        <w:rPr>
          <w:lang w:val="en-US"/>
        </w:rPr>
        <w:t>numerically more frequent</w:t>
      </w:r>
      <w:r>
        <w:rPr>
          <w:lang w:val="en-US"/>
        </w:rPr>
        <w:t>ly</w:t>
      </w:r>
      <w:r w:rsidRPr="00560A16">
        <w:rPr>
          <w:lang w:val="en-US"/>
        </w:rPr>
        <w:t xml:space="preserve"> in the sarilumab group than in the adalimumab group. Grade 3 neutro</w:t>
      </w:r>
      <w:r w:rsidR="001E2D44">
        <w:rPr>
          <w:lang w:val="en-US"/>
        </w:rPr>
        <w:t>paenia</w:t>
      </w:r>
      <w:r w:rsidRPr="00560A16">
        <w:rPr>
          <w:lang w:val="en-US"/>
        </w:rPr>
        <w:t xml:space="preserve"> was reported more frequently in the sarilumab group than in the adalimumab group (8.7%, </w:t>
      </w:r>
      <w:r w:rsidR="007C7C62">
        <w:rPr>
          <w:lang w:val="en-US"/>
        </w:rPr>
        <w:t xml:space="preserve">n = </w:t>
      </w:r>
      <w:r w:rsidRPr="00560A16">
        <w:rPr>
          <w:lang w:val="en-US"/>
        </w:rPr>
        <w:t>16</w:t>
      </w:r>
      <w:r w:rsidR="003D2290">
        <w:rPr>
          <w:lang w:val="en-US"/>
        </w:rPr>
        <w:t xml:space="preserve"> versus </w:t>
      </w:r>
      <w:r w:rsidRPr="00560A16">
        <w:rPr>
          <w:lang w:val="en-US"/>
        </w:rPr>
        <w:t xml:space="preserve">1.1%, </w:t>
      </w:r>
      <w:r w:rsidR="007C7C62">
        <w:rPr>
          <w:lang w:val="en-US"/>
        </w:rPr>
        <w:t xml:space="preserve">n = </w:t>
      </w:r>
      <w:r w:rsidRPr="00560A16">
        <w:rPr>
          <w:lang w:val="en-US"/>
        </w:rPr>
        <w:t>2), as was Grade 4 neutro</w:t>
      </w:r>
      <w:r w:rsidR="001E2D44">
        <w:rPr>
          <w:lang w:val="en-US"/>
        </w:rPr>
        <w:t>paenia</w:t>
      </w:r>
      <w:r w:rsidRPr="00560A16">
        <w:rPr>
          <w:lang w:val="en-US"/>
        </w:rPr>
        <w:t xml:space="preserve"> (1.6%, </w:t>
      </w:r>
      <w:r w:rsidR="007C7C62">
        <w:rPr>
          <w:lang w:val="en-US"/>
        </w:rPr>
        <w:t xml:space="preserve">n = </w:t>
      </w:r>
      <w:r w:rsidRPr="00560A16">
        <w:rPr>
          <w:lang w:val="en-US"/>
        </w:rPr>
        <w:t>3</w:t>
      </w:r>
      <w:r w:rsidR="003D2290">
        <w:rPr>
          <w:lang w:val="en-US"/>
        </w:rPr>
        <w:t xml:space="preserve"> versus </w:t>
      </w:r>
      <w:r w:rsidRPr="00560A16">
        <w:rPr>
          <w:lang w:val="en-US"/>
        </w:rPr>
        <w:t xml:space="preserve">0%, </w:t>
      </w:r>
      <w:r w:rsidR="007C7C62">
        <w:rPr>
          <w:lang w:val="en-US"/>
        </w:rPr>
        <w:t xml:space="preserve">n = </w:t>
      </w:r>
      <w:r w:rsidRPr="00560A16">
        <w:rPr>
          <w:lang w:val="en-US"/>
        </w:rPr>
        <w:t xml:space="preserve">0). Based on the proposed ANC criteria for reducing the dose of sarilumab from 200 mg q2w to 150 mg q2w (Grade </w:t>
      </w:r>
      <w:r w:rsidR="00DD5BCE">
        <w:t>≥</w:t>
      </w:r>
      <w:r w:rsidR="007C7C62">
        <w:t xml:space="preserve"> </w:t>
      </w:r>
      <w:r w:rsidRPr="00560A16">
        <w:rPr>
          <w:lang w:val="en-US"/>
        </w:rPr>
        <w:t>3 neutro</w:t>
      </w:r>
      <w:r w:rsidR="001E2D44">
        <w:rPr>
          <w:lang w:val="en-US"/>
        </w:rPr>
        <w:t>paenia</w:t>
      </w:r>
      <w:r w:rsidRPr="00560A16">
        <w:rPr>
          <w:lang w:val="en-US"/>
        </w:rPr>
        <w:t xml:space="preserve">), 19 (10.3%) patients in the sarilumab 200 mg q2w </w:t>
      </w:r>
      <w:r>
        <w:rPr>
          <w:lang w:val="en-US"/>
        </w:rPr>
        <w:t xml:space="preserve">group </w:t>
      </w:r>
      <w:r w:rsidRPr="00560A16">
        <w:rPr>
          <w:lang w:val="en-US"/>
        </w:rPr>
        <w:t xml:space="preserve">would have </w:t>
      </w:r>
      <w:r>
        <w:rPr>
          <w:lang w:val="en-US"/>
        </w:rPr>
        <w:t xml:space="preserve">qualified for </w:t>
      </w:r>
      <w:r w:rsidRPr="00560A16">
        <w:rPr>
          <w:lang w:val="en-US"/>
        </w:rPr>
        <w:t>dose reduction. Despite the higher incidence of neutro</w:t>
      </w:r>
      <w:r w:rsidR="001E2D44">
        <w:rPr>
          <w:lang w:val="en-US"/>
        </w:rPr>
        <w:t>paenia</w:t>
      </w:r>
      <w:r w:rsidRPr="00560A16">
        <w:rPr>
          <w:lang w:val="en-US"/>
        </w:rPr>
        <w:t xml:space="preserve"> in the sarilumab group com</w:t>
      </w:r>
      <w:r>
        <w:rPr>
          <w:lang w:val="en-US"/>
        </w:rPr>
        <w:t xml:space="preserve">pared with the adalimumab group </w:t>
      </w:r>
      <w:r w:rsidRPr="00560A16">
        <w:rPr>
          <w:lang w:val="en-US"/>
        </w:rPr>
        <w:t>there were no clinically meaningful differences between the two gro</w:t>
      </w:r>
      <w:r>
        <w:rPr>
          <w:lang w:val="en-US"/>
        </w:rPr>
        <w:t xml:space="preserve">ups in the rates of infection, </w:t>
      </w:r>
      <w:r w:rsidRPr="00560A16">
        <w:rPr>
          <w:lang w:val="en-US"/>
        </w:rPr>
        <w:t>including serious infections, opportunistic infections and TB.</w:t>
      </w:r>
    </w:p>
    <w:p w:rsidR="00AA6B20" w:rsidRDefault="002928AB" w:rsidP="00BF5020">
      <w:pPr>
        <w:pStyle w:val="ListBullet"/>
      </w:pPr>
      <w:r>
        <w:t xml:space="preserve">In Pool 1 (sarilumab + DMARD placebo-controlled population), </w:t>
      </w:r>
      <w:r w:rsidRPr="00560A16">
        <w:t>neutro</w:t>
      </w:r>
      <w:r w:rsidR="001E2D44">
        <w:t>paenia</w:t>
      </w:r>
      <w:r w:rsidRPr="00560A16">
        <w:t xml:space="preserve"> </w:t>
      </w:r>
      <w:r>
        <w:t xml:space="preserve">TEAEs were </w:t>
      </w:r>
      <w:r w:rsidRPr="00560A16">
        <w:t>reported m</w:t>
      </w:r>
      <w:r>
        <w:t>ore frequently in the 200 mg q2w</w:t>
      </w:r>
      <w:r w:rsidRPr="00560A16">
        <w:t xml:space="preserve"> group than in the 150 mg q2w group (14.2%, </w:t>
      </w:r>
      <w:r w:rsidR="007C7C62">
        <w:t xml:space="preserve">n = </w:t>
      </w:r>
      <w:r w:rsidRPr="00560A16">
        <w:t>94</w:t>
      </w:r>
      <w:r w:rsidR="003D2290">
        <w:t xml:space="preserve"> versus </w:t>
      </w:r>
      <w:r w:rsidRPr="00560A16">
        <w:t>9</w:t>
      </w:r>
      <w:r>
        <w:t xml:space="preserve">.8%, </w:t>
      </w:r>
      <w:r w:rsidR="007C7C62">
        <w:t xml:space="preserve">n = </w:t>
      </w:r>
      <w:r>
        <w:t>65, respectively), while neutro</w:t>
      </w:r>
      <w:r w:rsidR="001E2D44">
        <w:t>paenia</w:t>
      </w:r>
      <w:r>
        <w:t xml:space="preserve"> SAEs </w:t>
      </w:r>
      <w:r w:rsidRPr="00560A16">
        <w:t xml:space="preserve">were reported in a similar proportion of patients in the two treatment groups (0.8%, </w:t>
      </w:r>
      <w:r w:rsidR="007C7C62">
        <w:t xml:space="preserve">n = </w:t>
      </w:r>
      <w:r w:rsidRPr="00560A16">
        <w:t>5</w:t>
      </w:r>
      <w:r w:rsidR="003D2290">
        <w:t xml:space="preserve"> versus </w:t>
      </w:r>
      <w:r w:rsidRPr="00560A16">
        <w:t xml:space="preserve">0.6%, </w:t>
      </w:r>
      <w:r w:rsidR="007C7C62">
        <w:t xml:space="preserve">n = </w:t>
      </w:r>
      <w:r w:rsidRPr="00560A16">
        <w:t>4, respectively). Neutro</w:t>
      </w:r>
      <w:r w:rsidR="001E2D44">
        <w:t>paenia</w:t>
      </w:r>
      <w:r w:rsidRPr="00560A16">
        <w:t xml:space="preserve"> </w:t>
      </w:r>
      <w:r>
        <w:t xml:space="preserve">TEAEs </w:t>
      </w:r>
      <w:r w:rsidRPr="00560A16">
        <w:t xml:space="preserve">leading to permanent treatment discontinuation </w:t>
      </w:r>
      <w:r>
        <w:t xml:space="preserve">were </w:t>
      </w:r>
      <w:r w:rsidRPr="00560A16">
        <w:t xml:space="preserve">reported in the same proportion of patients in the sarilumab 200 mg q2w and </w:t>
      </w:r>
      <w:r>
        <w:t xml:space="preserve">sarilumab </w:t>
      </w:r>
      <w:r w:rsidRPr="00560A16">
        <w:t xml:space="preserve">150 mg q2w groups (2.0%, </w:t>
      </w:r>
      <w:r w:rsidR="007C7C62">
        <w:t xml:space="preserve">n = </w:t>
      </w:r>
      <w:r w:rsidRPr="00560A16">
        <w:t>13</w:t>
      </w:r>
      <w:r w:rsidR="003D2290">
        <w:t xml:space="preserve"> versus </w:t>
      </w:r>
      <w:r w:rsidRPr="00560A16">
        <w:t xml:space="preserve">2.3%, </w:t>
      </w:r>
      <w:r w:rsidR="007C7C62">
        <w:t xml:space="preserve">n = </w:t>
      </w:r>
      <w:r w:rsidRPr="00560A16">
        <w:t>15, respectively). There were no deaths due to neutro</w:t>
      </w:r>
      <w:r w:rsidR="001E2D44">
        <w:t>paenia</w:t>
      </w:r>
      <w:r w:rsidRPr="00560A16">
        <w:t xml:space="preserve"> </w:t>
      </w:r>
      <w:r>
        <w:t xml:space="preserve">TEAEs </w:t>
      </w:r>
      <w:r w:rsidRPr="00560A16">
        <w:t xml:space="preserve">in either of the two sarilumab treatment groups. </w:t>
      </w:r>
      <w:r>
        <w:t>The exposure-adjusted event rate for the total number of neutro</w:t>
      </w:r>
      <w:r w:rsidR="001E2D44">
        <w:t>paenia</w:t>
      </w:r>
      <w:r>
        <w:t xml:space="preserve"> TEAEs was 31.0/100 PY in the sarilumab 200 mg q2w + DMARD group </w:t>
      </w:r>
      <w:r>
        <w:lastRenderedPageBreak/>
        <w:t>and 22.9/100 PY in the sarilumab 150 mg q2w + DMARD group, and the exposure-adjusted event rate for neutro</w:t>
      </w:r>
      <w:r w:rsidR="001E2D44">
        <w:t>paenia</w:t>
      </w:r>
      <w:r>
        <w:t xml:space="preserve"> SAEs was 5.2/100 </w:t>
      </w:r>
      <w:r w:rsidR="00A6301B">
        <w:t>PY</w:t>
      </w:r>
      <w:r>
        <w:t xml:space="preserve"> and 3.6/100 </w:t>
      </w:r>
      <w:r w:rsidR="00A6301B">
        <w:t>PY</w:t>
      </w:r>
      <w:r>
        <w:t>, respectively.</w:t>
      </w:r>
    </w:p>
    <w:p w:rsidR="00AA6B20" w:rsidRDefault="002928AB" w:rsidP="00BF5020">
      <w:pPr>
        <w:pStyle w:val="ListBullet"/>
        <w:rPr>
          <w:lang w:val="en-US"/>
        </w:rPr>
      </w:pPr>
      <w:r>
        <w:t>In Pool 1 (sarilumab + DMARD placebo-controlled population)</w:t>
      </w:r>
      <w:r w:rsidRPr="00560A16">
        <w:rPr>
          <w:lang w:val="en-US"/>
        </w:rPr>
        <w:t xml:space="preserve">, the majority of laboratory assessed ANCs in both sarilumab treatment groups were Grade 1 or 2 in severity and </w:t>
      </w:r>
      <w:r>
        <w:rPr>
          <w:lang w:val="en-US"/>
        </w:rPr>
        <w:t xml:space="preserve">occurred </w:t>
      </w:r>
      <w:r w:rsidRPr="00560A16">
        <w:rPr>
          <w:lang w:val="en-US"/>
        </w:rPr>
        <w:t>numerically more frequent</w:t>
      </w:r>
      <w:r>
        <w:rPr>
          <w:lang w:val="en-US"/>
        </w:rPr>
        <w:t>ly</w:t>
      </w:r>
      <w:r w:rsidRPr="00560A16">
        <w:rPr>
          <w:lang w:val="en-US"/>
        </w:rPr>
        <w:t xml:space="preserve"> in the 200 mg q2w grou</w:t>
      </w:r>
      <w:r>
        <w:rPr>
          <w:lang w:val="en-US"/>
        </w:rPr>
        <w:t xml:space="preserve">p than in the 150 mg q2w group. </w:t>
      </w:r>
      <w:r w:rsidRPr="00560A16">
        <w:rPr>
          <w:lang w:val="en-US"/>
        </w:rPr>
        <w:t>Grade 3 neutro</w:t>
      </w:r>
      <w:r w:rsidR="001E2D44">
        <w:rPr>
          <w:lang w:val="en-US"/>
        </w:rPr>
        <w:t>paenia</w:t>
      </w:r>
      <w:r w:rsidRPr="00560A16">
        <w:rPr>
          <w:lang w:val="en-US"/>
        </w:rPr>
        <w:t xml:space="preserve"> was reported more frequently in the </w:t>
      </w:r>
      <w:r>
        <w:rPr>
          <w:lang w:val="en-US"/>
        </w:rPr>
        <w:t xml:space="preserve">sarilumab </w:t>
      </w:r>
      <w:r w:rsidRPr="00560A16">
        <w:rPr>
          <w:lang w:val="en-US"/>
        </w:rPr>
        <w:t xml:space="preserve">200 mg q2w group than in the </w:t>
      </w:r>
      <w:r>
        <w:rPr>
          <w:lang w:val="en-US"/>
        </w:rPr>
        <w:t xml:space="preserve">sarilumab </w:t>
      </w:r>
      <w:r w:rsidRPr="00560A16">
        <w:rPr>
          <w:lang w:val="en-US"/>
        </w:rPr>
        <w:t xml:space="preserve">150 mg q2w group (8.4%, </w:t>
      </w:r>
      <w:r w:rsidR="007C7C62">
        <w:rPr>
          <w:lang w:val="en-US"/>
        </w:rPr>
        <w:t xml:space="preserve">n = </w:t>
      </w:r>
      <w:r w:rsidRPr="00560A16">
        <w:rPr>
          <w:lang w:val="en-US"/>
        </w:rPr>
        <w:t>55</w:t>
      </w:r>
      <w:r w:rsidR="003D2290">
        <w:rPr>
          <w:lang w:val="en-US"/>
        </w:rPr>
        <w:t xml:space="preserve"> versus </w:t>
      </w:r>
      <w:r w:rsidRPr="00560A16">
        <w:rPr>
          <w:lang w:val="en-US"/>
        </w:rPr>
        <w:t xml:space="preserve">4.8%, </w:t>
      </w:r>
      <w:r w:rsidR="007C7C62">
        <w:rPr>
          <w:lang w:val="en-US"/>
        </w:rPr>
        <w:t xml:space="preserve">n = </w:t>
      </w:r>
      <w:r w:rsidRPr="00560A16">
        <w:rPr>
          <w:lang w:val="en-US"/>
        </w:rPr>
        <w:t>32, respectively), while Grade 4 neutro</w:t>
      </w:r>
      <w:r w:rsidR="001E2D44">
        <w:rPr>
          <w:lang w:val="en-US"/>
        </w:rPr>
        <w:t>paenia</w:t>
      </w:r>
      <w:r w:rsidRPr="00560A16">
        <w:rPr>
          <w:lang w:val="en-US"/>
        </w:rPr>
        <w:t xml:space="preserve"> was reported in a simila</w:t>
      </w:r>
      <w:r>
        <w:rPr>
          <w:lang w:val="en-US"/>
        </w:rPr>
        <w:t xml:space="preserve">r proportion of patients </w:t>
      </w:r>
      <w:r w:rsidRPr="00560A16">
        <w:rPr>
          <w:lang w:val="en-US"/>
        </w:rPr>
        <w:t xml:space="preserve">in both treatment groups (0.9%, </w:t>
      </w:r>
      <w:r w:rsidR="007C7C62">
        <w:rPr>
          <w:lang w:val="en-US"/>
        </w:rPr>
        <w:t xml:space="preserve">n = </w:t>
      </w:r>
      <w:r w:rsidRPr="00560A16">
        <w:rPr>
          <w:lang w:val="en-US"/>
        </w:rPr>
        <w:t>6</w:t>
      </w:r>
      <w:r w:rsidR="003D2290">
        <w:rPr>
          <w:lang w:val="en-US"/>
        </w:rPr>
        <w:t xml:space="preserve"> versus </w:t>
      </w:r>
      <w:r w:rsidRPr="00560A16">
        <w:rPr>
          <w:lang w:val="en-US"/>
        </w:rPr>
        <w:t xml:space="preserve">1.2%, </w:t>
      </w:r>
      <w:r w:rsidR="007C7C62">
        <w:rPr>
          <w:lang w:val="en-US"/>
        </w:rPr>
        <w:t>n</w:t>
      </w:r>
      <w:r w:rsidR="00B375FD">
        <w:rPr>
          <w:lang w:val="en-US"/>
        </w:rPr>
        <w:t> </w:t>
      </w:r>
      <w:r w:rsidR="007C7C62">
        <w:rPr>
          <w:lang w:val="en-US"/>
        </w:rPr>
        <w:t>=</w:t>
      </w:r>
      <w:r w:rsidR="00B375FD">
        <w:rPr>
          <w:lang w:val="en-US"/>
        </w:rPr>
        <w:t> </w:t>
      </w:r>
      <w:r w:rsidRPr="00560A16">
        <w:rPr>
          <w:lang w:val="en-US"/>
        </w:rPr>
        <w:t>8, respectively). Despite the trend towards a higher incidence of neutro</w:t>
      </w:r>
      <w:r w:rsidR="001E2D44">
        <w:rPr>
          <w:lang w:val="en-US"/>
        </w:rPr>
        <w:t>paenia</w:t>
      </w:r>
      <w:r w:rsidRPr="00560A16">
        <w:rPr>
          <w:lang w:val="en-US"/>
        </w:rPr>
        <w:t xml:space="preserve"> in the sarilumab 200 mg q2w group compared with the sarilumab 150 mg q2w group, the incidence of infections (including serious infections and</w:t>
      </w:r>
      <w:r>
        <w:rPr>
          <w:lang w:val="en-US"/>
        </w:rPr>
        <w:t xml:space="preserve"> opportunistic </w:t>
      </w:r>
      <w:r w:rsidRPr="00560A16">
        <w:rPr>
          <w:lang w:val="en-US"/>
        </w:rPr>
        <w:t>infections) was similar in the two treatment groups.</w:t>
      </w:r>
    </w:p>
    <w:p w:rsidR="00AA6B20" w:rsidRDefault="002928AB" w:rsidP="00BF5020">
      <w:pPr>
        <w:pStyle w:val="ListBullet"/>
      </w:pPr>
      <w:r>
        <w:t>In Pool 2 (sarilumab + DMARD long-term safety population), neutro</w:t>
      </w:r>
      <w:r w:rsidR="001E2D44">
        <w:t>paenia</w:t>
      </w:r>
      <w:r>
        <w:t xml:space="preserve"> TEAEs in the any sarilumab dose group were reported in 17.6% (</w:t>
      </w:r>
      <w:r w:rsidR="007C7C62">
        <w:t xml:space="preserve">n = </w:t>
      </w:r>
      <w:r>
        <w:t>507) of patients, and the exposure-adjusted event rate was 17.0/100 PY (992 events). Neutro</w:t>
      </w:r>
      <w:r w:rsidR="001E2D44">
        <w:t>paenia</w:t>
      </w:r>
      <w:r>
        <w:t xml:space="preserve"> SAEs were reported in 0.7% (</w:t>
      </w:r>
      <w:r w:rsidR="007C7C62">
        <w:t xml:space="preserve">n = </w:t>
      </w:r>
      <w:r>
        <w:t>20) of patients in the any sarilumab dose group, and the exposure-adjusted event rate was 0.4/100 PY (21 events). SAEs of neutro</w:t>
      </w:r>
      <w:r w:rsidR="001E2D44">
        <w:t>paenia</w:t>
      </w:r>
      <w:r>
        <w:t xml:space="preserve"> were reported in a similar proportion of patients in the sarilumab 150 mg q2w initial dose group and the sarilumab 200 mg q2w initial dose group (0.4%</w:t>
      </w:r>
      <w:r w:rsidR="003D2290">
        <w:t xml:space="preserve"> versus </w:t>
      </w:r>
      <w:r>
        <w:t>0.7%), and the exposure-adjusted event rate was 0.7/100 PY in the sarilumab 150 mg q2w initial dose group (5 events) and 0.4/100 PY in the sarilumab 200 mg q2w initial dose group (10 events)</w:t>
      </w:r>
    </w:p>
    <w:p w:rsidR="00AA6B20" w:rsidRDefault="002928AB" w:rsidP="00BF5020">
      <w:pPr>
        <w:pStyle w:val="ListBullet"/>
        <w:rPr>
          <w:lang w:val="en-US"/>
        </w:rPr>
      </w:pPr>
      <w:r w:rsidRPr="00560A16">
        <w:rPr>
          <w:lang w:val="en-US"/>
        </w:rPr>
        <w:t xml:space="preserve">In the long-term </w:t>
      </w:r>
      <w:r w:rsidR="003D2290">
        <w:rPr>
          <w:lang w:val="en-US"/>
        </w:rPr>
        <w:t>Study LTS</w:t>
      </w:r>
      <w:r w:rsidRPr="00560A16">
        <w:rPr>
          <w:lang w:val="en-US"/>
        </w:rPr>
        <w:t xml:space="preserve">11210, reduction in dose from sarilumab 200 mg q2w to sarilumab 150 mg q2w due to neutrophil count decreased was reported in 11.3% (187/1652) of patients, with the specific reasons being ANC </w:t>
      </w:r>
      <w:r w:rsidR="007F1BEB">
        <w:t>&lt; </w:t>
      </w:r>
      <w:r w:rsidRPr="00560A16">
        <w:rPr>
          <w:lang w:val="en-US"/>
        </w:rPr>
        <w:t xml:space="preserve">1.0 to </w:t>
      </w:r>
      <w:r w:rsidR="00DD5BCE">
        <w:t>≥</w:t>
      </w:r>
      <w:r w:rsidR="007C7C62">
        <w:t xml:space="preserve"> </w:t>
      </w:r>
      <w:r w:rsidRPr="00560A16">
        <w:rPr>
          <w:lang w:val="en-US"/>
        </w:rPr>
        <w:t>0.5 Giga/L in 5.7% (</w:t>
      </w:r>
      <w:r w:rsidR="007C7C62">
        <w:rPr>
          <w:lang w:val="en-US"/>
        </w:rPr>
        <w:t xml:space="preserve">n = </w:t>
      </w:r>
      <w:r w:rsidRPr="00560A16">
        <w:rPr>
          <w:lang w:val="en-US"/>
        </w:rPr>
        <w:t xml:space="preserve">94) of patients and precautionary measure to avoid ANC </w:t>
      </w:r>
      <w:r w:rsidR="007F1BEB">
        <w:t>&lt; </w:t>
      </w:r>
      <w:r w:rsidRPr="00560A16">
        <w:rPr>
          <w:lang w:val="en-US"/>
        </w:rPr>
        <w:t>1.0 Giga/L in 5.6% (</w:t>
      </w:r>
      <w:r w:rsidR="007C7C62">
        <w:rPr>
          <w:lang w:val="en-US"/>
        </w:rPr>
        <w:t xml:space="preserve">n = </w:t>
      </w:r>
      <w:r w:rsidRPr="00560A16">
        <w:rPr>
          <w:lang w:val="en-US"/>
        </w:rPr>
        <w:t>93) of patients. The results indicated that most patients in whom treatment was initiated with sarilumab 200 mg q2w did not require dose reduction to sarilumab 150 mg q2w due to neutro</w:t>
      </w:r>
      <w:r w:rsidR="001E2D44">
        <w:rPr>
          <w:lang w:val="en-US"/>
        </w:rPr>
        <w:t>paenia</w:t>
      </w:r>
      <w:r w:rsidRPr="00560A16">
        <w:rPr>
          <w:lang w:val="en-US"/>
        </w:rPr>
        <w:t xml:space="preserve">. Dose reductions from </w:t>
      </w:r>
      <w:r>
        <w:rPr>
          <w:lang w:val="en-US"/>
        </w:rPr>
        <w:t xml:space="preserve">sarilumab </w:t>
      </w:r>
      <w:r w:rsidRPr="00560A16">
        <w:rPr>
          <w:lang w:val="en-US"/>
        </w:rPr>
        <w:t>200 mg q2w to 150 mg q2w (all causes combined) occurred predominantly in t</w:t>
      </w:r>
      <w:r>
        <w:rPr>
          <w:lang w:val="en-US"/>
        </w:rPr>
        <w:t xml:space="preserve">he first 3 months of treatment. </w:t>
      </w:r>
      <w:r w:rsidRPr="00560A16">
        <w:rPr>
          <w:lang w:val="en-US"/>
        </w:rPr>
        <w:t xml:space="preserve">The majority of patients being treated with sarilumab 200 mg q2w prior to dose reduction for </w:t>
      </w:r>
      <w:r>
        <w:rPr>
          <w:lang w:val="en-US"/>
        </w:rPr>
        <w:t xml:space="preserve">decreased </w:t>
      </w:r>
      <w:r w:rsidRPr="00560A16">
        <w:rPr>
          <w:lang w:val="en-US"/>
        </w:rPr>
        <w:t xml:space="preserve">neutrophil count continued on </w:t>
      </w:r>
      <w:r>
        <w:rPr>
          <w:lang w:val="en-US"/>
        </w:rPr>
        <w:t xml:space="preserve">treatment with </w:t>
      </w:r>
      <w:r w:rsidRPr="00560A16">
        <w:rPr>
          <w:lang w:val="en-US"/>
        </w:rPr>
        <w:t xml:space="preserve">sarilumab 150 mg q2w following dose reduction (78.9% </w:t>
      </w:r>
      <w:r w:rsidR="00CC63CB">
        <w:rPr>
          <w:lang w:val="en-US"/>
        </w:rPr>
        <w:t>(</w:t>
      </w:r>
      <w:r w:rsidRPr="00560A16">
        <w:rPr>
          <w:lang w:val="en-US"/>
        </w:rPr>
        <w:t>157/199</w:t>
      </w:r>
      <w:r w:rsidR="00CC63CB">
        <w:rPr>
          <w:lang w:val="en-US"/>
        </w:rPr>
        <w:t>)</w:t>
      </w:r>
      <w:r w:rsidRPr="00560A16">
        <w:rPr>
          <w:lang w:val="en-US"/>
        </w:rPr>
        <w:t>).</w:t>
      </w:r>
    </w:p>
    <w:p w:rsidR="00AA6B20" w:rsidRDefault="002928AB" w:rsidP="00BD3AD9">
      <w:pPr>
        <w:pStyle w:val="ListBullet"/>
        <w:rPr>
          <w:lang w:val="en-US"/>
        </w:rPr>
      </w:pPr>
      <w:r w:rsidRPr="00560A16">
        <w:rPr>
          <w:lang w:val="en-US"/>
        </w:rPr>
        <w:t>Based on the totality of the safety data relating to the incidence of neutro</w:t>
      </w:r>
      <w:r w:rsidR="001E2D44">
        <w:rPr>
          <w:lang w:val="en-US"/>
        </w:rPr>
        <w:t>paenia</w:t>
      </w:r>
      <w:r w:rsidRPr="00560A16">
        <w:rPr>
          <w:lang w:val="en-US"/>
        </w:rPr>
        <w:t xml:space="preserve"> it i</w:t>
      </w:r>
      <w:r>
        <w:rPr>
          <w:lang w:val="en-US"/>
        </w:rPr>
        <w:t xml:space="preserve">s considered that treatment can be safely </w:t>
      </w:r>
      <w:r w:rsidRPr="00560A16">
        <w:rPr>
          <w:lang w:val="en-US"/>
        </w:rPr>
        <w:t>initiated with sarilumab 200 mg q2w and reduced to 150 mg q2w based on the ANC criteria provided in the PI.</w:t>
      </w:r>
    </w:p>
    <w:p w:rsidR="00AA6B20" w:rsidRDefault="002928AB" w:rsidP="00BF5020">
      <w:pPr>
        <w:pStyle w:val="Heading5"/>
        <w:rPr>
          <w:lang w:val="en-US"/>
        </w:rPr>
      </w:pPr>
      <w:r w:rsidRPr="00C15B90">
        <w:rPr>
          <w:lang w:val="en-US"/>
        </w:rPr>
        <w:t>Thrombocyto</w:t>
      </w:r>
      <w:r w:rsidR="001E2D44">
        <w:rPr>
          <w:lang w:val="en-US"/>
        </w:rPr>
        <w:t>paenia</w:t>
      </w:r>
    </w:p>
    <w:p w:rsidR="00AA6B20" w:rsidRDefault="002928AB" w:rsidP="00BF5020">
      <w:pPr>
        <w:pStyle w:val="ListBullet"/>
      </w:pPr>
      <w:r w:rsidRPr="00560A16">
        <w:t>The sponsor proposes that treat</w:t>
      </w:r>
      <w:r w:rsidR="00F549B4">
        <w:t>ment with sarilumab 200 mg q2w is</w:t>
      </w:r>
      <w:r w:rsidRPr="00560A16">
        <w:t xml:space="preserve"> interrupted when the platelet count is </w:t>
      </w:r>
      <w:proofErr w:type="gramStart"/>
      <w:r>
        <w:t>50 to 100 Giga/L</w:t>
      </w:r>
      <w:proofErr w:type="gramEnd"/>
      <w:r>
        <w:t xml:space="preserve"> </w:t>
      </w:r>
      <w:r w:rsidRPr="00560A16">
        <w:t xml:space="preserve">and that treatment with sarilumab 150 mg q2w be resumed as clinically appropriate. </w:t>
      </w:r>
      <w:r>
        <w:t>T</w:t>
      </w:r>
      <w:r w:rsidRPr="00560A16">
        <w:t xml:space="preserve">he sponsor proposes that treatment with sarilumab </w:t>
      </w:r>
      <w:r w:rsidR="00F549B4">
        <w:t>is</w:t>
      </w:r>
      <w:r w:rsidRPr="00560A16">
        <w:t xml:space="preserve"> discon</w:t>
      </w:r>
      <w:r>
        <w:t xml:space="preserve">tinued if the platelet count is </w:t>
      </w:r>
      <w:r w:rsidR="007F1BEB">
        <w:t>&lt; </w:t>
      </w:r>
      <w:r>
        <w:t xml:space="preserve">50 Giga/L, </w:t>
      </w:r>
      <w:r w:rsidRPr="00560A16">
        <w:t>if confirmed by repeat testing.</w:t>
      </w:r>
    </w:p>
    <w:p w:rsidR="00AA6B20" w:rsidRDefault="002928AB" w:rsidP="00BF5020">
      <w:pPr>
        <w:pStyle w:val="ListBullet"/>
        <w:rPr>
          <w:color w:val="000000"/>
          <w:lang w:val="en-US"/>
        </w:rPr>
      </w:pPr>
      <w:r w:rsidRPr="00560A16">
        <w:t xml:space="preserve">In the pivotal monotherapy </w:t>
      </w:r>
      <w:r w:rsidR="00894642">
        <w:t>Study EFC</w:t>
      </w:r>
      <w:r w:rsidRPr="00560A16">
        <w:t>14092</w:t>
      </w:r>
      <w:r w:rsidR="001F3EAD">
        <w:t xml:space="preserve"> MONARCH</w:t>
      </w:r>
      <w:r w:rsidRPr="00560A16">
        <w:t xml:space="preserve">, </w:t>
      </w:r>
      <w:r w:rsidRPr="00560A16">
        <w:rPr>
          <w:lang w:val="en-US"/>
        </w:rPr>
        <w:t>pati</w:t>
      </w:r>
      <w:r>
        <w:rPr>
          <w:lang w:val="en-US"/>
        </w:rPr>
        <w:t xml:space="preserve">ents with platelets </w:t>
      </w:r>
      <w:r w:rsidR="007F1BEB">
        <w:t>&lt; </w:t>
      </w:r>
      <w:r>
        <w:rPr>
          <w:lang w:val="en-US"/>
        </w:rPr>
        <w:t xml:space="preserve">150 Giga/L </w:t>
      </w:r>
      <w:r w:rsidRPr="00560A16">
        <w:rPr>
          <w:lang w:val="en-US"/>
        </w:rPr>
        <w:t>were excluded from the s</w:t>
      </w:r>
      <w:r>
        <w:rPr>
          <w:lang w:val="en-US"/>
        </w:rPr>
        <w:t xml:space="preserve">tudy. Platelet counts </w:t>
      </w:r>
      <w:r w:rsidR="007F1BEB">
        <w:t>&lt; </w:t>
      </w:r>
      <w:r>
        <w:rPr>
          <w:lang w:val="en-US"/>
        </w:rPr>
        <w:t>100 Giga/L were reported as AEs, and t</w:t>
      </w:r>
      <w:r w:rsidRPr="00560A16">
        <w:rPr>
          <w:lang w:val="en-US"/>
        </w:rPr>
        <w:t xml:space="preserve">reatment was to be permanently discontinued if platelet counts were </w:t>
      </w:r>
      <w:r w:rsidR="007F1BEB">
        <w:t>&lt; </w:t>
      </w:r>
      <w:r w:rsidRPr="00560A16">
        <w:rPr>
          <w:lang w:val="en-US"/>
        </w:rPr>
        <w:t xml:space="preserve">50 Giga/L or </w:t>
      </w:r>
      <w:r w:rsidR="007F1BEB">
        <w:t>&lt; </w:t>
      </w:r>
      <w:r w:rsidRPr="00560A16">
        <w:rPr>
          <w:lang w:val="en-US"/>
        </w:rPr>
        <w:t xml:space="preserve">100 Giga/L with bleeding. No </w:t>
      </w:r>
      <w:r>
        <w:rPr>
          <w:lang w:val="en-US"/>
        </w:rPr>
        <w:t>TE</w:t>
      </w:r>
      <w:r w:rsidRPr="00560A16">
        <w:rPr>
          <w:lang w:val="en-US"/>
        </w:rPr>
        <w:t>AEs of thrombocyto</w:t>
      </w:r>
      <w:r w:rsidR="001E2D44">
        <w:rPr>
          <w:lang w:val="en-US"/>
        </w:rPr>
        <w:t>paenia</w:t>
      </w:r>
      <w:r w:rsidRPr="00560A16">
        <w:rPr>
          <w:lang w:val="en-US"/>
        </w:rPr>
        <w:t xml:space="preserve"> were reported in either the sarilumab 200 mg q2w group or the adalimumab 40 mg q2w group. </w:t>
      </w:r>
      <w:r>
        <w:rPr>
          <w:lang w:val="en-US"/>
        </w:rPr>
        <w:t>L</w:t>
      </w:r>
      <w:r w:rsidRPr="00560A16">
        <w:rPr>
          <w:lang w:val="en-US"/>
        </w:rPr>
        <w:t>aboratory assessments of thrombocyto</w:t>
      </w:r>
      <w:r w:rsidR="001E2D44">
        <w:rPr>
          <w:lang w:val="en-US"/>
        </w:rPr>
        <w:t>paenia</w:t>
      </w:r>
      <w:r w:rsidRPr="00560A16">
        <w:rPr>
          <w:lang w:val="en-US"/>
        </w:rPr>
        <w:t xml:space="preserve"> showed that a </w:t>
      </w:r>
      <w:r w:rsidRPr="00560A16">
        <w:rPr>
          <w:color w:val="000000"/>
          <w:lang w:val="en-US"/>
        </w:rPr>
        <w:t>greater decrease in mean platelet count was observed at Week 24 in the sarilumab group</w:t>
      </w:r>
      <w:r w:rsidRPr="00560A16">
        <w:rPr>
          <w:lang w:val="en-US"/>
        </w:rPr>
        <w:t xml:space="preserve"> </w:t>
      </w:r>
      <w:r w:rsidRPr="00560A16">
        <w:rPr>
          <w:color w:val="000000"/>
          <w:lang w:val="en-US"/>
        </w:rPr>
        <w:t xml:space="preserve">compared with </w:t>
      </w:r>
      <w:r w:rsidRPr="00560A16">
        <w:rPr>
          <w:color w:val="000000"/>
          <w:lang w:val="en-US"/>
        </w:rPr>
        <w:lastRenderedPageBreak/>
        <w:t>the adalimumab group (-71.3 Giga/L</w:t>
      </w:r>
      <w:r w:rsidR="003D2290">
        <w:rPr>
          <w:color w:val="000000"/>
          <w:lang w:val="en-US"/>
        </w:rPr>
        <w:t xml:space="preserve"> versus </w:t>
      </w:r>
      <w:r w:rsidRPr="00560A16">
        <w:rPr>
          <w:color w:val="000000"/>
          <w:lang w:val="en-US"/>
        </w:rPr>
        <w:t>-5.8 Giga/L, respectively). However, mean platelet counts remained within the normal range in both treatment groups</w:t>
      </w:r>
      <w:r>
        <w:rPr>
          <w:color w:val="000000"/>
          <w:lang w:val="en-US"/>
        </w:rPr>
        <w:t xml:space="preserve"> during the course of the study</w:t>
      </w:r>
      <w:r w:rsidRPr="00560A16">
        <w:rPr>
          <w:color w:val="000000"/>
          <w:lang w:val="en-US"/>
        </w:rPr>
        <w:t xml:space="preserve">. Platelet counts </w:t>
      </w:r>
      <w:r w:rsidR="007F1BEB">
        <w:t>&lt; </w:t>
      </w:r>
      <w:r w:rsidRPr="00560A16">
        <w:rPr>
          <w:color w:val="000000"/>
          <w:lang w:val="en-US"/>
        </w:rPr>
        <w:t xml:space="preserve">100 Giga/L were reported in 1 patient only. This patient was in the sarilumab group and had a count of </w:t>
      </w:r>
      <w:r w:rsidR="007F1BEB">
        <w:t>&lt; </w:t>
      </w:r>
      <w:r w:rsidRPr="00560A16">
        <w:rPr>
          <w:color w:val="000000"/>
          <w:lang w:val="en-US"/>
        </w:rPr>
        <w:t xml:space="preserve">25 Giga/L, but the count was </w:t>
      </w:r>
      <w:r>
        <w:rPr>
          <w:color w:val="000000"/>
          <w:lang w:val="en-US"/>
        </w:rPr>
        <w:t xml:space="preserve">considered to be </w:t>
      </w:r>
      <w:r w:rsidRPr="00560A16">
        <w:rPr>
          <w:color w:val="000000"/>
          <w:lang w:val="en-US"/>
        </w:rPr>
        <w:t xml:space="preserve">a laboratory error </w:t>
      </w:r>
      <w:r>
        <w:rPr>
          <w:color w:val="000000"/>
          <w:lang w:val="en-US"/>
        </w:rPr>
        <w:t>as</w:t>
      </w:r>
      <w:r w:rsidRPr="00560A16">
        <w:rPr>
          <w:color w:val="000000"/>
          <w:lang w:val="en-US"/>
        </w:rPr>
        <w:t xml:space="preserve"> all prior and subsequent counts </w:t>
      </w:r>
      <w:r>
        <w:rPr>
          <w:color w:val="000000"/>
          <w:lang w:val="en-US"/>
        </w:rPr>
        <w:t xml:space="preserve">were </w:t>
      </w:r>
      <w:r w:rsidR="00DD5BCE">
        <w:t>&gt;</w:t>
      </w:r>
      <w:r w:rsidR="007C7C62">
        <w:t xml:space="preserve"> </w:t>
      </w:r>
      <w:r w:rsidRPr="00560A16">
        <w:rPr>
          <w:color w:val="000000"/>
          <w:lang w:val="en-US"/>
        </w:rPr>
        <w:t>200 Giga/L.</w:t>
      </w:r>
    </w:p>
    <w:p w:rsidR="00AA6B20" w:rsidRDefault="002928AB" w:rsidP="00BF5020">
      <w:pPr>
        <w:pStyle w:val="ListBullet"/>
      </w:pPr>
      <w:r>
        <w:t>In Pool 1 (sarilumab + DMARD placebo-controlled population)</w:t>
      </w:r>
      <w:r w:rsidRPr="00560A16">
        <w:t>,</w:t>
      </w:r>
      <w:r>
        <w:rPr>
          <w:color w:val="000000"/>
          <w:lang w:val="en-US"/>
        </w:rPr>
        <w:t xml:space="preserve"> </w:t>
      </w:r>
      <w:r>
        <w:t>thrombocyto</w:t>
      </w:r>
      <w:r w:rsidR="001E2D44">
        <w:t>paenia</w:t>
      </w:r>
      <w:r>
        <w:t xml:space="preserve"> TEAEs were</w:t>
      </w:r>
      <w:r w:rsidRPr="00560A16">
        <w:t xml:space="preserve"> reported in 11 (</w:t>
      </w:r>
      <w:r>
        <w:t>1.7</w:t>
      </w:r>
      <w:r w:rsidRPr="00560A16">
        <w:t xml:space="preserve">%) patients in the sarilumab 200 mg q2w group and </w:t>
      </w:r>
      <w:r>
        <w:t>4</w:t>
      </w:r>
      <w:r w:rsidRPr="00560A16">
        <w:t xml:space="preserve"> (</w:t>
      </w:r>
      <w:r>
        <w:t>0.6</w:t>
      </w:r>
      <w:r w:rsidRPr="00560A16">
        <w:t xml:space="preserve">%) patients in the sarilumab 150 mg q2w group, </w:t>
      </w:r>
      <w:r>
        <w:t>and the exposure-adjusted event rates were 0.2/100 PY in both treatment groups. Thrombocyto</w:t>
      </w:r>
      <w:r w:rsidR="001E2D44">
        <w:t>paenia</w:t>
      </w:r>
      <w:r>
        <w:t xml:space="preserve"> SAEs </w:t>
      </w:r>
      <w:r w:rsidRPr="00560A16">
        <w:t>were reported in the same proportion of patients in the two sarilumab treatment group</w:t>
      </w:r>
      <w:r>
        <w:t xml:space="preserve">s (0.2%, </w:t>
      </w:r>
      <w:r w:rsidR="007C7C62">
        <w:t xml:space="preserve">n = </w:t>
      </w:r>
      <w:r>
        <w:t>1), and the exposure-adjusted event rates were also the same in both groups (0.2/100 PY)</w:t>
      </w:r>
    </w:p>
    <w:p w:rsidR="00AA6B20" w:rsidRDefault="002928AB" w:rsidP="00BF5020">
      <w:pPr>
        <w:pStyle w:val="ListBullet"/>
      </w:pPr>
      <w:r>
        <w:t>In Pool 1 (sarilumab + DMARD placebo-controlled population), thrombocyto</w:t>
      </w:r>
      <w:r w:rsidR="001E2D44">
        <w:t>paenia</w:t>
      </w:r>
      <w:r>
        <w:t xml:space="preserve"> TEAEs </w:t>
      </w:r>
      <w:r w:rsidRPr="00560A16">
        <w:t xml:space="preserve">leading to permanent treatment discontinuation </w:t>
      </w:r>
      <w:r>
        <w:t>were</w:t>
      </w:r>
      <w:r w:rsidR="003E7288">
        <w:t xml:space="preserve"> </w:t>
      </w:r>
      <w:r w:rsidRPr="00560A16">
        <w:t xml:space="preserve">reported infrequently and in a similar proportion of patients in the sarilumab 200 mg q2w and 150 mg q2w treatment groups (0.5%, </w:t>
      </w:r>
      <w:r w:rsidR="007C7C62">
        <w:t xml:space="preserve">n = </w:t>
      </w:r>
      <w:r w:rsidRPr="00560A16">
        <w:t>3</w:t>
      </w:r>
      <w:r w:rsidR="003D2290">
        <w:t xml:space="preserve"> versus </w:t>
      </w:r>
      <w:r w:rsidRPr="00560A16">
        <w:t xml:space="preserve">0.2%, </w:t>
      </w:r>
      <w:r w:rsidR="007C7C62">
        <w:t xml:space="preserve">n = </w:t>
      </w:r>
      <w:r w:rsidRPr="00560A16">
        <w:t xml:space="preserve">1, respectively). </w:t>
      </w:r>
      <w:r w:rsidRPr="00560A16">
        <w:rPr>
          <w:lang w:val="en-US"/>
        </w:rPr>
        <w:t xml:space="preserve">The decrease in platelet counts in the two </w:t>
      </w:r>
      <w:r>
        <w:rPr>
          <w:lang w:val="en-US"/>
        </w:rPr>
        <w:t xml:space="preserve">sarilumab </w:t>
      </w:r>
      <w:r w:rsidRPr="00560A16">
        <w:rPr>
          <w:lang w:val="en-US"/>
        </w:rPr>
        <w:t xml:space="preserve">treatment groups was not associated with bleeding. </w:t>
      </w:r>
      <w:r w:rsidRPr="00560A16">
        <w:t>No deaths due to thrombocyto</w:t>
      </w:r>
      <w:r w:rsidR="001E2D44">
        <w:t>paenia</w:t>
      </w:r>
      <w:r w:rsidRPr="00560A16">
        <w:t xml:space="preserve"> were reported in either of the two sarilumab treatment groups.</w:t>
      </w:r>
    </w:p>
    <w:p w:rsidR="00AA6B20" w:rsidRDefault="002928AB" w:rsidP="00BF5020">
      <w:pPr>
        <w:pStyle w:val="ListBullet"/>
        <w:rPr>
          <w:lang w:val="en-US"/>
        </w:rPr>
      </w:pPr>
      <w:r>
        <w:t>In Pool 1 (sarilumab + DMARD placebo-controlled population)</w:t>
      </w:r>
      <w:r w:rsidRPr="00560A16">
        <w:t>, the mean platelet count declined rapidly in the first 4 weeks of treatme</w:t>
      </w:r>
      <w:r>
        <w:t xml:space="preserve">nt, with mean decreases at Week 4 </w:t>
      </w:r>
      <w:r w:rsidRPr="00560A16">
        <w:t>of 91 Giga/L in the sa</w:t>
      </w:r>
      <w:r>
        <w:t>r</w:t>
      </w:r>
      <w:r w:rsidRPr="00560A16">
        <w:t>ilumab 200 mg q2w group and 75 Giga/L in the sarilumab 150 mg q2w group</w:t>
      </w:r>
      <w:r>
        <w:t>. In both treatment groups, mean</w:t>
      </w:r>
      <w:r w:rsidRPr="00560A16">
        <w:t xml:space="preserve"> platelet counts stabilised </w:t>
      </w:r>
      <w:r>
        <w:t xml:space="preserve">from Week 4 </w:t>
      </w:r>
      <w:r w:rsidRPr="00560A16">
        <w:t xml:space="preserve">throughout the remainder of treatment. </w:t>
      </w:r>
      <w:r w:rsidRPr="00560A16">
        <w:rPr>
          <w:lang w:val="en-US"/>
        </w:rPr>
        <w:t>Platelet counts &lt;100 Giga/L were observed in 11 (1.7%) patie</w:t>
      </w:r>
      <w:r>
        <w:rPr>
          <w:lang w:val="en-US"/>
        </w:rPr>
        <w:t xml:space="preserve">nts in the sarilumab 200 mg q2w </w:t>
      </w:r>
      <w:r w:rsidRPr="00560A16">
        <w:rPr>
          <w:lang w:val="en-US"/>
        </w:rPr>
        <w:t xml:space="preserve">group and in 4 (0.6%) patients in </w:t>
      </w:r>
      <w:r>
        <w:rPr>
          <w:lang w:val="en-US"/>
        </w:rPr>
        <w:t xml:space="preserve">the sarilumab </w:t>
      </w:r>
      <w:r w:rsidRPr="00560A16">
        <w:rPr>
          <w:lang w:val="en-US"/>
        </w:rPr>
        <w:t>150 mg q2w group.</w:t>
      </w:r>
    </w:p>
    <w:p w:rsidR="00AA6B20" w:rsidRDefault="002928AB" w:rsidP="00BF5020">
      <w:pPr>
        <w:pStyle w:val="ListBullet"/>
      </w:pPr>
      <w:r w:rsidRPr="00F87426">
        <w:t>In Pool 2 (sarilumab + DMARD long-term safety population), t</w:t>
      </w:r>
      <w:r>
        <w:t>hrombocyto</w:t>
      </w:r>
      <w:r w:rsidR="001E2D44">
        <w:t>paenia</w:t>
      </w:r>
      <w:r>
        <w:t xml:space="preserve"> TEAEs </w:t>
      </w:r>
      <w:r w:rsidRPr="00F87426">
        <w:t xml:space="preserve">in the </w:t>
      </w:r>
      <w:r>
        <w:t xml:space="preserve">any </w:t>
      </w:r>
      <w:r w:rsidRPr="00F87426">
        <w:t xml:space="preserve">sarilumab dose group </w:t>
      </w:r>
      <w:r>
        <w:t xml:space="preserve">were </w:t>
      </w:r>
      <w:r w:rsidRPr="00F87426">
        <w:t>repo</w:t>
      </w:r>
      <w:r>
        <w:t>rted in 2.8% (</w:t>
      </w:r>
      <w:r w:rsidR="007C7C62">
        <w:t xml:space="preserve">n = </w:t>
      </w:r>
      <w:r>
        <w:t xml:space="preserve">80) of patients, </w:t>
      </w:r>
      <w:r w:rsidRPr="00F87426">
        <w:t xml:space="preserve">and the </w:t>
      </w:r>
      <w:r>
        <w:t xml:space="preserve">exposure-adjusted event </w:t>
      </w:r>
      <w:r w:rsidRPr="00F87426">
        <w:t xml:space="preserve">rate </w:t>
      </w:r>
      <w:r>
        <w:t>was 1.7/100 PY (98 events)</w:t>
      </w:r>
      <w:r w:rsidRPr="00F87426">
        <w:t xml:space="preserve">. </w:t>
      </w:r>
      <w:r>
        <w:t>Thrombocyto</w:t>
      </w:r>
      <w:r w:rsidR="001E2D44">
        <w:t>paenia</w:t>
      </w:r>
      <w:r>
        <w:t xml:space="preserve"> TEAEs was reported more frequently in patients in the sarilumab 200 mg q2w initial dose group than in the sarilumab 150 mg q2w dose group (2.5%</w:t>
      </w:r>
      <w:r w:rsidR="003D2290">
        <w:t xml:space="preserve"> versus </w:t>
      </w:r>
      <w:r>
        <w:t>1.1%, respectively), but the exposure-adjusted event rates were similar in the two groups (1.6</w:t>
      </w:r>
      <w:r w:rsidR="003D2290">
        <w:t xml:space="preserve"> versus </w:t>
      </w:r>
      <w:r>
        <w:t>2.0 per 100 PY, respectively). T</w:t>
      </w:r>
      <w:r w:rsidRPr="00F87426">
        <w:t>hrombocyto</w:t>
      </w:r>
      <w:r w:rsidR="001E2D44">
        <w:t>paenia</w:t>
      </w:r>
      <w:r w:rsidRPr="00F87426">
        <w:t xml:space="preserve"> </w:t>
      </w:r>
      <w:r>
        <w:t xml:space="preserve">SAEs were </w:t>
      </w:r>
      <w:r w:rsidRPr="00F87426">
        <w:t>reported in 0.1% (</w:t>
      </w:r>
      <w:r w:rsidR="007C7C62">
        <w:t xml:space="preserve">n = </w:t>
      </w:r>
      <w:r w:rsidRPr="00F87426">
        <w:t xml:space="preserve">3) of patients in the </w:t>
      </w:r>
      <w:r>
        <w:t xml:space="preserve">any </w:t>
      </w:r>
      <w:r w:rsidRPr="00F87426">
        <w:t xml:space="preserve">sarilumab dose group, and the </w:t>
      </w:r>
      <w:r>
        <w:t xml:space="preserve">exposure-adjusted event </w:t>
      </w:r>
      <w:r w:rsidRPr="00F87426">
        <w:t>rate was 0.1</w:t>
      </w:r>
      <w:r>
        <w:t xml:space="preserve">/100 </w:t>
      </w:r>
      <w:r w:rsidR="00A6301B">
        <w:t>PY</w:t>
      </w:r>
      <w:r w:rsidRPr="00F87426">
        <w:t>.</w:t>
      </w:r>
    </w:p>
    <w:p w:rsidR="00AA6B20" w:rsidRDefault="002928AB" w:rsidP="00BF5020">
      <w:pPr>
        <w:pStyle w:val="ListBullet"/>
        <w:rPr>
          <w:rFonts w:eastAsiaTheme="minorHAnsi" w:cs="TimesNewRomanPSMT"/>
        </w:rPr>
      </w:pPr>
      <w:r w:rsidRPr="00F87426">
        <w:t>In Pool 2</w:t>
      </w:r>
      <w:r>
        <w:t xml:space="preserve"> (sarilumab + DMARD long-term population)</w:t>
      </w:r>
      <w:r w:rsidRPr="00F87426">
        <w:t>, 2.3% (</w:t>
      </w:r>
      <w:r w:rsidR="007C7C62">
        <w:t xml:space="preserve">n = </w:t>
      </w:r>
      <w:r w:rsidRPr="00F87426">
        <w:t xml:space="preserve">65) of patients in the </w:t>
      </w:r>
      <w:r>
        <w:t xml:space="preserve">any </w:t>
      </w:r>
      <w:r w:rsidRPr="00F87426">
        <w:t>sarilumab dose group had p</w:t>
      </w:r>
      <w:r>
        <w:t xml:space="preserve">latelet counts of </w:t>
      </w:r>
      <w:r w:rsidR="007F1BEB">
        <w:t>&lt; </w:t>
      </w:r>
      <w:r>
        <w:t xml:space="preserve">100 Giga/L. Platelet counts </w:t>
      </w:r>
      <w:r w:rsidR="007F1BEB">
        <w:t>&lt; </w:t>
      </w:r>
      <w:r>
        <w:t xml:space="preserve">100 Giga/L were reported more frequently in patients the sarilumab 200 mg q2w initial dose group than in the sarilumab 150 mg q2w initial dose group (2.4% </w:t>
      </w:r>
      <w:r w:rsidR="00CC63CB">
        <w:t>(</w:t>
      </w:r>
      <w:r w:rsidR="007C7C62">
        <w:t xml:space="preserve">n = </w:t>
      </w:r>
      <w:r>
        <w:t>32</w:t>
      </w:r>
      <w:r w:rsidR="00CC63CB">
        <w:t xml:space="preserve">) </w:t>
      </w:r>
      <w:r w:rsidR="003D2290">
        <w:t xml:space="preserve">versus </w:t>
      </w:r>
      <w:r>
        <w:t xml:space="preserve">0.7% </w:t>
      </w:r>
      <w:r w:rsidR="00CC63CB">
        <w:t>(</w:t>
      </w:r>
      <w:r w:rsidR="007C7C62">
        <w:t xml:space="preserve">n = </w:t>
      </w:r>
      <w:r>
        <w:t>8</w:t>
      </w:r>
      <w:r w:rsidR="00CC63CB">
        <w:t xml:space="preserve">), </w:t>
      </w:r>
      <w:r>
        <w:t xml:space="preserve">respectively). </w:t>
      </w:r>
      <w:r w:rsidRPr="00F87426">
        <w:rPr>
          <w:rFonts w:eastAsiaTheme="minorHAnsi" w:cs="TimesNewRomanPSMT"/>
        </w:rPr>
        <w:t>A total of 5 patients with platelet count</w:t>
      </w:r>
      <w:r>
        <w:rPr>
          <w:rFonts w:eastAsiaTheme="minorHAnsi" w:cs="TimesNewRomanPSMT"/>
        </w:rPr>
        <w:t>s</w:t>
      </w:r>
      <w:r w:rsidRPr="00F87426">
        <w:rPr>
          <w:rFonts w:eastAsiaTheme="minorHAnsi" w:cs="TimesNewRomanPSMT"/>
        </w:rPr>
        <w:t xml:space="preserve"> &lt;</w:t>
      </w:r>
      <w:r w:rsidR="00B375FD">
        <w:rPr>
          <w:rFonts w:eastAsiaTheme="minorHAnsi" w:cs="TimesNewRomanPSMT"/>
        </w:rPr>
        <w:t xml:space="preserve"> </w:t>
      </w:r>
      <w:r w:rsidRPr="00F87426">
        <w:rPr>
          <w:rFonts w:eastAsiaTheme="minorHAnsi" w:cs="TimesNewRomanPSMT"/>
        </w:rPr>
        <w:t>100 Giga/L had a TEAE within the SMQ Haemorrhages, but in 3 patients the events were not concurrent and in the other 2 patients the events were categorised as non-serious and mild (1 x injection site ecchymosis, 1 x left arm haematoma which occurred intermittently without concurrent decrease in platelet</w:t>
      </w:r>
      <w:r>
        <w:rPr>
          <w:rFonts w:eastAsiaTheme="minorHAnsi" w:cs="TimesNewRomanPSMT"/>
        </w:rPr>
        <w:t xml:space="preserve"> count).</w:t>
      </w:r>
    </w:p>
    <w:p w:rsidR="00AA6B20" w:rsidRDefault="002928AB" w:rsidP="00BF5020">
      <w:pPr>
        <w:pStyle w:val="ListBullet"/>
        <w:rPr>
          <w:lang w:val="en-US"/>
        </w:rPr>
      </w:pPr>
      <w:r w:rsidRPr="00560A16">
        <w:rPr>
          <w:lang w:val="en-US"/>
        </w:rPr>
        <w:t xml:space="preserve">In the long-term </w:t>
      </w:r>
      <w:r w:rsidR="003D2290">
        <w:rPr>
          <w:lang w:val="en-US"/>
        </w:rPr>
        <w:t>Study LTS</w:t>
      </w:r>
      <w:r w:rsidRPr="00560A16">
        <w:rPr>
          <w:lang w:val="en-US"/>
        </w:rPr>
        <w:t xml:space="preserve">11210, </w:t>
      </w:r>
      <w:r>
        <w:rPr>
          <w:lang w:val="en-US"/>
        </w:rPr>
        <w:t xml:space="preserve">dose reduction </w:t>
      </w:r>
      <w:r w:rsidRPr="00560A16">
        <w:rPr>
          <w:lang w:val="en-US"/>
        </w:rPr>
        <w:t xml:space="preserve">from sarilumab 200 mg q2w to sarilumab 150 mg q2w due to platelet </w:t>
      </w:r>
      <w:r>
        <w:rPr>
          <w:lang w:val="en-US"/>
        </w:rPr>
        <w:t xml:space="preserve">count </w:t>
      </w:r>
      <w:r w:rsidRPr="00560A16">
        <w:rPr>
          <w:lang w:val="en-US"/>
        </w:rPr>
        <w:t>decrease was reported in 1.</w:t>
      </w:r>
      <w:r>
        <w:rPr>
          <w:lang w:val="en-US"/>
        </w:rPr>
        <w:t>3</w:t>
      </w:r>
      <w:r w:rsidRPr="00560A16">
        <w:rPr>
          <w:lang w:val="en-US"/>
        </w:rPr>
        <w:t>% (22/1652) of patients, with the specifi</w:t>
      </w:r>
      <w:r>
        <w:rPr>
          <w:lang w:val="en-US"/>
        </w:rPr>
        <w:t xml:space="preserve">c reasons being platelet count </w:t>
      </w:r>
      <w:r w:rsidR="00DD5BCE">
        <w:t>≥</w:t>
      </w:r>
      <w:r w:rsidR="007C7C62">
        <w:t xml:space="preserve"> </w:t>
      </w:r>
      <w:r w:rsidRPr="00560A16">
        <w:rPr>
          <w:lang w:val="en-US"/>
        </w:rPr>
        <w:t xml:space="preserve">50 to </w:t>
      </w:r>
      <w:r w:rsidR="007F1BEB">
        <w:t>&lt; </w:t>
      </w:r>
      <w:r w:rsidRPr="00560A16">
        <w:rPr>
          <w:lang w:val="en-US"/>
        </w:rPr>
        <w:t>100 Giga/L in 0.6% (</w:t>
      </w:r>
      <w:r w:rsidR="007C7C62">
        <w:rPr>
          <w:lang w:val="en-US"/>
        </w:rPr>
        <w:t xml:space="preserve">n = </w:t>
      </w:r>
      <w:r w:rsidRPr="00560A16">
        <w:rPr>
          <w:lang w:val="en-US"/>
        </w:rPr>
        <w:t>10) of patients and as a precautionary m</w:t>
      </w:r>
      <w:r>
        <w:rPr>
          <w:lang w:val="en-US"/>
        </w:rPr>
        <w:t xml:space="preserve">easure to avoid platelet count </w:t>
      </w:r>
      <w:r w:rsidR="007F1BEB">
        <w:t>&lt; </w:t>
      </w:r>
      <w:r w:rsidRPr="00560A16">
        <w:rPr>
          <w:lang w:val="en-US"/>
        </w:rPr>
        <w:t>100 Gig</w:t>
      </w:r>
      <w:r>
        <w:rPr>
          <w:lang w:val="en-US"/>
        </w:rPr>
        <w:t>a/L in 0.7% (</w:t>
      </w:r>
      <w:r w:rsidR="007C7C62">
        <w:rPr>
          <w:lang w:val="en-US"/>
        </w:rPr>
        <w:t xml:space="preserve">n = </w:t>
      </w:r>
      <w:r>
        <w:rPr>
          <w:lang w:val="en-US"/>
        </w:rPr>
        <w:t xml:space="preserve">12) of patients. </w:t>
      </w:r>
      <w:r w:rsidRPr="00560A16">
        <w:rPr>
          <w:lang w:val="en-US"/>
        </w:rPr>
        <w:t xml:space="preserve">The results indicated that most </w:t>
      </w:r>
      <w:r w:rsidRPr="00560A16">
        <w:rPr>
          <w:lang w:val="en-US"/>
        </w:rPr>
        <w:lastRenderedPageBreak/>
        <w:t xml:space="preserve">patients </w:t>
      </w:r>
      <w:r>
        <w:rPr>
          <w:lang w:val="en-US"/>
        </w:rPr>
        <w:t>starting</w:t>
      </w:r>
      <w:r w:rsidRPr="00560A16">
        <w:rPr>
          <w:lang w:val="en-US"/>
        </w:rPr>
        <w:t xml:space="preserve"> treatment </w:t>
      </w:r>
      <w:r>
        <w:rPr>
          <w:lang w:val="en-US"/>
        </w:rPr>
        <w:t xml:space="preserve">on </w:t>
      </w:r>
      <w:r w:rsidRPr="00560A16">
        <w:rPr>
          <w:lang w:val="en-US"/>
        </w:rPr>
        <w:t>sarilumab 200 mg q2w did not require dose reduction to sarilumab 150 mg q2w due to thrombocyto</w:t>
      </w:r>
      <w:r w:rsidR="001E2D44">
        <w:rPr>
          <w:lang w:val="en-US"/>
        </w:rPr>
        <w:t>paenia</w:t>
      </w:r>
      <w:r w:rsidRPr="00560A16">
        <w:rPr>
          <w:lang w:val="en-US"/>
        </w:rPr>
        <w:t>.</w:t>
      </w:r>
    </w:p>
    <w:p w:rsidR="00AA6B20" w:rsidRDefault="002928AB" w:rsidP="00BF5020">
      <w:pPr>
        <w:pStyle w:val="ListBullet"/>
        <w:rPr>
          <w:lang w:val="en-US"/>
        </w:rPr>
      </w:pPr>
      <w:r w:rsidRPr="00560A16">
        <w:rPr>
          <w:lang w:val="en-US"/>
        </w:rPr>
        <w:t>Overall, the reports of thrombocyto</w:t>
      </w:r>
      <w:r w:rsidR="001E2D44">
        <w:rPr>
          <w:lang w:val="en-US"/>
        </w:rPr>
        <w:t>paenia</w:t>
      </w:r>
      <w:r w:rsidRPr="00560A16">
        <w:rPr>
          <w:lang w:val="en-US"/>
        </w:rPr>
        <w:t xml:space="preserve"> associated with sarilumab 200 mg q2w do not give rise to concern</w:t>
      </w:r>
      <w:r>
        <w:rPr>
          <w:lang w:val="en-US"/>
        </w:rPr>
        <w:t xml:space="preserve">. </w:t>
      </w:r>
      <w:r w:rsidRPr="00560A16">
        <w:rPr>
          <w:lang w:val="en-US"/>
        </w:rPr>
        <w:t>The sponsor recommends reduction of sarilumab from 200</w:t>
      </w:r>
      <w:r w:rsidR="00CC63CB">
        <w:rPr>
          <w:lang w:val="en-US"/>
        </w:rPr>
        <w:t> </w:t>
      </w:r>
      <w:r w:rsidRPr="00560A16">
        <w:rPr>
          <w:lang w:val="en-US"/>
        </w:rPr>
        <w:t>mg q</w:t>
      </w:r>
      <w:r>
        <w:rPr>
          <w:lang w:val="en-US"/>
        </w:rPr>
        <w:t xml:space="preserve">2w to </w:t>
      </w:r>
      <w:r w:rsidRPr="00560A16">
        <w:rPr>
          <w:lang w:val="en-US"/>
        </w:rPr>
        <w:t>150 mg q2w for those patients who meet the criteria for thrombocyto</w:t>
      </w:r>
      <w:r w:rsidR="001E2D44">
        <w:rPr>
          <w:lang w:val="en-US"/>
        </w:rPr>
        <w:t>paenia</w:t>
      </w:r>
      <w:r w:rsidRPr="00560A16">
        <w:rPr>
          <w:lang w:val="en-US"/>
        </w:rPr>
        <w:t xml:space="preserve"> specified in the PI</w:t>
      </w:r>
      <w:r w:rsidRPr="006B70DC">
        <w:rPr>
          <w:lang w:val="en-US"/>
        </w:rPr>
        <w:t>, and this approach is considered to be appropriate.</w:t>
      </w:r>
    </w:p>
    <w:p w:rsidR="00AA6B20" w:rsidRDefault="002928AB" w:rsidP="00BF5020">
      <w:pPr>
        <w:pStyle w:val="Heading5"/>
        <w:rPr>
          <w:lang w:val="en-US"/>
        </w:rPr>
      </w:pPr>
      <w:r w:rsidRPr="006B70DC">
        <w:rPr>
          <w:lang w:val="en-US"/>
        </w:rPr>
        <w:t>Liver enzyme abnormalities ALT increased</w:t>
      </w:r>
    </w:p>
    <w:p w:rsidR="00AA6B20" w:rsidRDefault="002928AB" w:rsidP="00BF5020">
      <w:pPr>
        <w:pStyle w:val="ListBullet"/>
        <w:rPr>
          <w:lang w:val="en-US"/>
        </w:rPr>
      </w:pPr>
      <w:r w:rsidRPr="006B70DC">
        <w:rPr>
          <w:lang w:val="en-US"/>
        </w:rPr>
        <w:t xml:space="preserve">The sponsor proposes that dose modification of concomitant DMARDs be considered </w:t>
      </w:r>
      <w:r>
        <w:rPr>
          <w:lang w:val="en-US"/>
        </w:rPr>
        <w:t xml:space="preserve">in patients with </w:t>
      </w:r>
      <w:r w:rsidRPr="006B70DC">
        <w:rPr>
          <w:lang w:val="en-US"/>
        </w:rPr>
        <w:t xml:space="preserve">ALT </w:t>
      </w:r>
      <w:r w:rsidR="00DD5BCE">
        <w:t>&gt;</w:t>
      </w:r>
      <w:r w:rsidR="007C7C62">
        <w:t xml:space="preserve"> </w:t>
      </w:r>
      <w:r w:rsidRPr="006B70DC">
        <w:rPr>
          <w:lang w:val="en-US"/>
        </w:rPr>
        <w:t xml:space="preserve">1 to </w:t>
      </w:r>
      <w:r w:rsidR="00DD5BCE">
        <w:rPr>
          <w:lang w:val="en-US"/>
        </w:rPr>
        <w:t>≤</w:t>
      </w:r>
      <w:r w:rsidR="007C7C62">
        <w:rPr>
          <w:lang w:val="en-US"/>
        </w:rPr>
        <w:t xml:space="preserve"> </w:t>
      </w:r>
      <w:r w:rsidRPr="006B70DC">
        <w:rPr>
          <w:lang w:val="en-US"/>
        </w:rPr>
        <w:t xml:space="preserve">3 x ULN. The sponsor proposes that treatment with sarilumab be interrupted </w:t>
      </w:r>
      <w:r>
        <w:rPr>
          <w:lang w:val="en-US"/>
        </w:rPr>
        <w:t xml:space="preserve">in patients with </w:t>
      </w:r>
      <w:r w:rsidRPr="006B70DC">
        <w:rPr>
          <w:lang w:val="en-US"/>
        </w:rPr>
        <w:t xml:space="preserve">ALT 3 </w:t>
      </w:r>
      <w:r w:rsidR="00DD5BCE">
        <w:t>&gt;</w:t>
      </w:r>
      <w:r w:rsidR="007C7C62">
        <w:t xml:space="preserve"> </w:t>
      </w:r>
      <w:r w:rsidRPr="006B70DC">
        <w:rPr>
          <w:lang w:val="en-US"/>
        </w:rPr>
        <w:t xml:space="preserve">to </w:t>
      </w:r>
      <w:r w:rsidR="007F1BEB">
        <w:t>&lt; </w:t>
      </w:r>
      <w:r w:rsidRPr="006B70DC">
        <w:rPr>
          <w:lang w:val="en-US"/>
        </w:rPr>
        <w:t>5 x ULN, with treatment being resumed with sarilumab 150 mg q2w as clinically ap</w:t>
      </w:r>
      <w:r>
        <w:rPr>
          <w:lang w:val="en-US"/>
        </w:rPr>
        <w:t xml:space="preserve">propriate. The sponsor proposes </w:t>
      </w:r>
      <w:r w:rsidRPr="006B70DC">
        <w:rPr>
          <w:lang w:val="en-US"/>
        </w:rPr>
        <w:t xml:space="preserve">that sarilumab be discontinued </w:t>
      </w:r>
      <w:r>
        <w:rPr>
          <w:lang w:val="en-US"/>
        </w:rPr>
        <w:t xml:space="preserve">in patients with </w:t>
      </w:r>
      <w:r w:rsidRPr="006B70DC">
        <w:rPr>
          <w:lang w:val="en-US"/>
        </w:rPr>
        <w:t xml:space="preserve">ALT </w:t>
      </w:r>
      <w:r w:rsidR="00DD5BCE">
        <w:t>≥</w:t>
      </w:r>
      <w:r w:rsidR="007C7C62">
        <w:t xml:space="preserve"> </w:t>
      </w:r>
      <w:r w:rsidRPr="006B70DC">
        <w:rPr>
          <w:lang w:val="en-US"/>
        </w:rPr>
        <w:t>5 x ULN.</w:t>
      </w:r>
    </w:p>
    <w:p w:rsidR="002928AB" w:rsidRDefault="002928AB" w:rsidP="00BF5020">
      <w:pPr>
        <w:pStyle w:val="ListBullet"/>
      </w:pPr>
      <w:r w:rsidRPr="00560A16">
        <w:t xml:space="preserve">In the pivotal monotherapy </w:t>
      </w:r>
      <w:r w:rsidR="00894642">
        <w:t>Study EFC</w:t>
      </w:r>
      <w:r w:rsidRPr="00560A16">
        <w:t>14092</w:t>
      </w:r>
      <w:r w:rsidR="001F3EAD">
        <w:t xml:space="preserve"> MONARCH</w:t>
      </w:r>
      <w:r w:rsidRPr="00560A16">
        <w:t xml:space="preserve">, </w:t>
      </w:r>
      <w:r>
        <w:t xml:space="preserve">increased ALT TEAEs were reported in the same proportion of patients in the sarilumab 200 mg q2w and adalimumab 40 mg q2w groups (3.8%, </w:t>
      </w:r>
      <w:r w:rsidR="007C7C62">
        <w:t xml:space="preserve">n = </w:t>
      </w:r>
      <w:r>
        <w:t>7), and increased ALT SAEs were reported in 1 (0.5%) patient in the adalimumab group and no patients in the sarilumab group. Increased ALT TEAEs leading to permanent treatment discontinuation were reported in 2 (1.1%) patients in the adalimumab group and 1 (0.5%) patient in the sarilumab group. There were no deaths in either treatment group due to increased ALT TEAEs or hepatic failure.</w:t>
      </w:r>
    </w:p>
    <w:p w:rsidR="00AA6B20" w:rsidRDefault="002928AB" w:rsidP="00BF5020">
      <w:pPr>
        <w:pStyle w:val="ListBullet"/>
      </w:pPr>
      <w:r>
        <w:t xml:space="preserve">In the pivotal monotherapy </w:t>
      </w:r>
      <w:r w:rsidR="00894642">
        <w:t>Study EFC</w:t>
      </w:r>
      <w:r>
        <w:t>14092</w:t>
      </w:r>
      <w:r w:rsidR="001F3EAD">
        <w:t xml:space="preserve"> MONARCH</w:t>
      </w:r>
      <w:r>
        <w:t xml:space="preserve">, laboratory assessment showed that ALT </w:t>
      </w:r>
      <w:r w:rsidR="00DD5BCE">
        <w:t>&gt;</w:t>
      </w:r>
      <w:r w:rsidR="007C7C62">
        <w:t xml:space="preserve"> </w:t>
      </w:r>
      <w:r>
        <w:t>3-5 x ULN occurred in 2.7% (</w:t>
      </w:r>
      <w:r w:rsidR="007C7C62">
        <w:t xml:space="preserve">n = </w:t>
      </w:r>
      <w:r>
        <w:t>5) of patients in the sarilumab group and 1.6% (</w:t>
      </w:r>
      <w:r w:rsidR="007C7C62">
        <w:t xml:space="preserve">n = </w:t>
      </w:r>
      <w:r>
        <w:t xml:space="preserve">3) of patients in the adalimumab group, while ALT </w:t>
      </w:r>
      <w:r w:rsidR="00DD5BCE">
        <w:t>&gt;</w:t>
      </w:r>
      <w:r w:rsidR="007C7C62">
        <w:t xml:space="preserve"> </w:t>
      </w:r>
      <w:r>
        <w:t>5 x ULN occurred in 3.3% (</w:t>
      </w:r>
      <w:r w:rsidR="007C7C62">
        <w:t xml:space="preserve">n = </w:t>
      </w:r>
      <w:r>
        <w:t>6) of patients in the sarilumab group and 2.7% (</w:t>
      </w:r>
      <w:r w:rsidR="007C7C62">
        <w:t xml:space="preserve">n = </w:t>
      </w:r>
      <w:r>
        <w:t>6) of patients in the adalimumab group</w:t>
      </w:r>
      <w:r w:rsidR="00BD3AD9">
        <w:t>.</w:t>
      </w:r>
    </w:p>
    <w:p w:rsidR="002928AB" w:rsidRPr="00B375FD" w:rsidRDefault="002928AB" w:rsidP="00BF5020">
      <w:pPr>
        <w:pStyle w:val="ListBullet"/>
      </w:pPr>
      <w:r>
        <w:t>In Pool 1 (sarilumab + DMARD placebo-controlled population)</w:t>
      </w:r>
      <w:r w:rsidRPr="00560A16">
        <w:t>,</w:t>
      </w:r>
      <w:r>
        <w:t xml:space="preserve"> increased ALT TEAEs were reported in a similar proportion of patients in the sarilumab 200 mg q2w and 150 mg q2w groups (6.8%, </w:t>
      </w:r>
      <w:r w:rsidR="007C7C62">
        <w:t xml:space="preserve">n = </w:t>
      </w:r>
      <w:r>
        <w:t>45</w:t>
      </w:r>
      <w:r w:rsidR="003D2290">
        <w:t xml:space="preserve"> versus </w:t>
      </w:r>
      <w:r>
        <w:t xml:space="preserve">6.7%, </w:t>
      </w:r>
      <w:r w:rsidR="007C7C62">
        <w:t xml:space="preserve">n = </w:t>
      </w:r>
      <w:r>
        <w:t xml:space="preserve">44, respectively), as were transaminases increased (2.7%, </w:t>
      </w:r>
      <w:r w:rsidR="007C7C62">
        <w:t xml:space="preserve">n = </w:t>
      </w:r>
      <w:r>
        <w:t>18</w:t>
      </w:r>
      <w:r w:rsidR="003D2290">
        <w:t xml:space="preserve"> versus </w:t>
      </w:r>
      <w:r>
        <w:t xml:space="preserve">1.8%, </w:t>
      </w:r>
      <w:r w:rsidR="007C7C62">
        <w:t xml:space="preserve">n = </w:t>
      </w:r>
      <w:r>
        <w:t xml:space="preserve">12). Increased ALT SAEs were reported in the same proportion of patients in both sarilumab treatment groups (0.2%, </w:t>
      </w:r>
      <w:r w:rsidR="007C7C62">
        <w:t xml:space="preserve">n = </w:t>
      </w:r>
      <w:r>
        <w:t xml:space="preserve">1), as were transaminases increased (0.2%, </w:t>
      </w:r>
      <w:r w:rsidR="007C7C62">
        <w:t xml:space="preserve">n = </w:t>
      </w:r>
      <w:r>
        <w:t>1). There were no deaths in either sarilumab group due to increased ALT or transaminase TEAEs and no deaths occurred due to hepatic failure.</w:t>
      </w:r>
    </w:p>
    <w:p w:rsidR="00AA6B20" w:rsidRDefault="002928AB" w:rsidP="00BF5020">
      <w:pPr>
        <w:pStyle w:val="ListBullet"/>
      </w:pPr>
      <w:r>
        <w:t>In Pool 1 (sarilumab + DMARD placebo-controlled population)</w:t>
      </w:r>
      <w:r>
        <w:rPr>
          <w:color w:val="000000"/>
          <w:lang w:val="en-US"/>
        </w:rPr>
        <w:t xml:space="preserve">, </w:t>
      </w:r>
      <w:r>
        <w:t xml:space="preserve">ALT </w:t>
      </w:r>
      <w:r w:rsidR="00DD5BCE">
        <w:t>&gt;</w:t>
      </w:r>
      <w:r w:rsidR="007C7C62">
        <w:t xml:space="preserve"> </w:t>
      </w:r>
      <w:r>
        <w:t xml:space="preserve">3 to </w:t>
      </w:r>
      <w:r w:rsidR="00DD5BCE">
        <w:t>≤</w:t>
      </w:r>
      <w:r w:rsidR="007C7C62">
        <w:t xml:space="preserve"> </w:t>
      </w:r>
      <w:r>
        <w:t>5 x ULN laboratory abnormalities occurred in 4.7% (</w:t>
      </w:r>
      <w:r w:rsidR="007C7C62">
        <w:t xml:space="preserve">n = </w:t>
      </w:r>
      <w:r>
        <w:t>31) of patients in the sarilumab 200 mg q2w group and 5.5% (</w:t>
      </w:r>
      <w:r w:rsidR="007C7C62">
        <w:t xml:space="preserve">n = </w:t>
      </w:r>
      <w:r>
        <w:t xml:space="preserve">36) of patients in the sarilumab 150 mg q2w group, while ALT </w:t>
      </w:r>
      <w:r w:rsidR="00DD5BCE">
        <w:t>&gt;</w:t>
      </w:r>
      <w:r w:rsidR="007C7C62">
        <w:t xml:space="preserve"> </w:t>
      </w:r>
      <w:r>
        <w:t>5 x ULN laboratory abnormalities occurred in 1.8% (</w:t>
      </w:r>
      <w:r w:rsidR="007C7C62">
        <w:t xml:space="preserve">n = </w:t>
      </w:r>
      <w:r>
        <w:t>12) and 2.0% (</w:t>
      </w:r>
      <w:r w:rsidR="007C7C62">
        <w:t xml:space="preserve">n = </w:t>
      </w:r>
      <w:r>
        <w:t>13) of patients, respectively.</w:t>
      </w:r>
    </w:p>
    <w:p w:rsidR="00AA6B20" w:rsidRDefault="002928AB" w:rsidP="00BF5020">
      <w:pPr>
        <w:pStyle w:val="ListBullet"/>
      </w:pPr>
      <w:r w:rsidRPr="00F87426">
        <w:t>In Pool 2 (sarilumab + DMARD long-term safety population</w:t>
      </w:r>
      <w:r>
        <w:t xml:space="preserve">), ALT </w:t>
      </w:r>
      <w:r w:rsidR="00DD5BCE">
        <w:t>&gt;</w:t>
      </w:r>
      <w:r w:rsidR="007C7C62">
        <w:t xml:space="preserve"> </w:t>
      </w:r>
      <w:r>
        <w:t xml:space="preserve">3 to </w:t>
      </w:r>
      <w:r w:rsidR="00DD5BCE">
        <w:t>≤</w:t>
      </w:r>
      <w:r w:rsidR="007C7C62">
        <w:t xml:space="preserve"> </w:t>
      </w:r>
      <w:r>
        <w:t>5 x ULN laboratory abnormalities occurred in 7.3% (</w:t>
      </w:r>
      <w:r w:rsidR="007C7C62">
        <w:t xml:space="preserve">n = </w:t>
      </w:r>
      <w:r>
        <w:t xml:space="preserve">211) of patients in the any sarilumab dose group, while ALT </w:t>
      </w:r>
      <w:r w:rsidR="00DD5BCE">
        <w:t>&gt;</w:t>
      </w:r>
      <w:r w:rsidR="007C7C62">
        <w:t xml:space="preserve"> </w:t>
      </w:r>
      <w:r>
        <w:t>5 x ULN laboratory abnormalities occurred in 2.4% (</w:t>
      </w:r>
      <w:r w:rsidR="007C7C62">
        <w:t xml:space="preserve">n = </w:t>
      </w:r>
      <w:r>
        <w:t xml:space="preserve">68) of patients. ALT </w:t>
      </w:r>
      <w:r w:rsidR="00DD5BCE">
        <w:t>&gt;</w:t>
      </w:r>
      <w:r w:rsidR="007C7C62">
        <w:t xml:space="preserve"> </w:t>
      </w:r>
      <w:r>
        <w:t xml:space="preserve">3 to </w:t>
      </w:r>
      <w:r w:rsidR="00DD5BCE">
        <w:t>≤</w:t>
      </w:r>
      <w:r w:rsidR="007C7C62">
        <w:t xml:space="preserve"> </w:t>
      </w:r>
      <w:r>
        <w:t xml:space="preserve">5 x ULN laboratory abnormalities occurred more frequently in patients in the sarilumab 200 mg q2w initial dose group than in the sarilumab 150 mg q2w initial dose group (6.8% </w:t>
      </w:r>
      <w:r w:rsidR="00CC63CB">
        <w:t>(</w:t>
      </w:r>
      <w:r w:rsidR="007C7C62">
        <w:t xml:space="preserve">n = </w:t>
      </w:r>
      <w:r>
        <w:t>92</w:t>
      </w:r>
      <w:r w:rsidR="00CC63CB">
        <w:t>)</w:t>
      </w:r>
      <w:r w:rsidR="003D2290">
        <w:t xml:space="preserve"> versus </w:t>
      </w:r>
      <w:r>
        <w:t xml:space="preserve">4.6% </w:t>
      </w:r>
      <w:r w:rsidR="00CC63CB">
        <w:t>(</w:t>
      </w:r>
      <w:r w:rsidR="007C7C62">
        <w:t xml:space="preserve">n = </w:t>
      </w:r>
      <w:r>
        <w:t>53</w:t>
      </w:r>
      <w:r w:rsidR="00CC63CB">
        <w:t>)</w:t>
      </w:r>
      <w:r>
        <w:t xml:space="preserve">), as did ALT </w:t>
      </w:r>
      <w:r w:rsidR="00DD5BCE">
        <w:t>&gt;</w:t>
      </w:r>
      <w:r w:rsidR="007C7C62">
        <w:t xml:space="preserve"> </w:t>
      </w:r>
      <w:r>
        <w:t xml:space="preserve">5 x ULN laboratory abnormalities (2.6% </w:t>
      </w:r>
      <w:r w:rsidR="00CC63CB">
        <w:t>(</w:t>
      </w:r>
      <w:r w:rsidR="007C7C62">
        <w:t xml:space="preserve">n = </w:t>
      </w:r>
      <w:r>
        <w:t>35</w:t>
      </w:r>
      <w:r w:rsidR="00CC63CB">
        <w:t>)</w:t>
      </w:r>
      <w:r w:rsidR="003D2290">
        <w:t xml:space="preserve"> versus </w:t>
      </w:r>
      <w:r>
        <w:t xml:space="preserve">1.3% </w:t>
      </w:r>
      <w:r w:rsidR="00CC63CB">
        <w:t>(</w:t>
      </w:r>
      <w:r w:rsidR="007C7C62">
        <w:t xml:space="preserve">n = </w:t>
      </w:r>
      <w:r>
        <w:t>15</w:t>
      </w:r>
      <w:r w:rsidR="00CC63CB">
        <w:t>)</w:t>
      </w:r>
      <w:r>
        <w:t>).</w:t>
      </w:r>
    </w:p>
    <w:p w:rsidR="00AA6B20" w:rsidRDefault="002928AB" w:rsidP="00BF5020">
      <w:pPr>
        <w:pStyle w:val="ListBullet"/>
        <w:rPr>
          <w:lang w:val="en-US"/>
        </w:rPr>
      </w:pPr>
      <w:r w:rsidRPr="00560A16">
        <w:rPr>
          <w:lang w:val="en-US"/>
        </w:rPr>
        <w:t xml:space="preserve">In the long-term </w:t>
      </w:r>
      <w:r w:rsidR="003D2290">
        <w:rPr>
          <w:lang w:val="en-US"/>
        </w:rPr>
        <w:t>Study LTS</w:t>
      </w:r>
      <w:r w:rsidRPr="00560A16">
        <w:rPr>
          <w:lang w:val="en-US"/>
        </w:rPr>
        <w:t xml:space="preserve">11210, </w:t>
      </w:r>
      <w:r>
        <w:rPr>
          <w:lang w:val="en-US"/>
        </w:rPr>
        <w:t xml:space="preserve">dose </w:t>
      </w:r>
      <w:r w:rsidRPr="00560A16">
        <w:rPr>
          <w:lang w:val="en-US"/>
        </w:rPr>
        <w:t xml:space="preserve">reduction from sarilumab 200 mg q2w to sarilumab 150 mg q2w due to </w:t>
      </w:r>
      <w:r>
        <w:rPr>
          <w:lang w:val="en-US"/>
        </w:rPr>
        <w:t>ALT increase was reported in 3.9% (</w:t>
      </w:r>
      <w:r w:rsidR="007C7C62">
        <w:rPr>
          <w:lang w:val="en-US"/>
        </w:rPr>
        <w:t xml:space="preserve">n = </w:t>
      </w:r>
      <w:r>
        <w:rPr>
          <w:lang w:val="en-US"/>
        </w:rPr>
        <w:t xml:space="preserve">65) of patients, with 3.1% of patients reducing their dose due to increased ALT </w:t>
      </w:r>
      <w:r w:rsidR="00DD5BCE">
        <w:t>&gt;</w:t>
      </w:r>
      <w:r w:rsidR="007C7C62">
        <w:t xml:space="preserve"> </w:t>
      </w:r>
      <w:r>
        <w:rPr>
          <w:lang w:val="en-US"/>
        </w:rPr>
        <w:t xml:space="preserve">3 to </w:t>
      </w:r>
      <w:r w:rsidR="00DD5BCE">
        <w:rPr>
          <w:lang w:val="en-US"/>
        </w:rPr>
        <w:t>≤</w:t>
      </w:r>
      <w:r w:rsidR="007C7C62">
        <w:rPr>
          <w:lang w:val="en-US"/>
        </w:rPr>
        <w:t xml:space="preserve"> </w:t>
      </w:r>
      <w:r>
        <w:rPr>
          <w:lang w:val="en-US"/>
        </w:rPr>
        <w:t xml:space="preserve">5 x ULN laboratory abnormalities and 0.8% of patients as a precautionary measure to avoid </w:t>
      </w:r>
      <w:r>
        <w:rPr>
          <w:lang w:val="en-US"/>
        </w:rPr>
        <w:lastRenderedPageBreak/>
        <w:t xml:space="preserve">increased ALT </w:t>
      </w:r>
      <w:r w:rsidR="00DD5BCE">
        <w:t>&gt;</w:t>
      </w:r>
      <w:r w:rsidR="007C7C62">
        <w:t xml:space="preserve"> </w:t>
      </w:r>
      <w:r>
        <w:rPr>
          <w:lang w:val="en-US"/>
        </w:rPr>
        <w:t xml:space="preserve">3 to </w:t>
      </w:r>
      <w:r w:rsidR="00DD5BCE">
        <w:rPr>
          <w:lang w:val="en-US"/>
        </w:rPr>
        <w:t>≤</w:t>
      </w:r>
      <w:r w:rsidR="007C7C62">
        <w:rPr>
          <w:lang w:val="en-US"/>
        </w:rPr>
        <w:t xml:space="preserve"> </w:t>
      </w:r>
      <w:r>
        <w:rPr>
          <w:lang w:val="en-US"/>
        </w:rPr>
        <w:t>5 x ULN laboratory abnormalities. The results indicated that most patients starting</w:t>
      </w:r>
      <w:r w:rsidRPr="00560A16">
        <w:rPr>
          <w:lang w:val="en-US"/>
        </w:rPr>
        <w:t xml:space="preserve"> treatment </w:t>
      </w:r>
      <w:r>
        <w:rPr>
          <w:lang w:val="en-US"/>
        </w:rPr>
        <w:t xml:space="preserve">on </w:t>
      </w:r>
      <w:r w:rsidRPr="00560A16">
        <w:rPr>
          <w:lang w:val="en-US"/>
        </w:rPr>
        <w:t xml:space="preserve">sarilumab 200 mg q2w did not require dose reduction to sarilumab 150 mg q2w due </w:t>
      </w:r>
      <w:r>
        <w:rPr>
          <w:lang w:val="en-US"/>
        </w:rPr>
        <w:t xml:space="preserve">to ALT </w:t>
      </w:r>
      <w:r w:rsidR="00DD5BCE">
        <w:t>&gt;</w:t>
      </w:r>
      <w:r w:rsidR="007C7C62">
        <w:t xml:space="preserve"> </w:t>
      </w:r>
      <w:r>
        <w:rPr>
          <w:lang w:val="en-US"/>
        </w:rPr>
        <w:t xml:space="preserve">3 to </w:t>
      </w:r>
      <w:r w:rsidR="007F1BEB">
        <w:t>&lt; </w:t>
      </w:r>
      <w:r>
        <w:rPr>
          <w:lang w:val="en-US"/>
        </w:rPr>
        <w:t>5 x ULN laboratory abnormalities.</w:t>
      </w:r>
    </w:p>
    <w:p w:rsidR="00AA6B20" w:rsidRDefault="002928AB" w:rsidP="00BF5020">
      <w:pPr>
        <w:pStyle w:val="ListBullet"/>
        <w:rPr>
          <w:lang w:val="en-US"/>
        </w:rPr>
      </w:pPr>
      <w:r w:rsidRPr="00560A16">
        <w:rPr>
          <w:lang w:val="en-US"/>
        </w:rPr>
        <w:t xml:space="preserve">Overall, the reports of </w:t>
      </w:r>
      <w:r>
        <w:rPr>
          <w:lang w:val="en-US"/>
        </w:rPr>
        <w:t>increased ALT</w:t>
      </w:r>
      <w:r w:rsidRPr="00560A16">
        <w:rPr>
          <w:lang w:val="en-US"/>
        </w:rPr>
        <w:t xml:space="preserve"> associated with sarilumab 200 mg q2w do not give rise to </w:t>
      </w:r>
      <w:r>
        <w:rPr>
          <w:lang w:val="en-US"/>
        </w:rPr>
        <w:t xml:space="preserve">concern. </w:t>
      </w:r>
      <w:r w:rsidRPr="00560A16">
        <w:rPr>
          <w:lang w:val="en-US"/>
        </w:rPr>
        <w:t xml:space="preserve">The sponsor recommends reduction of sarilumab from 200 mg q2w to 150 mg q2w for those patients who meet the criteria </w:t>
      </w:r>
      <w:r>
        <w:rPr>
          <w:lang w:val="en-US"/>
        </w:rPr>
        <w:t>for ALT</w:t>
      </w:r>
      <w:r w:rsidRPr="00560A16">
        <w:rPr>
          <w:lang w:val="en-US"/>
        </w:rPr>
        <w:t xml:space="preserve"> </w:t>
      </w:r>
      <w:r>
        <w:rPr>
          <w:lang w:val="en-US"/>
        </w:rPr>
        <w:t xml:space="preserve">abnormalities </w:t>
      </w:r>
      <w:r w:rsidRPr="00560A16">
        <w:rPr>
          <w:lang w:val="en-US"/>
        </w:rPr>
        <w:t>specified in the PI, and this approach is considered to be appropriate.</w:t>
      </w:r>
    </w:p>
    <w:p w:rsidR="00AA6B20" w:rsidRDefault="002928AB" w:rsidP="00BF5020">
      <w:pPr>
        <w:pStyle w:val="Heading4"/>
        <w:rPr>
          <w:lang w:val="en-US"/>
        </w:rPr>
      </w:pPr>
      <w:r w:rsidRPr="00121F3F">
        <w:rPr>
          <w:lang w:val="en-US"/>
        </w:rPr>
        <w:t>Study LTS11210</w:t>
      </w:r>
      <w:r>
        <w:rPr>
          <w:lang w:val="en-US"/>
        </w:rPr>
        <w:t xml:space="preserve"> (long-term study)</w:t>
      </w:r>
      <w:r w:rsidRPr="00121F3F">
        <w:rPr>
          <w:lang w:val="en-US"/>
        </w:rPr>
        <w:t xml:space="preserve"> Analyses related to dose reduction</w:t>
      </w:r>
    </w:p>
    <w:p w:rsidR="00AA6B20" w:rsidRDefault="002928AB" w:rsidP="002928AB">
      <w:pPr>
        <w:widowControl w:val="0"/>
        <w:autoSpaceDE w:val="0"/>
        <w:autoSpaceDN w:val="0"/>
        <w:adjustRightInd w:val="0"/>
        <w:spacing w:after="0"/>
        <w:rPr>
          <w:rFonts w:asciiTheme="minorHAnsi" w:hAnsiTheme="minorHAnsi"/>
          <w:lang w:val="en-US"/>
        </w:rPr>
      </w:pPr>
      <w:r w:rsidRPr="00121F3F">
        <w:rPr>
          <w:rFonts w:asciiTheme="minorHAnsi" w:hAnsiTheme="minorHAnsi"/>
          <w:lang w:val="en-US"/>
        </w:rPr>
        <w:t xml:space="preserve">Prior to </w:t>
      </w:r>
      <w:r w:rsidR="001470FB">
        <w:rPr>
          <w:rFonts w:asciiTheme="minorHAnsi" w:hAnsiTheme="minorHAnsi"/>
          <w:lang w:val="en-US"/>
        </w:rPr>
        <w:t>Phase III</w:t>
      </w:r>
      <w:r w:rsidRPr="00121F3F">
        <w:rPr>
          <w:rFonts w:asciiTheme="minorHAnsi" w:hAnsiTheme="minorHAnsi"/>
          <w:lang w:val="en-US"/>
        </w:rPr>
        <w:t xml:space="preserve"> dose selection, the initial dose in </w:t>
      </w:r>
      <w:r w:rsidR="00CC63CB">
        <w:rPr>
          <w:rFonts w:asciiTheme="minorHAnsi" w:hAnsiTheme="minorHAnsi"/>
          <w:lang w:val="en-US"/>
        </w:rPr>
        <w:t xml:space="preserve">Study </w:t>
      </w:r>
      <w:r w:rsidRPr="00121F3F">
        <w:rPr>
          <w:rFonts w:asciiTheme="minorHAnsi" w:hAnsiTheme="minorHAnsi"/>
          <w:lang w:val="en-US"/>
        </w:rPr>
        <w:t xml:space="preserve">LTS11210 was 150 mg </w:t>
      </w:r>
      <w:proofErr w:type="spellStart"/>
      <w:r w:rsidRPr="00121F3F">
        <w:rPr>
          <w:rFonts w:asciiTheme="minorHAnsi" w:hAnsiTheme="minorHAnsi"/>
          <w:lang w:val="en-US"/>
        </w:rPr>
        <w:t>qw</w:t>
      </w:r>
      <w:proofErr w:type="spellEnd"/>
      <w:r w:rsidRPr="00121F3F">
        <w:rPr>
          <w:rFonts w:asciiTheme="minorHAnsi" w:hAnsiTheme="minorHAnsi"/>
          <w:lang w:val="en-US"/>
        </w:rPr>
        <w:t xml:space="preserve"> and after </w:t>
      </w:r>
      <w:r w:rsidR="001470FB">
        <w:rPr>
          <w:rFonts w:asciiTheme="minorHAnsi" w:hAnsiTheme="minorHAnsi"/>
          <w:lang w:val="en-US"/>
        </w:rPr>
        <w:t>Phase III</w:t>
      </w:r>
      <w:r w:rsidRPr="00121F3F">
        <w:rPr>
          <w:rFonts w:asciiTheme="minorHAnsi" w:hAnsiTheme="minorHAnsi"/>
          <w:lang w:val="en-US"/>
        </w:rPr>
        <w:t xml:space="preserve"> dose selection, it was 200 mg q2w. </w:t>
      </w:r>
      <w:r>
        <w:rPr>
          <w:rFonts w:asciiTheme="minorHAnsi" w:hAnsiTheme="minorHAnsi"/>
          <w:lang w:val="en-US"/>
        </w:rPr>
        <w:t>P</w:t>
      </w:r>
      <w:r w:rsidRPr="00121F3F">
        <w:rPr>
          <w:rFonts w:asciiTheme="minorHAnsi" w:hAnsiTheme="minorHAnsi"/>
          <w:lang w:val="en-US"/>
        </w:rPr>
        <w:t xml:space="preserve">er protocol, investigators could </w:t>
      </w:r>
      <w:r>
        <w:rPr>
          <w:rFonts w:asciiTheme="minorHAnsi" w:hAnsiTheme="minorHAnsi"/>
          <w:lang w:val="en-US"/>
        </w:rPr>
        <w:t xml:space="preserve">reduce </w:t>
      </w:r>
      <w:r w:rsidRPr="00121F3F">
        <w:rPr>
          <w:rFonts w:asciiTheme="minorHAnsi" w:hAnsiTheme="minorHAnsi"/>
          <w:lang w:val="en-US"/>
        </w:rPr>
        <w:t xml:space="preserve">the sarilumab dose to 150 mg q2w for laboratory abnormalities (ANC </w:t>
      </w:r>
      <w:r w:rsidR="00DD5BCE">
        <w:t>≥</w:t>
      </w:r>
      <w:r w:rsidR="007C7C62">
        <w:t xml:space="preserve"> </w:t>
      </w:r>
      <w:r w:rsidRPr="00121F3F">
        <w:rPr>
          <w:rFonts w:asciiTheme="minorHAnsi" w:hAnsiTheme="minorHAnsi"/>
          <w:lang w:val="en-US"/>
        </w:rPr>
        <w:t>0.5 to 1.0 Giga/L in the</w:t>
      </w:r>
      <w:r>
        <w:rPr>
          <w:rFonts w:asciiTheme="minorHAnsi" w:hAnsiTheme="minorHAnsi"/>
          <w:lang w:val="en-US"/>
        </w:rPr>
        <w:t xml:space="preserve"> </w:t>
      </w:r>
      <w:r w:rsidRPr="00121F3F">
        <w:rPr>
          <w:rFonts w:asciiTheme="minorHAnsi" w:hAnsiTheme="minorHAnsi"/>
          <w:lang w:val="en-US"/>
        </w:rPr>
        <w:t xml:space="preserve">absence of infection, platelet count </w:t>
      </w:r>
      <w:r w:rsidR="00DD5BCE">
        <w:t>≥</w:t>
      </w:r>
      <w:r w:rsidR="007C7C62">
        <w:t xml:space="preserve"> </w:t>
      </w:r>
      <w:r w:rsidRPr="00121F3F">
        <w:rPr>
          <w:rFonts w:asciiTheme="minorHAnsi" w:hAnsiTheme="minorHAnsi"/>
          <w:lang w:val="en-US"/>
        </w:rPr>
        <w:t xml:space="preserve">50 to 100 Giga/L in the absence of bleeding, or ALT </w:t>
      </w:r>
      <w:r w:rsidR="00DD5BCE">
        <w:t>≥</w:t>
      </w:r>
      <w:r w:rsidR="007C7C62">
        <w:t xml:space="preserve"> </w:t>
      </w:r>
      <w:r w:rsidRPr="00121F3F">
        <w:rPr>
          <w:rFonts w:asciiTheme="minorHAnsi" w:hAnsiTheme="minorHAnsi"/>
          <w:lang w:val="en-US"/>
        </w:rPr>
        <w:t>3 to</w:t>
      </w:r>
      <w:r>
        <w:rPr>
          <w:rFonts w:asciiTheme="minorHAnsi" w:hAnsiTheme="minorHAnsi"/>
          <w:lang w:val="en-US"/>
        </w:rPr>
        <w:t xml:space="preserve"> </w:t>
      </w:r>
      <w:r w:rsidRPr="00121F3F">
        <w:rPr>
          <w:rFonts w:asciiTheme="minorHAnsi" w:hAnsiTheme="minorHAnsi"/>
          <w:lang w:val="en-US"/>
        </w:rPr>
        <w:t xml:space="preserve">5 x ULN). The data from this study are relevant to the sponsor's </w:t>
      </w:r>
      <w:r>
        <w:rPr>
          <w:rFonts w:asciiTheme="minorHAnsi" w:hAnsiTheme="minorHAnsi"/>
          <w:lang w:val="en-US"/>
        </w:rPr>
        <w:t>recommendation provided in the PI relating to dose reduction from sarilumab 200 mg q2w to sarilumab 150 mg q2w in the event of neutro</w:t>
      </w:r>
      <w:r w:rsidR="001E2D44">
        <w:rPr>
          <w:rFonts w:asciiTheme="minorHAnsi" w:hAnsiTheme="minorHAnsi"/>
          <w:lang w:val="en-US"/>
        </w:rPr>
        <w:t>paenia</w:t>
      </w:r>
      <w:r>
        <w:rPr>
          <w:rFonts w:asciiTheme="minorHAnsi" w:hAnsiTheme="minorHAnsi"/>
          <w:lang w:val="en-US"/>
        </w:rPr>
        <w:t xml:space="preserve">, reductions in platelet count and increases in ALT levels (see Table </w:t>
      </w:r>
      <w:r w:rsidR="000F5B2C">
        <w:rPr>
          <w:rFonts w:asciiTheme="minorHAnsi" w:hAnsiTheme="minorHAnsi"/>
          <w:lang w:val="en-US"/>
        </w:rPr>
        <w:t>45</w:t>
      </w:r>
      <w:r>
        <w:rPr>
          <w:rFonts w:asciiTheme="minorHAnsi" w:hAnsiTheme="minorHAnsi"/>
          <w:lang w:val="en-US"/>
        </w:rPr>
        <w:t>, below).</w:t>
      </w:r>
    </w:p>
    <w:p w:rsidR="002928AB" w:rsidRPr="00121F3F" w:rsidRDefault="002928AB" w:rsidP="00BF5020">
      <w:pPr>
        <w:pStyle w:val="TableTitle"/>
        <w:keepLines/>
        <w:rPr>
          <w:lang w:val="en-US"/>
        </w:rPr>
      </w:pPr>
      <w:bookmarkStart w:id="183" w:name="_Toc514687854"/>
      <w:r>
        <w:t xml:space="preserve">Table </w:t>
      </w:r>
      <w:r w:rsidR="000F5B2C">
        <w:t>45</w:t>
      </w:r>
      <w:r>
        <w:t xml:space="preserve">: </w:t>
      </w:r>
      <w:r w:rsidRPr="00121F3F">
        <w:rPr>
          <w:lang w:val="en-US"/>
        </w:rPr>
        <w:t>Proposed d</w:t>
      </w:r>
      <w:r>
        <w:rPr>
          <w:lang w:val="en-US"/>
        </w:rPr>
        <w:t>ose modifications of sarilumab, sourced from the PI document</w:t>
      </w:r>
      <w:bookmarkEnd w:id="183"/>
    </w:p>
    <w:p w:rsidR="002928AB" w:rsidRDefault="00BF5020" w:rsidP="00956323">
      <w:pPr>
        <w:rPr>
          <w:rFonts w:ascii="Times New Roman" w:hAnsi="Times New Roman"/>
          <w:lang w:val="en-US"/>
        </w:rPr>
      </w:pPr>
      <w:r>
        <w:rPr>
          <w:noProof/>
          <w:lang w:eastAsia="en-AU"/>
        </w:rPr>
        <w:drawing>
          <wp:inline distT="0" distB="0" distL="0" distR="0" wp14:anchorId="12D1D173" wp14:editId="165CE985">
            <wp:extent cx="4413703" cy="4027714"/>
            <wp:effectExtent l="0" t="0" r="6350" b="0"/>
            <wp:docPr id="24" name="Picture 24" descr="Proposed dose modifications of sarilumab, sourced from the PI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BEBA8EAE-BF5A-486C-A8C5-ECC9F3942E4B}">
                          <a14:imgProps xmlns:a14="http://schemas.microsoft.com/office/drawing/2010/main">
                            <a14:imgLayer r:embed="rId83">
                              <a14:imgEffect>
                                <a14:sharpenSoften amount="50000"/>
                              </a14:imgEffect>
                            </a14:imgLayer>
                          </a14:imgProps>
                        </a:ext>
                      </a:extLst>
                    </a:blip>
                    <a:stretch>
                      <a:fillRect/>
                    </a:stretch>
                  </pic:blipFill>
                  <pic:spPr>
                    <a:xfrm>
                      <a:off x="0" y="0"/>
                      <a:ext cx="4416101" cy="4029903"/>
                    </a:xfrm>
                    <a:prstGeom prst="rect">
                      <a:avLst/>
                    </a:prstGeom>
                  </pic:spPr>
                </pic:pic>
              </a:graphicData>
            </a:graphic>
          </wp:inline>
        </w:drawing>
      </w:r>
    </w:p>
    <w:p w:rsidR="00AA6B20" w:rsidRDefault="002928AB" w:rsidP="002928AB">
      <w:pPr>
        <w:widowControl w:val="0"/>
        <w:autoSpaceDE w:val="0"/>
        <w:autoSpaceDN w:val="0"/>
        <w:adjustRightInd w:val="0"/>
        <w:spacing w:after="0"/>
        <w:rPr>
          <w:rFonts w:asciiTheme="minorHAnsi" w:hAnsiTheme="minorHAnsi"/>
          <w:lang w:val="en-US"/>
        </w:rPr>
      </w:pPr>
      <w:r w:rsidRPr="00121F3F">
        <w:rPr>
          <w:rFonts w:asciiTheme="minorHAnsi" w:hAnsiTheme="minorHAnsi"/>
          <w:lang w:val="en-US"/>
        </w:rPr>
        <w:t xml:space="preserve">The proportion of patients in </w:t>
      </w:r>
      <w:r w:rsidR="003D2290">
        <w:rPr>
          <w:rFonts w:asciiTheme="minorHAnsi" w:hAnsiTheme="minorHAnsi"/>
          <w:lang w:val="en-US"/>
        </w:rPr>
        <w:t>Study LTS</w:t>
      </w:r>
      <w:r w:rsidRPr="00121F3F">
        <w:rPr>
          <w:rFonts w:asciiTheme="minorHAnsi" w:hAnsiTheme="minorHAnsi"/>
          <w:lang w:val="en-US"/>
        </w:rPr>
        <w:t>11210 who had th</w:t>
      </w:r>
      <w:r>
        <w:rPr>
          <w:rFonts w:asciiTheme="minorHAnsi" w:hAnsiTheme="minorHAnsi"/>
          <w:lang w:val="en-US"/>
        </w:rPr>
        <w:t>eir dose reduced to 150 mg q2w (</w:t>
      </w:r>
      <w:r w:rsidRPr="00121F3F">
        <w:rPr>
          <w:rFonts w:asciiTheme="minorHAnsi" w:hAnsiTheme="minorHAnsi"/>
          <w:lang w:val="en-US"/>
        </w:rPr>
        <w:t>ex</w:t>
      </w:r>
      <w:r>
        <w:rPr>
          <w:rFonts w:asciiTheme="minorHAnsi" w:hAnsiTheme="minorHAnsi"/>
          <w:lang w:val="en-US"/>
        </w:rPr>
        <w:t>cluding reductions due to error)</w:t>
      </w:r>
      <w:r w:rsidRPr="00121F3F">
        <w:rPr>
          <w:rFonts w:asciiTheme="minorHAnsi" w:hAnsiTheme="minorHAnsi"/>
          <w:lang w:val="en-US"/>
        </w:rPr>
        <w:t xml:space="preserve"> and the reasons for those reductions are summarised below in Table </w:t>
      </w:r>
      <w:r w:rsidR="000F5B2C">
        <w:rPr>
          <w:rFonts w:asciiTheme="minorHAnsi" w:hAnsiTheme="minorHAnsi"/>
          <w:lang w:val="en-US"/>
        </w:rPr>
        <w:t>46</w:t>
      </w:r>
      <w:r w:rsidRPr="00121F3F">
        <w:rPr>
          <w:rFonts w:asciiTheme="minorHAnsi" w:hAnsiTheme="minorHAnsi"/>
          <w:lang w:val="en-US"/>
        </w:rPr>
        <w:t>. Dose reduction</w:t>
      </w:r>
      <w:r>
        <w:rPr>
          <w:rFonts w:asciiTheme="minorHAnsi" w:hAnsiTheme="minorHAnsi"/>
          <w:lang w:val="en-US"/>
        </w:rPr>
        <w:t>s</w:t>
      </w:r>
      <w:r w:rsidRPr="00121F3F">
        <w:rPr>
          <w:rFonts w:asciiTheme="minorHAnsi" w:hAnsiTheme="minorHAnsi"/>
          <w:lang w:val="en-US"/>
        </w:rPr>
        <w:t xml:space="preserve"> from sarilumab 200 mg q2w to sarilumab 150 mg q2w </w:t>
      </w:r>
      <w:r>
        <w:rPr>
          <w:rFonts w:asciiTheme="minorHAnsi" w:hAnsiTheme="minorHAnsi"/>
          <w:lang w:val="en-US"/>
        </w:rPr>
        <w:t>were</w:t>
      </w:r>
      <w:r w:rsidRPr="00121F3F">
        <w:rPr>
          <w:rFonts w:asciiTheme="minorHAnsi" w:hAnsiTheme="minorHAnsi"/>
          <w:lang w:val="en-US"/>
        </w:rPr>
        <w:t xml:space="preserve"> reported in 17.7% of patients, with the major reason b</w:t>
      </w:r>
      <w:r>
        <w:rPr>
          <w:rFonts w:asciiTheme="minorHAnsi" w:hAnsiTheme="minorHAnsi"/>
          <w:lang w:val="en-US"/>
        </w:rPr>
        <w:t>e</w:t>
      </w:r>
      <w:r w:rsidRPr="00121F3F">
        <w:rPr>
          <w:rFonts w:asciiTheme="minorHAnsi" w:hAnsiTheme="minorHAnsi"/>
          <w:lang w:val="en-US"/>
        </w:rPr>
        <w:t>ing neutrophil count decreased (11.3%)</w:t>
      </w:r>
      <w:r>
        <w:rPr>
          <w:rFonts w:asciiTheme="minorHAnsi" w:hAnsiTheme="minorHAnsi"/>
          <w:lang w:val="en-US"/>
        </w:rPr>
        <w:t xml:space="preserve">, </w:t>
      </w:r>
      <w:r w:rsidRPr="00121F3F">
        <w:rPr>
          <w:rFonts w:asciiTheme="minorHAnsi" w:hAnsiTheme="minorHAnsi"/>
          <w:lang w:val="en-US"/>
        </w:rPr>
        <w:t>followed by ALT increase</w:t>
      </w:r>
      <w:r>
        <w:rPr>
          <w:rFonts w:asciiTheme="minorHAnsi" w:hAnsiTheme="minorHAnsi"/>
          <w:lang w:val="en-US"/>
        </w:rPr>
        <w:t>d</w:t>
      </w:r>
      <w:r w:rsidRPr="00121F3F">
        <w:rPr>
          <w:rFonts w:asciiTheme="minorHAnsi" w:hAnsiTheme="minorHAnsi"/>
          <w:lang w:val="en-US"/>
        </w:rPr>
        <w:t xml:space="preserve"> (3.9%). After dose reduction, an improvement in ANC and ALT towards baseline or normal value</w:t>
      </w:r>
      <w:r>
        <w:rPr>
          <w:rFonts w:asciiTheme="minorHAnsi" w:hAnsiTheme="minorHAnsi"/>
          <w:lang w:val="en-US"/>
        </w:rPr>
        <w:t>s</w:t>
      </w:r>
      <w:r w:rsidRPr="00121F3F">
        <w:rPr>
          <w:rFonts w:asciiTheme="minorHAnsi" w:hAnsiTheme="minorHAnsi"/>
          <w:lang w:val="en-US"/>
        </w:rPr>
        <w:t xml:space="preserve"> was observed. </w:t>
      </w:r>
      <w:r>
        <w:rPr>
          <w:rFonts w:asciiTheme="minorHAnsi" w:hAnsiTheme="minorHAnsi"/>
          <w:lang w:val="en-US"/>
        </w:rPr>
        <w:t>N</w:t>
      </w:r>
      <w:r w:rsidRPr="00121F3F">
        <w:rPr>
          <w:rFonts w:asciiTheme="minorHAnsi" w:hAnsiTheme="minorHAnsi"/>
          <w:lang w:val="en-US"/>
        </w:rPr>
        <w:t xml:space="preserve">o patient increased dose to 200 mg q2w after reducing </w:t>
      </w:r>
      <w:r>
        <w:rPr>
          <w:rFonts w:asciiTheme="minorHAnsi" w:hAnsiTheme="minorHAnsi"/>
          <w:lang w:val="en-US"/>
        </w:rPr>
        <w:t xml:space="preserve">the </w:t>
      </w:r>
      <w:r w:rsidRPr="00121F3F">
        <w:rPr>
          <w:rFonts w:asciiTheme="minorHAnsi" w:hAnsiTheme="minorHAnsi"/>
          <w:lang w:val="en-US"/>
        </w:rPr>
        <w:t xml:space="preserve">dose to 150 mg q2w. </w:t>
      </w:r>
      <w:r>
        <w:rPr>
          <w:rFonts w:asciiTheme="minorHAnsi" w:hAnsiTheme="minorHAnsi"/>
          <w:lang w:val="en-US"/>
        </w:rPr>
        <w:t xml:space="preserve">Of the patients initiating treatment with sarilumab 200 mg q2w, 82.3% did not require dose </w:t>
      </w:r>
      <w:r>
        <w:rPr>
          <w:rFonts w:asciiTheme="minorHAnsi" w:hAnsiTheme="minorHAnsi"/>
          <w:lang w:val="en-US"/>
        </w:rPr>
        <w:lastRenderedPageBreak/>
        <w:t>reduction to 150 mg q2w.</w:t>
      </w:r>
    </w:p>
    <w:p w:rsidR="002928AB" w:rsidRPr="00BC0800" w:rsidRDefault="002928AB" w:rsidP="00C97347">
      <w:pPr>
        <w:pStyle w:val="TableTitle"/>
        <w:rPr>
          <w:lang w:val="en-US"/>
        </w:rPr>
      </w:pPr>
      <w:bookmarkStart w:id="184" w:name="_Toc514687855"/>
      <w:r>
        <w:t xml:space="preserve">Table </w:t>
      </w:r>
      <w:r w:rsidR="000F5B2C">
        <w:t>46</w:t>
      </w:r>
      <w:r>
        <w:t xml:space="preserve">: </w:t>
      </w:r>
      <w:r w:rsidRPr="00BC0800">
        <w:rPr>
          <w:lang w:val="en-US"/>
        </w:rPr>
        <w:t xml:space="preserve">Reason for dose reduction in </w:t>
      </w:r>
      <w:r w:rsidR="003D2290">
        <w:rPr>
          <w:lang w:val="en-US"/>
        </w:rPr>
        <w:t>Study LTS</w:t>
      </w:r>
      <w:r w:rsidRPr="00BC0800">
        <w:rPr>
          <w:lang w:val="en-US"/>
        </w:rPr>
        <w:t>11210</w:t>
      </w:r>
      <w:bookmarkEnd w:id="184"/>
    </w:p>
    <w:p w:rsidR="002928AB" w:rsidRDefault="002928AB" w:rsidP="002928AB">
      <w:pPr>
        <w:spacing w:after="0"/>
        <w:rPr>
          <w:rFonts w:ascii="Times New Roman" w:hAnsi="Times New Roman"/>
          <w:lang w:val="en-US"/>
        </w:rPr>
      </w:pPr>
      <w:r>
        <w:rPr>
          <w:rFonts w:ascii="Times New Roman" w:hAnsi="Times New Roman"/>
          <w:noProof/>
          <w:lang w:eastAsia="en-AU"/>
        </w:rPr>
        <w:drawing>
          <wp:inline distT="0" distB="0" distL="0" distR="0" wp14:anchorId="5B595435" wp14:editId="0D0063C7">
            <wp:extent cx="5261474" cy="2779776"/>
            <wp:effectExtent l="0" t="0" r="0" b="1905"/>
            <wp:docPr id="901" name="Picture 10" descr="Reason for dose reduction in study LTS1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4" cstate="print">
                      <a:extLst>
                        <a:ext uri="{BEBA8EAE-BF5A-486C-A8C5-ECC9F3942E4B}">
                          <a14:imgProps xmlns:a14="http://schemas.microsoft.com/office/drawing/2010/main">
                            <a14:imgLayer r:embed="rId85">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266331" cy="2782342"/>
                    </a:xfrm>
                    <a:prstGeom prst="rect">
                      <a:avLst/>
                    </a:prstGeom>
                    <a:noFill/>
                    <a:ln>
                      <a:noFill/>
                    </a:ln>
                  </pic:spPr>
                </pic:pic>
              </a:graphicData>
            </a:graphic>
          </wp:inline>
        </w:drawing>
      </w:r>
    </w:p>
    <w:p w:rsidR="00AA6B20" w:rsidRDefault="002928AB" w:rsidP="002928AB">
      <w:pPr>
        <w:rPr>
          <w:color w:val="000000"/>
          <w:lang w:val="en-US"/>
        </w:rPr>
      </w:pPr>
      <w:r>
        <w:rPr>
          <w:color w:val="000000"/>
          <w:lang w:val="en-US"/>
        </w:rPr>
        <w:t xml:space="preserve">Dose reductions from sarilumab 200 mg q2w to sarilumab 150 mg q2w occurred most frequently in the first 3 months of treatment, with approximately 10% of patients undergoing dose reduction in this time period, and approximately 10% of patients undergoing dose reduction over the next 3 to 48 months at a reasonably constant rate. The time to first dose reduction is summarised below in Figure </w:t>
      </w:r>
      <w:r w:rsidR="008948C4">
        <w:rPr>
          <w:color w:val="000000"/>
          <w:lang w:val="en-US"/>
        </w:rPr>
        <w:t>12</w:t>
      </w:r>
      <w:r>
        <w:rPr>
          <w:color w:val="000000"/>
          <w:lang w:val="en-US"/>
        </w:rPr>
        <w:t>.</w:t>
      </w:r>
    </w:p>
    <w:p w:rsidR="00AA6B20" w:rsidRDefault="002928AB" w:rsidP="00C97347">
      <w:pPr>
        <w:pStyle w:val="FigureTitle"/>
        <w:rPr>
          <w:lang w:val="en-US"/>
        </w:rPr>
      </w:pPr>
      <w:bookmarkStart w:id="185" w:name="_Toc514682708"/>
      <w:r>
        <w:t xml:space="preserve">Figure </w:t>
      </w:r>
      <w:r w:rsidR="008948C4">
        <w:t>12</w:t>
      </w:r>
      <w:r>
        <w:t xml:space="preserve">: </w:t>
      </w:r>
      <w:r w:rsidR="00CC63CB">
        <w:t xml:space="preserve">Study </w:t>
      </w:r>
      <w:r w:rsidRPr="00121F3F">
        <w:rPr>
          <w:lang w:val="en-US"/>
        </w:rPr>
        <w:t>LTS11210 Time to first dose reduction in patients initiating treatment on sarilumab 200 mg q2W</w:t>
      </w:r>
      <w:bookmarkEnd w:id="185"/>
    </w:p>
    <w:p w:rsidR="002928AB" w:rsidRDefault="002928AB" w:rsidP="002928AB">
      <w:pPr>
        <w:rPr>
          <w:color w:val="000000"/>
          <w:lang w:val="en-US"/>
        </w:rPr>
      </w:pPr>
      <w:r>
        <w:rPr>
          <w:noProof/>
          <w:color w:val="000000"/>
          <w:lang w:eastAsia="en-AU"/>
        </w:rPr>
        <w:drawing>
          <wp:inline distT="0" distB="0" distL="0" distR="0" wp14:anchorId="630079B2" wp14:editId="2449888B">
            <wp:extent cx="3877200" cy="2851200"/>
            <wp:effectExtent l="0" t="0" r="9525" b="6350"/>
            <wp:docPr id="903" name="Picture 11" descr="LTS11210 - Time to first dose reduction in patients initiating treatment on sarilumab 200 mg q2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cstate="print">
                      <a:extLst>
                        <a:ext uri="{BEBA8EAE-BF5A-486C-A8C5-ECC9F3942E4B}">
                          <a14:imgProps xmlns:a14="http://schemas.microsoft.com/office/drawing/2010/main">
                            <a14:imgLayer r:embed="rId8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877200" cy="2851200"/>
                    </a:xfrm>
                    <a:prstGeom prst="rect">
                      <a:avLst/>
                    </a:prstGeom>
                    <a:noFill/>
                    <a:ln>
                      <a:noFill/>
                    </a:ln>
                  </pic:spPr>
                </pic:pic>
              </a:graphicData>
            </a:graphic>
          </wp:inline>
        </w:drawing>
      </w:r>
    </w:p>
    <w:p w:rsidR="00AA6B20" w:rsidRDefault="002928AB" w:rsidP="002928AB">
      <w:pPr>
        <w:rPr>
          <w:color w:val="000000"/>
          <w:lang w:val="en-US"/>
        </w:rPr>
      </w:pPr>
      <w:r>
        <w:rPr>
          <w:color w:val="000000"/>
          <w:lang w:val="en-US"/>
        </w:rPr>
        <w:t xml:space="preserve">Disposition after dose reduction in patients who were receiving sarilumab 200 mg q2w prior to dose reduction is summarised below in Table </w:t>
      </w:r>
      <w:r w:rsidR="000F5B2C">
        <w:rPr>
          <w:color w:val="000000"/>
          <w:lang w:val="en-US"/>
        </w:rPr>
        <w:t>47</w:t>
      </w:r>
      <w:r>
        <w:rPr>
          <w:color w:val="000000"/>
          <w:lang w:val="en-US"/>
        </w:rPr>
        <w:t>. Of the total number of patients in the analysis (</w:t>
      </w:r>
      <w:r w:rsidR="007C7C62">
        <w:rPr>
          <w:color w:val="000000"/>
          <w:lang w:val="en-US"/>
        </w:rPr>
        <w:t xml:space="preserve">n = </w:t>
      </w:r>
      <w:r>
        <w:rPr>
          <w:color w:val="000000"/>
          <w:lang w:val="en-US"/>
        </w:rPr>
        <w:t>321), 76.9% (</w:t>
      </w:r>
      <w:r w:rsidR="007C7C62">
        <w:rPr>
          <w:color w:val="000000"/>
          <w:lang w:val="en-US"/>
        </w:rPr>
        <w:t xml:space="preserve">n = </w:t>
      </w:r>
      <w:r>
        <w:rPr>
          <w:color w:val="000000"/>
          <w:lang w:val="en-US"/>
        </w:rPr>
        <w:t>247) continued sarilumab treatment after dose reduction. The sponsor states that, as of 26 January 2016, the mean duration of dose reduction was 770 days.</w:t>
      </w:r>
    </w:p>
    <w:p w:rsidR="00AA6B20" w:rsidRDefault="002928AB" w:rsidP="00C97347">
      <w:pPr>
        <w:pStyle w:val="Tabletitle0"/>
        <w:rPr>
          <w:lang w:val="en-US"/>
        </w:rPr>
      </w:pPr>
      <w:bookmarkStart w:id="186" w:name="_Toc514687856"/>
      <w:r>
        <w:lastRenderedPageBreak/>
        <w:t xml:space="preserve">Table </w:t>
      </w:r>
      <w:r w:rsidR="000F5B2C">
        <w:t>47</w:t>
      </w:r>
      <w:r>
        <w:t xml:space="preserve">: </w:t>
      </w:r>
      <w:r w:rsidR="000F5B2C">
        <w:t xml:space="preserve">Study </w:t>
      </w:r>
      <w:r w:rsidRPr="00121F3F">
        <w:rPr>
          <w:lang w:val="en-US"/>
        </w:rPr>
        <w:t>LTS11210 Patient disposition after dose reduction for patients who were on sarilumab 200 mg q2w prior to dose reduction</w:t>
      </w:r>
      <w:bookmarkEnd w:id="186"/>
    </w:p>
    <w:p w:rsidR="002928AB" w:rsidRDefault="002928AB" w:rsidP="002928AB">
      <w:pPr>
        <w:widowControl w:val="0"/>
        <w:autoSpaceDE w:val="0"/>
        <w:autoSpaceDN w:val="0"/>
        <w:adjustRightInd w:val="0"/>
        <w:spacing w:after="0"/>
        <w:rPr>
          <w:rFonts w:ascii="Times New Roman" w:hAnsi="Times New Roman"/>
          <w:color w:val="000000"/>
          <w:lang w:val="en-US"/>
        </w:rPr>
      </w:pPr>
      <w:r>
        <w:rPr>
          <w:rFonts w:ascii="Times New Roman" w:hAnsi="Times New Roman"/>
          <w:noProof/>
          <w:color w:val="000000"/>
          <w:lang w:eastAsia="en-AU"/>
        </w:rPr>
        <w:drawing>
          <wp:inline distT="0" distB="0" distL="0" distR="0" wp14:anchorId="3407FF09" wp14:editId="31CFBB23">
            <wp:extent cx="5246914" cy="2586668"/>
            <wp:effectExtent l="0" t="0" r="0" b="4445"/>
            <wp:docPr id="904" name="Picture 1" descr="LTS11210 - Patient disposition after dose reduction for patients who were on sarilumab 200 mg q2w prior to dose redu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extLst>
                        <a:ext uri="{BEBA8EAE-BF5A-486C-A8C5-ECC9F3942E4B}">
                          <a14:imgProps xmlns:a14="http://schemas.microsoft.com/office/drawing/2010/main">
                            <a14:imgLayer r:embed="rId89">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244024" cy="2585243"/>
                    </a:xfrm>
                    <a:prstGeom prst="rect">
                      <a:avLst/>
                    </a:prstGeom>
                    <a:noFill/>
                    <a:ln>
                      <a:noFill/>
                    </a:ln>
                  </pic:spPr>
                </pic:pic>
              </a:graphicData>
            </a:graphic>
          </wp:inline>
        </w:drawing>
      </w:r>
    </w:p>
    <w:p w:rsidR="002928AB" w:rsidRPr="00121F3F" w:rsidRDefault="002928AB" w:rsidP="002928AB">
      <w:pPr>
        <w:rPr>
          <w:rFonts w:asciiTheme="minorHAnsi" w:hAnsiTheme="minorHAnsi"/>
          <w:lang w:val="en-US"/>
        </w:rPr>
      </w:pPr>
      <w:r w:rsidRPr="00121F3F">
        <w:rPr>
          <w:rFonts w:asciiTheme="minorHAnsi" w:hAnsiTheme="minorHAnsi"/>
          <w:lang w:val="en-US"/>
        </w:rPr>
        <w:t xml:space="preserve">The ANC </w:t>
      </w:r>
      <w:r>
        <w:rPr>
          <w:rFonts w:asciiTheme="minorHAnsi" w:hAnsiTheme="minorHAnsi"/>
          <w:lang w:val="en-US"/>
        </w:rPr>
        <w:t xml:space="preserve">results </w:t>
      </w:r>
      <w:r w:rsidRPr="00121F3F">
        <w:rPr>
          <w:rFonts w:asciiTheme="minorHAnsi" w:hAnsiTheme="minorHAnsi"/>
          <w:lang w:val="en-US"/>
        </w:rPr>
        <w:t xml:space="preserve">by maximum grade for patients on sarilumab 200 mg </w:t>
      </w:r>
      <w:r>
        <w:rPr>
          <w:rFonts w:asciiTheme="minorHAnsi" w:hAnsiTheme="minorHAnsi"/>
          <w:lang w:val="en-US"/>
        </w:rPr>
        <w:t>q</w:t>
      </w:r>
      <w:r w:rsidRPr="00121F3F">
        <w:rPr>
          <w:rFonts w:asciiTheme="minorHAnsi" w:hAnsiTheme="minorHAnsi"/>
          <w:lang w:val="en-US"/>
        </w:rPr>
        <w:t>2w prior to dose reduction for patients whose reason for dos</w:t>
      </w:r>
      <w:r>
        <w:rPr>
          <w:rFonts w:asciiTheme="minorHAnsi" w:hAnsiTheme="minorHAnsi"/>
          <w:lang w:val="en-US"/>
        </w:rPr>
        <w:t>e</w:t>
      </w:r>
      <w:r w:rsidRPr="00121F3F">
        <w:rPr>
          <w:rFonts w:asciiTheme="minorHAnsi" w:hAnsiTheme="minorHAnsi"/>
          <w:lang w:val="en-US"/>
        </w:rPr>
        <w:t xml:space="preserve"> reduction was neutrophil count decreased </w:t>
      </w:r>
      <w:r>
        <w:rPr>
          <w:rFonts w:asciiTheme="minorHAnsi" w:hAnsiTheme="minorHAnsi"/>
          <w:lang w:val="en-US"/>
        </w:rPr>
        <w:t xml:space="preserve">(the most common reason for dose reduction) are summarised below in Table </w:t>
      </w:r>
      <w:r w:rsidR="000F5B2C">
        <w:rPr>
          <w:rFonts w:asciiTheme="minorHAnsi" w:hAnsiTheme="minorHAnsi"/>
          <w:lang w:val="en-US"/>
        </w:rPr>
        <w:t>48</w:t>
      </w:r>
      <w:r w:rsidRPr="00121F3F">
        <w:rPr>
          <w:rFonts w:asciiTheme="minorHAnsi" w:hAnsiTheme="minorHAnsi"/>
          <w:lang w:val="en-US"/>
        </w:rPr>
        <w:t>. For those patients (</w:t>
      </w:r>
      <w:r w:rsidR="007C7C62">
        <w:rPr>
          <w:rFonts w:asciiTheme="minorHAnsi" w:hAnsiTheme="minorHAnsi"/>
          <w:lang w:val="en-US"/>
        </w:rPr>
        <w:t xml:space="preserve">n = </w:t>
      </w:r>
      <w:r w:rsidRPr="00121F3F">
        <w:rPr>
          <w:rFonts w:asciiTheme="minorHAnsi" w:hAnsiTheme="minorHAnsi"/>
          <w:lang w:val="en-US"/>
        </w:rPr>
        <w:t>107) whose reason for dose reduction was Grade 3 neutro</w:t>
      </w:r>
      <w:r w:rsidR="001E2D44">
        <w:rPr>
          <w:rFonts w:asciiTheme="minorHAnsi" w:hAnsiTheme="minorHAnsi"/>
          <w:lang w:val="en-US"/>
        </w:rPr>
        <w:t>paenia</w:t>
      </w:r>
      <w:r w:rsidRPr="00121F3F">
        <w:rPr>
          <w:rFonts w:asciiTheme="minorHAnsi" w:hAnsiTheme="minorHAnsi"/>
          <w:lang w:val="en-US"/>
        </w:rPr>
        <w:t xml:space="preserve"> (</w:t>
      </w:r>
      <w:r w:rsidR="00DD5BCE">
        <w:t>≥</w:t>
      </w:r>
      <w:r w:rsidR="007C7C62">
        <w:t xml:space="preserve"> </w:t>
      </w:r>
      <w:r w:rsidRPr="00121F3F">
        <w:rPr>
          <w:rFonts w:asciiTheme="minorHAnsi" w:hAnsiTheme="minorHAnsi"/>
          <w:lang w:val="en-US"/>
        </w:rPr>
        <w:t>0.5 to 1.0 Giga/L), improvement in the ANC was present at 1 mo</w:t>
      </w:r>
      <w:r>
        <w:rPr>
          <w:rFonts w:asciiTheme="minorHAnsi" w:hAnsiTheme="minorHAnsi"/>
          <w:lang w:val="en-US"/>
        </w:rPr>
        <w:t xml:space="preserve">nth after dose reduction </w:t>
      </w:r>
      <w:r w:rsidRPr="00121F3F">
        <w:rPr>
          <w:rFonts w:asciiTheme="minorHAnsi" w:hAnsiTheme="minorHAnsi"/>
          <w:lang w:val="en-US"/>
        </w:rPr>
        <w:t>in the majority of patients, with only 19 patients still having Grade 3 neutro</w:t>
      </w:r>
      <w:r w:rsidR="001E2D44">
        <w:rPr>
          <w:rFonts w:asciiTheme="minorHAnsi" w:hAnsiTheme="minorHAnsi"/>
          <w:lang w:val="en-US"/>
        </w:rPr>
        <w:t>paenia</w:t>
      </w:r>
      <w:r>
        <w:rPr>
          <w:rFonts w:asciiTheme="minorHAnsi" w:hAnsiTheme="minorHAnsi"/>
          <w:lang w:val="en-US"/>
        </w:rPr>
        <w:t xml:space="preserve">. </w:t>
      </w:r>
      <w:r w:rsidRPr="00121F3F">
        <w:rPr>
          <w:rFonts w:asciiTheme="minorHAnsi" w:hAnsiTheme="minorHAnsi"/>
          <w:lang w:val="en-US"/>
        </w:rPr>
        <w:t>The improvement in ANC was still present at 6 m</w:t>
      </w:r>
      <w:r>
        <w:rPr>
          <w:rFonts w:asciiTheme="minorHAnsi" w:hAnsiTheme="minorHAnsi"/>
          <w:lang w:val="en-US"/>
        </w:rPr>
        <w:t>onths after the dose reduction.</w:t>
      </w:r>
    </w:p>
    <w:p w:rsidR="00AA6B20" w:rsidRDefault="002928AB" w:rsidP="00C97347">
      <w:pPr>
        <w:pStyle w:val="TableTitle"/>
        <w:rPr>
          <w:lang w:val="en-US"/>
        </w:rPr>
      </w:pPr>
      <w:bookmarkStart w:id="187" w:name="_Toc514687857"/>
      <w:r>
        <w:t xml:space="preserve">Table </w:t>
      </w:r>
      <w:r w:rsidR="000F5B2C">
        <w:t>48</w:t>
      </w:r>
      <w:r>
        <w:t xml:space="preserve">: </w:t>
      </w:r>
      <w:r w:rsidR="00FA0825">
        <w:t xml:space="preserve">Study </w:t>
      </w:r>
      <w:r w:rsidRPr="00121F3F">
        <w:rPr>
          <w:lang w:val="en-US"/>
        </w:rPr>
        <w:t>LTS11210 ANC by maximum grade for patients on sarilumab 200</w:t>
      </w:r>
      <w:r w:rsidR="00CC63CB">
        <w:rPr>
          <w:lang w:val="en-US"/>
        </w:rPr>
        <w:t> </w:t>
      </w:r>
      <w:r w:rsidRPr="00121F3F">
        <w:rPr>
          <w:lang w:val="en-US"/>
        </w:rPr>
        <w:t>mg q2w prior to dose reduction whose reason was dose reduction</w:t>
      </w:r>
      <w:bookmarkEnd w:id="187"/>
    </w:p>
    <w:p w:rsidR="002928AB" w:rsidRDefault="002928AB" w:rsidP="002928AB">
      <w:pPr>
        <w:widowControl w:val="0"/>
        <w:autoSpaceDE w:val="0"/>
        <w:autoSpaceDN w:val="0"/>
        <w:adjustRightInd w:val="0"/>
        <w:spacing w:after="0"/>
        <w:rPr>
          <w:rFonts w:ascii="Times New Roman" w:hAnsi="Times New Roman"/>
          <w:color w:val="000000"/>
          <w:lang w:val="en-US"/>
        </w:rPr>
      </w:pPr>
      <w:r>
        <w:rPr>
          <w:rFonts w:ascii="Times New Roman" w:hAnsi="Times New Roman"/>
          <w:noProof/>
          <w:color w:val="000000"/>
          <w:lang w:eastAsia="en-AU"/>
        </w:rPr>
        <w:drawing>
          <wp:inline distT="0" distB="0" distL="0" distR="0" wp14:anchorId="094AF068" wp14:editId="1AF56C39">
            <wp:extent cx="5046913" cy="2348179"/>
            <wp:effectExtent l="0" t="0" r="1905" b="0"/>
            <wp:docPr id="905" name="Picture 2" descr="LTS11210 - Absolute neutrophil count (ANC) by maximum grade for patients on sarilumab 200 mg q2w prior to dose reduction whose reason was dose redu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0" cstate="print">
                      <a:extLst>
                        <a:ext uri="{BEBA8EAE-BF5A-486C-A8C5-ECC9F3942E4B}">
                          <a14:imgProps xmlns:a14="http://schemas.microsoft.com/office/drawing/2010/main">
                            <a14:imgLayer r:embed="rId91">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1287" b="2235"/>
                    <a:stretch/>
                  </pic:blipFill>
                  <pic:spPr bwMode="auto">
                    <a:xfrm>
                      <a:off x="0" y="0"/>
                      <a:ext cx="5054809" cy="2351853"/>
                    </a:xfrm>
                    <a:prstGeom prst="rect">
                      <a:avLst/>
                    </a:prstGeom>
                    <a:noFill/>
                    <a:ln>
                      <a:noFill/>
                    </a:ln>
                    <a:extLst>
                      <a:ext uri="{53640926-AAD7-44D8-BBD7-CCE9431645EC}">
                        <a14:shadowObscured xmlns:a14="http://schemas.microsoft.com/office/drawing/2010/main"/>
                      </a:ext>
                    </a:extLst>
                  </pic:spPr>
                </pic:pic>
              </a:graphicData>
            </a:graphic>
          </wp:inline>
        </w:drawing>
      </w:r>
    </w:p>
    <w:p w:rsidR="002928AB" w:rsidRDefault="002928AB" w:rsidP="00C97347">
      <w:pPr>
        <w:pStyle w:val="Heading4"/>
        <w:rPr>
          <w:lang w:val="en-US"/>
        </w:rPr>
      </w:pPr>
      <w:bookmarkStart w:id="188" w:name="_Toc514682542"/>
      <w:r>
        <w:rPr>
          <w:lang w:val="en-US"/>
        </w:rPr>
        <w:t>First round assessment of benefit-risk balance</w:t>
      </w:r>
      <w:bookmarkEnd w:id="188"/>
    </w:p>
    <w:p w:rsidR="002928AB" w:rsidRDefault="002928AB" w:rsidP="00C97347">
      <w:pPr>
        <w:rPr>
          <w:lang w:val="en-US"/>
        </w:rPr>
      </w:pPr>
      <w:r w:rsidRPr="005853E1">
        <w:rPr>
          <w:lang w:val="en-US"/>
        </w:rPr>
        <w:t xml:space="preserve">The benefit-risk balance of sarilumab at the proposed dosage for the proposed usage is favourable. </w:t>
      </w:r>
      <w:r>
        <w:rPr>
          <w:lang w:val="en-US"/>
        </w:rPr>
        <w:t>T</w:t>
      </w:r>
      <w:r w:rsidRPr="00097FAE">
        <w:rPr>
          <w:lang w:val="en-US"/>
        </w:rPr>
        <w:t>he totality of the new monotherapy data for sarilumab 200</w:t>
      </w:r>
      <w:r>
        <w:rPr>
          <w:lang w:val="en-US"/>
        </w:rPr>
        <w:t xml:space="preserve"> mg q2W (v</w:t>
      </w:r>
      <w:r w:rsidR="00BD3AD9">
        <w:rPr>
          <w:lang w:val="en-US"/>
        </w:rPr>
        <w:t>ersu</w:t>
      </w:r>
      <w:r>
        <w:rPr>
          <w:lang w:val="en-US"/>
        </w:rPr>
        <w:t>s adalimumab 40 mg q2w</w:t>
      </w:r>
      <w:r w:rsidRPr="00097FAE">
        <w:rPr>
          <w:lang w:val="en-US"/>
        </w:rPr>
        <w:t>) (</w:t>
      </w:r>
      <w:r w:rsidR="00894642">
        <w:rPr>
          <w:lang w:val="en-US"/>
        </w:rPr>
        <w:t>Study EFC</w:t>
      </w:r>
      <w:r w:rsidRPr="00097FAE">
        <w:rPr>
          <w:lang w:val="en-US"/>
        </w:rPr>
        <w:t>14092</w:t>
      </w:r>
      <w:r w:rsidR="00CC63CB">
        <w:rPr>
          <w:lang w:val="en-US"/>
        </w:rPr>
        <w:t>/</w:t>
      </w:r>
      <w:r w:rsidR="001F3EAD">
        <w:t>MONARCH</w:t>
      </w:r>
      <w:r w:rsidR="00CC63CB">
        <w:t xml:space="preserve"> trial</w:t>
      </w:r>
      <w:r w:rsidRPr="00097FAE">
        <w:rPr>
          <w:lang w:val="en-US"/>
        </w:rPr>
        <w:t xml:space="preserve">) and the previously submitted </w:t>
      </w:r>
      <w:r>
        <w:rPr>
          <w:lang w:val="en-US"/>
        </w:rPr>
        <w:t xml:space="preserve">data for sarilumab (150 mg q2w and </w:t>
      </w:r>
      <w:r w:rsidRPr="00097FAE">
        <w:rPr>
          <w:lang w:val="en-US"/>
        </w:rPr>
        <w:t xml:space="preserve">200 mg q2w) </w:t>
      </w:r>
      <w:r>
        <w:rPr>
          <w:lang w:val="en-US"/>
        </w:rPr>
        <w:t>in combination with DMARD (v</w:t>
      </w:r>
      <w:r w:rsidR="00BD3AD9">
        <w:rPr>
          <w:lang w:val="en-US"/>
        </w:rPr>
        <w:t>ersu</w:t>
      </w:r>
      <w:r>
        <w:rPr>
          <w:lang w:val="en-US"/>
        </w:rPr>
        <w:t xml:space="preserve">s placebo) </w:t>
      </w:r>
      <w:r w:rsidRPr="00097FAE">
        <w:rPr>
          <w:lang w:val="en-US"/>
        </w:rPr>
        <w:t>(</w:t>
      </w:r>
      <w:r w:rsidR="00BD3AD9">
        <w:rPr>
          <w:lang w:val="en-US"/>
        </w:rPr>
        <w:t xml:space="preserve">Studies </w:t>
      </w:r>
      <w:r w:rsidRPr="00097FAE">
        <w:rPr>
          <w:lang w:val="en-US"/>
        </w:rPr>
        <w:t>EFC11072</w:t>
      </w:r>
      <w:r w:rsidR="00BD3AD9">
        <w:rPr>
          <w:lang w:val="en-US"/>
        </w:rPr>
        <w:t xml:space="preserve"> and</w:t>
      </w:r>
      <w:r w:rsidRPr="00097FAE">
        <w:rPr>
          <w:lang w:val="en-US"/>
        </w:rPr>
        <w:t xml:space="preserve"> EFC10832) </w:t>
      </w:r>
      <w:r>
        <w:rPr>
          <w:lang w:val="en-US"/>
        </w:rPr>
        <w:t>and</w:t>
      </w:r>
      <w:r w:rsidR="003D2290">
        <w:rPr>
          <w:lang w:val="en-US"/>
        </w:rPr>
        <w:t xml:space="preserve"> versus </w:t>
      </w:r>
      <w:r>
        <w:rPr>
          <w:lang w:val="en-US"/>
        </w:rPr>
        <w:t>tocilizumab (</w:t>
      </w:r>
      <w:r w:rsidR="00BD3AD9">
        <w:rPr>
          <w:lang w:val="en-US"/>
        </w:rPr>
        <w:t>Study</w:t>
      </w:r>
      <w:r w:rsidR="00B375FD">
        <w:rPr>
          <w:lang w:val="en-US"/>
        </w:rPr>
        <w:t> </w:t>
      </w:r>
      <w:r>
        <w:rPr>
          <w:lang w:val="en-US"/>
        </w:rPr>
        <w:t xml:space="preserve">SFY11370) </w:t>
      </w:r>
      <w:r w:rsidRPr="00097FAE">
        <w:rPr>
          <w:lang w:val="en-US"/>
        </w:rPr>
        <w:t>are considered to support the be</w:t>
      </w:r>
      <w:r>
        <w:rPr>
          <w:lang w:val="en-US"/>
        </w:rPr>
        <w:t>ne</w:t>
      </w:r>
      <w:r w:rsidRPr="00097FAE">
        <w:rPr>
          <w:lang w:val="en-US"/>
        </w:rPr>
        <w:t xml:space="preserve">fits of initiating treatment with sarilumab </w:t>
      </w:r>
      <w:r>
        <w:rPr>
          <w:lang w:val="en-US"/>
        </w:rPr>
        <w:t xml:space="preserve">200 mg </w:t>
      </w:r>
      <w:r w:rsidRPr="00097FAE">
        <w:rPr>
          <w:lang w:val="en-US"/>
        </w:rPr>
        <w:t>q2w rather than sarilumab 150 mg q2w for both monotherapy and combination therapy.</w:t>
      </w:r>
    </w:p>
    <w:p w:rsidR="00AA6B20" w:rsidRDefault="002928AB" w:rsidP="00C97347">
      <w:pPr>
        <w:rPr>
          <w:lang w:val="en-US"/>
        </w:rPr>
      </w:pPr>
      <w:r>
        <w:rPr>
          <w:lang w:val="en-US"/>
        </w:rPr>
        <w:lastRenderedPageBreak/>
        <w:t>The data suggest that the majority of patients starting on sarilumab 200 mg q2w + DMARD can safely remain at that dose, with reduction to sarilumab 150 mg q2w + DMARD in the event of toxicity on the higher dose. Following recovery of laboratory abnormalities related to neutro</w:t>
      </w:r>
      <w:r w:rsidR="001E2D44">
        <w:rPr>
          <w:lang w:val="en-US"/>
        </w:rPr>
        <w:t>paenia</w:t>
      </w:r>
      <w:r>
        <w:rPr>
          <w:lang w:val="en-US"/>
        </w:rPr>
        <w:t>, thrombocyto</w:t>
      </w:r>
      <w:r w:rsidR="001E2D44">
        <w:rPr>
          <w:lang w:val="en-US"/>
        </w:rPr>
        <w:t>paenia</w:t>
      </w:r>
      <w:r>
        <w:rPr>
          <w:lang w:val="en-US"/>
        </w:rPr>
        <w:t xml:space="preserve"> or increased ALT levels observed with the higher dose of sarilumab 200 mg q2w, the data indicated that treatment can be safely re-initiated at the lower dose of sarilumab 150 mg q2w +DMARD. The monitoring regimens recommended in the PI for identifying neutro</w:t>
      </w:r>
      <w:r w:rsidR="001E2D44">
        <w:rPr>
          <w:lang w:val="en-US"/>
        </w:rPr>
        <w:t>paenia</w:t>
      </w:r>
      <w:r>
        <w:rPr>
          <w:lang w:val="en-US"/>
        </w:rPr>
        <w:t>, thrombocyto</w:t>
      </w:r>
      <w:r w:rsidR="001E2D44">
        <w:rPr>
          <w:lang w:val="en-US"/>
        </w:rPr>
        <w:t>paenia</w:t>
      </w:r>
      <w:r>
        <w:rPr>
          <w:lang w:val="en-US"/>
        </w:rPr>
        <w:t xml:space="preserve"> or ALT </w:t>
      </w:r>
      <w:proofErr w:type="gramStart"/>
      <w:r>
        <w:rPr>
          <w:lang w:val="en-US"/>
        </w:rPr>
        <w:t>are</w:t>
      </w:r>
      <w:proofErr w:type="gramEnd"/>
      <w:r>
        <w:rPr>
          <w:lang w:val="en-US"/>
        </w:rPr>
        <w:t xml:space="preserve"> considered to be appropriate. There is no reason why the proposed monitoring requirements cannot be safely instituted in remote communities. The monitoring requirements proposed for sarilumab are similar to those required for tocilizumab.</w:t>
      </w:r>
    </w:p>
    <w:p w:rsidR="00AA6B20" w:rsidRDefault="002928AB" w:rsidP="00C97347">
      <w:r w:rsidRPr="005853E1">
        <w:t xml:space="preserve">It is noted that the recommended regimen </w:t>
      </w:r>
      <w:r>
        <w:t xml:space="preserve">of initiating treatment with the higher sarilumab dose (200 mg q2w) and reducing to the lower sarilumab dose (150 mg q2w) in the event of toxicity </w:t>
      </w:r>
      <w:r w:rsidRPr="005853E1">
        <w:t>has been approved by the FDA (USA), Health Canada and the EMA.</w:t>
      </w:r>
    </w:p>
    <w:p w:rsidR="00AA6B20" w:rsidRDefault="002928AB" w:rsidP="00C97347">
      <w:pPr>
        <w:pStyle w:val="Heading5"/>
        <w:rPr>
          <w:lang w:val="en-US"/>
        </w:rPr>
      </w:pPr>
      <w:r w:rsidRPr="005853E1">
        <w:rPr>
          <w:lang w:val="en-US"/>
        </w:rPr>
        <w:t>Monotherapy sarilumab 200 mg q2w</w:t>
      </w:r>
    </w:p>
    <w:p w:rsidR="00AA6B20" w:rsidRDefault="002928AB" w:rsidP="002928AB">
      <w:pPr>
        <w:rPr>
          <w:color w:val="000000"/>
          <w:lang w:val="en-US"/>
        </w:rPr>
      </w:pPr>
      <w:r>
        <w:rPr>
          <w:lang w:val="en-US"/>
        </w:rPr>
        <w:t xml:space="preserve">The pivotal monotherapy </w:t>
      </w:r>
      <w:r w:rsidR="00894642">
        <w:rPr>
          <w:lang w:val="en-US"/>
        </w:rPr>
        <w:t>Study EFC</w:t>
      </w:r>
      <w:r>
        <w:rPr>
          <w:lang w:val="en-US"/>
        </w:rPr>
        <w:t xml:space="preserve">14092 </w:t>
      </w:r>
      <w:r w:rsidR="005A2C47">
        <w:rPr>
          <w:lang w:val="en-US"/>
        </w:rPr>
        <w:t xml:space="preserve">MONARCH </w:t>
      </w:r>
      <w:r>
        <w:rPr>
          <w:lang w:val="en-US"/>
        </w:rPr>
        <w:t>convincingly demonstrated that the benefits of treatment with sarilumab 200 mg q2w were superior to those for adalimumab 40 mg q2w based on the primary efficacy endpoint (DAS28-ESR score change from baseline at Week 24), and the majority of secondary efficacy endpoints. Overall, the incidence of TEAEs were similar in the two treatment groups, with the major differences being (1) a notably higher incidences of neutro</w:t>
      </w:r>
      <w:r w:rsidR="001E2D44">
        <w:rPr>
          <w:lang w:val="en-US"/>
        </w:rPr>
        <w:t>paenia</w:t>
      </w:r>
      <w:r>
        <w:rPr>
          <w:lang w:val="en-US"/>
        </w:rPr>
        <w:t xml:space="preserve"> and injection site reactions in the sarilumab group compared with the adalimumab group, (2) a higher incidence of hepatic disorders in the sarilumab group compared with the adalimumab group, and (3) a higher incidence of lipid disorders in the adalimumab group than in the sarilumab group. There were no other notable differences between two treatment groups in TEAEs, including AESI. There were no clinically meaningful differences between the two treatment groups as regards SAEs, including death. TEAEs leading to permanent treatment discontinuation were reported more frequently in the adalimumab group than in the sarilumab. Laboratory abnormalities relating to neutro</w:t>
      </w:r>
      <w:r w:rsidR="001E2D44">
        <w:rPr>
          <w:lang w:val="en-US"/>
        </w:rPr>
        <w:t>paenia</w:t>
      </w:r>
      <w:r>
        <w:rPr>
          <w:lang w:val="en-US"/>
        </w:rPr>
        <w:t xml:space="preserve"> were reported more frequently in patients in the sarilumab group than in the adalimumab group, as were laboratory abnormalities relating to increased ALT levels. </w:t>
      </w:r>
      <w:r w:rsidRPr="00560A16">
        <w:rPr>
          <w:color w:val="000000"/>
          <w:lang w:val="en-US"/>
        </w:rPr>
        <w:t xml:space="preserve">Platelet counts </w:t>
      </w:r>
      <w:r w:rsidR="007F1BEB">
        <w:t>&lt; </w:t>
      </w:r>
      <w:r w:rsidRPr="00560A16">
        <w:rPr>
          <w:color w:val="000000"/>
          <w:lang w:val="en-US"/>
        </w:rPr>
        <w:t xml:space="preserve">100 Giga/L were reported in 1 patient </w:t>
      </w:r>
      <w:r>
        <w:rPr>
          <w:color w:val="000000"/>
          <w:lang w:val="en-US"/>
        </w:rPr>
        <w:t>in the sarilumab group but this finding might have been due to laboratory error.</w:t>
      </w:r>
    </w:p>
    <w:p w:rsidR="00AA6B20" w:rsidRDefault="002928AB" w:rsidP="002928AB">
      <w:pPr>
        <w:rPr>
          <w:lang w:val="en-US"/>
        </w:rPr>
      </w:pPr>
      <w:r>
        <w:rPr>
          <w:lang w:val="en-US"/>
        </w:rPr>
        <w:t>Based on the 24</w:t>
      </w:r>
      <w:r w:rsidR="00BD3AD9">
        <w:rPr>
          <w:lang w:val="en-US"/>
        </w:rPr>
        <w:t xml:space="preserve"> </w:t>
      </w:r>
      <w:r>
        <w:rPr>
          <w:lang w:val="en-US"/>
        </w:rPr>
        <w:t xml:space="preserve">week double-blind data from </w:t>
      </w:r>
      <w:r w:rsidR="00BD3AD9">
        <w:rPr>
          <w:lang w:val="en-US"/>
        </w:rPr>
        <w:t xml:space="preserve">Study </w:t>
      </w:r>
      <w:r>
        <w:rPr>
          <w:lang w:val="en-US"/>
        </w:rPr>
        <w:t xml:space="preserve">EFC14092 </w:t>
      </w:r>
      <w:r w:rsidR="001F3EAD">
        <w:t>MONARCH</w:t>
      </w:r>
      <w:r w:rsidR="001F3EAD">
        <w:rPr>
          <w:lang w:val="en-US"/>
        </w:rPr>
        <w:t xml:space="preserve"> </w:t>
      </w:r>
      <w:r>
        <w:rPr>
          <w:lang w:val="en-US"/>
        </w:rPr>
        <w:t xml:space="preserve">the characteristics of the safety profiles of sarilumab and adalimumab differ, but the safety of sarilumab is considered to be generally comparable with the safety of adalimumab. The benefits and risks of monotherapy treatment with sarilumab 200 mg q2w compared with adalimumab 40 mg q2w have been discussed in detail above </w:t>
      </w:r>
      <w:r w:rsidR="005A2C47">
        <w:rPr>
          <w:lang w:val="en-US"/>
        </w:rPr>
        <w:t>under</w:t>
      </w:r>
      <w:r w:rsidR="007F1BEB">
        <w:rPr>
          <w:lang w:val="en-US"/>
        </w:rPr>
        <w:t xml:space="preserve"> </w:t>
      </w:r>
      <w:r w:rsidR="007F1BEB" w:rsidRPr="007F1BEB">
        <w:rPr>
          <w:i/>
          <w:lang w:val="en-US"/>
        </w:rPr>
        <w:t xml:space="preserve">First round </w:t>
      </w:r>
      <w:r w:rsidR="007F1BEB" w:rsidRPr="00783B19">
        <w:rPr>
          <w:i/>
          <w:lang w:val="en-US"/>
        </w:rPr>
        <w:t xml:space="preserve">assessment of </w:t>
      </w:r>
      <w:r w:rsidR="007F1BEB" w:rsidRPr="007F1BEB">
        <w:rPr>
          <w:i/>
          <w:lang w:val="en-US"/>
        </w:rPr>
        <w:t>b</w:t>
      </w:r>
      <w:r w:rsidRPr="007F1BEB">
        <w:rPr>
          <w:i/>
          <w:lang w:val="en-US"/>
        </w:rPr>
        <w:t xml:space="preserve">enefits </w:t>
      </w:r>
      <w:r w:rsidRPr="007F1BEB">
        <w:rPr>
          <w:lang w:val="en-US"/>
        </w:rPr>
        <w:t>and</w:t>
      </w:r>
      <w:r w:rsidRPr="007F1BEB">
        <w:rPr>
          <w:i/>
          <w:lang w:val="en-US"/>
        </w:rPr>
        <w:t xml:space="preserve"> </w:t>
      </w:r>
      <w:r w:rsidR="007F1BEB" w:rsidRPr="007F1BEB">
        <w:rPr>
          <w:i/>
          <w:lang w:val="en-US"/>
        </w:rPr>
        <w:t>First round</w:t>
      </w:r>
      <w:r w:rsidR="007F1BEB">
        <w:rPr>
          <w:i/>
          <w:lang w:val="en-US"/>
        </w:rPr>
        <w:t xml:space="preserve"> </w:t>
      </w:r>
      <w:r w:rsidR="007F1BEB" w:rsidRPr="00783B19">
        <w:rPr>
          <w:i/>
          <w:lang w:val="en-US"/>
        </w:rPr>
        <w:t xml:space="preserve">assessment of </w:t>
      </w:r>
      <w:r w:rsidR="007F1BEB">
        <w:rPr>
          <w:i/>
          <w:lang w:val="en-US"/>
        </w:rPr>
        <w:t>ri</w:t>
      </w:r>
      <w:r w:rsidRPr="007F1BEB">
        <w:rPr>
          <w:i/>
          <w:lang w:val="en-US"/>
        </w:rPr>
        <w:t>sks</w:t>
      </w:r>
      <w:r>
        <w:rPr>
          <w:lang w:val="en-US"/>
        </w:rPr>
        <w:t>.</w:t>
      </w:r>
    </w:p>
    <w:p w:rsidR="00AA6B20" w:rsidRDefault="002928AB" w:rsidP="002928AB">
      <w:pPr>
        <w:rPr>
          <w:lang w:val="en-US"/>
        </w:rPr>
      </w:pPr>
      <w:r w:rsidRPr="00EF290B">
        <w:rPr>
          <w:lang w:val="en-US"/>
        </w:rPr>
        <w:t xml:space="preserve">Overall, the benefit-risk balance is considered to favour sarilumab relative to adalimumab, based on the greater benefits observed with sarilumab and the generally comparable safety </w:t>
      </w:r>
      <w:r>
        <w:rPr>
          <w:lang w:val="en-US"/>
        </w:rPr>
        <w:t xml:space="preserve">profiles </w:t>
      </w:r>
      <w:r w:rsidRPr="00EF290B">
        <w:rPr>
          <w:lang w:val="en-US"/>
        </w:rPr>
        <w:t xml:space="preserve">of the two medicines. This is a clinically important finding as adalimumab 40 mg q2w is approved in Australia as monotherapy and in combination with MTX </w:t>
      </w:r>
      <w:r w:rsidRPr="00EF290B">
        <w:t>for reducing signs and symptoms, as well as inhibiting the progression of structural damage in adult patients with moderate to severely active RA, including the treatment of patients with recently diagnosed moderate to severely active disease who have not received MTX.</w:t>
      </w:r>
      <w:r w:rsidRPr="00EF290B">
        <w:rPr>
          <w:lang w:val="en-US"/>
        </w:rPr>
        <w:t xml:space="preserve"> It is considered that the monotherapy data from </w:t>
      </w:r>
      <w:r w:rsidR="00BD3AD9">
        <w:rPr>
          <w:lang w:val="en-US"/>
        </w:rPr>
        <w:t xml:space="preserve">Study </w:t>
      </w:r>
      <w:r w:rsidRPr="00EF290B">
        <w:rPr>
          <w:lang w:val="en-US"/>
        </w:rPr>
        <w:t xml:space="preserve">EFC14092 </w:t>
      </w:r>
      <w:r w:rsidR="007F1BEB">
        <w:rPr>
          <w:lang w:val="en-US"/>
        </w:rPr>
        <w:t xml:space="preserve">MONARCH </w:t>
      </w:r>
      <w:r w:rsidRPr="00EF290B">
        <w:rPr>
          <w:lang w:val="en-US"/>
        </w:rPr>
        <w:t>can be extrapolated to Australian patients with RA.</w:t>
      </w:r>
    </w:p>
    <w:p w:rsidR="00AA6B20" w:rsidRDefault="002928AB" w:rsidP="002928AB">
      <w:pPr>
        <w:rPr>
          <w:b/>
          <w:i/>
          <w:lang w:val="en-US"/>
        </w:rPr>
      </w:pPr>
      <w:r w:rsidRPr="00F60AA1">
        <w:rPr>
          <w:b/>
          <w:i/>
          <w:lang w:val="en-US"/>
        </w:rPr>
        <w:t xml:space="preserve">Sarilumab (150 mg q2w and 200 mg q2w) in combination with </w:t>
      </w:r>
      <w:proofErr w:type="spellStart"/>
      <w:r w:rsidRPr="00F60AA1">
        <w:rPr>
          <w:b/>
          <w:i/>
          <w:lang w:val="en-US"/>
        </w:rPr>
        <w:t>cDMARD</w:t>
      </w:r>
      <w:proofErr w:type="spellEnd"/>
    </w:p>
    <w:p w:rsidR="00AA6B20" w:rsidRDefault="002928AB" w:rsidP="002928AB">
      <w:pPr>
        <w:rPr>
          <w:lang w:val="en-US"/>
        </w:rPr>
      </w:pPr>
      <w:r>
        <w:rPr>
          <w:lang w:val="en-US"/>
        </w:rPr>
        <w:t xml:space="preserve">The pivotal combination </w:t>
      </w:r>
      <w:r w:rsidR="00BD3AD9">
        <w:rPr>
          <w:lang w:val="en-US"/>
        </w:rPr>
        <w:t xml:space="preserve">trial </w:t>
      </w:r>
      <w:r w:rsidR="00894642">
        <w:rPr>
          <w:lang w:val="en-US"/>
        </w:rPr>
        <w:t>Study EFC</w:t>
      </w:r>
      <w:r>
        <w:rPr>
          <w:lang w:val="en-US"/>
        </w:rPr>
        <w:t xml:space="preserve">11072, Part B, convincingly demonstrated that the benefits of treatment with both doses of sarilumab (150 mg q2w and 200 mg q2w) in combination with MTX were superior to placebo in combination with MTX based on the </w:t>
      </w:r>
      <w:r>
        <w:rPr>
          <w:lang w:val="en-US"/>
        </w:rPr>
        <w:lastRenderedPageBreak/>
        <w:t xml:space="preserve">primary efficacy endpoints (ACR20 at </w:t>
      </w:r>
      <w:r w:rsidR="00BD3AD9">
        <w:rPr>
          <w:lang w:val="en-US"/>
        </w:rPr>
        <w:t>W</w:t>
      </w:r>
      <w:r>
        <w:rPr>
          <w:lang w:val="en-US"/>
        </w:rPr>
        <w:t>eek</w:t>
      </w:r>
      <w:r w:rsidR="00BD3AD9">
        <w:rPr>
          <w:lang w:val="en-US"/>
        </w:rPr>
        <w:t xml:space="preserve"> </w:t>
      </w:r>
      <w:r>
        <w:rPr>
          <w:lang w:val="en-US"/>
        </w:rPr>
        <w:t xml:space="preserve">24, change from baseline in HAQ-DI at </w:t>
      </w:r>
      <w:r w:rsidR="00BD3AD9">
        <w:rPr>
          <w:lang w:val="en-US"/>
        </w:rPr>
        <w:t>W</w:t>
      </w:r>
      <w:r>
        <w:rPr>
          <w:lang w:val="en-US"/>
        </w:rPr>
        <w:t>eek</w:t>
      </w:r>
      <w:r w:rsidR="009E4CF7">
        <w:rPr>
          <w:lang w:val="en-US"/>
        </w:rPr>
        <w:t> </w:t>
      </w:r>
      <w:r>
        <w:rPr>
          <w:lang w:val="en-US"/>
        </w:rPr>
        <w:t xml:space="preserve">16, and change from baseline in </w:t>
      </w:r>
      <w:proofErr w:type="spellStart"/>
      <w:r>
        <w:rPr>
          <w:lang w:val="en-US"/>
        </w:rPr>
        <w:t>mTSS</w:t>
      </w:r>
      <w:proofErr w:type="spellEnd"/>
      <w:r>
        <w:rPr>
          <w:lang w:val="en-US"/>
        </w:rPr>
        <w:t xml:space="preserve"> at </w:t>
      </w:r>
      <w:r w:rsidR="00BD3AD9">
        <w:rPr>
          <w:lang w:val="en-US"/>
        </w:rPr>
        <w:t>W</w:t>
      </w:r>
      <w:r>
        <w:rPr>
          <w:lang w:val="en-US"/>
        </w:rPr>
        <w:t>eek</w:t>
      </w:r>
      <w:r w:rsidR="00BD3AD9">
        <w:rPr>
          <w:lang w:val="en-US"/>
        </w:rPr>
        <w:t xml:space="preserve"> </w:t>
      </w:r>
      <w:r>
        <w:rPr>
          <w:lang w:val="en-US"/>
        </w:rPr>
        <w:t xml:space="preserve">52) and the main secondary endpoint (major clinical response at </w:t>
      </w:r>
      <w:r w:rsidR="00783B19">
        <w:rPr>
          <w:lang w:val="en-US"/>
        </w:rPr>
        <w:t>W</w:t>
      </w:r>
      <w:r>
        <w:rPr>
          <w:lang w:val="en-US"/>
        </w:rPr>
        <w:t>eek</w:t>
      </w:r>
      <w:r w:rsidR="00783B19">
        <w:rPr>
          <w:lang w:val="en-US"/>
        </w:rPr>
        <w:t xml:space="preserve"> </w:t>
      </w:r>
      <w:r>
        <w:rPr>
          <w:lang w:val="en-US"/>
        </w:rPr>
        <w:t xml:space="preserve">52), supported by the other secondary efficacy endpoints. The long-term data from </w:t>
      </w:r>
      <w:r w:rsidR="003D2290">
        <w:rPr>
          <w:lang w:val="en-US"/>
        </w:rPr>
        <w:t>Study LTS</w:t>
      </w:r>
      <w:r>
        <w:rPr>
          <w:lang w:val="en-US"/>
        </w:rPr>
        <w:t xml:space="preserve">11210 demonstrated that sarilumab had a beneficial sustained effect on preventing radiological structural joint damage based on the </w:t>
      </w:r>
      <w:proofErr w:type="spellStart"/>
      <w:r>
        <w:rPr>
          <w:lang w:val="en-US"/>
        </w:rPr>
        <w:t>mTSS</w:t>
      </w:r>
      <w:proofErr w:type="spellEnd"/>
      <w:r>
        <w:rPr>
          <w:lang w:val="en-US"/>
        </w:rPr>
        <w:t xml:space="preserve"> in patients from </w:t>
      </w:r>
      <w:r w:rsidR="00783B19">
        <w:rPr>
          <w:lang w:val="en-US"/>
        </w:rPr>
        <w:t xml:space="preserve">Study </w:t>
      </w:r>
      <w:r>
        <w:rPr>
          <w:lang w:val="en-US"/>
        </w:rPr>
        <w:t xml:space="preserve">EFC11072 treated with sarilumab in combination with DMARD from baseline through to 3 years (i52 weeks </w:t>
      </w:r>
      <w:r w:rsidR="00783B19">
        <w:rPr>
          <w:lang w:val="en-US"/>
        </w:rPr>
        <w:t xml:space="preserve">Study </w:t>
      </w:r>
      <w:r>
        <w:rPr>
          <w:lang w:val="en-US"/>
        </w:rPr>
        <w:t xml:space="preserve">EFC11072 plus 96 weeks </w:t>
      </w:r>
      <w:r w:rsidR="00783B19">
        <w:rPr>
          <w:lang w:val="en-US"/>
        </w:rPr>
        <w:t xml:space="preserve">Study </w:t>
      </w:r>
      <w:r>
        <w:rPr>
          <w:lang w:val="en-US"/>
        </w:rPr>
        <w:t xml:space="preserve">LTS11210). At the end of 3 years treatment, inhibition of radiological progression was greater in those patients who had remained on sarilumab 200 mg q2w + </w:t>
      </w:r>
      <w:proofErr w:type="spellStart"/>
      <w:r>
        <w:rPr>
          <w:lang w:val="en-US"/>
        </w:rPr>
        <w:t>cDMARD</w:t>
      </w:r>
      <w:proofErr w:type="spellEnd"/>
      <w:r>
        <w:rPr>
          <w:lang w:val="en-US"/>
        </w:rPr>
        <w:t xml:space="preserve"> for 3 years compared with those patients who had received sarilumab 150 mg q2w + </w:t>
      </w:r>
      <w:proofErr w:type="spellStart"/>
      <w:r>
        <w:rPr>
          <w:lang w:val="en-US"/>
        </w:rPr>
        <w:t>cDMARD</w:t>
      </w:r>
      <w:proofErr w:type="spellEnd"/>
      <w:r>
        <w:rPr>
          <w:lang w:val="en-US"/>
        </w:rPr>
        <w:t xml:space="preserve"> for 1 year and then switched to the higher dose of sarilumab 200 mg q2w + </w:t>
      </w:r>
      <w:proofErr w:type="spellStart"/>
      <w:r>
        <w:rPr>
          <w:lang w:val="en-US"/>
        </w:rPr>
        <w:t>cDMARD</w:t>
      </w:r>
      <w:proofErr w:type="spellEnd"/>
      <w:r>
        <w:rPr>
          <w:lang w:val="en-US"/>
        </w:rPr>
        <w:t xml:space="preserve"> for 2 years.</w:t>
      </w:r>
    </w:p>
    <w:p w:rsidR="00AA6B20" w:rsidRDefault="002928AB" w:rsidP="002928AB">
      <w:pPr>
        <w:rPr>
          <w:lang w:val="en-US"/>
        </w:rPr>
      </w:pPr>
      <w:r>
        <w:rPr>
          <w:lang w:val="en-US"/>
        </w:rPr>
        <w:t xml:space="preserve">The pivotal combination </w:t>
      </w:r>
      <w:r w:rsidR="00894642">
        <w:rPr>
          <w:lang w:val="en-US"/>
        </w:rPr>
        <w:t>Study EFC</w:t>
      </w:r>
      <w:r>
        <w:rPr>
          <w:lang w:val="en-US"/>
        </w:rPr>
        <w:t xml:space="preserve">10832 convincingly demonstrated that the benefits of treatment with both doses of sarilumab (150 mg q2w and 200 mg q2w) in combination with </w:t>
      </w:r>
      <w:proofErr w:type="spellStart"/>
      <w:r>
        <w:rPr>
          <w:lang w:val="en-US"/>
        </w:rPr>
        <w:t>cDMARD</w:t>
      </w:r>
      <w:proofErr w:type="spellEnd"/>
      <w:r>
        <w:rPr>
          <w:lang w:val="en-US"/>
        </w:rPr>
        <w:t xml:space="preserve"> </w:t>
      </w:r>
      <w:r w:rsidRPr="00097FAE">
        <w:rPr>
          <w:lang w:val="en-US"/>
        </w:rPr>
        <w:t>(MTX, sulfasalazine, hydro</w:t>
      </w:r>
      <w:r>
        <w:rPr>
          <w:lang w:val="en-US"/>
        </w:rPr>
        <w:t xml:space="preserve">xychloroquine, or </w:t>
      </w:r>
      <w:proofErr w:type="spellStart"/>
      <w:r>
        <w:rPr>
          <w:lang w:val="en-US"/>
        </w:rPr>
        <w:t>leflunomide</w:t>
      </w:r>
      <w:proofErr w:type="spellEnd"/>
      <w:r>
        <w:rPr>
          <w:lang w:val="en-US"/>
        </w:rPr>
        <w:t xml:space="preserve">) were superior to placebo in combination with </w:t>
      </w:r>
      <w:proofErr w:type="spellStart"/>
      <w:r>
        <w:rPr>
          <w:lang w:val="en-US"/>
        </w:rPr>
        <w:t>cDMARD</w:t>
      </w:r>
      <w:proofErr w:type="spellEnd"/>
      <w:r>
        <w:rPr>
          <w:lang w:val="en-US"/>
        </w:rPr>
        <w:t xml:space="preserve"> based on the co-primary efficacy endpoints </w:t>
      </w:r>
      <w:r w:rsidR="00783B19">
        <w:rPr>
          <w:lang w:val="en-US"/>
        </w:rPr>
        <w:t>(</w:t>
      </w:r>
      <w:r>
        <w:rPr>
          <w:lang w:val="en-US"/>
        </w:rPr>
        <w:t xml:space="preserve">ACR20 at </w:t>
      </w:r>
      <w:r w:rsidR="00783B19">
        <w:rPr>
          <w:lang w:val="en-US"/>
        </w:rPr>
        <w:t>W</w:t>
      </w:r>
      <w:r>
        <w:rPr>
          <w:lang w:val="en-US"/>
        </w:rPr>
        <w:t>eek</w:t>
      </w:r>
      <w:r w:rsidR="00783B19">
        <w:rPr>
          <w:lang w:val="en-US"/>
        </w:rPr>
        <w:t xml:space="preserve"> </w:t>
      </w:r>
      <w:r>
        <w:rPr>
          <w:lang w:val="en-US"/>
        </w:rPr>
        <w:t>24, and cha</w:t>
      </w:r>
      <w:r w:rsidR="00783B19">
        <w:rPr>
          <w:lang w:val="en-US"/>
        </w:rPr>
        <w:t>nge from baseline in HAQ-DI at W</w:t>
      </w:r>
      <w:r>
        <w:rPr>
          <w:lang w:val="en-US"/>
        </w:rPr>
        <w:t>eek 12), supported by the secondary efficacy endpoints.</w:t>
      </w:r>
    </w:p>
    <w:p w:rsidR="00AA6B20" w:rsidRDefault="002928AB" w:rsidP="002928AB">
      <w:pPr>
        <w:rPr>
          <w:lang w:val="en-US"/>
        </w:rPr>
      </w:pPr>
      <w:r>
        <w:rPr>
          <w:lang w:val="en-US"/>
        </w:rPr>
        <w:t xml:space="preserve">The response and remission efficacy data from the long-term safety </w:t>
      </w:r>
      <w:r w:rsidR="003D2290">
        <w:rPr>
          <w:lang w:val="en-US"/>
        </w:rPr>
        <w:t>Study LTS</w:t>
      </w:r>
      <w:r>
        <w:rPr>
          <w:lang w:val="en-US"/>
        </w:rPr>
        <w:t xml:space="preserve">11210 (ACR20, ACR50, ACR70, DAS28) showed that benefits of treatment with sarilumab 200 mg q2w + </w:t>
      </w:r>
      <w:proofErr w:type="spellStart"/>
      <w:r>
        <w:rPr>
          <w:lang w:val="en-US"/>
        </w:rPr>
        <w:t>cDMARD</w:t>
      </w:r>
      <w:proofErr w:type="spellEnd"/>
      <w:r>
        <w:rPr>
          <w:lang w:val="en-US"/>
        </w:rPr>
        <w:t xml:space="preserve"> could be maintained for at least 264 weeks of treatment (no data available beyond this time-point).</w:t>
      </w:r>
    </w:p>
    <w:p w:rsidR="00AA6B20" w:rsidRDefault="002928AB" w:rsidP="002928AB">
      <w:pPr>
        <w:rPr>
          <w:lang w:val="en-US"/>
        </w:rPr>
      </w:pPr>
      <w:r>
        <w:rPr>
          <w:lang w:val="en-US"/>
        </w:rPr>
        <w:t xml:space="preserve">The most frequently observed risks for sarilumab in combination with </w:t>
      </w:r>
      <w:proofErr w:type="spellStart"/>
      <w:r>
        <w:rPr>
          <w:lang w:val="en-US"/>
        </w:rPr>
        <w:t>cDMARD</w:t>
      </w:r>
      <w:proofErr w:type="spellEnd"/>
      <w:r>
        <w:rPr>
          <w:lang w:val="en-US"/>
        </w:rPr>
        <w:t xml:space="preserve"> related to infections, although serious infections, opportunistic infections and TB occurred relatively infrequently. Other risks of note associated with combination treatments included neutro</w:t>
      </w:r>
      <w:r w:rsidR="001E2D44">
        <w:rPr>
          <w:lang w:val="en-US"/>
        </w:rPr>
        <w:t>paenia</w:t>
      </w:r>
      <w:r>
        <w:rPr>
          <w:lang w:val="en-US"/>
        </w:rPr>
        <w:t>, thrombocyto</w:t>
      </w:r>
      <w:r w:rsidR="001E2D44">
        <w:rPr>
          <w:lang w:val="en-US"/>
        </w:rPr>
        <w:t>paenia</w:t>
      </w:r>
      <w:r>
        <w:rPr>
          <w:lang w:val="en-US"/>
        </w:rPr>
        <w:t>, injection site reactions, hepatic disorders (including laboratory abnormalities of increased ALT, AST, and total bilirubin levels) and lipid disorders (including laboratory abnormalities of increased LDL, HDL and triglycerides). Of note, there did not appear to be a relationship between neutro</w:t>
      </w:r>
      <w:r w:rsidR="001E2D44">
        <w:rPr>
          <w:lang w:val="en-US"/>
        </w:rPr>
        <w:t>paenia</w:t>
      </w:r>
      <w:r>
        <w:rPr>
          <w:lang w:val="en-US"/>
        </w:rPr>
        <w:t xml:space="preserve"> and infections, thrombocyto</w:t>
      </w:r>
      <w:r w:rsidR="001E2D44">
        <w:rPr>
          <w:lang w:val="en-US"/>
        </w:rPr>
        <w:t>paenia</w:t>
      </w:r>
      <w:r>
        <w:rPr>
          <w:lang w:val="en-US"/>
        </w:rPr>
        <w:t xml:space="preserve"> and bleeding, or abnormal lipids and major cardiovascular adverse events.</w:t>
      </w:r>
    </w:p>
    <w:p w:rsidR="002928AB" w:rsidRDefault="002928AB" w:rsidP="002928AB">
      <w:pPr>
        <w:rPr>
          <w:lang w:val="en-US"/>
        </w:rPr>
      </w:pPr>
      <w:r>
        <w:rPr>
          <w:lang w:val="en-US"/>
        </w:rPr>
        <w:t xml:space="preserve">The safety data for the sarilumab + DMARD placebo-controlled patient population treated for up to 52 weeks (Pool 1) showed that TEAEs, serious TEAEs, and TEAEs leading to permanent treatment discontinuation occurred more frequently in patients in both sarilumab dose groups (150 mg q2w and 200 mg q2w) compared with placebo, and marginally more frequently in the higher dose compared with the lower dose sarilumab group. TEAEs leading to death occurred infrequently in each of the three treatment groups with no clinically meaningful difference across the groups. In Pool 2, the long-term safety of sarilumab was investigated primarily in the any sarilumab dose group (5844.9 PY of exposure) rather than separately in the two sarilumab groups due to the notably longer exposure in the 200 mg q2w initial dose group (2310.4 PY) compared with the 150 mg q2w initial dose group (768.8 PY). The safety data for the long-term open-label </w:t>
      </w:r>
      <w:proofErr w:type="spellStart"/>
      <w:r>
        <w:rPr>
          <w:lang w:val="en-US"/>
        </w:rPr>
        <w:t>sarilumab</w:t>
      </w:r>
      <w:proofErr w:type="spellEnd"/>
      <w:r>
        <w:rPr>
          <w:lang w:val="en-US"/>
        </w:rPr>
        <w:t xml:space="preserve"> + </w:t>
      </w:r>
      <w:proofErr w:type="spellStart"/>
      <w:r>
        <w:rPr>
          <w:lang w:val="en-US"/>
        </w:rPr>
        <w:t>cDMARD</w:t>
      </w:r>
      <w:proofErr w:type="spellEnd"/>
      <w:r>
        <w:rPr>
          <w:lang w:val="en-US"/>
        </w:rPr>
        <w:t xml:space="preserve"> population (Pool 2) were consistent with the placebo-controlled safety data for </w:t>
      </w:r>
      <w:proofErr w:type="spellStart"/>
      <w:r>
        <w:rPr>
          <w:lang w:val="en-US"/>
        </w:rPr>
        <w:t>sarilumab</w:t>
      </w:r>
      <w:proofErr w:type="spellEnd"/>
      <w:r>
        <w:rPr>
          <w:lang w:val="en-US"/>
        </w:rPr>
        <w:t xml:space="preserve"> + </w:t>
      </w:r>
      <w:proofErr w:type="spellStart"/>
      <w:r>
        <w:rPr>
          <w:lang w:val="en-US"/>
        </w:rPr>
        <w:t>cDMARD</w:t>
      </w:r>
      <w:proofErr w:type="spellEnd"/>
      <w:r>
        <w:rPr>
          <w:lang w:val="en-US"/>
        </w:rPr>
        <w:t xml:space="preserve"> from Pool 1, and no new risks emerged with long-term treatment with </w:t>
      </w:r>
      <w:proofErr w:type="spellStart"/>
      <w:r>
        <w:rPr>
          <w:lang w:val="en-US"/>
        </w:rPr>
        <w:t>sarilumab</w:t>
      </w:r>
      <w:proofErr w:type="spellEnd"/>
      <w:r>
        <w:rPr>
          <w:lang w:val="en-US"/>
        </w:rPr>
        <w:t xml:space="preserve"> + </w:t>
      </w:r>
      <w:proofErr w:type="spellStart"/>
      <w:r>
        <w:rPr>
          <w:lang w:val="en-US"/>
        </w:rPr>
        <w:t>cDMARD</w:t>
      </w:r>
      <w:proofErr w:type="spellEnd"/>
      <w:r>
        <w:rPr>
          <w:lang w:val="en-US"/>
        </w:rPr>
        <w:t>. The safety data for Pool 1 and Pool 2 have been reviewed in detail above.</w:t>
      </w:r>
    </w:p>
    <w:p w:rsidR="00AA6B20" w:rsidRDefault="002928AB" w:rsidP="002928AB">
      <w:pPr>
        <w:rPr>
          <w:lang w:val="en-US"/>
        </w:rPr>
      </w:pPr>
      <w:r>
        <w:rPr>
          <w:lang w:val="en-US"/>
        </w:rPr>
        <w:t xml:space="preserve">The safety and tolerability data from </w:t>
      </w:r>
      <w:r w:rsidR="00783B19">
        <w:rPr>
          <w:lang w:val="en-US"/>
        </w:rPr>
        <w:t>S</w:t>
      </w:r>
      <w:r>
        <w:rPr>
          <w:lang w:val="en-US"/>
        </w:rPr>
        <w:t>tudy SFY13370 comparing two sarilumab groups (150 mg q2w and 200 mg q2w) in combination with DMARD with tocilizumab in combination with DMARD (24</w:t>
      </w:r>
      <w:r w:rsidR="00783B19">
        <w:rPr>
          <w:lang w:val="en-US"/>
        </w:rPr>
        <w:t xml:space="preserve"> </w:t>
      </w:r>
      <w:r>
        <w:rPr>
          <w:lang w:val="en-US"/>
        </w:rPr>
        <w:t>weeks treatment) showed similar safety profiles for the sarilumab and tocilizumab groups. However, the risks of neutro</w:t>
      </w:r>
      <w:r w:rsidR="001E2D44">
        <w:rPr>
          <w:lang w:val="en-US"/>
        </w:rPr>
        <w:t>paenia</w:t>
      </w:r>
      <w:r>
        <w:rPr>
          <w:lang w:val="en-US"/>
        </w:rPr>
        <w:t xml:space="preserve"> were numerically higher in the sarilumab groups compared with the tocilizumab group while the risks of elevated lipids were numerically higher in the tocilizumab group than in the sarilumab </w:t>
      </w:r>
      <w:r>
        <w:rPr>
          <w:lang w:val="en-US"/>
        </w:rPr>
        <w:lastRenderedPageBreak/>
        <w:t>groups. The risks of hepatic disorders and potentially clinically significant abnormalities associated with increased ALT levels were similar in the sarilumab and tocilizumab groups. Thrombocyto</w:t>
      </w:r>
      <w:r w:rsidR="001E2D44">
        <w:rPr>
          <w:lang w:val="en-US"/>
        </w:rPr>
        <w:t>paenia</w:t>
      </w:r>
      <w:r>
        <w:rPr>
          <w:lang w:val="en-US"/>
        </w:rPr>
        <w:t xml:space="preserve"> (</w:t>
      </w:r>
      <w:r w:rsidR="007F1BEB">
        <w:t>&lt; </w:t>
      </w:r>
      <w:r>
        <w:rPr>
          <w:lang w:val="en-US"/>
        </w:rPr>
        <w:t>100 Giga/L) was reported in 1 patient in the sarilumab 150 mg q2w group, and this event was clinically insignificant. Hypersensitivity reactions occurred with a similar incidence in patients in the sarilumab and tocilizumab groups, and there were no reports of anaphylaxis. TEAEs leading to permanent treatment discontinuation occurred more frequently in the sarilumab groups than in the tocilizumab group, with the difference appearing to be primarily due to a higher incidence of laboratory abnormalities meeting the pre-specified criteria for perma</w:t>
      </w:r>
      <w:r w:rsidR="00783B19">
        <w:rPr>
          <w:lang w:val="en-US"/>
        </w:rPr>
        <w:t>nent treatment discontinuation.</w:t>
      </w:r>
    </w:p>
    <w:p w:rsidR="002928AB" w:rsidRDefault="002928AB" w:rsidP="002928AB">
      <w:pPr>
        <w:rPr>
          <w:lang w:val="en-US"/>
        </w:rPr>
      </w:pPr>
      <w:r>
        <w:rPr>
          <w:lang w:val="en-US"/>
        </w:rPr>
        <w:t xml:space="preserve">Overall, it is considered that the pivotal safety data for sarilumab in combination with </w:t>
      </w:r>
      <w:proofErr w:type="spellStart"/>
      <w:r>
        <w:rPr>
          <w:lang w:val="en-US"/>
        </w:rPr>
        <w:t>cDMARD</w:t>
      </w:r>
      <w:proofErr w:type="spellEnd"/>
      <w:r>
        <w:rPr>
          <w:lang w:val="en-US"/>
        </w:rPr>
        <w:t xml:space="preserve"> from the two pivotal studies (</w:t>
      </w:r>
      <w:r w:rsidR="00783B19">
        <w:rPr>
          <w:lang w:val="en-US"/>
        </w:rPr>
        <w:t xml:space="preserve">Studies </w:t>
      </w:r>
      <w:r>
        <w:rPr>
          <w:lang w:val="en-US"/>
        </w:rPr>
        <w:t xml:space="preserve">EFC11072, Part B and EFC10832), the long-term safety data from </w:t>
      </w:r>
      <w:r w:rsidR="003D2290">
        <w:rPr>
          <w:lang w:val="en-US"/>
        </w:rPr>
        <w:t>Study LTS</w:t>
      </w:r>
      <w:r>
        <w:rPr>
          <w:lang w:val="en-US"/>
        </w:rPr>
        <w:t>11210, the safety data from Pool 1 (</w:t>
      </w:r>
      <w:proofErr w:type="spellStart"/>
      <w:r>
        <w:rPr>
          <w:lang w:val="en-US"/>
        </w:rPr>
        <w:t>sarilumab</w:t>
      </w:r>
      <w:proofErr w:type="spellEnd"/>
      <w:r>
        <w:rPr>
          <w:lang w:val="en-US"/>
        </w:rPr>
        <w:t xml:space="preserve"> + </w:t>
      </w:r>
      <w:proofErr w:type="spellStart"/>
      <w:r>
        <w:rPr>
          <w:lang w:val="en-US"/>
        </w:rPr>
        <w:t>cDMARD</w:t>
      </w:r>
      <w:proofErr w:type="spellEnd"/>
      <w:r>
        <w:rPr>
          <w:lang w:val="en-US"/>
        </w:rPr>
        <w:t xml:space="preserve"> placebo-controlled population), the safety data from Pool 2 (</w:t>
      </w:r>
      <w:proofErr w:type="spellStart"/>
      <w:r>
        <w:rPr>
          <w:lang w:val="en-US"/>
        </w:rPr>
        <w:t>sarilumab</w:t>
      </w:r>
      <w:proofErr w:type="spellEnd"/>
      <w:r>
        <w:rPr>
          <w:lang w:val="en-US"/>
        </w:rPr>
        <w:t xml:space="preserve"> + </w:t>
      </w:r>
      <w:proofErr w:type="spellStart"/>
      <w:r>
        <w:rPr>
          <w:lang w:val="en-US"/>
        </w:rPr>
        <w:t>cDMARD</w:t>
      </w:r>
      <w:proofErr w:type="spellEnd"/>
      <w:r>
        <w:rPr>
          <w:lang w:val="en-US"/>
        </w:rPr>
        <w:t xml:space="preserve"> long-term population), and the safety data comparing sarilumab in combination with </w:t>
      </w:r>
      <w:proofErr w:type="spellStart"/>
      <w:r>
        <w:rPr>
          <w:lang w:val="en-US"/>
        </w:rPr>
        <w:t>cDMARD</w:t>
      </w:r>
      <w:proofErr w:type="spellEnd"/>
      <w:r>
        <w:rPr>
          <w:lang w:val="en-US"/>
        </w:rPr>
        <w:t xml:space="preserve"> with tocilizumab in combination </w:t>
      </w:r>
      <w:proofErr w:type="spellStart"/>
      <w:r>
        <w:rPr>
          <w:lang w:val="en-US"/>
        </w:rPr>
        <w:t>cDMARD</w:t>
      </w:r>
      <w:proofErr w:type="spellEnd"/>
      <w:r>
        <w:rPr>
          <w:lang w:val="en-US"/>
        </w:rPr>
        <w:t xml:space="preserve"> (</w:t>
      </w:r>
      <w:r w:rsidR="007F1BEB">
        <w:rPr>
          <w:lang w:val="en-US"/>
        </w:rPr>
        <w:t xml:space="preserve">Study </w:t>
      </w:r>
      <w:r>
        <w:rPr>
          <w:lang w:val="en-US"/>
        </w:rPr>
        <w:t>SFY13370) can be extrapolated to Australian patients with RA.</w:t>
      </w:r>
    </w:p>
    <w:p w:rsidR="00AA6B20" w:rsidRDefault="002928AB" w:rsidP="002928AB">
      <w:pPr>
        <w:rPr>
          <w:b/>
          <w:i/>
          <w:lang w:val="en-US"/>
        </w:rPr>
      </w:pPr>
      <w:r w:rsidRPr="00A12AEE">
        <w:rPr>
          <w:b/>
          <w:i/>
          <w:lang w:val="en-US"/>
        </w:rPr>
        <w:t>Choice of the sarilumab dose to initiate treatment</w:t>
      </w:r>
    </w:p>
    <w:p w:rsidR="00AA6B20" w:rsidRDefault="002928AB" w:rsidP="002928AB">
      <w:pPr>
        <w:rPr>
          <w:lang w:val="en-US"/>
        </w:rPr>
      </w:pPr>
      <w:r>
        <w:rPr>
          <w:lang w:val="en-US"/>
        </w:rPr>
        <w:t xml:space="preserve">The efficacy data supporting initiating treatment with sarilumab 200 mg q2w as monotherapy or in combination with </w:t>
      </w:r>
      <w:proofErr w:type="spellStart"/>
      <w:r>
        <w:rPr>
          <w:lang w:val="en-US"/>
        </w:rPr>
        <w:t>cDMARD</w:t>
      </w:r>
      <w:proofErr w:type="spellEnd"/>
      <w:r>
        <w:rPr>
          <w:lang w:val="en-US"/>
        </w:rPr>
        <w:t xml:space="preserve"> have been </w:t>
      </w:r>
      <w:proofErr w:type="spellStart"/>
      <w:r>
        <w:rPr>
          <w:lang w:val="en-US"/>
        </w:rPr>
        <w:t>summarised</w:t>
      </w:r>
      <w:proofErr w:type="spellEnd"/>
      <w:r>
        <w:rPr>
          <w:lang w:val="en-US"/>
        </w:rPr>
        <w:t xml:space="preserve"> in detail above</w:t>
      </w:r>
      <w:r w:rsidR="00783B19">
        <w:rPr>
          <w:lang w:val="en-US"/>
        </w:rPr>
        <w:t xml:space="preserve"> (see </w:t>
      </w:r>
      <w:r w:rsidR="00783B19" w:rsidRPr="00783B19">
        <w:rPr>
          <w:i/>
          <w:lang w:val="en-US"/>
        </w:rPr>
        <w:t>First round assessment of benefits</w:t>
      </w:r>
      <w:r w:rsidR="00783B19">
        <w:rPr>
          <w:lang w:val="en-US"/>
        </w:rPr>
        <w:t>)</w:t>
      </w:r>
      <w:r>
        <w:rPr>
          <w:lang w:val="en-US"/>
        </w:rPr>
        <w:t xml:space="preserve">. The safety data supporting initiating treatment with sarilumab 200 mg q2w as monotherapy or in combination with </w:t>
      </w:r>
      <w:proofErr w:type="spellStart"/>
      <w:r>
        <w:rPr>
          <w:lang w:val="en-US"/>
        </w:rPr>
        <w:t>cDMARD</w:t>
      </w:r>
      <w:proofErr w:type="spellEnd"/>
      <w:r>
        <w:rPr>
          <w:lang w:val="en-US"/>
        </w:rPr>
        <w:t xml:space="preserve"> and reducing the dose to 150 mg q2w in the event of neutro</w:t>
      </w:r>
      <w:r w:rsidR="001E2D44">
        <w:rPr>
          <w:lang w:val="en-US"/>
        </w:rPr>
        <w:t>paenia</w:t>
      </w:r>
      <w:r>
        <w:rPr>
          <w:lang w:val="en-US"/>
        </w:rPr>
        <w:t>, thrombocyto</w:t>
      </w:r>
      <w:r w:rsidR="001E2D44">
        <w:rPr>
          <w:lang w:val="en-US"/>
        </w:rPr>
        <w:t>paenia</w:t>
      </w:r>
      <w:r>
        <w:rPr>
          <w:lang w:val="en-US"/>
        </w:rPr>
        <w:t>, or ALT increased are summarised in detail above</w:t>
      </w:r>
      <w:r w:rsidR="00783B19">
        <w:rPr>
          <w:lang w:val="en-US"/>
        </w:rPr>
        <w:t xml:space="preserve"> (</w:t>
      </w:r>
      <w:r w:rsidR="00783B19" w:rsidRPr="00783B19">
        <w:rPr>
          <w:i/>
          <w:lang w:val="en-US"/>
        </w:rPr>
        <w:t>Fi</w:t>
      </w:r>
      <w:r w:rsidR="00783B19">
        <w:rPr>
          <w:i/>
          <w:lang w:val="en-US"/>
        </w:rPr>
        <w:t>rst round assessment of risks</w:t>
      </w:r>
      <w:r w:rsidR="00783B19" w:rsidRPr="00783B19">
        <w:rPr>
          <w:lang w:val="en-US"/>
        </w:rPr>
        <w:t>)</w:t>
      </w:r>
      <w:r w:rsidRPr="00783B19">
        <w:rPr>
          <w:lang w:val="en-US"/>
        </w:rPr>
        <w:t>.</w:t>
      </w:r>
    </w:p>
    <w:p w:rsidR="00605AD4" w:rsidRPr="00605AD4" w:rsidRDefault="00605AD4" w:rsidP="00605AD4">
      <w:pPr>
        <w:pStyle w:val="Heading3"/>
        <w:rPr>
          <w:rFonts w:eastAsia="Cambria"/>
        </w:rPr>
      </w:pPr>
      <w:bookmarkStart w:id="189" w:name="_Toc12272157"/>
      <w:r w:rsidRPr="00605AD4">
        <w:rPr>
          <w:rFonts w:eastAsia="Cambria"/>
        </w:rPr>
        <w:t xml:space="preserve">First </w:t>
      </w:r>
      <w:r w:rsidR="00661497" w:rsidRPr="00605AD4">
        <w:rPr>
          <w:rFonts w:eastAsia="Cambria"/>
        </w:rPr>
        <w:t>round recommendation regarding authorisation</w:t>
      </w:r>
      <w:bookmarkEnd w:id="189"/>
    </w:p>
    <w:p w:rsidR="002928AB" w:rsidRPr="00A30E6E" w:rsidRDefault="002928AB" w:rsidP="00C97347">
      <w:r w:rsidRPr="00A30E6E">
        <w:rPr>
          <w:lang w:val="en-US" w:eastAsia="ja-JP"/>
        </w:rPr>
        <w:t xml:space="preserve">It is recommended that </w:t>
      </w:r>
      <w:r w:rsidRPr="00A30E6E">
        <w:t xml:space="preserve">Kevzara in combination with non-biologic DMARDs or as monotherapy be approved for the treatment of moderate to severe </w:t>
      </w:r>
      <w:r w:rsidR="00783B19">
        <w:t>RA</w:t>
      </w:r>
      <w:r w:rsidRPr="00A30E6E">
        <w:t xml:space="preserve"> in adult patients who have had an inadequate response or intolerance to one or more DMARDs.</w:t>
      </w:r>
    </w:p>
    <w:p w:rsidR="00AA6B20" w:rsidRDefault="002928AB" w:rsidP="00C97347">
      <w:pPr>
        <w:pStyle w:val="ListBullet"/>
      </w:pPr>
      <w:r w:rsidRPr="00A30E6E">
        <w:t>It is recommended that Kevzara be initiated at a dose of 200 mg q2w and reduced to 150 mg q2w based on the dose modifications for neutro</w:t>
      </w:r>
      <w:r w:rsidR="001E2D44">
        <w:t>paenia</w:t>
      </w:r>
      <w:r w:rsidRPr="00A30E6E">
        <w:t>, low platelet count and increased ALT recommended in the PI.</w:t>
      </w:r>
    </w:p>
    <w:p w:rsidR="00AA6B20" w:rsidRDefault="00C97347" w:rsidP="00C97347">
      <w:pPr>
        <w:pStyle w:val="ListBullet"/>
        <w:rPr>
          <w:rFonts w:cs="Calibri"/>
        </w:rPr>
      </w:pPr>
      <w:r>
        <w:t>I</w:t>
      </w:r>
      <w:r w:rsidR="002928AB" w:rsidRPr="00A30E6E">
        <w:t xml:space="preserve">t is recommended </w:t>
      </w:r>
      <w:r w:rsidR="002928AB" w:rsidRPr="00A30E6E">
        <w:rPr>
          <w:rFonts w:cs="Calibri"/>
        </w:rPr>
        <w:t>that it should be a condition of registration that the sponsor submit</w:t>
      </w:r>
      <w:r w:rsidR="00783B19">
        <w:rPr>
          <w:rFonts w:cs="Calibri"/>
        </w:rPr>
        <w:t>s</w:t>
      </w:r>
      <w:r w:rsidR="002928AB" w:rsidRPr="00A30E6E">
        <w:rPr>
          <w:rFonts w:cs="Calibri"/>
        </w:rPr>
        <w:t xml:space="preserve"> the proposed paediatric studies to the TGA at the same time as the studies are submitted to the EMA and/or the US FDA.</w:t>
      </w:r>
    </w:p>
    <w:p w:rsidR="002F5122" w:rsidRDefault="002F5122" w:rsidP="002F5122">
      <w:pPr>
        <w:pStyle w:val="Heading3"/>
      </w:pPr>
      <w:bookmarkStart w:id="190" w:name="_Toc12272158"/>
      <w:r w:rsidRPr="002F5122">
        <w:t xml:space="preserve">Clinical </w:t>
      </w:r>
      <w:r w:rsidR="00661497">
        <w:t>q</w:t>
      </w:r>
      <w:r w:rsidRPr="002F5122">
        <w:t>uestions</w:t>
      </w:r>
      <w:bookmarkEnd w:id="190"/>
    </w:p>
    <w:p w:rsidR="00C97347" w:rsidRDefault="00C97347" w:rsidP="00C97347">
      <w:pPr>
        <w:pStyle w:val="Heading4"/>
        <w:rPr>
          <w:lang w:val="en-US"/>
        </w:rPr>
      </w:pPr>
      <w:bookmarkStart w:id="191" w:name="_Toc514682549"/>
      <w:r>
        <w:rPr>
          <w:lang w:val="en-US"/>
        </w:rPr>
        <w:t>Efficacy</w:t>
      </w:r>
      <w:bookmarkEnd w:id="191"/>
    </w:p>
    <w:p w:rsidR="00AA6B20" w:rsidRDefault="00C97347" w:rsidP="00F147C9">
      <w:pPr>
        <w:pStyle w:val="Numberbullet0"/>
        <w:numPr>
          <w:ilvl w:val="0"/>
          <w:numId w:val="19"/>
        </w:numPr>
        <w:rPr>
          <w:lang w:val="en-US" w:eastAsia="ja-JP"/>
        </w:rPr>
      </w:pPr>
      <w:r w:rsidRPr="00C97347">
        <w:rPr>
          <w:lang w:val="en-US" w:eastAsia="ja-JP"/>
        </w:rPr>
        <w:t xml:space="preserve">Please explain why adalimumab rather than tocilizumab was selected as the active control for the pivotal </w:t>
      </w:r>
      <w:r w:rsidR="001470FB">
        <w:rPr>
          <w:lang w:val="en-US" w:eastAsia="ja-JP"/>
        </w:rPr>
        <w:t>Phase III</w:t>
      </w:r>
      <w:r w:rsidRPr="00C97347">
        <w:rPr>
          <w:lang w:val="en-US" w:eastAsia="ja-JP"/>
        </w:rPr>
        <w:t xml:space="preserve"> monotherapy </w:t>
      </w:r>
      <w:r w:rsidR="00894642">
        <w:rPr>
          <w:lang w:val="en-US" w:eastAsia="ja-JP"/>
        </w:rPr>
        <w:t>Study EFC</w:t>
      </w:r>
      <w:r w:rsidRPr="00C97347">
        <w:rPr>
          <w:lang w:val="en-US" w:eastAsia="ja-JP"/>
        </w:rPr>
        <w:t>14092</w:t>
      </w:r>
      <w:r w:rsidR="00DE3146">
        <w:rPr>
          <w:lang w:val="en-US" w:eastAsia="ja-JP"/>
        </w:rPr>
        <w:t>/</w:t>
      </w:r>
      <w:r w:rsidR="001F3EAD">
        <w:t>MONARCH</w:t>
      </w:r>
      <w:r w:rsidR="00DE3146">
        <w:t xml:space="preserve"> trial</w:t>
      </w:r>
      <w:r w:rsidRPr="00C97347">
        <w:rPr>
          <w:lang w:val="en-US" w:eastAsia="ja-JP"/>
        </w:rPr>
        <w:t>?</w:t>
      </w:r>
    </w:p>
    <w:p w:rsidR="00C97347" w:rsidRDefault="00C97347" w:rsidP="00C97347">
      <w:pPr>
        <w:pStyle w:val="Heading4"/>
        <w:rPr>
          <w:lang w:val="en-US"/>
        </w:rPr>
      </w:pPr>
      <w:bookmarkStart w:id="192" w:name="_Toc514682550"/>
      <w:r>
        <w:rPr>
          <w:lang w:val="en-US"/>
        </w:rPr>
        <w:t>Pharmacodynamics</w:t>
      </w:r>
      <w:bookmarkEnd w:id="192"/>
    </w:p>
    <w:p w:rsidR="00AA6B20" w:rsidRDefault="00C97347" w:rsidP="00C97347">
      <w:pPr>
        <w:pStyle w:val="Numberbullet0"/>
        <w:rPr>
          <w:lang w:val="en-US"/>
        </w:rPr>
      </w:pPr>
      <w:r w:rsidRPr="00A22CB9">
        <w:rPr>
          <w:lang w:val="en-US"/>
        </w:rPr>
        <w:t xml:space="preserve">Please provide a copy of the report </w:t>
      </w:r>
      <w:r>
        <w:rPr>
          <w:lang w:val="en-US"/>
        </w:rPr>
        <w:t>of</w:t>
      </w:r>
      <w:r w:rsidRPr="00A22CB9">
        <w:rPr>
          <w:lang w:val="en-US"/>
        </w:rPr>
        <w:t xml:space="preserve"> the sponsor’s PD margination model r</w:t>
      </w:r>
      <w:r w:rsidR="00783B19">
        <w:rPr>
          <w:lang w:val="en-US"/>
        </w:rPr>
        <w:t>eferred to in the re-submission</w:t>
      </w:r>
      <w:r w:rsidRPr="00A22CB9">
        <w:rPr>
          <w:lang w:val="en-US"/>
        </w:rPr>
        <w:t>.</w:t>
      </w:r>
    </w:p>
    <w:p w:rsidR="00C97347" w:rsidRDefault="00C97347" w:rsidP="00C97347">
      <w:pPr>
        <w:pStyle w:val="Heading4"/>
        <w:rPr>
          <w:lang w:val="en-US"/>
        </w:rPr>
      </w:pPr>
      <w:bookmarkStart w:id="193" w:name="_Toc514682551"/>
      <w:r>
        <w:rPr>
          <w:lang w:val="en-US"/>
        </w:rPr>
        <w:lastRenderedPageBreak/>
        <w:t>Safety</w:t>
      </w:r>
      <w:bookmarkEnd w:id="193"/>
    </w:p>
    <w:p w:rsidR="00C97347" w:rsidRDefault="00C97347" w:rsidP="00C97347">
      <w:pPr>
        <w:pStyle w:val="Numberbullet0"/>
      </w:pPr>
      <w:r w:rsidRPr="00DD3985">
        <w:rPr>
          <w:lang w:val="en-US"/>
        </w:rPr>
        <w:t xml:space="preserve">No data relating to the safety of sarilumab monotherapy based on age, gender, race, weight or BMI could be identified in the re-submission. This is a limitation of the monotherapy safety data. </w:t>
      </w:r>
      <w:r>
        <w:t xml:space="preserve">Please submit safety data relating to monotherapy treatment with sarilumab from </w:t>
      </w:r>
      <w:r w:rsidR="00894642">
        <w:t>Study EFC</w:t>
      </w:r>
      <w:r>
        <w:t>14092</w:t>
      </w:r>
      <w:r w:rsidR="00DE3146">
        <w:t>/</w:t>
      </w:r>
      <w:r w:rsidR="001F3EAD">
        <w:t>MONARCH</w:t>
      </w:r>
      <w:r w:rsidR="00DE3146">
        <w:t xml:space="preserve"> trial</w:t>
      </w:r>
      <w:r>
        <w:t xml:space="preserve"> and Pool 3 based on age, gender, race, body weight, and BMI. The safety data should provide high-level incidence overviews (TEAEs, deaths, SAEs, permanent treatment discontinuations due to AEs), tabulated summaries of AESI, laboratory results for neutro</w:t>
      </w:r>
      <w:r w:rsidR="001E2D44">
        <w:t>paenia</w:t>
      </w:r>
      <w:r>
        <w:t xml:space="preserve"> based on Grades 1</w:t>
      </w:r>
      <w:r w:rsidR="00DE3146">
        <w:t xml:space="preserve"> to </w:t>
      </w:r>
      <w:r>
        <w:t>4, laboratory results for ALT based on the ULN categories, and laboratory results for thrombocyto</w:t>
      </w:r>
      <w:r w:rsidR="001E2D44">
        <w:t>paenia</w:t>
      </w:r>
      <w:r>
        <w:t xml:space="preserve"> </w:t>
      </w:r>
      <w:r w:rsidR="007F1BEB">
        <w:t>&lt; </w:t>
      </w:r>
      <w:r>
        <w:t>100 Giga/L. Please comment on the safety of sarilumab monotherapy in the subgroups of interest.</w:t>
      </w:r>
    </w:p>
    <w:p w:rsidR="00605AD4" w:rsidRPr="00605AD4" w:rsidRDefault="00605AD4" w:rsidP="00605AD4">
      <w:pPr>
        <w:pStyle w:val="Heading3"/>
        <w:rPr>
          <w:rFonts w:eastAsia="Cambria"/>
        </w:rPr>
      </w:pPr>
      <w:bookmarkStart w:id="194" w:name="_Toc12272159"/>
      <w:r w:rsidRPr="00605AD4">
        <w:rPr>
          <w:rFonts w:eastAsia="Cambria"/>
        </w:rPr>
        <w:t xml:space="preserve">Second </w:t>
      </w:r>
      <w:r w:rsidR="00661497" w:rsidRPr="00605AD4">
        <w:rPr>
          <w:rFonts w:eastAsia="Cambria"/>
        </w:rPr>
        <w:t>round evaluation</w:t>
      </w:r>
      <w:bookmarkEnd w:id="194"/>
    </w:p>
    <w:p w:rsidR="00C97347" w:rsidRPr="00B375FD" w:rsidRDefault="00C97347" w:rsidP="00B375FD">
      <w:pPr>
        <w:pStyle w:val="Heading4"/>
        <w:rPr>
          <w:szCs w:val="22"/>
        </w:rPr>
      </w:pPr>
      <w:bookmarkStart w:id="195" w:name="_Toc514682555"/>
      <w:r w:rsidRPr="00423E09">
        <w:t>Overview</w:t>
      </w:r>
      <w:bookmarkEnd w:id="195"/>
    </w:p>
    <w:p w:rsidR="00AA6B20" w:rsidRPr="00B375FD" w:rsidRDefault="00C97347" w:rsidP="00B375FD">
      <w:r w:rsidRPr="00B375FD">
        <w:t xml:space="preserve">The sponsor’s </w:t>
      </w:r>
      <w:r w:rsidR="00783B19" w:rsidRPr="00B375FD">
        <w:t>r</w:t>
      </w:r>
      <w:r w:rsidRPr="00B375FD">
        <w:t>esponse to the questions raised in first round clinical evaluation report was comprehensive. There are no outstanding issues relating to the first round clinical questions. The sponsor’s responses to the first round clinical questions and the clinical evaluator’s comments on the responses are provided below.</w:t>
      </w:r>
    </w:p>
    <w:p w:rsidR="00AA6B20" w:rsidRPr="00B375FD" w:rsidRDefault="00C97347" w:rsidP="00B375FD">
      <w:r w:rsidRPr="00B375FD">
        <w:t>No substantial changes have been made to the first ro</w:t>
      </w:r>
      <w:r w:rsidR="00783B19" w:rsidRPr="00B375FD">
        <w:t>und clinical evaluation report.</w:t>
      </w:r>
    </w:p>
    <w:p w:rsidR="00AA6B20" w:rsidRDefault="00C97347" w:rsidP="00C97347">
      <w:pPr>
        <w:pStyle w:val="Heading4"/>
      </w:pPr>
      <w:bookmarkStart w:id="196" w:name="_Toc514158396"/>
      <w:bookmarkStart w:id="197" w:name="_Toc514682556"/>
      <w:r>
        <w:t>Questions sponsor’s response and evaluator’s comment</w:t>
      </w:r>
      <w:bookmarkEnd w:id="196"/>
      <w:bookmarkEnd w:id="197"/>
    </w:p>
    <w:p w:rsidR="00C97347" w:rsidRPr="00C97347" w:rsidRDefault="00C97347" w:rsidP="00C97347">
      <w:pPr>
        <w:pStyle w:val="Heading5"/>
      </w:pPr>
      <w:r>
        <w:t>Efficacy</w:t>
      </w:r>
    </w:p>
    <w:p w:rsidR="00C97347" w:rsidRPr="00485E22" w:rsidRDefault="00C97347" w:rsidP="00783B19">
      <w:pPr>
        <w:pStyle w:val="Numberbullet0"/>
        <w:numPr>
          <w:ilvl w:val="0"/>
          <w:numId w:val="25"/>
        </w:numPr>
        <w:rPr>
          <w:i/>
          <w:lang w:eastAsia="ja-JP"/>
        </w:rPr>
      </w:pPr>
      <w:r w:rsidRPr="00485E22">
        <w:rPr>
          <w:i/>
        </w:rPr>
        <w:t xml:space="preserve">Please explain why adalimumab rather than tocilizumab was selected as the active control for the pivotal </w:t>
      </w:r>
      <w:r w:rsidR="001470FB" w:rsidRPr="00485E22">
        <w:rPr>
          <w:i/>
        </w:rPr>
        <w:t>Phase III</w:t>
      </w:r>
      <w:r w:rsidRPr="00485E22">
        <w:rPr>
          <w:i/>
        </w:rPr>
        <w:t xml:space="preserve"> monotherapy </w:t>
      </w:r>
      <w:r w:rsidR="00894642" w:rsidRPr="00485E22">
        <w:rPr>
          <w:i/>
        </w:rPr>
        <w:t>Study EFC</w:t>
      </w:r>
      <w:r w:rsidRPr="00485E22">
        <w:rPr>
          <w:i/>
        </w:rPr>
        <w:t>14092</w:t>
      </w:r>
      <w:r w:rsidR="00DE3146" w:rsidRPr="00485E22">
        <w:rPr>
          <w:i/>
        </w:rPr>
        <w:t>/</w:t>
      </w:r>
      <w:r w:rsidR="001F3EAD" w:rsidRPr="00485E22">
        <w:rPr>
          <w:i/>
        </w:rPr>
        <w:t>MONARCH</w:t>
      </w:r>
      <w:r w:rsidR="00DE3146" w:rsidRPr="00485E22">
        <w:rPr>
          <w:i/>
        </w:rPr>
        <w:t xml:space="preserve"> trial</w:t>
      </w:r>
      <w:r w:rsidRPr="00485E22">
        <w:rPr>
          <w:i/>
        </w:rPr>
        <w:t>?</w:t>
      </w:r>
    </w:p>
    <w:p w:rsidR="00C97347" w:rsidRPr="00306971" w:rsidRDefault="00C97347" w:rsidP="00C97347">
      <w:pPr>
        <w:pStyle w:val="Heading6"/>
        <w:rPr>
          <w:lang w:eastAsia="ja-JP"/>
        </w:rPr>
      </w:pPr>
      <w:r w:rsidRPr="00306971">
        <w:rPr>
          <w:lang w:eastAsia="ja-JP"/>
        </w:rPr>
        <w:t>S</w:t>
      </w:r>
      <w:r w:rsidR="00783B19">
        <w:rPr>
          <w:lang w:eastAsia="ja-JP"/>
        </w:rPr>
        <w:t>ponsor</w:t>
      </w:r>
      <w:r w:rsidRPr="00306971">
        <w:rPr>
          <w:lang w:eastAsia="ja-JP"/>
        </w:rPr>
        <w:t xml:space="preserve"> </w:t>
      </w:r>
      <w:r w:rsidR="00783B19">
        <w:rPr>
          <w:lang w:eastAsia="ja-JP"/>
        </w:rPr>
        <w:t>r</w:t>
      </w:r>
      <w:r w:rsidRPr="00C97347">
        <w:t>esponse</w:t>
      </w:r>
    </w:p>
    <w:p w:rsidR="00C97347" w:rsidRPr="00306971" w:rsidRDefault="00C97347" w:rsidP="00C97347">
      <w:pPr>
        <w:rPr>
          <w:lang w:eastAsia="ja-JP"/>
        </w:rPr>
      </w:pPr>
      <w:r w:rsidRPr="00306971">
        <w:t xml:space="preserve">Adalimumab was selected to be the comparator biologic in the </w:t>
      </w:r>
      <w:r w:rsidR="00DE3146">
        <w:t xml:space="preserve">Study </w:t>
      </w:r>
      <w:r w:rsidRPr="00306971">
        <w:t>EFC14092</w:t>
      </w:r>
      <w:r w:rsidR="00DE3146">
        <w:t>/</w:t>
      </w:r>
      <w:r w:rsidR="001F3EAD">
        <w:t>MONARCH</w:t>
      </w:r>
      <w:r w:rsidR="001F3EAD" w:rsidRPr="00306971">
        <w:t xml:space="preserve"> </w:t>
      </w:r>
      <w:r w:rsidR="00DE3146">
        <w:t>trial</w:t>
      </w:r>
      <w:r w:rsidR="00DE3146" w:rsidRPr="00306971">
        <w:t xml:space="preserve"> </w:t>
      </w:r>
      <w:r w:rsidRPr="00306971">
        <w:t xml:space="preserve">as its use was consistent with the contemporary guidelines for the management of RA patients including </w:t>
      </w:r>
      <w:r>
        <w:t xml:space="preserve">ACR 2012 management guidelines </w:t>
      </w:r>
      <w:r w:rsidR="00DE3146">
        <w:t>(</w:t>
      </w:r>
      <w:r>
        <w:t>provided with the response</w:t>
      </w:r>
      <w:r w:rsidR="00DE3146">
        <w:t>)</w:t>
      </w:r>
      <w:r>
        <w:t xml:space="preserve">, EULAR 2013 </w:t>
      </w:r>
      <w:r w:rsidR="00DE3146">
        <w:t>(</w:t>
      </w:r>
      <w:r>
        <w:t>provided with the response</w:t>
      </w:r>
      <w:r w:rsidR="00DE3146">
        <w:t>)</w:t>
      </w:r>
      <w:r w:rsidRPr="00306971">
        <w:t xml:space="preserve">, various </w:t>
      </w:r>
      <w:r w:rsidR="00783B19">
        <w:t>Royal Australian College of General Practitioners (</w:t>
      </w:r>
      <w:r w:rsidRPr="00306971">
        <w:t>RACG</w:t>
      </w:r>
      <w:r>
        <w:t>P</w:t>
      </w:r>
      <w:r w:rsidR="00783B19">
        <w:t>)</w:t>
      </w:r>
      <w:r w:rsidRPr="00306971">
        <w:t xml:space="preserve"> clinical guidelines, Australian Therapeutic Guidelines and the Australian Rheumatology Association treatment guidelines</w:t>
      </w:r>
      <w:r>
        <w:t xml:space="preserve">. </w:t>
      </w:r>
      <w:r w:rsidRPr="00306971">
        <w:t>The choice of adalimumab was also based on its widespread use and extensive clinical data supporting its role as a first line biologic therapy for patients with active RA who do not respond to or are intolerant of MTX.</w:t>
      </w:r>
    </w:p>
    <w:p w:rsidR="00C97347" w:rsidRPr="00306971" w:rsidRDefault="00C97347" w:rsidP="00C97347">
      <w:r w:rsidRPr="00306971">
        <w:t xml:space="preserve">At the time when </w:t>
      </w:r>
      <w:r w:rsidR="00894642">
        <w:t>Study EFC</w:t>
      </w:r>
      <w:r w:rsidRPr="00306971">
        <w:t>14092</w:t>
      </w:r>
      <w:r w:rsidR="00DE3146">
        <w:t>/</w:t>
      </w:r>
      <w:r w:rsidR="001F3EAD">
        <w:t>MONARCH</w:t>
      </w:r>
      <w:r w:rsidR="00DE3146">
        <w:t xml:space="preserve"> trial</w:t>
      </w:r>
      <w:r w:rsidR="001F3EAD" w:rsidRPr="00306971">
        <w:t xml:space="preserve"> </w:t>
      </w:r>
      <w:r w:rsidRPr="00306971">
        <w:t>was designed and initiated, the prevailing guidelines for the treatment of patients with rheumatoid arthritis and poor prognostic factors, such as those enrolled in this study, recommended anti-TNF agents as the potential therapy for patients who are either non-responders to, or who have contraindications to non-biological DMARDs, including MTX (ACR2012, EULAR 2013). Further, anti-TNF agents have been one of the most commonly used biologics in Australia for the treatment of patients with active RA, and adalimumab has been the most commonly used anti-TNF agent approved for the treatment of RA patients including those who did not respond to non-biological DMARDs. Approximately 50% of the initial prescriptions of adalimumab are used as monotherapy and eventually over half of all adalimumab prescriptions are given as monotherapy.</w:t>
      </w:r>
    </w:p>
    <w:p w:rsidR="00AA6B20" w:rsidRDefault="00C97347" w:rsidP="00C97347">
      <w:pPr>
        <w:rPr>
          <w:rFonts w:eastAsiaTheme="minorHAnsi"/>
          <w:color w:val="000000"/>
        </w:rPr>
      </w:pPr>
      <w:r w:rsidRPr="00306971">
        <w:rPr>
          <w:rFonts w:eastAsiaTheme="minorHAnsi"/>
          <w:color w:val="000000"/>
        </w:rPr>
        <w:lastRenderedPageBreak/>
        <w:t>Additionally, practical considerations related to clinical trial design and feasibility also favo</w:t>
      </w:r>
      <w:r w:rsidR="00A91CCE">
        <w:rPr>
          <w:rFonts w:eastAsiaTheme="minorHAnsi"/>
          <w:color w:val="000000"/>
        </w:rPr>
        <w:t>u</w:t>
      </w:r>
      <w:r w:rsidRPr="00306971">
        <w:rPr>
          <w:rFonts w:eastAsiaTheme="minorHAnsi"/>
          <w:color w:val="000000"/>
        </w:rPr>
        <w:t xml:space="preserve">red the use of adalimumab, given the similarity in dosing interval and route of administration, which is administered </w:t>
      </w:r>
      <w:r w:rsidR="00296769">
        <w:rPr>
          <w:rFonts w:eastAsiaTheme="minorHAnsi"/>
          <w:color w:val="000000"/>
        </w:rPr>
        <w:t>SC</w:t>
      </w:r>
      <w:r w:rsidRPr="00306971">
        <w:rPr>
          <w:rFonts w:eastAsiaTheme="minorHAnsi"/>
          <w:color w:val="000000"/>
        </w:rPr>
        <w:t xml:space="preserve"> every other week like sarilumab.</w:t>
      </w:r>
    </w:p>
    <w:p w:rsidR="00C97347" w:rsidRPr="00306971" w:rsidRDefault="00C97347" w:rsidP="00C97347">
      <w:r w:rsidRPr="00306971">
        <w:rPr>
          <w:rFonts w:eastAsiaTheme="minorHAnsi"/>
          <w:color w:val="000000"/>
        </w:rPr>
        <w:t xml:space="preserve">Given the aforementioned reasons, the </w:t>
      </w:r>
      <w:r w:rsidR="00296769">
        <w:rPr>
          <w:rFonts w:eastAsiaTheme="minorHAnsi"/>
          <w:color w:val="000000"/>
        </w:rPr>
        <w:t>s</w:t>
      </w:r>
      <w:r w:rsidRPr="00306971">
        <w:rPr>
          <w:rFonts w:eastAsiaTheme="minorHAnsi"/>
          <w:color w:val="000000"/>
        </w:rPr>
        <w:t xml:space="preserve">ponsor determined that adalimumab was the more optimal comparator relative to other biologics for </w:t>
      </w:r>
      <w:r w:rsidR="00DE3146">
        <w:rPr>
          <w:rFonts w:eastAsiaTheme="minorHAnsi"/>
          <w:color w:val="000000"/>
        </w:rPr>
        <w:t xml:space="preserve">Study </w:t>
      </w:r>
      <w:r w:rsidRPr="00306971">
        <w:rPr>
          <w:rFonts w:eastAsiaTheme="minorHAnsi"/>
          <w:color w:val="000000"/>
        </w:rPr>
        <w:t>EFC14092 to provide further context regarding the efficacy and safety of sarilumab when administered as monotherapy.</w:t>
      </w:r>
    </w:p>
    <w:p w:rsidR="00C97347" w:rsidRDefault="00C97347" w:rsidP="00C97347">
      <w:pPr>
        <w:pStyle w:val="Heading6"/>
        <w:rPr>
          <w:lang w:eastAsia="ja-JP"/>
        </w:rPr>
      </w:pPr>
      <w:r>
        <w:rPr>
          <w:lang w:eastAsia="ja-JP"/>
        </w:rPr>
        <w:t xml:space="preserve">Evaluator </w:t>
      </w:r>
      <w:r w:rsidR="00296769">
        <w:rPr>
          <w:lang w:eastAsia="ja-JP"/>
        </w:rPr>
        <w:t>c</w:t>
      </w:r>
      <w:r>
        <w:rPr>
          <w:lang w:eastAsia="ja-JP"/>
        </w:rPr>
        <w:t>omment</w:t>
      </w:r>
    </w:p>
    <w:p w:rsidR="00C97347" w:rsidRDefault="00C97347" w:rsidP="00C97347">
      <w:pPr>
        <w:rPr>
          <w:lang w:eastAsia="ja-JP"/>
        </w:rPr>
      </w:pPr>
      <w:r w:rsidRPr="00306971">
        <w:rPr>
          <w:lang w:eastAsia="ja-JP"/>
        </w:rPr>
        <w:t>The sp</w:t>
      </w:r>
      <w:r>
        <w:rPr>
          <w:lang w:eastAsia="ja-JP"/>
        </w:rPr>
        <w:t>onsor’s response is acceptable.</w:t>
      </w:r>
    </w:p>
    <w:p w:rsidR="00C97347" w:rsidRDefault="00C97347" w:rsidP="00C97347">
      <w:pPr>
        <w:pStyle w:val="Heading5"/>
      </w:pPr>
      <w:r>
        <w:t>Pharmacodynamics</w:t>
      </w:r>
    </w:p>
    <w:p w:rsidR="00AA6B20" w:rsidRPr="00485E22" w:rsidRDefault="00C97347" w:rsidP="00296769">
      <w:pPr>
        <w:pStyle w:val="Numberbullet0"/>
        <w:numPr>
          <w:ilvl w:val="0"/>
          <w:numId w:val="25"/>
        </w:numPr>
        <w:autoSpaceDE w:val="0"/>
        <w:autoSpaceDN w:val="0"/>
        <w:adjustRightInd w:val="0"/>
        <w:rPr>
          <w:rFonts w:asciiTheme="minorHAnsi" w:eastAsiaTheme="minorHAnsi" w:hAnsiTheme="minorHAnsi"/>
          <w:bCs/>
          <w:i/>
          <w:color w:val="000000"/>
        </w:rPr>
      </w:pPr>
      <w:r w:rsidRPr="00485E22">
        <w:rPr>
          <w:rFonts w:asciiTheme="minorHAnsi" w:eastAsiaTheme="minorHAnsi" w:hAnsiTheme="minorHAnsi"/>
          <w:bCs/>
          <w:i/>
          <w:color w:val="000000"/>
        </w:rPr>
        <w:t>Please provide a copy of the report of the sponsor’s PD margination model r</w:t>
      </w:r>
      <w:r w:rsidR="00296769" w:rsidRPr="00485E22">
        <w:rPr>
          <w:rFonts w:asciiTheme="minorHAnsi" w:eastAsiaTheme="minorHAnsi" w:hAnsiTheme="minorHAnsi"/>
          <w:bCs/>
          <w:i/>
          <w:color w:val="000000"/>
        </w:rPr>
        <w:t>eferred to in the re-submission</w:t>
      </w:r>
      <w:r w:rsidRPr="00485E22">
        <w:rPr>
          <w:rFonts w:asciiTheme="minorHAnsi" w:eastAsiaTheme="minorHAnsi" w:hAnsiTheme="minorHAnsi"/>
          <w:bCs/>
          <w:i/>
          <w:color w:val="000000"/>
        </w:rPr>
        <w:t>.</w:t>
      </w:r>
    </w:p>
    <w:p w:rsidR="00C97347" w:rsidRPr="00306971" w:rsidRDefault="00C97347" w:rsidP="00C97347">
      <w:pPr>
        <w:pStyle w:val="Heading6"/>
        <w:rPr>
          <w:rFonts w:eastAsiaTheme="minorHAnsi"/>
        </w:rPr>
      </w:pPr>
      <w:r w:rsidRPr="00306971">
        <w:rPr>
          <w:rFonts w:eastAsiaTheme="minorHAnsi"/>
        </w:rPr>
        <w:t>S</w:t>
      </w:r>
      <w:r w:rsidR="00296769">
        <w:rPr>
          <w:rFonts w:eastAsiaTheme="minorHAnsi"/>
        </w:rPr>
        <w:t>ponsor r</w:t>
      </w:r>
      <w:r>
        <w:rPr>
          <w:rFonts w:eastAsiaTheme="minorHAnsi"/>
        </w:rPr>
        <w:t>esponse</w:t>
      </w:r>
    </w:p>
    <w:p w:rsidR="00AA6B20" w:rsidRDefault="00C97347" w:rsidP="00C97347">
      <w:r w:rsidRPr="00306971">
        <w:t xml:space="preserve">The </w:t>
      </w:r>
      <w:r w:rsidR="00296769">
        <w:t>s</w:t>
      </w:r>
      <w:r w:rsidRPr="00306971">
        <w:t xml:space="preserve">ponsor has not yet issued a full report on the neutrophil margination model with sarilumab. The </w:t>
      </w:r>
      <w:r w:rsidR="00296769">
        <w:t>s</w:t>
      </w:r>
      <w:r w:rsidRPr="00306971">
        <w:t>ponsor intends to evaluate the margination of neutrophils with the anti</w:t>
      </w:r>
      <w:r w:rsidR="00DE3146">
        <w:noBreakHyphen/>
      </w:r>
      <w:r w:rsidR="007A4EEA">
        <w:t>IL-6</w:t>
      </w:r>
      <w:r w:rsidRPr="00306971">
        <w:t xml:space="preserve"> drugs sarilumab and tocilizumab, and to publish a manuscript on the margination of neutrophils with sarilumab.</w:t>
      </w:r>
    </w:p>
    <w:p w:rsidR="00C97347" w:rsidRDefault="00C97347" w:rsidP="00C97347">
      <w:r w:rsidRPr="00306971">
        <w:t>For the convenience of the evaluator, original abstracts and posters on the neutrophil margination model presented first at Population Approach Grou</w:t>
      </w:r>
      <w:r>
        <w:t>p in Europe (PAGE) 2017 meeting</w:t>
      </w:r>
      <w:r w:rsidRPr="00306971">
        <w:t xml:space="preserve">, and later at the American Conference </w:t>
      </w:r>
      <w:r>
        <w:t>on Pharmacometrics (ACoP8) 2017</w:t>
      </w:r>
      <w:r w:rsidRPr="00306971">
        <w:t xml:space="preserve">, </w:t>
      </w:r>
      <w:r w:rsidR="00296769">
        <w:t>were</w:t>
      </w:r>
      <w:r w:rsidRPr="00306971">
        <w:t xml:space="preserve"> provided in as part of this response.</w:t>
      </w:r>
    </w:p>
    <w:p w:rsidR="00C97347" w:rsidRPr="00306971" w:rsidRDefault="00296769" w:rsidP="00C97347">
      <w:pPr>
        <w:pStyle w:val="Heading6"/>
        <w:rPr>
          <w:b/>
          <w:lang w:eastAsia="ja-JP"/>
        </w:rPr>
      </w:pPr>
      <w:r>
        <w:rPr>
          <w:lang w:eastAsia="ja-JP"/>
        </w:rPr>
        <w:t>E</w:t>
      </w:r>
      <w:r w:rsidR="00C97347">
        <w:rPr>
          <w:lang w:eastAsia="ja-JP"/>
        </w:rPr>
        <w:t xml:space="preserve">valuator </w:t>
      </w:r>
      <w:r>
        <w:rPr>
          <w:lang w:eastAsia="ja-JP"/>
        </w:rPr>
        <w:t>c</w:t>
      </w:r>
      <w:r w:rsidR="00C97347">
        <w:rPr>
          <w:lang w:eastAsia="ja-JP"/>
        </w:rPr>
        <w:t>omment</w:t>
      </w:r>
    </w:p>
    <w:p w:rsidR="00C97347" w:rsidRPr="00306971" w:rsidRDefault="00C97347" w:rsidP="00C97347">
      <w:pPr>
        <w:rPr>
          <w:rFonts w:eastAsiaTheme="minorHAnsi"/>
          <w:bCs/>
        </w:rPr>
      </w:pPr>
      <w:r>
        <w:rPr>
          <w:lang w:eastAsia="ja-JP"/>
        </w:rPr>
        <w:t xml:space="preserve">The sponsor’s response is considered to be acceptable. </w:t>
      </w:r>
      <w:r w:rsidRPr="00306971">
        <w:rPr>
          <w:lang w:eastAsia="ja-JP"/>
        </w:rPr>
        <w:t>The provided references have been examined. Each of the references describe</w:t>
      </w:r>
      <w:r w:rsidR="00296769">
        <w:rPr>
          <w:lang w:eastAsia="ja-JP"/>
        </w:rPr>
        <w:t>s</w:t>
      </w:r>
      <w:r w:rsidRPr="00306971">
        <w:rPr>
          <w:lang w:eastAsia="ja-JP"/>
        </w:rPr>
        <w:t xml:space="preserve"> the results for the same study and PD margination model</w:t>
      </w:r>
      <w:r>
        <w:rPr>
          <w:lang w:eastAsia="ja-JP"/>
        </w:rPr>
        <w:t xml:space="preserve"> (MM)</w:t>
      </w:r>
      <w:r w:rsidRPr="00306971">
        <w:rPr>
          <w:lang w:eastAsia="ja-JP"/>
        </w:rPr>
        <w:t xml:space="preserve">. The most detailed summary of the </w:t>
      </w:r>
      <w:r>
        <w:rPr>
          <w:lang w:eastAsia="ja-JP"/>
        </w:rPr>
        <w:t xml:space="preserve">development of the MM </w:t>
      </w:r>
      <w:r w:rsidRPr="00306971">
        <w:rPr>
          <w:lang w:eastAsia="ja-JP"/>
        </w:rPr>
        <w:t xml:space="preserve">is </w:t>
      </w:r>
      <w:r>
        <w:rPr>
          <w:lang w:eastAsia="ja-JP"/>
        </w:rPr>
        <w:t xml:space="preserve">provided in </w:t>
      </w:r>
      <w:r w:rsidR="00296769">
        <w:rPr>
          <w:lang w:eastAsia="ja-JP"/>
        </w:rPr>
        <w:t>a p</w:t>
      </w:r>
      <w:r>
        <w:rPr>
          <w:lang w:eastAsia="ja-JP"/>
        </w:rPr>
        <w:t xml:space="preserve">oster </w:t>
      </w:r>
      <w:r w:rsidR="00296769">
        <w:rPr>
          <w:lang w:eastAsia="ja-JP"/>
        </w:rPr>
        <w:t xml:space="preserve">presented at </w:t>
      </w:r>
      <w:r w:rsidRPr="00306971">
        <w:rPr>
          <w:lang w:eastAsia="ja-JP"/>
        </w:rPr>
        <w:t>the 26</w:t>
      </w:r>
      <w:r w:rsidRPr="00485E22">
        <w:rPr>
          <w:lang w:eastAsia="ja-JP"/>
        </w:rPr>
        <w:t>th</w:t>
      </w:r>
      <w:r w:rsidRPr="00306971">
        <w:rPr>
          <w:lang w:eastAsia="ja-JP"/>
        </w:rPr>
        <w:t xml:space="preserve"> Population Approach Group in Europe Meeting, </w:t>
      </w:r>
      <w:r w:rsidR="00296769">
        <w:rPr>
          <w:lang w:eastAsia="ja-JP"/>
        </w:rPr>
        <w:t>in</w:t>
      </w:r>
      <w:r w:rsidRPr="00306971">
        <w:rPr>
          <w:lang w:eastAsia="ja-JP"/>
        </w:rPr>
        <w:t xml:space="preserve"> 2017</w:t>
      </w:r>
      <w:r w:rsidRPr="00306971">
        <w:rPr>
          <w:rFonts w:eastAsiaTheme="minorHAnsi"/>
          <w:bCs/>
        </w:rPr>
        <w:t>.</w:t>
      </w:r>
      <w:bookmarkStart w:id="198" w:name="_Ref528144489"/>
      <w:r w:rsidR="00296769">
        <w:rPr>
          <w:rStyle w:val="FootnoteReference"/>
          <w:rFonts w:eastAsiaTheme="minorHAnsi"/>
          <w:bCs/>
        </w:rPr>
        <w:footnoteReference w:id="23"/>
      </w:r>
      <w:bookmarkEnd w:id="198"/>
    </w:p>
    <w:p w:rsidR="00AA6B20" w:rsidRDefault="00C97347" w:rsidP="00C97347">
      <w:pPr>
        <w:rPr>
          <w:rFonts w:eastAsiaTheme="minorHAnsi"/>
        </w:rPr>
      </w:pPr>
      <w:r w:rsidRPr="003C4521">
        <w:rPr>
          <w:rFonts w:eastAsiaTheme="minorHAnsi"/>
        </w:rPr>
        <w:t>The objectives of the study were to present a PD model that: (1) explains the time course of the decrease and recovery of ANC; (2) that describes potential margination of neutrophils from the circulation; and (3) that accounts for the rapid development of ANC specific tolerance, after a single dose of sarilumab. Observed ANC specific tolerance was manifested by a nadir in ANC that precedes the maximal drug concentrations and counter-clockwise hysteresis in the presence of inhibition or by absence of plateau in nadir when ANC response was saturated. The margination model (MM) was represented by central and margination compartments with neutrophils circulating between these two compartments. An assumption in the MM model was that, after dosing, both production and elimination of neutrophils do not change and, therefore, the total ANC stays constant. Thus, the production and elimination of neutrophils were not modelled to avoid over</w:t>
      </w:r>
      <w:r w:rsidR="00296769">
        <w:rPr>
          <w:rFonts w:eastAsiaTheme="minorHAnsi"/>
        </w:rPr>
        <w:t>-parameterisation. The abstract</w:t>
      </w:r>
      <w:r w:rsidR="00296769" w:rsidRPr="00296769">
        <w:rPr>
          <w:rFonts w:eastAsiaTheme="minorHAnsi"/>
          <w:vertAlign w:val="superscript"/>
        </w:rPr>
        <w:fldChar w:fldCharType="begin"/>
      </w:r>
      <w:r w:rsidR="00296769" w:rsidRPr="00296769">
        <w:rPr>
          <w:rFonts w:eastAsiaTheme="minorHAnsi"/>
          <w:vertAlign w:val="superscript"/>
        </w:rPr>
        <w:instrText xml:space="preserve"> NOTEREF _Ref528144489 \h </w:instrText>
      </w:r>
      <w:r w:rsidR="00296769">
        <w:rPr>
          <w:rFonts w:eastAsiaTheme="minorHAnsi"/>
          <w:vertAlign w:val="superscript"/>
        </w:rPr>
        <w:instrText xml:space="preserve"> \* MERGEFORMAT </w:instrText>
      </w:r>
      <w:r w:rsidR="00296769" w:rsidRPr="00296769">
        <w:rPr>
          <w:rFonts w:eastAsiaTheme="minorHAnsi"/>
          <w:vertAlign w:val="superscript"/>
        </w:rPr>
      </w:r>
      <w:r w:rsidR="00296769" w:rsidRPr="00296769">
        <w:rPr>
          <w:rFonts w:eastAsiaTheme="minorHAnsi"/>
          <w:vertAlign w:val="superscript"/>
        </w:rPr>
        <w:fldChar w:fldCharType="separate"/>
      </w:r>
      <w:r w:rsidR="0033674E">
        <w:rPr>
          <w:rFonts w:eastAsiaTheme="minorHAnsi"/>
          <w:vertAlign w:val="superscript"/>
        </w:rPr>
        <w:t>23</w:t>
      </w:r>
      <w:r w:rsidR="00296769" w:rsidRPr="00296769">
        <w:rPr>
          <w:rFonts w:eastAsiaTheme="minorHAnsi"/>
          <w:vertAlign w:val="superscript"/>
        </w:rPr>
        <w:fldChar w:fldCharType="end"/>
      </w:r>
      <w:r w:rsidRPr="003C4521">
        <w:rPr>
          <w:rFonts w:eastAsiaTheme="minorHAnsi"/>
        </w:rPr>
        <w:t xml:space="preserve"> reported that MM is the biologically most plausible model, considering margination of neutrophils to be the underlying mechanism for the decrease in ANC observed with IL-6 inhibitors. Margination and tolerance are consistent with the absence of both impairment in neutrophil activity and lack of association of decrease in ANC with increased risk of infection. The MM was reported to describe the data well and </w:t>
      </w:r>
      <w:r>
        <w:rPr>
          <w:rFonts w:eastAsiaTheme="minorHAnsi"/>
        </w:rPr>
        <w:t xml:space="preserve">to be </w:t>
      </w:r>
      <w:r w:rsidRPr="003C4521">
        <w:rPr>
          <w:rFonts w:eastAsiaTheme="minorHAnsi"/>
        </w:rPr>
        <w:t xml:space="preserve">consistent with known neutrophil dynamics and potential </w:t>
      </w:r>
      <w:r w:rsidRPr="003C4521">
        <w:rPr>
          <w:rFonts w:eastAsiaTheme="minorHAnsi"/>
        </w:rPr>
        <w:lastRenderedPageBreak/>
        <w:t>re</w:t>
      </w:r>
      <w:r w:rsidR="00DE3146">
        <w:rPr>
          <w:rFonts w:eastAsiaTheme="minorHAnsi"/>
        </w:rPr>
        <w:noBreakHyphen/>
      </w:r>
      <w:r w:rsidRPr="003C4521">
        <w:rPr>
          <w:rFonts w:eastAsiaTheme="minorHAnsi"/>
        </w:rPr>
        <w:t xml:space="preserve">localisation </w:t>
      </w:r>
      <w:r>
        <w:rPr>
          <w:rFonts w:eastAsiaTheme="minorHAnsi"/>
        </w:rPr>
        <w:t xml:space="preserve">of neutrophils </w:t>
      </w:r>
      <w:r w:rsidRPr="003C4521">
        <w:rPr>
          <w:rFonts w:eastAsiaTheme="minorHAnsi"/>
        </w:rPr>
        <w:t xml:space="preserve">as opposed to a </w:t>
      </w:r>
      <w:r w:rsidR="00B375FD" w:rsidRPr="003C4521">
        <w:rPr>
          <w:rFonts w:eastAsiaTheme="minorHAnsi"/>
        </w:rPr>
        <w:t>haem</w:t>
      </w:r>
      <w:r w:rsidR="00B375FD">
        <w:rPr>
          <w:rFonts w:eastAsiaTheme="minorHAnsi"/>
        </w:rPr>
        <w:t>o</w:t>
      </w:r>
      <w:r w:rsidR="00B375FD" w:rsidRPr="003C4521">
        <w:rPr>
          <w:rFonts w:eastAsiaTheme="minorHAnsi"/>
        </w:rPr>
        <w:t>poietic</w:t>
      </w:r>
      <w:r w:rsidRPr="003C4521">
        <w:rPr>
          <w:rFonts w:eastAsiaTheme="minorHAnsi"/>
        </w:rPr>
        <w:t xml:space="preserve"> defect, which may take days to manifest as decreased ANC.</w:t>
      </w:r>
    </w:p>
    <w:p w:rsidR="00C97347" w:rsidRPr="00C97347" w:rsidRDefault="00C97347" w:rsidP="00C97347">
      <w:pPr>
        <w:pStyle w:val="Heading5"/>
      </w:pPr>
      <w:r>
        <w:t>Safety</w:t>
      </w:r>
    </w:p>
    <w:p w:rsidR="00AA6B20" w:rsidRPr="00DB5136" w:rsidRDefault="00C97347" w:rsidP="00296769">
      <w:pPr>
        <w:pStyle w:val="Numberbullet0"/>
        <w:numPr>
          <w:ilvl w:val="0"/>
          <w:numId w:val="25"/>
        </w:numPr>
        <w:autoSpaceDE w:val="0"/>
        <w:autoSpaceDN w:val="0"/>
        <w:adjustRightInd w:val="0"/>
        <w:spacing w:before="0" w:after="0" w:line="240" w:lineRule="auto"/>
        <w:rPr>
          <w:rFonts w:asciiTheme="minorHAnsi" w:eastAsiaTheme="minorHAnsi" w:hAnsiTheme="minorHAnsi"/>
          <w:bCs/>
          <w:i/>
          <w:color w:val="000000"/>
        </w:rPr>
      </w:pPr>
      <w:r w:rsidRPr="00DB5136">
        <w:rPr>
          <w:rFonts w:asciiTheme="minorHAnsi" w:eastAsiaTheme="minorHAnsi" w:hAnsiTheme="minorHAnsi"/>
          <w:bCs/>
          <w:i/>
          <w:color w:val="000000"/>
        </w:rPr>
        <w:t xml:space="preserve">No data relating to the safety of sarilumab monotherapy based on age, gender, race, weight or BMI could be identified in the re-submission. This is a limitation of the monotherapy safety data. Please submit safety data relating to monotherapy treatment with sarilumab from </w:t>
      </w:r>
      <w:r w:rsidR="00894642" w:rsidRPr="00DB5136">
        <w:rPr>
          <w:rFonts w:asciiTheme="minorHAnsi" w:eastAsiaTheme="minorHAnsi" w:hAnsiTheme="minorHAnsi"/>
          <w:bCs/>
          <w:i/>
          <w:color w:val="000000"/>
        </w:rPr>
        <w:t>Study EFC</w:t>
      </w:r>
      <w:r w:rsidRPr="00DB5136">
        <w:rPr>
          <w:rFonts w:asciiTheme="minorHAnsi" w:eastAsiaTheme="minorHAnsi" w:hAnsiTheme="minorHAnsi"/>
          <w:bCs/>
          <w:i/>
          <w:color w:val="000000"/>
        </w:rPr>
        <w:t>14092</w:t>
      </w:r>
      <w:r w:rsidR="00DE3146">
        <w:rPr>
          <w:rFonts w:asciiTheme="minorHAnsi" w:eastAsiaTheme="minorHAnsi" w:hAnsiTheme="minorHAnsi"/>
          <w:bCs/>
          <w:i/>
          <w:color w:val="000000"/>
        </w:rPr>
        <w:t>/</w:t>
      </w:r>
      <w:r w:rsidR="001F3EAD" w:rsidRPr="00DB5136">
        <w:rPr>
          <w:i/>
        </w:rPr>
        <w:t>MONARCH</w:t>
      </w:r>
      <w:r w:rsidR="00DE3146">
        <w:rPr>
          <w:i/>
        </w:rPr>
        <w:t xml:space="preserve"> trial</w:t>
      </w:r>
      <w:r w:rsidR="001F3EAD" w:rsidRPr="00DB5136">
        <w:rPr>
          <w:rFonts w:asciiTheme="minorHAnsi" w:eastAsiaTheme="minorHAnsi" w:hAnsiTheme="minorHAnsi"/>
          <w:bCs/>
          <w:i/>
          <w:color w:val="000000"/>
        </w:rPr>
        <w:t xml:space="preserve"> </w:t>
      </w:r>
      <w:r w:rsidRPr="00DB5136">
        <w:rPr>
          <w:rFonts w:asciiTheme="minorHAnsi" w:eastAsiaTheme="minorHAnsi" w:hAnsiTheme="minorHAnsi"/>
          <w:bCs/>
          <w:i/>
          <w:color w:val="000000"/>
        </w:rPr>
        <w:t>and Pool 3 based on age, gender, race, body weight, and BMI.</w:t>
      </w:r>
    </w:p>
    <w:p w:rsidR="00C97347" w:rsidRPr="00DB5136" w:rsidRDefault="00C97347" w:rsidP="00296769">
      <w:pPr>
        <w:pStyle w:val="Numberbullet0"/>
        <w:numPr>
          <w:ilvl w:val="0"/>
          <w:numId w:val="0"/>
        </w:numPr>
        <w:ind w:left="425"/>
        <w:rPr>
          <w:i/>
        </w:rPr>
      </w:pPr>
      <w:r w:rsidRPr="00DB5136">
        <w:rPr>
          <w:i/>
        </w:rPr>
        <w:t>The safety data should provide high-level incidence overviews (TEAEs, deaths, SAEs, permanent treatment discontinuations due to AEs), tabulated summaries of AESI, laboratory results for neutro</w:t>
      </w:r>
      <w:r w:rsidR="001E2D44" w:rsidRPr="00DB5136">
        <w:rPr>
          <w:i/>
        </w:rPr>
        <w:t>paenia</w:t>
      </w:r>
      <w:r w:rsidRPr="00DB5136">
        <w:rPr>
          <w:i/>
        </w:rPr>
        <w:t xml:space="preserve"> based on Grades 1</w:t>
      </w:r>
      <w:r w:rsidR="00DE3146">
        <w:rPr>
          <w:i/>
        </w:rPr>
        <w:t xml:space="preserve"> to </w:t>
      </w:r>
      <w:r w:rsidRPr="00DB5136">
        <w:rPr>
          <w:i/>
        </w:rPr>
        <w:t>4, laboratory results for ALT based on the ULN categories, and laboratory results for thrombocyto</w:t>
      </w:r>
      <w:r w:rsidR="001E2D44" w:rsidRPr="00DB5136">
        <w:rPr>
          <w:i/>
        </w:rPr>
        <w:t>paenia</w:t>
      </w:r>
      <w:r w:rsidRPr="00DB5136">
        <w:rPr>
          <w:i/>
        </w:rPr>
        <w:t xml:space="preserve"> </w:t>
      </w:r>
      <w:r w:rsidR="007F1BEB" w:rsidRPr="00DB5136">
        <w:rPr>
          <w:i/>
        </w:rPr>
        <w:t>&lt; </w:t>
      </w:r>
      <w:r w:rsidRPr="00DB5136">
        <w:rPr>
          <w:i/>
        </w:rPr>
        <w:t>100 Giga/L. Please comment on the safety of sarilumab monotherapy in the subgroups of interest.</w:t>
      </w:r>
    </w:p>
    <w:p w:rsidR="00C97347" w:rsidRPr="00BD5BD7" w:rsidRDefault="00C97347" w:rsidP="00C97347">
      <w:pPr>
        <w:pStyle w:val="Heading6"/>
        <w:rPr>
          <w:rFonts w:eastAsiaTheme="minorHAnsi"/>
        </w:rPr>
      </w:pPr>
      <w:r>
        <w:rPr>
          <w:rFonts w:eastAsiaTheme="minorHAnsi"/>
        </w:rPr>
        <w:t>Sponsor</w:t>
      </w:r>
      <w:r w:rsidR="00296769">
        <w:rPr>
          <w:rFonts w:eastAsiaTheme="minorHAnsi"/>
        </w:rPr>
        <w:t xml:space="preserve"> r</w:t>
      </w:r>
      <w:r>
        <w:rPr>
          <w:rFonts w:eastAsiaTheme="minorHAnsi"/>
        </w:rPr>
        <w:t>esponse</w:t>
      </w:r>
    </w:p>
    <w:p w:rsidR="00C97347" w:rsidRPr="00BD5BD7" w:rsidRDefault="00C97347" w:rsidP="00C97347">
      <w:r w:rsidRPr="00BD5BD7">
        <w:t xml:space="preserve">Summaries of the safety data by subgroups of age, gender, race, weight, and </w:t>
      </w:r>
      <w:r>
        <w:t xml:space="preserve">BMI for Pool 3 were provided, and </w:t>
      </w:r>
      <w:r w:rsidRPr="00BD5BD7">
        <w:t>similar analyses were also conducted for the 24</w:t>
      </w:r>
      <w:r w:rsidR="00296769">
        <w:t xml:space="preserve"> </w:t>
      </w:r>
      <w:r w:rsidRPr="00BD5BD7">
        <w:t xml:space="preserve">week double blind period of </w:t>
      </w:r>
      <w:r w:rsidR="00DE3146">
        <w:t xml:space="preserve">Study </w:t>
      </w:r>
      <w:r w:rsidRPr="00BD5BD7">
        <w:t xml:space="preserve">EFC14092, and the results were provided. The safety data include high-level incidence overviews (TEAEs, deaths, SAEs, permanent treatment discontinuations due to AEs), AESIs, ANC grades, and ALT elevations. It should be noted that since there was </w:t>
      </w:r>
      <w:r>
        <w:t xml:space="preserve">only one patient with </w:t>
      </w:r>
      <w:r w:rsidR="009E4CF7">
        <w:t>(</w:t>
      </w:r>
      <w:r>
        <w:t>platelet</w:t>
      </w:r>
      <w:r w:rsidR="009E4CF7">
        <w:t>)</w:t>
      </w:r>
      <w:r>
        <w:t xml:space="preserve"> </w:t>
      </w:r>
      <w:r w:rsidRPr="00BD5BD7">
        <w:t xml:space="preserve">counts </w:t>
      </w:r>
      <w:r w:rsidR="007F1BEB">
        <w:t>&lt; </w:t>
      </w:r>
      <w:r w:rsidRPr="00BD5BD7">
        <w:t xml:space="preserve">100 Giga/L, the subgroup analyses were not conducted. For the same reason, the subgroup analyses were only performed on the AESIs with </w:t>
      </w:r>
      <w:r w:rsidR="00DD5BCE">
        <w:t>&gt;</w:t>
      </w:r>
      <w:r w:rsidR="007C7C62">
        <w:t xml:space="preserve"> </w:t>
      </w:r>
      <w:r w:rsidRPr="00BD5BD7">
        <w:t xml:space="preserve">2 patients </w:t>
      </w:r>
      <w:r>
        <w:t xml:space="preserve">having </w:t>
      </w:r>
      <w:r w:rsidRPr="00BD5BD7">
        <w:t>at least one event. The demographic characteristics for the patients with these events were provided.</w:t>
      </w:r>
    </w:p>
    <w:p w:rsidR="00C97347" w:rsidRPr="00BD5BD7" w:rsidRDefault="00C97347" w:rsidP="00C97347">
      <w:pPr>
        <w:rPr>
          <w:rFonts w:asciiTheme="minorHAnsi" w:eastAsiaTheme="minorHAnsi" w:hAnsiTheme="minorHAnsi"/>
          <w:color w:val="000000"/>
        </w:rPr>
      </w:pPr>
      <w:r w:rsidRPr="00BD5BD7">
        <w:t xml:space="preserve">Overall, the incidence rates were generally comparable between subgroups. Some numerical differences were observed but with no consistent trend. It was noted in that for patients on </w:t>
      </w:r>
      <w:proofErr w:type="spellStart"/>
      <w:r w:rsidRPr="00BD5BD7">
        <w:t>sarilumab+DMARDs</w:t>
      </w:r>
      <w:proofErr w:type="spellEnd"/>
      <w:r w:rsidRPr="00BD5BD7">
        <w:t xml:space="preserve"> (Pool 2), increased risk of serious infections were observed for elderly patients (</w:t>
      </w:r>
      <w:r w:rsidR="00DD5BCE">
        <w:t xml:space="preserve">≥ </w:t>
      </w:r>
      <w:r w:rsidRPr="00BD5BD7">
        <w:t xml:space="preserve">65 years old) and for patients with weight </w:t>
      </w:r>
      <w:r w:rsidR="00DD5BCE">
        <w:t>&gt;</w:t>
      </w:r>
      <w:r w:rsidR="007C7C62">
        <w:t xml:space="preserve"> </w:t>
      </w:r>
      <w:r w:rsidRPr="00BD5BD7">
        <w:t>100 kg; and higher incidence of ANC&lt;</w:t>
      </w:r>
      <w:r w:rsidR="00B375FD">
        <w:t xml:space="preserve"> </w:t>
      </w:r>
      <w:r w:rsidRPr="00BD5BD7">
        <w:t xml:space="preserve">1.0 Giga/L were observed for patients with weight </w:t>
      </w:r>
      <w:r w:rsidR="007F1BEB">
        <w:t>&lt; </w:t>
      </w:r>
      <w:r w:rsidRPr="00BD5BD7">
        <w:t>60 kg. Similar patterns were not observed for patients on sarilumab monotherapy (Pool 3).</w:t>
      </w:r>
    </w:p>
    <w:p w:rsidR="00C97347" w:rsidRPr="00BD5BD7" w:rsidRDefault="00C97347" w:rsidP="00C97347">
      <w:r w:rsidRPr="00BD5BD7">
        <w:t>It should also be noted that for rare events and for subgroups where the number of patients is small (</w:t>
      </w:r>
      <w:r w:rsidR="00296769">
        <w:t>such as</w:t>
      </w:r>
      <w:r w:rsidRPr="00BD5BD7">
        <w:t xml:space="preserve"> the age groups of </w:t>
      </w:r>
      <w:r w:rsidR="00DD5BCE">
        <w:t xml:space="preserve">≥ </w:t>
      </w:r>
      <w:r w:rsidRPr="00BD5BD7">
        <w:t>75 years, non-</w:t>
      </w:r>
      <w:r w:rsidR="00296769">
        <w:t>W</w:t>
      </w:r>
      <w:r w:rsidRPr="00BD5BD7">
        <w:t>hite patients), the apparent incidences were subjected to a greater degree of variability and therefore these results should be interpreted with caution.</w:t>
      </w:r>
    </w:p>
    <w:p w:rsidR="00C97347" w:rsidRDefault="00C97347" w:rsidP="00C97347">
      <w:pPr>
        <w:pStyle w:val="Heading6"/>
        <w:rPr>
          <w:b/>
        </w:rPr>
      </w:pPr>
      <w:r>
        <w:t xml:space="preserve">Evaluator </w:t>
      </w:r>
      <w:r w:rsidR="00296769">
        <w:t>c</w:t>
      </w:r>
      <w:r>
        <w:t>omment</w:t>
      </w:r>
    </w:p>
    <w:p w:rsidR="00C97347" w:rsidRDefault="00C97347" w:rsidP="00C97347">
      <w:r w:rsidRPr="00BD5BD7">
        <w:t>The</w:t>
      </w:r>
      <w:r>
        <w:t xml:space="preserve"> sponsor’s response is acceptable. The results for the subgroup analyses summarised below are based on the tables taken from the sponsor’s </w:t>
      </w:r>
      <w:r w:rsidR="00296769" w:rsidRPr="00296769">
        <w:t>r</w:t>
      </w:r>
      <w:r w:rsidRPr="00296769">
        <w:t>esponse</w:t>
      </w:r>
      <w:r>
        <w:t>.</w:t>
      </w:r>
    </w:p>
    <w:p w:rsidR="00AA6B20" w:rsidRDefault="00C97347" w:rsidP="00C97347">
      <w:r>
        <w:t xml:space="preserve">It should be noted that the summarised tables provided do not include results for the </w:t>
      </w:r>
      <w:r w:rsidR="00DD5BCE">
        <w:t>≥</w:t>
      </w:r>
      <w:r w:rsidR="007C7C62">
        <w:t xml:space="preserve"> </w:t>
      </w:r>
      <w:r>
        <w:t>75</w:t>
      </w:r>
      <w:r w:rsidR="00DE3146">
        <w:t> </w:t>
      </w:r>
      <w:r>
        <w:t xml:space="preserve">years of age subgroup, race subgroups or ethnic subgroups. The results for these subgroups were presented in the tables provided by the sponsor in its </w:t>
      </w:r>
      <w:r w:rsidR="00296769" w:rsidRPr="00296769">
        <w:t>r</w:t>
      </w:r>
      <w:r w:rsidRPr="00296769">
        <w:t>esponse</w:t>
      </w:r>
      <w:r>
        <w:t xml:space="preserve"> but it is considered that the small number of subjects aged </w:t>
      </w:r>
      <w:r w:rsidR="00DD5BCE">
        <w:t>≥</w:t>
      </w:r>
      <w:r w:rsidR="007C7C62">
        <w:t xml:space="preserve"> </w:t>
      </w:r>
      <w:r>
        <w:t>75 years and imbalance in subject numbers across the racial subgroups precludes meaningful conclusions relating to safety to be made in these patient populations. In addition, comparison of safety profiles based on ethnicity (non-Hispanic</w:t>
      </w:r>
      <w:r w:rsidR="003D2290">
        <w:t xml:space="preserve"> versus </w:t>
      </w:r>
      <w:r>
        <w:t>Hispanic) is considered to have limited relevance to the Australian patient population who might be exposed to sarilumab.</w:t>
      </w:r>
    </w:p>
    <w:p w:rsidR="00AA6B20" w:rsidRDefault="00C97347" w:rsidP="00C97347">
      <w:r w:rsidRPr="00F4065E">
        <w:t>The key safety results for the subgroups of gender, age and weight are summarised below.</w:t>
      </w:r>
    </w:p>
    <w:p w:rsidR="00AA6B20" w:rsidRDefault="00C97347" w:rsidP="00091017">
      <w:pPr>
        <w:pStyle w:val="ListBullet"/>
        <w:keepNext/>
        <w:ind w:left="357" w:hanging="357"/>
      </w:pPr>
      <w:r w:rsidRPr="00F4065E">
        <w:lastRenderedPageBreak/>
        <w:t>Gender</w:t>
      </w:r>
      <w:r w:rsidR="00DE3146">
        <w:t>:</w:t>
      </w:r>
    </w:p>
    <w:p w:rsidR="00AA6B20" w:rsidRPr="00296769" w:rsidRDefault="00C97347" w:rsidP="00DB5136">
      <w:pPr>
        <w:pStyle w:val="ListBullet2"/>
      </w:pPr>
      <w:r w:rsidRPr="00296769">
        <w:t>The high-level safety profiles in males and females based on Pool 3 data (sarilumab monotherapy safety population) were generally comparable. TEAEs associated with any sarilumab dose were reported in 60.8% (234/385) of females and 62.2% (51/82) of males and serious TEAEs were reported in 4.4% (17/385) of females and 11.0% (9/82) of males.</w:t>
      </w:r>
    </w:p>
    <w:p w:rsidR="00AA6B20" w:rsidRPr="00296769" w:rsidRDefault="00C97347" w:rsidP="00DB5136">
      <w:pPr>
        <w:pStyle w:val="ListBullet2"/>
      </w:pPr>
      <w:r w:rsidRPr="00296769">
        <w:t xml:space="preserve">In the any sarilumab monotherapy dose group (Pool 3), the incidence of patients experiencing each of the summarised AESIs was generally comparable in both males and females, although infections were reported more frequently in females than in males (30.6% </w:t>
      </w:r>
      <w:r w:rsidR="00DE3146">
        <w:t>(</w:t>
      </w:r>
      <w:r w:rsidRPr="00296769">
        <w:t>118/385</w:t>
      </w:r>
      <w:r w:rsidR="009E4CF7">
        <w:t>)</w:t>
      </w:r>
      <w:r w:rsidR="003D2290" w:rsidRPr="00296769">
        <w:t xml:space="preserve"> versus </w:t>
      </w:r>
      <w:r w:rsidRPr="00296769">
        <w:t xml:space="preserve">20.7% </w:t>
      </w:r>
      <w:r w:rsidR="00DE3146">
        <w:t>(</w:t>
      </w:r>
      <w:r w:rsidRPr="00296769">
        <w:t>17/82</w:t>
      </w:r>
      <w:r w:rsidR="009E4CF7">
        <w:t>)</w:t>
      </w:r>
      <w:r w:rsidRPr="00296769">
        <w:t xml:space="preserve">). Apart from infections, no other AESIs were reported with a difference of </w:t>
      </w:r>
      <w:r w:rsidR="00DD5BCE">
        <w:t>≥</w:t>
      </w:r>
      <w:r w:rsidR="007C7C62">
        <w:t xml:space="preserve"> </w:t>
      </w:r>
      <w:r w:rsidRPr="00296769">
        <w:t>5% between females and males.</w:t>
      </w:r>
    </w:p>
    <w:p w:rsidR="00AA6B20" w:rsidRPr="00296769" w:rsidRDefault="00C97347" w:rsidP="00DB5136">
      <w:pPr>
        <w:pStyle w:val="ListBullet2"/>
      </w:pPr>
      <w:r w:rsidRPr="00296769">
        <w:t xml:space="preserve">In the any sarilumab monotherapy dose group (Pool 3), the majority of decreases in absolute neutrophil count were Grade 1 or Grade 2 in both females and males. Grade 3 decreases in absolute neutrophil count were reported in a similar proportion of females and males (11.2% </w:t>
      </w:r>
      <w:r w:rsidR="00DE3146">
        <w:t>(</w:t>
      </w:r>
      <w:r w:rsidRPr="00296769">
        <w:t>43/384</w:t>
      </w:r>
      <w:r w:rsidR="009E4CF7">
        <w:t>)</w:t>
      </w:r>
      <w:r w:rsidR="003D2290" w:rsidRPr="00296769">
        <w:t xml:space="preserve"> versus </w:t>
      </w:r>
      <w:r w:rsidRPr="00296769">
        <w:t xml:space="preserve">12.2% </w:t>
      </w:r>
      <w:r w:rsidR="00DE3146">
        <w:t>(</w:t>
      </w:r>
      <w:r w:rsidRPr="00296769">
        <w:t>10/82</w:t>
      </w:r>
      <w:r w:rsidR="009E4CF7">
        <w:t>)</w:t>
      </w:r>
      <w:r w:rsidRPr="00296769">
        <w:t xml:space="preserve">, respectively), as were Grade 4 decreases (1.0% </w:t>
      </w:r>
      <w:r w:rsidR="00DE3146">
        <w:t>(</w:t>
      </w:r>
      <w:r w:rsidRPr="00296769">
        <w:t>4/384</w:t>
      </w:r>
      <w:r w:rsidR="009E4CF7">
        <w:t>)</w:t>
      </w:r>
      <w:r w:rsidR="003D2290" w:rsidRPr="00296769">
        <w:t xml:space="preserve"> versus </w:t>
      </w:r>
      <w:r w:rsidRPr="00296769">
        <w:t xml:space="preserve">0% </w:t>
      </w:r>
      <w:r w:rsidR="00DE3146">
        <w:t>(</w:t>
      </w:r>
      <w:r w:rsidRPr="00296769">
        <w:t>0/82</w:t>
      </w:r>
      <w:r w:rsidR="009E4CF7">
        <w:t>)</w:t>
      </w:r>
      <w:r w:rsidRPr="00296769">
        <w:t>, respectively).</w:t>
      </w:r>
    </w:p>
    <w:p w:rsidR="00AA6B20" w:rsidRPr="00296769" w:rsidRDefault="00C97347" w:rsidP="00DB5136">
      <w:pPr>
        <w:pStyle w:val="ListBullet2"/>
      </w:pPr>
      <w:r w:rsidRPr="00296769">
        <w:t xml:space="preserve">In the any sarilumab monotherapy dose group (Pool 3), the majority of PCSA increased ALT levels were </w:t>
      </w:r>
      <w:r w:rsidR="00DD5BCE">
        <w:t>&gt;</w:t>
      </w:r>
      <w:r w:rsidR="007C7C62">
        <w:t xml:space="preserve"> </w:t>
      </w:r>
      <w:r w:rsidRPr="00296769">
        <w:t xml:space="preserve">1 to </w:t>
      </w:r>
      <w:r w:rsidR="00DD5BCE">
        <w:t>≤</w:t>
      </w:r>
      <w:r w:rsidR="007C7C62">
        <w:t xml:space="preserve"> </w:t>
      </w:r>
      <w:r w:rsidRPr="00296769">
        <w:t xml:space="preserve">3 ULN in both females and males, while PCSA increased ALT levels </w:t>
      </w:r>
      <w:r w:rsidR="00DD5BCE">
        <w:t>&gt;</w:t>
      </w:r>
      <w:r w:rsidR="007C7C62">
        <w:t xml:space="preserve"> </w:t>
      </w:r>
      <w:r w:rsidRPr="00296769">
        <w:t xml:space="preserve">3 were reported in a similar proportion of females and males (3.6% </w:t>
      </w:r>
      <w:r w:rsidR="00DE3146">
        <w:t>(</w:t>
      </w:r>
      <w:r w:rsidRPr="00296769">
        <w:t>14/383</w:t>
      </w:r>
      <w:r w:rsidR="009E4CF7">
        <w:t>)</w:t>
      </w:r>
      <w:r w:rsidR="003D2290" w:rsidRPr="00296769">
        <w:t xml:space="preserve"> versus </w:t>
      </w:r>
      <w:r w:rsidRPr="00296769">
        <w:t xml:space="preserve">3.7% </w:t>
      </w:r>
      <w:r w:rsidR="00DE3146">
        <w:t>(</w:t>
      </w:r>
      <w:r w:rsidRPr="00296769">
        <w:t>3/82</w:t>
      </w:r>
      <w:r w:rsidR="009E4CF7">
        <w:t>)</w:t>
      </w:r>
      <w:r w:rsidRPr="00296769">
        <w:t xml:space="preserve">, respectively). There were no reports of ALT levels </w:t>
      </w:r>
      <w:r w:rsidR="00DD5BCE">
        <w:t>&gt;</w:t>
      </w:r>
      <w:r w:rsidR="007C7C62">
        <w:t xml:space="preserve"> </w:t>
      </w:r>
      <w:r w:rsidRPr="00296769">
        <w:t>10 ULN in either females or males.</w:t>
      </w:r>
    </w:p>
    <w:p w:rsidR="00AA6B20" w:rsidRPr="00296769" w:rsidRDefault="00C97347" w:rsidP="00DB5136">
      <w:pPr>
        <w:pStyle w:val="ListBullet2"/>
      </w:pPr>
      <w:r w:rsidRPr="00296769">
        <w:t>In the 24</w:t>
      </w:r>
      <w:r w:rsidR="00296769">
        <w:t xml:space="preserve"> </w:t>
      </w:r>
      <w:r w:rsidRPr="00296769">
        <w:t xml:space="preserve">week double-blind treatment period of </w:t>
      </w:r>
      <w:r w:rsidR="00894642" w:rsidRPr="00296769">
        <w:t>Study EFC</w:t>
      </w:r>
      <w:r w:rsidRPr="00296769">
        <w:t>14092</w:t>
      </w:r>
      <w:r w:rsidR="001F3EAD">
        <w:t xml:space="preserve"> MONARCH</w:t>
      </w:r>
      <w:r w:rsidRPr="00296769">
        <w:t>, high-level AE profiles were comparable in both the female and male subgroups in both the adalimumab 40 mg q2w and the sarilumab 200 mg q2w arms.</w:t>
      </w:r>
    </w:p>
    <w:p w:rsidR="00AA6B20" w:rsidRPr="00296769" w:rsidRDefault="00C97347" w:rsidP="00DB5136">
      <w:pPr>
        <w:pStyle w:val="ListBullet2"/>
      </w:pPr>
      <w:r w:rsidRPr="00296769">
        <w:t>In the 24</w:t>
      </w:r>
      <w:r w:rsidR="00296769">
        <w:t xml:space="preserve"> </w:t>
      </w:r>
      <w:r w:rsidRPr="00296769">
        <w:t xml:space="preserve">week double-blind treatment period of </w:t>
      </w:r>
      <w:r w:rsidR="00894642" w:rsidRPr="00296769">
        <w:t>Study EFC</w:t>
      </w:r>
      <w:r w:rsidRPr="00296769">
        <w:t>14092</w:t>
      </w:r>
      <w:r w:rsidR="001F3EAD">
        <w:t xml:space="preserve"> MONARCH</w:t>
      </w:r>
      <w:r w:rsidRPr="00296769">
        <w:t>, the incidence of each of the summarised AESIs in the female subgroup was generally comparable in the adalimumab 40 mg q2w and sarilumab 200 mg q2w arms. There were numerical differences between the adalimumab 40 mg q2w and the sarilumab 200 mg q2w arms in the male subgroup, but these differences should be interpreted cautiously due to the smaller number of patients in the male subgroup compared with the female subgroup.</w:t>
      </w:r>
    </w:p>
    <w:p w:rsidR="00AA6B20" w:rsidRPr="00296769" w:rsidRDefault="00C97347" w:rsidP="00DB5136">
      <w:pPr>
        <w:pStyle w:val="ListBullet2"/>
      </w:pPr>
      <w:r w:rsidRPr="00296769">
        <w:t>In the 24</w:t>
      </w:r>
      <w:r w:rsidR="00296769">
        <w:t xml:space="preserve"> </w:t>
      </w:r>
      <w:r w:rsidRPr="00296769">
        <w:t xml:space="preserve">week double-blind treatment period of </w:t>
      </w:r>
      <w:r w:rsidR="00894642" w:rsidRPr="00296769">
        <w:t>Study EFC</w:t>
      </w:r>
      <w:r w:rsidRPr="00296769">
        <w:t>14092</w:t>
      </w:r>
      <w:r w:rsidR="001F3EAD">
        <w:t xml:space="preserve"> MONARCH</w:t>
      </w:r>
      <w:r w:rsidRPr="00296769">
        <w:t>, decreases in absolute neutrophil counts Grades 1, 2, and 3 occurred more frequently in the sarilumab 200 mg q2w arm than in the adalimumab arm in both female and male subgroups, and the frequency of events in both treatment arms were generally comparable in both female and male subgroups. There were only 3 patients with decreases in absolute neutrophil count Grade 4, and all three were females in the sarilumab 200 mg q2w arm.</w:t>
      </w:r>
    </w:p>
    <w:p w:rsidR="00AA6B20" w:rsidRPr="00296769" w:rsidRDefault="00C97347" w:rsidP="00DB5136">
      <w:pPr>
        <w:pStyle w:val="ListBullet2"/>
      </w:pPr>
      <w:r w:rsidRPr="00296769">
        <w:t>In the 24</w:t>
      </w:r>
      <w:r w:rsidR="00741181">
        <w:t xml:space="preserve"> </w:t>
      </w:r>
      <w:r w:rsidRPr="00296769">
        <w:t xml:space="preserve">week double-blind treatment period of </w:t>
      </w:r>
      <w:r w:rsidR="00894642" w:rsidRPr="00296769">
        <w:t>Study EFC</w:t>
      </w:r>
      <w:r w:rsidRPr="00296769">
        <w:t>14092</w:t>
      </w:r>
      <w:r w:rsidR="001F3EAD">
        <w:t xml:space="preserve"> MONARCH</w:t>
      </w:r>
      <w:r w:rsidRPr="00296769">
        <w:t xml:space="preserve">, in general PCSA increased ALT occurred more frequently in the sarilumab 200 mg q2w arm than in the adalimumab 40 mg q2w arm in both male and female subgroups, and the majority of abnormalities were increased levels </w:t>
      </w:r>
      <w:r w:rsidR="00DD5BCE">
        <w:t>&gt;</w:t>
      </w:r>
      <w:r w:rsidR="007C7C62">
        <w:t xml:space="preserve"> </w:t>
      </w:r>
      <w:r w:rsidRPr="00296769">
        <w:t xml:space="preserve">1 x ULN to </w:t>
      </w:r>
      <w:r w:rsidR="00DD5BCE">
        <w:t>≤</w:t>
      </w:r>
      <w:r w:rsidR="00B2498D">
        <w:t> </w:t>
      </w:r>
      <w:r w:rsidRPr="00296769">
        <w:t>3 x ULN. In general, PCSA increased ALT occurred more frequently in the female subgroup than in the male subgroup.</w:t>
      </w:r>
    </w:p>
    <w:p w:rsidR="00AA6B20" w:rsidRDefault="00C97347" w:rsidP="00DB5136">
      <w:pPr>
        <w:pStyle w:val="ListBullet"/>
      </w:pPr>
      <w:r w:rsidRPr="00F4065E">
        <w:t>Age</w:t>
      </w:r>
    </w:p>
    <w:p w:rsidR="00C97347" w:rsidRPr="00F4065E" w:rsidRDefault="00C97347" w:rsidP="00DB5136">
      <w:pPr>
        <w:pStyle w:val="ListBullet2"/>
      </w:pPr>
      <w:r w:rsidRPr="00F4065E">
        <w:t xml:space="preserve">The high-level safety profiles in patients aged </w:t>
      </w:r>
      <w:r w:rsidR="007F1BEB">
        <w:t>&lt; </w:t>
      </w:r>
      <w:r w:rsidRPr="00F4065E">
        <w:t xml:space="preserve">65 years and </w:t>
      </w:r>
      <w:r w:rsidR="00DD5BCE">
        <w:t>≥</w:t>
      </w:r>
      <w:r w:rsidR="007C7C62">
        <w:t xml:space="preserve"> </w:t>
      </w:r>
      <w:r w:rsidRPr="00F4065E">
        <w:t xml:space="preserve">65 to </w:t>
      </w:r>
      <w:r w:rsidR="007F1BEB">
        <w:t>&lt; </w:t>
      </w:r>
      <w:r w:rsidRPr="00F4065E">
        <w:t xml:space="preserve">75 years based on Pool 3 data (sarilumab monotherapy safety population) were generally comparable. TEAEs associated with any sarilumab dose were reported in 61.5% (236/384) of patients aged </w:t>
      </w:r>
      <w:r w:rsidR="007F1BEB">
        <w:t>&lt; </w:t>
      </w:r>
      <w:r w:rsidRPr="00F4065E">
        <w:t xml:space="preserve">65 years and 61.0% (47/77) of patients aged </w:t>
      </w:r>
      <w:r w:rsidR="00DD5BCE">
        <w:t>≥</w:t>
      </w:r>
      <w:r w:rsidR="007C7C62">
        <w:t xml:space="preserve"> </w:t>
      </w:r>
      <w:r w:rsidRPr="00F4065E">
        <w:t xml:space="preserve">65 to </w:t>
      </w:r>
      <w:r w:rsidR="007F1BEB">
        <w:lastRenderedPageBreak/>
        <w:t>&lt; </w:t>
      </w:r>
      <w:r w:rsidRPr="00F4065E">
        <w:t>75 year, while serious TEAEs were reported in 4.4% (17/384) and 10.4% (47/77) of patients in the two age groups, respectively.</w:t>
      </w:r>
    </w:p>
    <w:p w:rsidR="00AA6B20" w:rsidRDefault="00C97347" w:rsidP="00DB5136">
      <w:pPr>
        <w:pStyle w:val="ListBullet2"/>
      </w:pPr>
      <w:r w:rsidRPr="00F4065E">
        <w:t xml:space="preserve">In the any sarilumab monotherapy dose group (Pool 3), the incidence of each of the summarised AESIs was generally comparable in patients aged </w:t>
      </w:r>
      <w:r w:rsidR="007F1BEB">
        <w:t>&lt; </w:t>
      </w:r>
      <w:r w:rsidRPr="00F4065E">
        <w:t xml:space="preserve">65 years and </w:t>
      </w:r>
      <w:r w:rsidR="00DD5BCE">
        <w:t>≥</w:t>
      </w:r>
      <w:r w:rsidR="007C7C62">
        <w:t xml:space="preserve"> </w:t>
      </w:r>
      <w:r w:rsidRPr="00F4065E">
        <w:t xml:space="preserve">65 to </w:t>
      </w:r>
      <w:r w:rsidR="007F1BEB">
        <w:t>&lt; </w:t>
      </w:r>
      <w:r w:rsidRPr="00F4065E">
        <w:t xml:space="preserve">75 years, with the most frequent AESIs in both age groups being infections (29.9% </w:t>
      </w:r>
      <w:r w:rsidR="00DE3146">
        <w:t>(</w:t>
      </w:r>
      <w:r w:rsidRPr="00F4065E">
        <w:t>115/384</w:t>
      </w:r>
      <w:r w:rsidR="009E4CF7">
        <w:t>)</w:t>
      </w:r>
      <w:r w:rsidR="003D2290">
        <w:t xml:space="preserve"> versus </w:t>
      </w:r>
      <w:r w:rsidRPr="00F4065E">
        <w:t xml:space="preserve">23.4% </w:t>
      </w:r>
      <w:r w:rsidR="00DE3146">
        <w:t>(</w:t>
      </w:r>
      <w:r w:rsidRPr="00F4065E">
        <w:t>18/77</w:t>
      </w:r>
      <w:r w:rsidR="009E4CF7">
        <w:t>)</w:t>
      </w:r>
      <w:r w:rsidRPr="00F4065E">
        <w:t xml:space="preserve">, respectively). AESIs reported in </w:t>
      </w:r>
      <w:r w:rsidR="00DD5BCE">
        <w:t>≥</w:t>
      </w:r>
      <w:r w:rsidR="007C7C62">
        <w:t xml:space="preserve"> </w:t>
      </w:r>
      <w:r w:rsidRPr="00F4065E">
        <w:t xml:space="preserve">5% more patients aged </w:t>
      </w:r>
      <w:r w:rsidR="007F1BEB">
        <w:t>&lt; </w:t>
      </w:r>
      <w:r w:rsidRPr="00F4065E">
        <w:t xml:space="preserve">65 years compared with patients aged </w:t>
      </w:r>
      <w:r w:rsidR="00DD5BCE">
        <w:t>≥</w:t>
      </w:r>
      <w:r w:rsidR="007C7C62">
        <w:t xml:space="preserve"> </w:t>
      </w:r>
      <w:r w:rsidRPr="00F4065E">
        <w:t xml:space="preserve">65 to </w:t>
      </w:r>
      <w:r w:rsidR="007F1BEB">
        <w:t>&lt; </w:t>
      </w:r>
      <w:r w:rsidRPr="00F4065E">
        <w:t xml:space="preserve">75 years were infections (29.9% </w:t>
      </w:r>
      <w:r w:rsidR="00DE3146">
        <w:t>(</w:t>
      </w:r>
      <w:r w:rsidRPr="00F4065E">
        <w:t>115/384</w:t>
      </w:r>
      <w:r w:rsidR="009E4CF7">
        <w:t>)</w:t>
      </w:r>
      <w:r w:rsidR="003D2290">
        <w:t xml:space="preserve"> versus </w:t>
      </w:r>
      <w:r w:rsidRPr="00F4065E">
        <w:t xml:space="preserve">23.4% </w:t>
      </w:r>
      <w:r w:rsidR="00DE3146">
        <w:t>(</w:t>
      </w:r>
      <w:r w:rsidRPr="00F4065E">
        <w:t>18/77</w:t>
      </w:r>
      <w:r w:rsidR="009E4CF7">
        <w:t>)</w:t>
      </w:r>
      <w:r w:rsidRPr="00F4065E">
        <w:t xml:space="preserve">, respectively) and injection site reactions (8.9% </w:t>
      </w:r>
      <w:r w:rsidR="00DE3146">
        <w:t>(</w:t>
      </w:r>
      <w:r w:rsidRPr="00F4065E">
        <w:t>34/384</w:t>
      </w:r>
      <w:r w:rsidR="009E4CF7">
        <w:t>)</w:t>
      </w:r>
      <w:r w:rsidR="003D2290">
        <w:t xml:space="preserve"> versus </w:t>
      </w:r>
      <w:r w:rsidRPr="00F4065E">
        <w:t xml:space="preserve">2.6% </w:t>
      </w:r>
      <w:r w:rsidR="00DE3146">
        <w:t>(</w:t>
      </w:r>
      <w:r w:rsidRPr="00F4065E">
        <w:t>2/77</w:t>
      </w:r>
      <w:r w:rsidR="009E4CF7">
        <w:t>)</w:t>
      </w:r>
      <w:r w:rsidRPr="00F4065E">
        <w:t xml:space="preserve">, respectively). No AESI were reported in </w:t>
      </w:r>
      <w:r w:rsidR="00DD5BCE">
        <w:t>≥</w:t>
      </w:r>
      <w:r w:rsidR="007C7C62">
        <w:t xml:space="preserve"> </w:t>
      </w:r>
      <w:r w:rsidRPr="00F4065E">
        <w:t xml:space="preserve">5% more patients aged </w:t>
      </w:r>
      <w:r w:rsidR="00DD5BCE">
        <w:t>≥</w:t>
      </w:r>
      <w:r w:rsidR="007C7C62">
        <w:t xml:space="preserve"> </w:t>
      </w:r>
      <w:r w:rsidRPr="00F4065E">
        <w:t xml:space="preserve">65 to </w:t>
      </w:r>
      <w:r w:rsidR="007F1BEB">
        <w:t>&lt; </w:t>
      </w:r>
      <w:r w:rsidRPr="00F4065E">
        <w:t xml:space="preserve">75 years compared with patients aged </w:t>
      </w:r>
      <w:r w:rsidR="007F1BEB">
        <w:t>&lt; </w:t>
      </w:r>
      <w:r w:rsidRPr="00F4065E">
        <w:t>65 years.</w:t>
      </w:r>
    </w:p>
    <w:p w:rsidR="00AA6B20" w:rsidRDefault="00C97347" w:rsidP="00DB5136">
      <w:pPr>
        <w:pStyle w:val="ListBullet2"/>
      </w:pPr>
      <w:r w:rsidRPr="00F4065E">
        <w:t xml:space="preserve">In the any sarilumab monotherapy dose group (Pool 3), the majority of decreases in absolute neutrophil count were Grade 1 or Grade 2 in patients aged </w:t>
      </w:r>
      <w:r w:rsidR="007F1BEB">
        <w:t>&lt; </w:t>
      </w:r>
      <w:r w:rsidRPr="00F4065E">
        <w:t xml:space="preserve">65 years and </w:t>
      </w:r>
      <w:r w:rsidR="00DD5BCE">
        <w:t>≥</w:t>
      </w:r>
      <w:r w:rsidR="007C7C62">
        <w:t xml:space="preserve"> </w:t>
      </w:r>
      <w:r w:rsidRPr="00F4065E">
        <w:t xml:space="preserve">65 to 75 years. Grade 3 decreases in absolute neutrophil count in the any sarilumab dose group were reported in a similar proportion of patients aged </w:t>
      </w:r>
      <w:r w:rsidR="007F1BEB">
        <w:t>&lt; </w:t>
      </w:r>
      <w:r w:rsidRPr="00F4065E">
        <w:t xml:space="preserve">65 years and </w:t>
      </w:r>
      <w:r w:rsidR="00DD5BCE">
        <w:t>≥</w:t>
      </w:r>
      <w:r w:rsidR="007C7C62">
        <w:t xml:space="preserve"> </w:t>
      </w:r>
      <w:r w:rsidRPr="00F4065E">
        <w:t xml:space="preserve">65 to </w:t>
      </w:r>
      <w:r w:rsidR="007F1BEB">
        <w:t>&lt; </w:t>
      </w:r>
      <w:r w:rsidRPr="00F4065E">
        <w:t xml:space="preserve">70 years (10.7% </w:t>
      </w:r>
      <w:r w:rsidR="00DE3146">
        <w:t>(</w:t>
      </w:r>
      <w:r w:rsidRPr="00F4065E">
        <w:t>41/383</w:t>
      </w:r>
      <w:r w:rsidR="009E4CF7">
        <w:t>)</w:t>
      </w:r>
      <w:r w:rsidR="003D2290">
        <w:t xml:space="preserve"> versus </w:t>
      </w:r>
      <w:r w:rsidRPr="00F4065E">
        <w:t xml:space="preserve">11.7% </w:t>
      </w:r>
      <w:r w:rsidR="00DE3146">
        <w:t>(</w:t>
      </w:r>
      <w:r w:rsidRPr="00F4065E">
        <w:t>9/77</w:t>
      </w:r>
      <w:r w:rsidR="009E4CF7">
        <w:t>)</w:t>
      </w:r>
      <w:r w:rsidRPr="00F4065E">
        <w:t xml:space="preserve">, respectively), while Grade 4 decreases were reported in </w:t>
      </w:r>
      <w:r w:rsidR="00DD5BCE">
        <w:t>≥</w:t>
      </w:r>
      <w:r w:rsidR="007C7C62">
        <w:t xml:space="preserve"> </w:t>
      </w:r>
      <w:r w:rsidRPr="00F4065E">
        <w:t xml:space="preserve">5% more patients aged </w:t>
      </w:r>
      <w:r w:rsidR="00DD5BCE">
        <w:t>≥</w:t>
      </w:r>
      <w:r w:rsidR="007C7C62">
        <w:t xml:space="preserve"> </w:t>
      </w:r>
      <w:r w:rsidRPr="00F4065E">
        <w:t xml:space="preserve">65 to </w:t>
      </w:r>
      <w:r w:rsidR="007F1BEB">
        <w:t>&lt; </w:t>
      </w:r>
      <w:r w:rsidRPr="00F4065E">
        <w:t xml:space="preserve">75 years compared with patients aged </w:t>
      </w:r>
      <w:r w:rsidR="007F1BEB">
        <w:t>&lt; </w:t>
      </w:r>
      <w:r w:rsidRPr="00F4065E">
        <w:t xml:space="preserve">65 years (5.2% </w:t>
      </w:r>
      <w:r w:rsidR="00DE3146">
        <w:t>(</w:t>
      </w:r>
      <w:r w:rsidRPr="00F4065E">
        <w:t>4/77</w:t>
      </w:r>
      <w:r w:rsidR="009E4CF7">
        <w:t>)</w:t>
      </w:r>
      <w:r w:rsidR="003D2290">
        <w:t xml:space="preserve"> versus </w:t>
      </w:r>
      <w:r w:rsidRPr="00F4065E">
        <w:t xml:space="preserve">0% </w:t>
      </w:r>
      <w:r w:rsidR="00DE3146">
        <w:t>(</w:t>
      </w:r>
      <w:r w:rsidRPr="00F4065E">
        <w:t>0/383</w:t>
      </w:r>
      <w:r w:rsidR="009E4CF7">
        <w:t>)</w:t>
      </w:r>
      <w:r w:rsidRPr="00F4065E">
        <w:t>, respectively).</w:t>
      </w:r>
    </w:p>
    <w:p w:rsidR="00AA6B20" w:rsidRDefault="00C97347" w:rsidP="00DB5136">
      <w:pPr>
        <w:pStyle w:val="ListBullet2"/>
      </w:pPr>
      <w:r w:rsidRPr="00F4065E">
        <w:t xml:space="preserve">In the any sarilumab monotherapy dose group (Pool 3), the majority of PCSA increased ALT levels were </w:t>
      </w:r>
      <w:r w:rsidR="00DD5BCE">
        <w:t>&gt;</w:t>
      </w:r>
      <w:r w:rsidR="007C7C62">
        <w:t xml:space="preserve"> </w:t>
      </w:r>
      <w:r w:rsidRPr="00F4065E">
        <w:t xml:space="preserve">1 to </w:t>
      </w:r>
      <w:r w:rsidR="00DD5BCE">
        <w:t>≤</w:t>
      </w:r>
      <w:r w:rsidR="007C7C62">
        <w:t xml:space="preserve"> </w:t>
      </w:r>
      <w:r w:rsidRPr="00F4065E">
        <w:t xml:space="preserve">3 ULN in patients aged </w:t>
      </w:r>
      <w:r w:rsidR="007F1BEB">
        <w:t>&lt; </w:t>
      </w:r>
      <w:r w:rsidRPr="00F4065E">
        <w:t xml:space="preserve">65 years and </w:t>
      </w:r>
      <w:r w:rsidR="00DD5BCE">
        <w:t>≥</w:t>
      </w:r>
      <w:r w:rsidR="007C7C62">
        <w:t xml:space="preserve"> </w:t>
      </w:r>
      <w:r w:rsidRPr="00F4065E">
        <w:t xml:space="preserve">65 to 75 years, while PCSA increased ALT levels </w:t>
      </w:r>
      <w:r w:rsidR="00DD5BCE">
        <w:t>&gt;</w:t>
      </w:r>
      <w:r w:rsidR="007C7C62">
        <w:t xml:space="preserve"> </w:t>
      </w:r>
      <w:r w:rsidRPr="00F4065E">
        <w:t xml:space="preserve">3 ULN were reported in a higher proportion of patients aged </w:t>
      </w:r>
      <w:r w:rsidR="007F1BEB">
        <w:t>&lt; </w:t>
      </w:r>
      <w:r w:rsidRPr="00F4065E">
        <w:t xml:space="preserve">65 years than </w:t>
      </w:r>
      <w:r w:rsidR="00DD5BCE">
        <w:t>≥</w:t>
      </w:r>
      <w:r w:rsidR="007C7C62">
        <w:t xml:space="preserve"> </w:t>
      </w:r>
      <w:r w:rsidRPr="00F4065E">
        <w:t xml:space="preserve">65 to 75 years (4.4% </w:t>
      </w:r>
      <w:r w:rsidR="00DE3146">
        <w:t>(</w:t>
      </w:r>
      <w:r w:rsidRPr="00F4065E">
        <w:t>17/382</w:t>
      </w:r>
      <w:r w:rsidR="009E4CF7">
        <w:t>)</w:t>
      </w:r>
      <w:r w:rsidR="003D2290">
        <w:t xml:space="preserve"> versus </w:t>
      </w:r>
      <w:r w:rsidRPr="00F4065E">
        <w:t xml:space="preserve">0% </w:t>
      </w:r>
      <w:r w:rsidR="00DE3146">
        <w:t>(</w:t>
      </w:r>
      <w:r w:rsidRPr="00F4065E">
        <w:t>0/77</w:t>
      </w:r>
      <w:r w:rsidR="009E4CF7">
        <w:t>)</w:t>
      </w:r>
      <w:r w:rsidRPr="00F4065E">
        <w:t xml:space="preserve">). There were no reports of ALT levels </w:t>
      </w:r>
      <w:r w:rsidR="00DD5BCE">
        <w:t>&gt;</w:t>
      </w:r>
      <w:r w:rsidR="007C7C62">
        <w:t xml:space="preserve"> </w:t>
      </w:r>
      <w:r w:rsidRPr="00F4065E">
        <w:t>10 ULN in either of the two age groups.</w:t>
      </w:r>
    </w:p>
    <w:p w:rsidR="00AA6B20" w:rsidRDefault="00C97347" w:rsidP="00DB5136">
      <w:pPr>
        <w:pStyle w:val="ListBullet2"/>
      </w:pPr>
      <w:r w:rsidRPr="00F4065E">
        <w:t>In the 24</w:t>
      </w:r>
      <w:r w:rsidR="00741181">
        <w:t xml:space="preserve"> </w:t>
      </w:r>
      <w:r w:rsidRPr="00F4065E">
        <w:t xml:space="preserve">week double-blind treatment period of </w:t>
      </w:r>
      <w:r w:rsidR="00894642">
        <w:t>Study EFC</w:t>
      </w:r>
      <w:r w:rsidRPr="00F4065E">
        <w:t>14092</w:t>
      </w:r>
      <w:r w:rsidR="001F3EAD">
        <w:t xml:space="preserve"> MONARCH</w:t>
      </w:r>
      <w:r w:rsidRPr="00F4065E">
        <w:t xml:space="preserve">, high-level AE profiles in patients aged </w:t>
      </w:r>
      <w:r w:rsidR="007F1BEB">
        <w:t>&lt; </w:t>
      </w:r>
      <w:r w:rsidRPr="00F4065E">
        <w:t xml:space="preserve">65 years were generally comparable in the adalimumab 40 mg q2w and the sarilumab 200 mg q2w arms. However, in patients aged </w:t>
      </w:r>
      <w:r w:rsidR="00DD5BCE">
        <w:t>≥</w:t>
      </w:r>
      <w:r w:rsidR="007C7C62">
        <w:t xml:space="preserve"> </w:t>
      </w:r>
      <w:r w:rsidRPr="00F4065E">
        <w:t xml:space="preserve">65 to </w:t>
      </w:r>
      <w:r w:rsidR="007F1BEB">
        <w:t>&lt; </w:t>
      </w:r>
      <w:r w:rsidRPr="00F4065E">
        <w:t xml:space="preserve">75 years TEAEs (any) were reported more frequently in the adalimumab 40 mg q2w arm than in the sarilumab 200 mg q2w arm (80.0% </w:t>
      </w:r>
      <w:r w:rsidR="00DE3146">
        <w:t>(</w:t>
      </w:r>
      <w:r w:rsidRPr="00F4065E">
        <w:t>28/35</w:t>
      </w:r>
      <w:r w:rsidR="009E4CF7">
        <w:t>)</w:t>
      </w:r>
      <w:r w:rsidR="003D2290">
        <w:t xml:space="preserve"> versus </w:t>
      </w:r>
      <w:r w:rsidRPr="00F4065E">
        <w:t xml:space="preserve">56.0% </w:t>
      </w:r>
      <w:r w:rsidR="00DE3146">
        <w:t>(</w:t>
      </w:r>
      <w:r w:rsidRPr="00F4065E">
        <w:t>14/25</w:t>
      </w:r>
      <w:r w:rsidR="009E4CF7">
        <w:t>)</w:t>
      </w:r>
      <w:r w:rsidRPr="00F4065E">
        <w:t xml:space="preserve">, respectively), as were serious TEAEs (17.1% </w:t>
      </w:r>
      <w:r w:rsidR="00DE3146">
        <w:t>(</w:t>
      </w:r>
      <w:r w:rsidRPr="00F4065E">
        <w:t>6/35</w:t>
      </w:r>
      <w:r w:rsidR="009E4CF7">
        <w:t>)</w:t>
      </w:r>
      <w:r w:rsidR="003D2290">
        <w:t xml:space="preserve"> versus </w:t>
      </w:r>
      <w:r w:rsidRPr="00F4065E">
        <w:t xml:space="preserve">12.0% </w:t>
      </w:r>
      <w:r w:rsidR="00DE3146">
        <w:t>(</w:t>
      </w:r>
      <w:r w:rsidRPr="00F4065E">
        <w:t>3/25</w:t>
      </w:r>
      <w:r w:rsidR="009E4CF7">
        <w:t>)</w:t>
      </w:r>
      <w:r w:rsidRPr="00F4065E">
        <w:t>).</w:t>
      </w:r>
    </w:p>
    <w:p w:rsidR="00AA6B20" w:rsidRDefault="00C97347" w:rsidP="00DB5136">
      <w:pPr>
        <w:pStyle w:val="ListBullet2"/>
      </w:pPr>
      <w:r w:rsidRPr="00F4065E">
        <w:t>In the 24</w:t>
      </w:r>
      <w:r w:rsidR="00741181">
        <w:t xml:space="preserve"> </w:t>
      </w:r>
      <w:r w:rsidRPr="00F4065E">
        <w:t xml:space="preserve">week double-blind treatment period of </w:t>
      </w:r>
      <w:r w:rsidR="00894642">
        <w:t>Study EFC</w:t>
      </w:r>
      <w:r w:rsidRPr="00F4065E">
        <w:t>14092</w:t>
      </w:r>
      <w:r w:rsidR="001F3EAD">
        <w:t xml:space="preserve"> MONARCH</w:t>
      </w:r>
      <w:r w:rsidRPr="00F4065E">
        <w:t xml:space="preserve">, in patients aged </w:t>
      </w:r>
      <w:r w:rsidR="007F1BEB">
        <w:t>&lt; </w:t>
      </w:r>
      <w:r w:rsidRPr="00F4065E">
        <w:t>65 years AESIs of leuko</w:t>
      </w:r>
      <w:r w:rsidR="001E2D44">
        <w:t>paenia</w:t>
      </w:r>
      <w:r w:rsidRPr="00F4065E">
        <w:t xml:space="preserve"> were reported in </w:t>
      </w:r>
      <w:r w:rsidR="00DD5BCE">
        <w:t>≥</w:t>
      </w:r>
      <w:r w:rsidR="007C7C62">
        <w:t xml:space="preserve"> </w:t>
      </w:r>
      <w:r w:rsidRPr="00F4065E">
        <w:t xml:space="preserve">5% more patients in the sarilumab 200 mg q2w arm than in the adalimumab 40 mg q2w arm (13.3% </w:t>
      </w:r>
      <w:r w:rsidR="00DE3146">
        <w:t>(</w:t>
      </w:r>
      <w:r w:rsidRPr="00F4065E">
        <w:t>21/158</w:t>
      </w:r>
      <w:r w:rsidR="009E4CF7">
        <w:t>)</w:t>
      </w:r>
      <w:r w:rsidR="003D2290">
        <w:t xml:space="preserve"> versus </w:t>
      </w:r>
      <w:r w:rsidRPr="00F4065E">
        <w:t xml:space="preserve">2.1% </w:t>
      </w:r>
      <w:r w:rsidR="00DE3146">
        <w:t>(</w:t>
      </w:r>
      <w:r w:rsidRPr="00F4065E">
        <w:t>3/144</w:t>
      </w:r>
      <w:r w:rsidR="009E4CF7">
        <w:t>)</w:t>
      </w:r>
      <w:r w:rsidRPr="00F4065E">
        <w:t xml:space="preserve">) as were AESIs of injection site reactions (10.8% </w:t>
      </w:r>
      <w:r w:rsidR="00DE3146">
        <w:t>(</w:t>
      </w:r>
      <w:r w:rsidRPr="00F4065E">
        <w:t>17/158</w:t>
      </w:r>
      <w:r w:rsidR="009E4CF7">
        <w:t>)</w:t>
      </w:r>
      <w:r w:rsidR="003D2290">
        <w:t xml:space="preserve"> versus </w:t>
      </w:r>
      <w:r w:rsidRPr="00F4065E">
        <w:t xml:space="preserve">4.2% </w:t>
      </w:r>
      <w:r w:rsidR="00DE3146">
        <w:t>(</w:t>
      </w:r>
      <w:r w:rsidRPr="00F4065E">
        <w:t>6/144</w:t>
      </w:r>
      <w:r w:rsidR="009E4CF7">
        <w:t>)</w:t>
      </w:r>
      <w:r w:rsidRPr="00F4065E">
        <w:t xml:space="preserve">, respectively). In patients aged </w:t>
      </w:r>
      <w:r w:rsidR="00DD5BCE">
        <w:t>≥</w:t>
      </w:r>
      <w:r w:rsidR="007C7C62">
        <w:t xml:space="preserve"> </w:t>
      </w:r>
      <w:r w:rsidRPr="00F4065E">
        <w:t xml:space="preserve">65 to </w:t>
      </w:r>
      <w:r w:rsidR="007F1BEB">
        <w:t>&lt; </w:t>
      </w:r>
      <w:r w:rsidRPr="00F4065E">
        <w:t xml:space="preserve">75 years AESIs of infection were reported in </w:t>
      </w:r>
      <w:r w:rsidR="00DD5BCE">
        <w:t>≥</w:t>
      </w:r>
      <w:r w:rsidR="007C7C62">
        <w:t xml:space="preserve"> </w:t>
      </w:r>
      <w:r w:rsidRPr="00F4065E">
        <w:t xml:space="preserve">5% more patients in the adalimumab 40 mg q2w arm than in the sarilumab 200 mg q2w arm (28.6% </w:t>
      </w:r>
      <w:r w:rsidR="00DE3146">
        <w:t>(</w:t>
      </w:r>
      <w:r w:rsidRPr="00F4065E">
        <w:t>10/35</w:t>
      </w:r>
      <w:r w:rsidR="009E4CF7">
        <w:t>)</w:t>
      </w:r>
      <w:r w:rsidR="003D2290">
        <w:t xml:space="preserve"> versus </w:t>
      </w:r>
      <w:r w:rsidRPr="00F4065E">
        <w:t xml:space="preserve">12.0% </w:t>
      </w:r>
      <w:r w:rsidR="00DE3146">
        <w:t>(</w:t>
      </w:r>
      <w:r w:rsidRPr="00F4065E">
        <w:t>3/25</w:t>
      </w:r>
      <w:r w:rsidR="009E4CF7">
        <w:t>)</w:t>
      </w:r>
      <w:r w:rsidRPr="00F4065E">
        <w:t xml:space="preserve">, respectively), as were AESIs of hypersensitivity (8.6% </w:t>
      </w:r>
      <w:r w:rsidR="00DE3146">
        <w:t>(</w:t>
      </w:r>
      <w:r w:rsidRPr="00F4065E">
        <w:t>3/35</w:t>
      </w:r>
      <w:r w:rsidR="009E4CF7">
        <w:t>)</w:t>
      </w:r>
      <w:r w:rsidR="003D2290">
        <w:t xml:space="preserve"> versus </w:t>
      </w:r>
      <w:r w:rsidRPr="00F4065E">
        <w:t xml:space="preserve">0% </w:t>
      </w:r>
      <w:r w:rsidR="00DE3146">
        <w:t>(</w:t>
      </w:r>
      <w:r w:rsidRPr="00F4065E">
        <w:t>0/25</w:t>
      </w:r>
      <w:r w:rsidR="009E4CF7">
        <w:t>)</w:t>
      </w:r>
      <w:r w:rsidRPr="00F4065E">
        <w:t xml:space="preserve">, respectively) and injection site reactions (5.7% </w:t>
      </w:r>
      <w:r w:rsidR="00DE3146">
        <w:t>(</w:t>
      </w:r>
      <w:r w:rsidRPr="00F4065E">
        <w:t>2/35</w:t>
      </w:r>
      <w:r w:rsidR="009E4CF7">
        <w:t>)</w:t>
      </w:r>
      <w:r w:rsidR="003D2290">
        <w:t xml:space="preserve"> versus </w:t>
      </w:r>
      <w:r w:rsidRPr="00F4065E">
        <w:t xml:space="preserve">0% </w:t>
      </w:r>
      <w:r w:rsidR="00DE3146">
        <w:t>(</w:t>
      </w:r>
      <w:r w:rsidRPr="00F4065E">
        <w:t>0/25</w:t>
      </w:r>
      <w:r w:rsidR="009E4CF7">
        <w:t>)</w:t>
      </w:r>
      <w:r w:rsidRPr="00F4065E">
        <w:t>, respectively), while AESIs of leuko</w:t>
      </w:r>
      <w:r w:rsidR="001E2D44">
        <w:t>paenia</w:t>
      </w:r>
      <w:r w:rsidRPr="00F4065E">
        <w:t xml:space="preserve"> were reported in </w:t>
      </w:r>
      <w:r w:rsidR="00DD5BCE">
        <w:t>≥</w:t>
      </w:r>
      <w:r w:rsidR="007C7C62">
        <w:t xml:space="preserve"> </w:t>
      </w:r>
      <w:r w:rsidRPr="00F4065E">
        <w:t xml:space="preserve">5% more patients in the sarilumab 200 mg q2w arm than in the adalimumab 40 mg q2w arm (20.0% </w:t>
      </w:r>
      <w:r w:rsidR="00DE3146">
        <w:t>(</w:t>
      </w:r>
      <w:r w:rsidRPr="00F4065E">
        <w:t>5/25</w:t>
      </w:r>
      <w:r w:rsidR="009E4CF7">
        <w:t>)</w:t>
      </w:r>
      <w:r w:rsidR="003D2290">
        <w:t xml:space="preserve"> versus </w:t>
      </w:r>
      <w:r w:rsidRPr="00F4065E">
        <w:t xml:space="preserve">0% </w:t>
      </w:r>
      <w:r w:rsidR="00DE3146">
        <w:t>(</w:t>
      </w:r>
      <w:r w:rsidRPr="00F4065E">
        <w:t>0/35</w:t>
      </w:r>
      <w:r w:rsidR="009E4CF7">
        <w:t>)</w:t>
      </w:r>
      <w:r w:rsidRPr="00F4065E">
        <w:t xml:space="preserve">, respectively). Differences in AESIs between the two treatment arms in patients aged </w:t>
      </w:r>
      <w:r w:rsidR="00DD5BCE">
        <w:t>≥</w:t>
      </w:r>
      <w:r w:rsidR="007C7C62">
        <w:t xml:space="preserve"> </w:t>
      </w:r>
      <w:r w:rsidRPr="00F4065E">
        <w:t xml:space="preserve">65 to </w:t>
      </w:r>
      <w:r w:rsidR="007F1BEB">
        <w:t>&lt; </w:t>
      </w:r>
      <w:r w:rsidRPr="00F4065E">
        <w:t xml:space="preserve">75 years should be interpreted cautiously due to the notably smaller number of patients in this age group compared with patients aged </w:t>
      </w:r>
      <w:r w:rsidR="007F1BEB">
        <w:t>&lt; </w:t>
      </w:r>
      <w:r w:rsidRPr="00F4065E">
        <w:t>65 years.</w:t>
      </w:r>
    </w:p>
    <w:p w:rsidR="00C97347" w:rsidRPr="00F4065E" w:rsidRDefault="00C97347" w:rsidP="00DB5136">
      <w:pPr>
        <w:pStyle w:val="ListBullet2"/>
      </w:pPr>
      <w:r w:rsidRPr="00F4065E">
        <w:t>In the 24</w:t>
      </w:r>
      <w:r w:rsidR="00741181">
        <w:t xml:space="preserve"> </w:t>
      </w:r>
      <w:r w:rsidRPr="00F4065E">
        <w:t xml:space="preserve">week double-blind treatment period of </w:t>
      </w:r>
      <w:r w:rsidR="00894642">
        <w:t>Study EFC</w:t>
      </w:r>
      <w:r w:rsidRPr="00F4065E">
        <w:t>14092</w:t>
      </w:r>
      <w:r w:rsidR="001F3EAD">
        <w:t xml:space="preserve"> MONARCH</w:t>
      </w:r>
      <w:r w:rsidRPr="00F4065E">
        <w:t xml:space="preserve">, decreases in absolute neutrophil counts Grade 1, 2, and 3 occurred more frequently in patients in the sarilumab 200 mg q2w arm than in the adalimumab 40 mg q2w arm in </w:t>
      </w:r>
      <w:r w:rsidR="007F1BEB">
        <w:t>both the &lt; </w:t>
      </w:r>
      <w:r w:rsidRPr="00F4065E">
        <w:t xml:space="preserve">65 years and </w:t>
      </w:r>
      <w:r w:rsidR="00DD5BCE">
        <w:t>≥</w:t>
      </w:r>
      <w:r w:rsidR="007C7C62">
        <w:t xml:space="preserve"> </w:t>
      </w:r>
      <w:r w:rsidRPr="00F4065E">
        <w:t xml:space="preserve">65 to </w:t>
      </w:r>
      <w:r w:rsidR="007F1BEB">
        <w:t>&lt; </w:t>
      </w:r>
      <w:r w:rsidRPr="00F4065E">
        <w:t xml:space="preserve">75 years subgroups, and the </w:t>
      </w:r>
      <w:r w:rsidRPr="00F4065E">
        <w:lastRenderedPageBreak/>
        <w:t xml:space="preserve">frequency of events in both treatment arms were generally comparable in both age subgroups. There were only 3 patients with decreases in absolute neutrophil count Grade 4, and all three were in the </w:t>
      </w:r>
      <w:r w:rsidR="00DD5BCE">
        <w:t>≥</w:t>
      </w:r>
      <w:r w:rsidR="007C7C62">
        <w:t xml:space="preserve"> </w:t>
      </w:r>
      <w:r w:rsidRPr="00F4065E">
        <w:t xml:space="preserve">65 years to </w:t>
      </w:r>
      <w:r w:rsidR="007F1BEB">
        <w:t>&lt; </w:t>
      </w:r>
      <w:r w:rsidRPr="00F4065E">
        <w:t>75 years subgroup in the sarilumab 200 mg q2w arm.</w:t>
      </w:r>
    </w:p>
    <w:p w:rsidR="00C97347" w:rsidRPr="00F4065E" w:rsidRDefault="00C97347" w:rsidP="00DB5136">
      <w:pPr>
        <w:pStyle w:val="ListBullet2"/>
      </w:pPr>
      <w:r w:rsidRPr="00F4065E">
        <w:t>In the 24</w:t>
      </w:r>
      <w:r w:rsidR="00741181">
        <w:t xml:space="preserve"> </w:t>
      </w:r>
      <w:r w:rsidRPr="00F4065E">
        <w:t xml:space="preserve">week double-blind treatment period of </w:t>
      </w:r>
      <w:r w:rsidR="00894642">
        <w:t>Study EFC</w:t>
      </w:r>
      <w:r w:rsidRPr="00F4065E">
        <w:t>14092</w:t>
      </w:r>
      <w:r w:rsidR="001F3EAD">
        <w:t xml:space="preserve"> MONARCH</w:t>
      </w:r>
      <w:r w:rsidRPr="00F4065E">
        <w:t xml:space="preserve">, PCSA increased ALT levels generally occurred more frequently in the sarilumab 200 mg q2w arm than in adalimumab 40 mg q2w arm in both the </w:t>
      </w:r>
      <w:r w:rsidR="007F1BEB">
        <w:t>&lt; </w:t>
      </w:r>
      <w:r w:rsidRPr="00F4065E">
        <w:t xml:space="preserve">65 years and </w:t>
      </w:r>
      <w:r w:rsidR="00DD5BCE">
        <w:t>≥</w:t>
      </w:r>
      <w:r w:rsidR="00B2498D">
        <w:t> </w:t>
      </w:r>
      <w:r w:rsidRPr="00F4065E">
        <w:t xml:space="preserve">65 to </w:t>
      </w:r>
      <w:r w:rsidR="007F1BEB">
        <w:t>&lt; </w:t>
      </w:r>
      <w:r w:rsidRPr="00F4065E">
        <w:t xml:space="preserve">75 years subgroups. In general, PCSA higher increased ALT levels occurred more frequently in the </w:t>
      </w:r>
      <w:r w:rsidR="007F1BEB">
        <w:t>&lt; </w:t>
      </w:r>
      <w:r w:rsidRPr="00F4065E">
        <w:t xml:space="preserve">65 years subgroup than in the </w:t>
      </w:r>
      <w:r w:rsidR="00DD5BCE">
        <w:t>≥</w:t>
      </w:r>
      <w:r w:rsidR="007C7C62">
        <w:t xml:space="preserve"> </w:t>
      </w:r>
      <w:r w:rsidRPr="00F4065E">
        <w:t xml:space="preserve">65 to </w:t>
      </w:r>
      <w:r w:rsidR="007F1BEB">
        <w:t>&lt; </w:t>
      </w:r>
      <w:r w:rsidRPr="00F4065E">
        <w:t xml:space="preserve">75 years subgroup, but levels </w:t>
      </w:r>
      <w:r w:rsidR="00DD5BCE">
        <w:t>&gt;</w:t>
      </w:r>
      <w:r w:rsidR="007C7C62">
        <w:t xml:space="preserve"> </w:t>
      </w:r>
      <w:r w:rsidRPr="00F4065E">
        <w:t>3 x ULN occurred infrequently in both subgroups.</w:t>
      </w:r>
    </w:p>
    <w:p w:rsidR="00AA6B20" w:rsidRDefault="00C97347" w:rsidP="00DB5136">
      <w:pPr>
        <w:pStyle w:val="ListBullet"/>
      </w:pPr>
      <w:r w:rsidRPr="00F4065E">
        <w:t>Weight</w:t>
      </w:r>
    </w:p>
    <w:p w:rsidR="00AA6B20" w:rsidRDefault="00C97347" w:rsidP="00DB5136">
      <w:pPr>
        <w:pStyle w:val="ListBullet2"/>
      </w:pPr>
      <w:r w:rsidRPr="00F4065E">
        <w:t xml:space="preserve">In the any sarilumab dose group, TEAEs increased in frequency with increasing weight </w:t>
      </w:r>
      <w:r w:rsidR="007F1BEB">
        <w:t>&lt; </w:t>
      </w:r>
      <w:r w:rsidRPr="00F4065E">
        <w:t>60 kg</w:t>
      </w:r>
      <w:r w:rsidR="003D2290">
        <w:t xml:space="preserve"> versus </w:t>
      </w:r>
      <w:r w:rsidR="00DD5BCE">
        <w:t>≥</w:t>
      </w:r>
      <w:r w:rsidR="007C7C62">
        <w:t xml:space="preserve"> </w:t>
      </w:r>
      <w:r w:rsidRPr="00F4065E">
        <w:t xml:space="preserve">60 to </w:t>
      </w:r>
      <w:r w:rsidR="007F1BEB">
        <w:t>&lt; </w:t>
      </w:r>
      <w:r w:rsidRPr="00F4065E">
        <w:t>100 kg</w:t>
      </w:r>
      <w:r w:rsidR="003D2290">
        <w:t xml:space="preserve"> versus </w:t>
      </w:r>
      <w:r w:rsidR="00DD5BCE">
        <w:t>≥</w:t>
      </w:r>
      <w:r w:rsidR="007C7C62">
        <w:t xml:space="preserve"> </w:t>
      </w:r>
      <w:r w:rsidRPr="00F4065E">
        <w:t xml:space="preserve">100 kg (55.1% </w:t>
      </w:r>
      <w:r w:rsidR="00DE3146">
        <w:t>(</w:t>
      </w:r>
      <w:r w:rsidRPr="00F4065E">
        <w:t>59/107</w:t>
      </w:r>
      <w:r w:rsidR="009E4CF7">
        <w:t>)</w:t>
      </w:r>
      <w:r w:rsidR="003D2290">
        <w:t xml:space="preserve"> versus </w:t>
      </w:r>
      <w:r w:rsidRPr="00F4065E">
        <w:t xml:space="preserve">61.7% </w:t>
      </w:r>
      <w:r w:rsidR="00DE3146">
        <w:t>(</w:t>
      </w:r>
      <w:r w:rsidRPr="00F4065E">
        <w:t>198/321</w:t>
      </w:r>
      <w:r w:rsidR="009E4CF7">
        <w:t>)</w:t>
      </w:r>
      <w:r w:rsidR="003D2290">
        <w:t xml:space="preserve"> versus </w:t>
      </w:r>
      <w:r w:rsidRPr="00F4065E">
        <w:t xml:space="preserve">71.8% </w:t>
      </w:r>
      <w:r w:rsidR="00DE3146">
        <w:t>(</w:t>
      </w:r>
      <w:r w:rsidRPr="00F4065E">
        <w:t>28/39</w:t>
      </w:r>
      <w:r w:rsidR="009E4CF7">
        <w:t>)</w:t>
      </w:r>
      <w:r w:rsidRPr="00F4065E">
        <w:t xml:space="preserve">, respectively), as did serious TEAEs (3.7% </w:t>
      </w:r>
      <w:r w:rsidR="00DE3146">
        <w:t>(</w:t>
      </w:r>
      <w:r w:rsidRPr="00F4065E">
        <w:t>4/107</w:t>
      </w:r>
      <w:r w:rsidR="009E4CF7">
        <w:t>)</w:t>
      </w:r>
      <w:r w:rsidR="003D2290">
        <w:t xml:space="preserve"> versus </w:t>
      </w:r>
      <w:r w:rsidRPr="00F4065E">
        <w:t xml:space="preserve">5.9% </w:t>
      </w:r>
      <w:r w:rsidR="00DE3146">
        <w:t>(</w:t>
      </w:r>
      <w:r w:rsidRPr="00F4065E">
        <w:t>10/321</w:t>
      </w:r>
      <w:r w:rsidR="009E4CF7">
        <w:t>)</w:t>
      </w:r>
      <w:r w:rsidR="003D2290">
        <w:t xml:space="preserve"> versus </w:t>
      </w:r>
      <w:r w:rsidRPr="00F4065E">
        <w:t>7.7% 3/39</w:t>
      </w:r>
      <w:r w:rsidR="009E4CF7">
        <w:t>)</w:t>
      </w:r>
      <w:r w:rsidRPr="00F4065E">
        <w:t xml:space="preserve"> ). However, the results in the </w:t>
      </w:r>
      <w:r w:rsidR="00DD5BCE">
        <w:t>≥</w:t>
      </w:r>
      <w:r w:rsidR="00B2498D">
        <w:t> </w:t>
      </w:r>
      <w:r w:rsidRPr="00F4065E">
        <w:t>100 kg subgroup should be interpreted cautiously due to the small number of patients in this subgroup.</w:t>
      </w:r>
    </w:p>
    <w:p w:rsidR="00AA6B20" w:rsidRDefault="00C97347" w:rsidP="00DB5136">
      <w:pPr>
        <w:pStyle w:val="ListBullet2"/>
      </w:pPr>
      <w:r w:rsidRPr="00F4065E">
        <w:t xml:space="preserve">In the any sarilumab monotherapy dose group (Pool 3), summarised AESIs reported in </w:t>
      </w:r>
      <w:r w:rsidR="00DD5BCE">
        <w:t>≥</w:t>
      </w:r>
      <w:r w:rsidR="007C7C62">
        <w:t xml:space="preserve"> </w:t>
      </w:r>
      <w:r w:rsidRPr="00F4065E">
        <w:t>10% of patients in at least one of the three weight groups (</w:t>
      </w:r>
      <w:r w:rsidR="007F1BEB">
        <w:t>&lt; </w:t>
      </w:r>
      <w:r w:rsidRPr="00F4065E">
        <w:t>60 kg</w:t>
      </w:r>
      <w:r w:rsidR="003D2290">
        <w:t xml:space="preserve"> versus </w:t>
      </w:r>
      <w:r w:rsidR="00DD5BCE">
        <w:t>≥</w:t>
      </w:r>
      <w:r w:rsidR="007C7C62">
        <w:t xml:space="preserve"> </w:t>
      </w:r>
      <w:r w:rsidRPr="00F4065E">
        <w:t xml:space="preserve">60 to </w:t>
      </w:r>
      <w:r w:rsidR="007F1BEB">
        <w:t>&lt; </w:t>
      </w:r>
      <w:r w:rsidRPr="00F4065E">
        <w:t>100 kg</w:t>
      </w:r>
      <w:r w:rsidR="003D2290">
        <w:t xml:space="preserve"> versus </w:t>
      </w:r>
      <w:r w:rsidR="00DD5BCE">
        <w:t>≥</w:t>
      </w:r>
      <w:r w:rsidR="007C7C62">
        <w:t xml:space="preserve"> </w:t>
      </w:r>
      <w:r w:rsidRPr="00F4065E">
        <w:t xml:space="preserve">100 kg, respectively), were infections (24.3% </w:t>
      </w:r>
      <w:r w:rsidR="00DE3146">
        <w:t>(</w:t>
      </w:r>
      <w:r w:rsidRPr="00F4065E">
        <w:t>26/107</w:t>
      </w:r>
      <w:r w:rsidR="009E4CF7">
        <w:t>)</w:t>
      </w:r>
      <w:r w:rsidR="003D2290">
        <w:t xml:space="preserve"> versus </w:t>
      </w:r>
      <w:r w:rsidRPr="00F4065E">
        <w:t xml:space="preserve">30.5% </w:t>
      </w:r>
      <w:r w:rsidR="00DE3146">
        <w:t>(</w:t>
      </w:r>
      <w:r w:rsidRPr="00F4065E">
        <w:t>98/321</w:t>
      </w:r>
      <w:r w:rsidR="009E4CF7">
        <w:t>)</w:t>
      </w:r>
      <w:r w:rsidR="003D2290">
        <w:t xml:space="preserve"> versus </w:t>
      </w:r>
      <w:r w:rsidRPr="00F4065E">
        <w:t xml:space="preserve">28.2% </w:t>
      </w:r>
      <w:r w:rsidR="00DE3146">
        <w:t>(</w:t>
      </w:r>
      <w:r w:rsidRPr="00F4065E">
        <w:t>11/39</w:t>
      </w:r>
      <w:r w:rsidR="009E4CF7">
        <w:t>)</w:t>
      </w:r>
      <w:r w:rsidRPr="00F4065E">
        <w:t>), leuko</w:t>
      </w:r>
      <w:r w:rsidR="001E2D44">
        <w:t>paenia</w:t>
      </w:r>
      <w:r w:rsidRPr="00F4065E">
        <w:t xml:space="preserve"> (21.5% </w:t>
      </w:r>
      <w:r w:rsidR="00DE3146">
        <w:t>(</w:t>
      </w:r>
      <w:r w:rsidRPr="00F4065E">
        <w:t>23/107</w:t>
      </w:r>
      <w:r w:rsidR="009E4CF7">
        <w:t>)</w:t>
      </w:r>
      <w:r w:rsidR="003D2290">
        <w:t xml:space="preserve"> versus </w:t>
      </w:r>
      <w:r w:rsidRPr="00F4065E">
        <w:t xml:space="preserve">16.8% </w:t>
      </w:r>
      <w:r w:rsidR="00DE3146">
        <w:t>(</w:t>
      </w:r>
      <w:r w:rsidRPr="00F4065E">
        <w:t>54/321</w:t>
      </w:r>
      <w:r w:rsidR="009E4CF7">
        <w:t>)</w:t>
      </w:r>
      <w:r w:rsidR="003D2290">
        <w:t xml:space="preserve"> versus </w:t>
      </w:r>
      <w:r w:rsidRPr="00F4065E">
        <w:t xml:space="preserve">7.7% </w:t>
      </w:r>
      <w:r w:rsidR="00DE3146">
        <w:t>(</w:t>
      </w:r>
      <w:r w:rsidRPr="00F4065E">
        <w:t>3/39</w:t>
      </w:r>
      <w:r w:rsidR="009E4CF7">
        <w:t>)</w:t>
      </w:r>
      <w:r w:rsidRPr="00F4065E">
        <w:t xml:space="preserve">) and hypersensitivity (7.5% </w:t>
      </w:r>
      <w:r w:rsidR="00DE3146">
        <w:t>(</w:t>
      </w:r>
      <w:r w:rsidRPr="00F4065E">
        <w:t>8/107</w:t>
      </w:r>
      <w:r w:rsidR="009E4CF7">
        <w:t>)</w:t>
      </w:r>
      <w:r w:rsidR="003D2290">
        <w:t xml:space="preserve"> versus </w:t>
      </w:r>
      <w:r w:rsidRPr="00F4065E">
        <w:t xml:space="preserve">2.5% </w:t>
      </w:r>
      <w:r w:rsidR="00DE3146">
        <w:t>(</w:t>
      </w:r>
      <w:r w:rsidRPr="00F4065E">
        <w:t>8/321</w:t>
      </w:r>
      <w:r w:rsidR="009E4CF7">
        <w:t>)</w:t>
      </w:r>
      <w:r w:rsidR="003D2290">
        <w:t xml:space="preserve"> versus </w:t>
      </w:r>
      <w:r w:rsidRPr="00F4065E">
        <w:t xml:space="preserve">12.8% </w:t>
      </w:r>
      <w:r w:rsidR="00DE3146">
        <w:t>(</w:t>
      </w:r>
      <w:r w:rsidRPr="00F4065E">
        <w:t>5/39</w:t>
      </w:r>
      <w:r w:rsidR="009E4CF7">
        <w:t>)</w:t>
      </w:r>
      <w:r w:rsidRPr="00F4065E">
        <w:t xml:space="preserve">). The results in the </w:t>
      </w:r>
      <w:r w:rsidR="00DD5BCE">
        <w:t>≥</w:t>
      </w:r>
      <w:r w:rsidR="007C7C62">
        <w:t xml:space="preserve"> </w:t>
      </w:r>
      <w:r w:rsidRPr="00F4065E">
        <w:t>100 kg subgroup should be interpreted cautiously due to the small number of patients in this subgroup.</w:t>
      </w:r>
    </w:p>
    <w:p w:rsidR="00C97347" w:rsidRPr="00F4065E" w:rsidRDefault="00C97347" w:rsidP="00DB5136">
      <w:pPr>
        <w:pStyle w:val="ListBullet2"/>
      </w:pPr>
      <w:r w:rsidRPr="00F4065E">
        <w:t xml:space="preserve">In the any sarilumab monotherapy dose group (Pool 3), the majority of decreases in absolute neutrophil count were Grade 1 or Grade 2 in patients weighing </w:t>
      </w:r>
      <w:r w:rsidR="007F1BEB">
        <w:t>&lt; </w:t>
      </w:r>
      <w:r w:rsidRPr="00F4065E">
        <w:t>60 kg</w:t>
      </w:r>
      <w:r w:rsidR="003D2290">
        <w:t xml:space="preserve"> versus </w:t>
      </w:r>
      <w:r w:rsidR="00DD5BCE">
        <w:t>≥</w:t>
      </w:r>
      <w:r w:rsidR="007C7C62">
        <w:t xml:space="preserve"> </w:t>
      </w:r>
      <w:r w:rsidRPr="00F4065E">
        <w:t xml:space="preserve">60 to </w:t>
      </w:r>
      <w:r w:rsidR="007F1BEB">
        <w:t>&lt; </w:t>
      </w:r>
      <w:r w:rsidRPr="00F4065E">
        <w:t>100 kg</w:t>
      </w:r>
      <w:r w:rsidR="003D2290">
        <w:t xml:space="preserve"> versus </w:t>
      </w:r>
      <w:r w:rsidR="00DD5BCE">
        <w:t>≥</w:t>
      </w:r>
      <w:r w:rsidR="007C7C62">
        <w:t xml:space="preserve"> </w:t>
      </w:r>
      <w:r w:rsidRPr="00F4065E">
        <w:t xml:space="preserve">100 kg. Grade 3 decreases in absolute neutrophil count in the any sarilumab dose group were reported in a similar proportion of patients in the </w:t>
      </w:r>
      <w:r w:rsidR="007F1BEB">
        <w:t>&lt; </w:t>
      </w:r>
      <w:r w:rsidRPr="00F4065E">
        <w:t xml:space="preserve">60 kg and </w:t>
      </w:r>
      <w:r w:rsidR="00DD5BCE">
        <w:t>≥</w:t>
      </w:r>
      <w:r w:rsidR="007C7C62">
        <w:t xml:space="preserve"> </w:t>
      </w:r>
      <w:r w:rsidRPr="00F4065E">
        <w:t xml:space="preserve">60 to </w:t>
      </w:r>
      <w:r w:rsidR="007F1BEB">
        <w:t>&lt; </w:t>
      </w:r>
      <w:r w:rsidRPr="00F4065E">
        <w:t xml:space="preserve">100 kg groups and more frequently in both of these groups than in </w:t>
      </w:r>
      <w:r w:rsidR="00DD5BCE">
        <w:t>≥</w:t>
      </w:r>
      <w:r w:rsidR="007C7C62">
        <w:t xml:space="preserve"> </w:t>
      </w:r>
      <w:r w:rsidRPr="00F4065E">
        <w:t xml:space="preserve">100 kg group (11.3% </w:t>
      </w:r>
      <w:r w:rsidR="00DE3146">
        <w:t>(</w:t>
      </w:r>
      <w:r w:rsidRPr="00F4065E">
        <w:t>12/106</w:t>
      </w:r>
      <w:r w:rsidR="009E4CF7">
        <w:t>)</w:t>
      </w:r>
      <w:r w:rsidR="003D2290">
        <w:t xml:space="preserve"> versus </w:t>
      </w:r>
      <w:r w:rsidRPr="00F4065E">
        <w:t xml:space="preserve">11.5% </w:t>
      </w:r>
      <w:r w:rsidR="00DE3146">
        <w:t>(</w:t>
      </w:r>
      <w:r w:rsidRPr="00F4065E">
        <w:t>37/2321</w:t>
      </w:r>
      <w:r w:rsidR="009E4CF7">
        <w:t>)</w:t>
      </w:r>
      <w:r w:rsidR="003D2290">
        <w:t xml:space="preserve"> versus </w:t>
      </w:r>
      <w:r w:rsidRPr="00F4065E">
        <w:t xml:space="preserve">5.1% </w:t>
      </w:r>
      <w:r w:rsidR="00DE3146">
        <w:t>(</w:t>
      </w:r>
      <w:r w:rsidRPr="00F4065E">
        <w:t>2/39</w:t>
      </w:r>
      <w:r w:rsidR="009E4CF7">
        <w:t>)</w:t>
      </w:r>
      <w:r w:rsidRPr="00F4065E">
        <w:t xml:space="preserve">), and Grade 4 decreases in absolute neutrophil count in the any sarilumab dose group were reported in a similar proportion of patients in the </w:t>
      </w:r>
      <w:r w:rsidR="007F1BEB">
        <w:t>&lt; </w:t>
      </w:r>
      <w:r w:rsidRPr="00F4065E">
        <w:t xml:space="preserve">60 kg, </w:t>
      </w:r>
      <w:r w:rsidR="00DD5BCE">
        <w:t>≥</w:t>
      </w:r>
      <w:r w:rsidR="007C7C62">
        <w:t xml:space="preserve"> </w:t>
      </w:r>
      <w:r w:rsidRPr="00F4065E">
        <w:t xml:space="preserve">60 to </w:t>
      </w:r>
      <w:r w:rsidR="007F1BEB">
        <w:t>&lt; </w:t>
      </w:r>
      <w:r w:rsidRPr="00F4065E">
        <w:t xml:space="preserve">100 kg and </w:t>
      </w:r>
      <w:r w:rsidR="00DD5BCE">
        <w:t>≥</w:t>
      </w:r>
      <w:r w:rsidR="007C7C62">
        <w:t xml:space="preserve"> </w:t>
      </w:r>
      <w:r w:rsidRPr="00F4065E">
        <w:t xml:space="preserve">100 kg groups (2.8% </w:t>
      </w:r>
      <w:r w:rsidR="00DE3146">
        <w:t>(</w:t>
      </w:r>
      <w:r w:rsidRPr="00F4065E">
        <w:t>3/106</w:t>
      </w:r>
      <w:r w:rsidR="009E4CF7">
        <w:t>)</w:t>
      </w:r>
      <w:r w:rsidR="003D2290">
        <w:t xml:space="preserve"> versus </w:t>
      </w:r>
      <w:r w:rsidRPr="00F4065E">
        <w:t xml:space="preserve">0.3% </w:t>
      </w:r>
      <w:r w:rsidR="00DE3146">
        <w:t>(</w:t>
      </w:r>
      <w:r w:rsidRPr="00F4065E">
        <w:t>1/321</w:t>
      </w:r>
      <w:r w:rsidR="009E4CF7">
        <w:t>)</w:t>
      </w:r>
      <w:r w:rsidR="003D2290">
        <w:t xml:space="preserve"> versus </w:t>
      </w:r>
      <w:r w:rsidRPr="00F4065E">
        <w:t xml:space="preserve">0% </w:t>
      </w:r>
      <w:r w:rsidR="00DE3146">
        <w:t>(</w:t>
      </w:r>
      <w:r w:rsidRPr="00F4065E">
        <w:t>0/39</w:t>
      </w:r>
      <w:r w:rsidR="009E4CF7">
        <w:t>)</w:t>
      </w:r>
      <w:r w:rsidRPr="00F4065E">
        <w:t xml:space="preserve">). The results in the </w:t>
      </w:r>
      <w:r w:rsidR="00DD5BCE">
        <w:t>≥</w:t>
      </w:r>
      <w:r w:rsidR="007C7C62">
        <w:t xml:space="preserve"> </w:t>
      </w:r>
      <w:r w:rsidRPr="00F4065E">
        <w:t>100 kg subgroup should be interpreted cautiously due to the small number of patients in this subgroup.</w:t>
      </w:r>
    </w:p>
    <w:p w:rsidR="00AA6B20" w:rsidRDefault="00C97347" w:rsidP="00DB5136">
      <w:pPr>
        <w:pStyle w:val="ListBullet2"/>
      </w:pPr>
      <w:r w:rsidRPr="00F4065E">
        <w:t xml:space="preserve">In the any sarilumab monotherapy dose group (Pool 3), the majority of PCSA increased ALT levels were </w:t>
      </w:r>
      <w:r w:rsidR="00DD5BCE">
        <w:t>&gt;</w:t>
      </w:r>
      <w:r w:rsidR="007C7C62">
        <w:t xml:space="preserve"> </w:t>
      </w:r>
      <w:r w:rsidRPr="00F4065E">
        <w:t xml:space="preserve">1 to </w:t>
      </w:r>
      <w:r w:rsidR="00DD5BCE">
        <w:t>≤</w:t>
      </w:r>
      <w:r w:rsidR="007C7C62">
        <w:t xml:space="preserve"> </w:t>
      </w:r>
      <w:r w:rsidRPr="00F4065E">
        <w:t xml:space="preserve">3 ULN in patients weighing </w:t>
      </w:r>
      <w:r w:rsidR="007F1BEB">
        <w:t>&lt; </w:t>
      </w:r>
      <w:r w:rsidRPr="00F4065E">
        <w:t xml:space="preserve">60 kg, </w:t>
      </w:r>
      <w:r w:rsidR="00DD5BCE">
        <w:t>≥</w:t>
      </w:r>
      <w:r w:rsidR="007C7C62">
        <w:t xml:space="preserve"> </w:t>
      </w:r>
      <w:r w:rsidRPr="00F4065E">
        <w:t xml:space="preserve">60 to </w:t>
      </w:r>
      <w:r w:rsidR="007F1BEB">
        <w:t>&lt; </w:t>
      </w:r>
      <w:r w:rsidRPr="00F4065E">
        <w:t xml:space="preserve">100 kg, and </w:t>
      </w:r>
      <w:r w:rsidR="00DD5BCE">
        <w:t>≥</w:t>
      </w:r>
      <w:r w:rsidR="007C7C62">
        <w:t xml:space="preserve"> </w:t>
      </w:r>
      <w:r w:rsidRPr="00F4065E">
        <w:t xml:space="preserve">100 kg, while PCSA increased ALT levels </w:t>
      </w:r>
      <w:r w:rsidR="00DD5BCE">
        <w:t>&gt;</w:t>
      </w:r>
      <w:r w:rsidR="007C7C62">
        <w:t xml:space="preserve"> </w:t>
      </w:r>
      <w:r w:rsidRPr="00F4065E">
        <w:t xml:space="preserve">3 ULN were generally comparable across the three weight subgroups (0.9% </w:t>
      </w:r>
      <w:r w:rsidR="00DE3146">
        <w:t>(</w:t>
      </w:r>
      <w:r w:rsidRPr="00F4065E">
        <w:t>1/106</w:t>
      </w:r>
      <w:r w:rsidR="009E4CF7">
        <w:t>)</w:t>
      </w:r>
      <w:r w:rsidR="003D2290">
        <w:t xml:space="preserve"> versus </w:t>
      </w:r>
      <w:r w:rsidRPr="00F4065E">
        <w:t xml:space="preserve">4.7% </w:t>
      </w:r>
      <w:r w:rsidR="00DE3146">
        <w:t>(</w:t>
      </w:r>
      <w:r w:rsidRPr="00F4065E">
        <w:t>15/320</w:t>
      </w:r>
      <w:r w:rsidR="009E4CF7">
        <w:t>)</w:t>
      </w:r>
      <w:r w:rsidR="003D2290">
        <w:t xml:space="preserve"> versus </w:t>
      </w:r>
      <w:r w:rsidRPr="00F4065E">
        <w:t xml:space="preserve">2.6% </w:t>
      </w:r>
      <w:r w:rsidR="00DE3146">
        <w:t>(</w:t>
      </w:r>
      <w:r w:rsidRPr="00F4065E">
        <w:t>1/39</w:t>
      </w:r>
      <w:r w:rsidR="009E4CF7">
        <w:t>)</w:t>
      </w:r>
      <w:r w:rsidRPr="00F4065E">
        <w:t xml:space="preserve">, respectively). There were no reports of ALT levels </w:t>
      </w:r>
      <w:r w:rsidR="00DD5BCE">
        <w:t>&gt;</w:t>
      </w:r>
      <w:r w:rsidR="007C7C62">
        <w:t xml:space="preserve"> </w:t>
      </w:r>
      <w:r w:rsidRPr="00F4065E">
        <w:t>10 ULN in any of the three weight subgroups.</w:t>
      </w:r>
    </w:p>
    <w:p w:rsidR="00AA6B20" w:rsidRDefault="00C97347" w:rsidP="00DB5136">
      <w:pPr>
        <w:pStyle w:val="ListBullet2"/>
      </w:pPr>
      <w:r w:rsidRPr="00F4065E">
        <w:t>In the 24</w:t>
      </w:r>
      <w:r w:rsidR="00741181">
        <w:t xml:space="preserve"> </w:t>
      </w:r>
      <w:r w:rsidRPr="00F4065E">
        <w:t xml:space="preserve">week double-blind treatment period of </w:t>
      </w:r>
      <w:r w:rsidR="00894642">
        <w:t>Study EFC</w:t>
      </w:r>
      <w:r w:rsidRPr="00F4065E">
        <w:t>14092</w:t>
      </w:r>
      <w:r w:rsidR="001F3EAD">
        <w:t xml:space="preserve"> MONARCH</w:t>
      </w:r>
      <w:r w:rsidRPr="00F4065E">
        <w:t>, high</w:t>
      </w:r>
      <w:r w:rsidR="00741181">
        <w:t xml:space="preserve"> </w:t>
      </w:r>
      <w:r w:rsidRPr="00F4065E">
        <w:t xml:space="preserve">level AE profiles were generally comparable in the adalimumab 40 mg q2w and sarilumab 200 mg q2w arms in the </w:t>
      </w:r>
      <w:r w:rsidR="007F1BEB">
        <w:t>&lt; </w:t>
      </w:r>
      <w:r w:rsidRPr="00F4065E">
        <w:t xml:space="preserve">60 kg, </w:t>
      </w:r>
      <w:r w:rsidR="00DD5BCE">
        <w:t>≥</w:t>
      </w:r>
      <w:r w:rsidR="007C7C62">
        <w:t xml:space="preserve"> </w:t>
      </w:r>
      <w:r w:rsidRPr="00F4065E">
        <w:t xml:space="preserve">60 to </w:t>
      </w:r>
      <w:r w:rsidR="007F1BEB">
        <w:t>&lt; </w:t>
      </w:r>
      <w:r w:rsidRPr="00F4065E">
        <w:t xml:space="preserve">100 kg and </w:t>
      </w:r>
      <w:r w:rsidR="00DD5BCE">
        <w:t>≥</w:t>
      </w:r>
      <w:r w:rsidR="007C7C62">
        <w:t xml:space="preserve"> </w:t>
      </w:r>
      <w:r w:rsidRPr="00F4065E">
        <w:t>60 kg subgroups.</w:t>
      </w:r>
    </w:p>
    <w:p w:rsidR="00AA6B20" w:rsidRDefault="00C97347" w:rsidP="00DB5136">
      <w:pPr>
        <w:pStyle w:val="ListBullet2"/>
      </w:pPr>
      <w:r w:rsidRPr="00F4065E">
        <w:t>In the 24</w:t>
      </w:r>
      <w:r w:rsidR="00741181">
        <w:t xml:space="preserve"> </w:t>
      </w:r>
      <w:r w:rsidRPr="00F4065E">
        <w:t xml:space="preserve">week double-blind treatment period of </w:t>
      </w:r>
      <w:r w:rsidR="00894642">
        <w:t>Study EFC</w:t>
      </w:r>
      <w:r w:rsidRPr="00F4065E">
        <w:t>14092</w:t>
      </w:r>
      <w:r w:rsidR="007F1BEB">
        <w:t xml:space="preserve"> MONARCH</w:t>
      </w:r>
      <w:r w:rsidRPr="00F4065E">
        <w:t>, AESIs of leuko</w:t>
      </w:r>
      <w:r w:rsidR="001E2D44">
        <w:t>paenia</w:t>
      </w:r>
      <w:r w:rsidRPr="00F4065E">
        <w:t xml:space="preserve"> were reported in </w:t>
      </w:r>
      <w:r w:rsidR="00DD5BCE">
        <w:t>≥</w:t>
      </w:r>
      <w:r w:rsidR="007C7C62">
        <w:t xml:space="preserve"> </w:t>
      </w:r>
      <w:r w:rsidRPr="00F4065E">
        <w:t xml:space="preserve">5% more patients weighing </w:t>
      </w:r>
      <w:r w:rsidR="007F1BEB">
        <w:t>&lt; </w:t>
      </w:r>
      <w:r w:rsidRPr="00F4065E">
        <w:t xml:space="preserve">60 kg in the sarilumab 200 mg q2w arm than in the adalimumab 40 mg q2w arm (21.4% </w:t>
      </w:r>
      <w:r w:rsidR="00DE3146">
        <w:t>(</w:t>
      </w:r>
      <w:r w:rsidRPr="00F4065E">
        <w:t>9/42</w:t>
      </w:r>
      <w:r w:rsidR="009E4CF7">
        <w:t>)</w:t>
      </w:r>
      <w:r w:rsidR="003D2290">
        <w:t xml:space="preserve"> versus </w:t>
      </w:r>
      <w:r w:rsidRPr="00F4065E">
        <w:t xml:space="preserve">4.0% </w:t>
      </w:r>
      <w:r w:rsidR="00DE3146">
        <w:t>(</w:t>
      </w:r>
      <w:r w:rsidRPr="00F4065E">
        <w:t>2/50</w:t>
      </w:r>
      <w:r w:rsidR="009E4CF7">
        <w:t>)</w:t>
      </w:r>
      <w:r w:rsidRPr="00F4065E">
        <w:t>, respectively), while AESIs of leuko</w:t>
      </w:r>
      <w:r w:rsidR="001E2D44">
        <w:t>paenia</w:t>
      </w:r>
      <w:r w:rsidRPr="00F4065E">
        <w:t xml:space="preserve"> were </w:t>
      </w:r>
      <w:r w:rsidRPr="00F4065E">
        <w:lastRenderedPageBreak/>
        <w:t xml:space="preserve">reported in </w:t>
      </w:r>
      <w:r w:rsidR="00DD5BCE">
        <w:t>≥</w:t>
      </w:r>
      <w:r w:rsidR="007C7C62">
        <w:t xml:space="preserve"> </w:t>
      </w:r>
      <w:r w:rsidRPr="00F4065E">
        <w:t xml:space="preserve">5% more patients weighing </w:t>
      </w:r>
      <w:r w:rsidR="00DD5BCE">
        <w:t>≥</w:t>
      </w:r>
      <w:r w:rsidR="007C7C62">
        <w:t xml:space="preserve"> </w:t>
      </w:r>
      <w:r w:rsidRPr="00F4065E">
        <w:t xml:space="preserve">60 kg to </w:t>
      </w:r>
      <w:r w:rsidR="007F1BEB">
        <w:t>&lt; </w:t>
      </w:r>
      <w:r w:rsidRPr="00F4065E">
        <w:t xml:space="preserve">100 kg in the sarilumab 200 mg q2w arm than in the adalimumab 40 mg q2w arm (12.3% </w:t>
      </w:r>
      <w:r w:rsidR="00DE3146">
        <w:t>(</w:t>
      </w:r>
      <w:r w:rsidRPr="00F4065E">
        <w:t>16/130</w:t>
      </w:r>
      <w:r w:rsidR="009E4CF7">
        <w:t>)</w:t>
      </w:r>
      <w:r w:rsidR="003D2290">
        <w:t xml:space="preserve"> versus </w:t>
      </w:r>
      <w:r w:rsidRPr="00F4065E">
        <w:t xml:space="preserve">0.8% </w:t>
      </w:r>
      <w:r w:rsidR="00DE3146">
        <w:t>(</w:t>
      </w:r>
      <w:r w:rsidRPr="00F4065E">
        <w:t>1/121</w:t>
      </w:r>
      <w:r w:rsidR="009E4CF7">
        <w:t>)</w:t>
      </w:r>
      <w:r w:rsidRPr="00F4065E">
        <w:t>, respectively) as were AESIs of injection site reactions (11.5%, 15/130</w:t>
      </w:r>
      <w:r w:rsidR="003D2290">
        <w:t xml:space="preserve"> versus </w:t>
      </w:r>
      <w:r w:rsidRPr="00F4065E">
        <w:t xml:space="preserve">3.3% </w:t>
      </w:r>
      <w:r w:rsidR="00DE3146">
        <w:t>(</w:t>
      </w:r>
      <w:r w:rsidRPr="00F4065E">
        <w:t>4/121</w:t>
      </w:r>
      <w:r w:rsidR="009E4CF7">
        <w:t>)</w:t>
      </w:r>
      <w:r w:rsidRPr="00F4065E">
        <w:t xml:space="preserve">, respectively). The number of patients in the </w:t>
      </w:r>
      <w:r w:rsidR="00DD5BCE">
        <w:t>≥</w:t>
      </w:r>
      <w:r w:rsidR="007C7C62">
        <w:t xml:space="preserve"> </w:t>
      </w:r>
      <w:r w:rsidRPr="00F4065E">
        <w:t>100 kg subgroup was too small to draw meaningful conclusions relating to the observed differences in the frequency of AESIs in the two treatment arms.</w:t>
      </w:r>
    </w:p>
    <w:p w:rsidR="00C97347" w:rsidRPr="00F4065E" w:rsidRDefault="00C97347" w:rsidP="00DB5136">
      <w:pPr>
        <w:pStyle w:val="ListBullet2"/>
      </w:pPr>
      <w:r>
        <w:t>I</w:t>
      </w:r>
      <w:r w:rsidRPr="00F4065E">
        <w:t>n the 24</w:t>
      </w:r>
      <w:r w:rsidR="00741181">
        <w:t xml:space="preserve"> </w:t>
      </w:r>
      <w:r w:rsidRPr="00F4065E">
        <w:t xml:space="preserve">week double-blind treatment period of </w:t>
      </w:r>
      <w:r w:rsidR="00894642">
        <w:t>Study EFC</w:t>
      </w:r>
      <w:r w:rsidRPr="00F4065E">
        <w:t>14092</w:t>
      </w:r>
      <w:r w:rsidR="007F1BEB">
        <w:t xml:space="preserve"> MONARCH</w:t>
      </w:r>
      <w:r w:rsidRPr="00F4065E">
        <w:t xml:space="preserve">, Grade 1, 2, 3, and 4 decreases in absolute neutrophil counts occurred more frequently in patients in the sarilumab 200 mg q2w arm than in the adalimumab 40 mg q2w arm in both the </w:t>
      </w:r>
      <w:r w:rsidR="007F1BEB">
        <w:t>&lt; </w:t>
      </w:r>
      <w:r w:rsidRPr="00F4065E">
        <w:t xml:space="preserve">60 kg and </w:t>
      </w:r>
      <w:r w:rsidR="00DD5BCE">
        <w:t>≥</w:t>
      </w:r>
      <w:r w:rsidR="007C7C62">
        <w:t xml:space="preserve"> </w:t>
      </w:r>
      <w:r w:rsidRPr="00F4065E">
        <w:t xml:space="preserve">60 kg to </w:t>
      </w:r>
      <w:r w:rsidR="007F1BEB">
        <w:t>&lt; </w:t>
      </w:r>
      <w:r w:rsidRPr="00F4065E">
        <w:t xml:space="preserve">100 kg subgroups. There were no marked differences in the frequency of decreases in absolute neutrophil counts Grade 1, 2, 3 and 4 between the </w:t>
      </w:r>
      <w:r w:rsidR="007F1BEB">
        <w:t>&lt; </w:t>
      </w:r>
      <w:r w:rsidRPr="00F4065E">
        <w:t xml:space="preserve">60 kg and the </w:t>
      </w:r>
      <w:r w:rsidR="00DD5BCE">
        <w:t>≥</w:t>
      </w:r>
      <w:r w:rsidR="007C7C62">
        <w:t xml:space="preserve"> </w:t>
      </w:r>
      <w:r w:rsidRPr="00F4065E">
        <w:t xml:space="preserve">60 kg to </w:t>
      </w:r>
      <w:r w:rsidR="007F1BEB">
        <w:t>&lt; </w:t>
      </w:r>
      <w:r w:rsidRPr="00F4065E">
        <w:t xml:space="preserve">100 kg subgroups in both treatment arms. The number of patients in the </w:t>
      </w:r>
      <w:r w:rsidR="00DD5BCE">
        <w:t>≥</w:t>
      </w:r>
      <w:r w:rsidR="007C7C62">
        <w:t xml:space="preserve"> </w:t>
      </w:r>
      <w:r w:rsidRPr="00F4065E">
        <w:t>100 kg subgroup was too small to draw meaningful conclusions relating to the observed differences in the frequency of decreased absolute neutrophil counts.</w:t>
      </w:r>
    </w:p>
    <w:p w:rsidR="00AA6B20" w:rsidRDefault="00C97347" w:rsidP="00DB5136">
      <w:pPr>
        <w:pStyle w:val="ListBullet2"/>
      </w:pPr>
      <w:r w:rsidRPr="00F4065E">
        <w:t>In the 24</w:t>
      </w:r>
      <w:r w:rsidR="00741181">
        <w:t xml:space="preserve"> </w:t>
      </w:r>
      <w:r w:rsidRPr="00F4065E">
        <w:t xml:space="preserve">week double-blind treatment period of </w:t>
      </w:r>
      <w:r w:rsidR="00894642">
        <w:t>Study EFC</w:t>
      </w:r>
      <w:r w:rsidRPr="00F4065E">
        <w:t>14092</w:t>
      </w:r>
      <w:r w:rsidR="007F1BEB">
        <w:t xml:space="preserve"> MONARCH</w:t>
      </w:r>
      <w:r w:rsidRPr="00F4065E">
        <w:t xml:space="preserve">, PCSA increased ALT levels generally occurred more frequently in the sarilumab 200 mg q2w arm than in adalimumab 40 mg q2w arm in both the </w:t>
      </w:r>
      <w:r w:rsidR="007F1BEB">
        <w:t>&lt; </w:t>
      </w:r>
      <w:r w:rsidRPr="00F4065E">
        <w:t xml:space="preserve">60 kg and </w:t>
      </w:r>
      <w:r w:rsidR="00DD5BCE">
        <w:t>≥</w:t>
      </w:r>
      <w:r w:rsidR="00B2498D">
        <w:t> </w:t>
      </w:r>
      <w:r w:rsidRPr="00F4065E">
        <w:t>60</w:t>
      </w:r>
      <w:r w:rsidR="00B2498D">
        <w:t> </w:t>
      </w:r>
      <w:r w:rsidRPr="00F4065E">
        <w:t xml:space="preserve">kg to </w:t>
      </w:r>
      <w:r w:rsidR="007F1BEB">
        <w:t>&lt; </w:t>
      </w:r>
      <w:r w:rsidRPr="00F4065E">
        <w:t xml:space="preserve">100 kg subgroups. In general, PCSA higher increased ALT levels occurred more frequently in the </w:t>
      </w:r>
      <w:r w:rsidR="00DD5BCE">
        <w:t>≥</w:t>
      </w:r>
      <w:r w:rsidR="007C7C62">
        <w:t xml:space="preserve"> </w:t>
      </w:r>
      <w:r w:rsidRPr="00F4065E">
        <w:t xml:space="preserve">60 kg to </w:t>
      </w:r>
      <w:r w:rsidR="007F1BEB">
        <w:t>&lt; </w:t>
      </w:r>
      <w:r w:rsidRPr="00F4065E">
        <w:t xml:space="preserve">100 kg subgroup than in the </w:t>
      </w:r>
      <w:r w:rsidR="007F1BEB">
        <w:t>&lt; </w:t>
      </w:r>
      <w:r w:rsidRPr="00F4065E">
        <w:t xml:space="preserve">60 kg subgroup. The number of patients in the </w:t>
      </w:r>
      <w:r w:rsidR="00DD5BCE">
        <w:t>≥</w:t>
      </w:r>
      <w:r w:rsidR="007C7C62">
        <w:t xml:space="preserve"> </w:t>
      </w:r>
      <w:r w:rsidRPr="00F4065E">
        <w:t>100 kg subgroup was too small to draw meaningful conclusions relating to the observed differences in the frequency of increased ALT PCSAs.</w:t>
      </w:r>
    </w:p>
    <w:p w:rsidR="00605AD4" w:rsidRPr="00605AD4" w:rsidRDefault="00605AD4" w:rsidP="00546154">
      <w:pPr>
        <w:pStyle w:val="Heading3"/>
        <w:rPr>
          <w:rFonts w:eastAsia="Cambria"/>
        </w:rPr>
      </w:pPr>
      <w:bookmarkStart w:id="199" w:name="_Toc12272160"/>
      <w:r w:rsidRPr="00605AD4">
        <w:rPr>
          <w:rFonts w:eastAsia="Cambria"/>
        </w:rPr>
        <w:t xml:space="preserve">Second </w:t>
      </w:r>
      <w:r w:rsidR="00661497" w:rsidRPr="00605AD4">
        <w:rPr>
          <w:rFonts w:eastAsia="Cambria"/>
        </w:rPr>
        <w:t>round benefit-risk assessment</w:t>
      </w:r>
      <w:bookmarkEnd w:id="199"/>
    </w:p>
    <w:p w:rsidR="00C97347" w:rsidRDefault="00C97347" w:rsidP="00C97347">
      <w:pPr>
        <w:pStyle w:val="Heading4"/>
      </w:pPr>
      <w:bookmarkStart w:id="200" w:name="_Toc272414709"/>
      <w:bookmarkStart w:id="201" w:name="_Toc290888575"/>
      <w:bookmarkStart w:id="202" w:name="_Toc416353792"/>
      <w:bookmarkStart w:id="203" w:name="_Toc421005334"/>
      <w:bookmarkStart w:id="204" w:name="_Toc432079207"/>
      <w:bookmarkStart w:id="205" w:name="_Toc432080780"/>
      <w:bookmarkStart w:id="206" w:name="_Toc514682558"/>
      <w:r w:rsidRPr="00500C5C">
        <w:t>Second round assessment of benefits</w:t>
      </w:r>
      <w:bookmarkEnd w:id="200"/>
      <w:bookmarkEnd w:id="201"/>
      <w:bookmarkEnd w:id="202"/>
      <w:bookmarkEnd w:id="203"/>
      <w:bookmarkEnd w:id="204"/>
      <w:bookmarkEnd w:id="205"/>
      <w:bookmarkEnd w:id="206"/>
    </w:p>
    <w:p w:rsidR="00C97347" w:rsidRDefault="00C97347" w:rsidP="00C97347">
      <w:pPr>
        <w:rPr>
          <w:lang w:eastAsia="ja-JP"/>
        </w:rPr>
      </w:pPr>
      <w:r>
        <w:rPr>
          <w:lang w:eastAsia="ja-JP"/>
        </w:rPr>
        <w:t xml:space="preserve">No new clinical efficacy data was submitted in the sponsor’s </w:t>
      </w:r>
      <w:r w:rsidR="00741181" w:rsidRPr="00741181">
        <w:rPr>
          <w:lang w:eastAsia="ja-JP"/>
        </w:rPr>
        <w:t>r</w:t>
      </w:r>
      <w:r w:rsidRPr="00741181">
        <w:rPr>
          <w:lang w:eastAsia="ja-JP"/>
        </w:rPr>
        <w:t>esponse</w:t>
      </w:r>
      <w:r>
        <w:rPr>
          <w:lang w:eastAsia="ja-JP"/>
        </w:rPr>
        <w:t xml:space="preserve"> to the first round clinical questions. Accordingly the benefits of Kevzara (sarilumab) for the proposed usage are unchanged from those identified in </w:t>
      </w:r>
      <w:r w:rsidR="00741181">
        <w:rPr>
          <w:lang w:eastAsia="ja-JP"/>
        </w:rPr>
        <w:t>the first round of</w:t>
      </w:r>
      <w:r>
        <w:rPr>
          <w:lang w:eastAsia="ja-JP"/>
        </w:rPr>
        <w:t xml:space="preserve"> this clinical evaluation report.</w:t>
      </w:r>
    </w:p>
    <w:p w:rsidR="00C97347" w:rsidRDefault="00C97347" w:rsidP="00C97347">
      <w:pPr>
        <w:pStyle w:val="Heading4"/>
      </w:pPr>
      <w:bookmarkStart w:id="207" w:name="_Toc272414710"/>
      <w:bookmarkStart w:id="208" w:name="_Toc290888576"/>
      <w:bookmarkStart w:id="209" w:name="_Toc416353793"/>
      <w:bookmarkStart w:id="210" w:name="_Toc421005335"/>
      <w:bookmarkStart w:id="211" w:name="_Toc432079208"/>
      <w:bookmarkStart w:id="212" w:name="_Toc432080781"/>
      <w:bookmarkStart w:id="213" w:name="_Toc514682559"/>
      <w:r w:rsidRPr="00500C5C">
        <w:t>Second round assessment of risks</w:t>
      </w:r>
      <w:bookmarkEnd w:id="207"/>
      <w:bookmarkEnd w:id="208"/>
      <w:bookmarkEnd w:id="209"/>
      <w:bookmarkEnd w:id="210"/>
      <w:bookmarkEnd w:id="211"/>
      <w:bookmarkEnd w:id="212"/>
      <w:bookmarkEnd w:id="213"/>
    </w:p>
    <w:p w:rsidR="00C97347" w:rsidRDefault="00C97347" w:rsidP="00C97347">
      <w:pPr>
        <w:rPr>
          <w:lang w:eastAsia="ja-JP"/>
        </w:rPr>
      </w:pPr>
      <w:r>
        <w:rPr>
          <w:lang w:eastAsia="ja-JP"/>
        </w:rPr>
        <w:t xml:space="preserve">After consideration of the responses to clinical questions relating to safety in special populations (gender, age, race, BMI and weight) submitted in the sponsor’s </w:t>
      </w:r>
      <w:r w:rsidR="00741181" w:rsidRPr="00741181">
        <w:rPr>
          <w:lang w:eastAsia="ja-JP"/>
        </w:rPr>
        <w:t>r</w:t>
      </w:r>
      <w:r w:rsidRPr="00741181">
        <w:rPr>
          <w:lang w:eastAsia="ja-JP"/>
        </w:rPr>
        <w:t>esponse</w:t>
      </w:r>
      <w:r>
        <w:rPr>
          <w:lang w:eastAsia="ja-JP"/>
        </w:rPr>
        <w:t xml:space="preserve"> to the first round clinical questions, the risks of treatment with Kevzara (sarilumab) for the proposed usage remain favourable and are unchanged from those identified in </w:t>
      </w:r>
      <w:r w:rsidR="00741181">
        <w:rPr>
          <w:lang w:eastAsia="ja-JP"/>
        </w:rPr>
        <w:t xml:space="preserve">the first round of </w:t>
      </w:r>
      <w:r>
        <w:rPr>
          <w:lang w:eastAsia="ja-JP"/>
        </w:rPr>
        <w:t>this clinical evaluation report.</w:t>
      </w:r>
    </w:p>
    <w:p w:rsidR="00C97347" w:rsidRDefault="00C97347" w:rsidP="00C97347">
      <w:pPr>
        <w:pStyle w:val="Heading4"/>
      </w:pPr>
      <w:bookmarkStart w:id="214" w:name="_Toc272414711"/>
      <w:bookmarkStart w:id="215" w:name="_Toc290888577"/>
      <w:bookmarkStart w:id="216" w:name="_Toc416353794"/>
      <w:bookmarkStart w:id="217" w:name="_Toc421005336"/>
      <w:bookmarkStart w:id="218" w:name="_Toc432079209"/>
      <w:bookmarkStart w:id="219" w:name="_Toc432080782"/>
      <w:bookmarkStart w:id="220" w:name="_Toc514682560"/>
      <w:r w:rsidRPr="00545B14">
        <w:t xml:space="preserve">Second round assessment of benefit-risk </w:t>
      </w:r>
      <w:bookmarkEnd w:id="214"/>
      <w:bookmarkEnd w:id="215"/>
      <w:bookmarkEnd w:id="216"/>
      <w:bookmarkEnd w:id="217"/>
      <w:r>
        <w:t>balance</w:t>
      </w:r>
      <w:bookmarkEnd w:id="218"/>
      <w:bookmarkEnd w:id="219"/>
      <w:bookmarkEnd w:id="220"/>
    </w:p>
    <w:p w:rsidR="00AA6B20" w:rsidRDefault="00C97347" w:rsidP="00C97347">
      <w:pPr>
        <w:rPr>
          <w:lang w:eastAsia="ja-JP"/>
        </w:rPr>
      </w:pPr>
      <w:r>
        <w:rPr>
          <w:lang w:eastAsia="ja-JP"/>
        </w:rPr>
        <w:t xml:space="preserve">The benefit-risk balance of Kevzara (sarilumab) for the proposed usage is favourable and is unchanged for that discussed in </w:t>
      </w:r>
      <w:r w:rsidR="00741181">
        <w:rPr>
          <w:lang w:eastAsia="ja-JP"/>
        </w:rPr>
        <w:t xml:space="preserve">the first round of </w:t>
      </w:r>
      <w:r>
        <w:rPr>
          <w:lang w:eastAsia="ja-JP"/>
        </w:rPr>
        <w:t>this clinical evaluation report</w:t>
      </w:r>
      <w:r w:rsidR="007F1BEB">
        <w:rPr>
          <w:lang w:eastAsia="ja-JP"/>
        </w:rPr>
        <w:t xml:space="preserve"> (see above)</w:t>
      </w:r>
      <w:r>
        <w:rPr>
          <w:lang w:eastAsia="ja-JP"/>
        </w:rPr>
        <w:t>.</w:t>
      </w:r>
    </w:p>
    <w:p w:rsidR="00C97347" w:rsidRDefault="00C97347" w:rsidP="00624646">
      <w:pPr>
        <w:pStyle w:val="Heading3"/>
      </w:pPr>
      <w:bookmarkStart w:id="221" w:name="_Toc514682561"/>
      <w:bookmarkStart w:id="222" w:name="_Toc12272161"/>
      <w:r>
        <w:t>Second round recommendation regarding authorisation</w:t>
      </w:r>
      <w:bookmarkEnd w:id="221"/>
      <w:bookmarkEnd w:id="222"/>
    </w:p>
    <w:p w:rsidR="00C97347" w:rsidRPr="00887447" w:rsidRDefault="00C97347" w:rsidP="00C97347">
      <w:pPr>
        <w:pStyle w:val="ListBullet"/>
      </w:pPr>
      <w:r w:rsidRPr="00887447">
        <w:rPr>
          <w:lang w:val="en-US" w:eastAsia="ja-JP"/>
        </w:rPr>
        <w:t xml:space="preserve">It is recommended that </w:t>
      </w:r>
      <w:r w:rsidRPr="00887447">
        <w:t xml:space="preserve">Kevzara (sarilumab) in combination with non-biologic DMARDs or as monotherapy be approved for the treatment of moderate to severe </w:t>
      </w:r>
      <w:r w:rsidR="00741181">
        <w:t>RA</w:t>
      </w:r>
      <w:r w:rsidRPr="00887447">
        <w:t xml:space="preserve"> in adult patients who have had an inadequate response or intolerance to one or more DMARDs.</w:t>
      </w:r>
    </w:p>
    <w:p w:rsidR="00C97347" w:rsidRPr="00887447" w:rsidRDefault="00C97347" w:rsidP="00C97347">
      <w:pPr>
        <w:pStyle w:val="ListBullet"/>
      </w:pPr>
      <w:r w:rsidRPr="00887447">
        <w:lastRenderedPageBreak/>
        <w:t>It is recommended that Kevzara be initiated at a dose of 200 mg q2w and reduced to 150 mg q2w based on the dose modifications for neutro</w:t>
      </w:r>
      <w:r w:rsidR="001E2D44">
        <w:t>paenia</w:t>
      </w:r>
      <w:r w:rsidRPr="00887447">
        <w:t>, low platelet count and increased ALT recommended in the PI.</w:t>
      </w:r>
    </w:p>
    <w:p w:rsidR="00AA6B20" w:rsidRDefault="00C97347" w:rsidP="00C97347">
      <w:pPr>
        <w:pStyle w:val="ListBullet"/>
        <w:rPr>
          <w:rFonts w:asciiTheme="minorHAnsi" w:hAnsiTheme="minorHAnsi" w:cs="Calibri"/>
        </w:rPr>
      </w:pPr>
      <w:r>
        <w:rPr>
          <w:rFonts w:asciiTheme="minorHAnsi" w:hAnsiTheme="minorHAnsi"/>
        </w:rPr>
        <w:t>I</w:t>
      </w:r>
      <w:r w:rsidRPr="00887447">
        <w:rPr>
          <w:rFonts w:asciiTheme="minorHAnsi" w:hAnsiTheme="minorHAnsi"/>
        </w:rPr>
        <w:t xml:space="preserve">t is recommended </w:t>
      </w:r>
      <w:r w:rsidRPr="00887447">
        <w:rPr>
          <w:rFonts w:asciiTheme="minorHAnsi" w:hAnsiTheme="minorHAnsi" w:cs="Calibri"/>
        </w:rPr>
        <w:t>that it should be a condition of registration that the sponsor submit</w:t>
      </w:r>
      <w:r w:rsidR="00F549B4">
        <w:rPr>
          <w:rFonts w:asciiTheme="minorHAnsi" w:hAnsiTheme="minorHAnsi" w:cs="Calibri"/>
        </w:rPr>
        <w:t>s</w:t>
      </w:r>
      <w:r w:rsidRPr="00887447">
        <w:rPr>
          <w:rFonts w:asciiTheme="minorHAnsi" w:hAnsiTheme="minorHAnsi" w:cs="Calibri"/>
        </w:rPr>
        <w:t xml:space="preserve"> the proposed paediatric studies to the TGA at the same time as the studies are submitte</w:t>
      </w:r>
      <w:r w:rsidR="00741181">
        <w:rPr>
          <w:rFonts w:asciiTheme="minorHAnsi" w:hAnsiTheme="minorHAnsi" w:cs="Calibri"/>
        </w:rPr>
        <w:t>d to the EMA and/or the US FDA</w:t>
      </w:r>
      <w:r w:rsidRPr="00887447">
        <w:rPr>
          <w:rFonts w:asciiTheme="minorHAnsi" w:hAnsiTheme="minorHAnsi" w:cs="Calibri"/>
        </w:rPr>
        <w:t>.</w:t>
      </w:r>
    </w:p>
    <w:p w:rsidR="008E7846" w:rsidRPr="00E41208" w:rsidRDefault="008E7846" w:rsidP="00546154">
      <w:pPr>
        <w:pStyle w:val="Heading2"/>
      </w:pPr>
      <w:bookmarkStart w:id="223" w:name="_Toc12272162"/>
      <w:r w:rsidRPr="00E41208">
        <w:t>V</w:t>
      </w:r>
      <w:r w:rsidR="00500337">
        <w:t>I</w:t>
      </w:r>
      <w:r w:rsidRPr="00E41208">
        <w:t xml:space="preserve">. Pharmacovigilance </w:t>
      </w:r>
      <w:r>
        <w:t>f</w:t>
      </w:r>
      <w:r w:rsidRPr="00E41208">
        <w:t>indings</w:t>
      </w:r>
      <w:bookmarkEnd w:id="120"/>
      <w:bookmarkEnd w:id="121"/>
      <w:bookmarkEnd w:id="223"/>
    </w:p>
    <w:p w:rsidR="008E7846" w:rsidRDefault="00386150" w:rsidP="008E7846">
      <w:pPr>
        <w:pStyle w:val="Heading3"/>
        <w:rPr>
          <w:lang w:eastAsia="en-AU"/>
        </w:rPr>
      </w:pPr>
      <w:bookmarkStart w:id="224" w:name="_Toc247691526"/>
      <w:bookmarkStart w:id="225" w:name="_Toc314842509"/>
      <w:bookmarkStart w:id="226" w:name="_Toc12272163"/>
      <w:r>
        <w:rPr>
          <w:lang w:eastAsia="en-AU"/>
        </w:rPr>
        <w:t>Risk m</w:t>
      </w:r>
      <w:r w:rsidR="008E7846">
        <w:rPr>
          <w:lang w:eastAsia="en-AU"/>
        </w:rPr>
        <w:t xml:space="preserve">anagement </w:t>
      </w:r>
      <w:r>
        <w:rPr>
          <w:lang w:eastAsia="en-AU"/>
        </w:rPr>
        <w:t>p</w:t>
      </w:r>
      <w:r w:rsidR="008E7846">
        <w:rPr>
          <w:lang w:eastAsia="en-AU"/>
        </w:rPr>
        <w:t>lan</w:t>
      </w:r>
      <w:bookmarkEnd w:id="224"/>
      <w:bookmarkEnd w:id="225"/>
      <w:bookmarkEnd w:id="226"/>
    </w:p>
    <w:p w:rsidR="00720B5E" w:rsidRPr="00793333" w:rsidRDefault="00F2151A" w:rsidP="00F2151A">
      <w:r>
        <w:t>The sponsor</w:t>
      </w:r>
      <w:r w:rsidR="00720B5E" w:rsidRPr="00646C92">
        <w:t xml:space="preserve"> has submitted EU-RMP version 1.2 (dated 21 April 2017; </w:t>
      </w:r>
      <w:r w:rsidR="00741181">
        <w:t>data lock point (</w:t>
      </w:r>
      <w:r w:rsidR="00720B5E" w:rsidRPr="00646C92">
        <w:t>DLP</w:t>
      </w:r>
      <w:r w:rsidR="00741181">
        <w:t>)</w:t>
      </w:r>
      <w:r w:rsidR="00720B5E" w:rsidRPr="00646C92">
        <w:t xml:space="preserve"> 17 </w:t>
      </w:r>
      <w:r w:rsidR="00720B5E" w:rsidRPr="00793333">
        <w:t>February 2016) and A</w:t>
      </w:r>
      <w:r w:rsidR="00741181">
        <w:t>ustralian Specific Annex (A</w:t>
      </w:r>
      <w:r w:rsidR="00720B5E" w:rsidRPr="00793333">
        <w:t>SA</w:t>
      </w:r>
      <w:r w:rsidR="00741181">
        <w:t>)</w:t>
      </w:r>
      <w:r w:rsidR="00720B5E" w:rsidRPr="00793333">
        <w:t xml:space="preserve"> version 2.2 (dated</w:t>
      </w:r>
      <w:r w:rsidR="00DE3146">
        <w:t> </w:t>
      </w:r>
      <w:r w:rsidR="00720B5E" w:rsidRPr="00793333">
        <w:t>29</w:t>
      </w:r>
      <w:r w:rsidR="00DE3146">
        <w:t> </w:t>
      </w:r>
      <w:r w:rsidR="00720B5E" w:rsidRPr="00793333">
        <w:t xml:space="preserve">August 2017) in support of this application. In its </w:t>
      </w:r>
      <w:r w:rsidR="00741181">
        <w:t xml:space="preserve">response to </w:t>
      </w:r>
      <w:r w:rsidR="00DE3146">
        <w:t xml:space="preserve">the </w:t>
      </w:r>
      <w:r w:rsidR="00741181">
        <w:t>TGA’s request for further information</w:t>
      </w:r>
      <w:r w:rsidR="00720B5E" w:rsidRPr="00793333">
        <w:t xml:space="preserve">, the </w:t>
      </w:r>
      <w:r>
        <w:t>s</w:t>
      </w:r>
      <w:r w:rsidR="00720B5E" w:rsidRPr="00793333">
        <w:t xml:space="preserve">ponsor has submitted an updated ASA (version 4.0; dated 27 April </w:t>
      </w:r>
      <w:r w:rsidR="00720B5E" w:rsidRPr="00E85577">
        <w:t xml:space="preserve">2018). In its </w:t>
      </w:r>
      <w:r w:rsidR="00DE3146">
        <w:t>post-first round</w:t>
      </w:r>
      <w:r w:rsidR="00720B5E" w:rsidRPr="00E85577">
        <w:t xml:space="preserve"> response, the</w:t>
      </w:r>
      <w:r w:rsidR="00DE3146">
        <w:t xml:space="preserve"> sponsor</w:t>
      </w:r>
      <w:r w:rsidR="00720B5E" w:rsidRPr="00E85577">
        <w:t xml:space="preserve"> submitted ASA version 4.1 dated 17 July 2018.</w:t>
      </w:r>
    </w:p>
    <w:p w:rsidR="00AA6B20" w:rsidRDefault="00720B5E" w:rsidP="00F2151A">
      <w:r w:rsidRPr="00793333">
        <w:t>The most recently evaluated EU-RMP for the previous application was version 1.0 (dated 9</w:t>
      </w:r>
      <w:r w:rsidR="00DE3146">
        <w:t> </w:t>
      </w:r>
      <w:r w:rsidRPr="00793333">
        <w:t>June 2016; DLP 17 February 2016) and ASA version 2.1 (dated 12 April 2017).</w:t>
      </w:r>
    </w:p>
    <w:p w:rsidR="00720B5E" w:rsidRDefault="00720B5E" w:rsidP="00F2151A">
      <w:r w:rsidRPr="00793333">
        <w:t>The proposed Summary of Safety Concerns and their associated risk monitoring and mitigation strategies are summarised below</w:t>
      </w:r>
      <w:r w:rsidR="007F1BEB">
        <w:t xml:space="preserve"> (Table 49)</w:t>
      </w:r>
      <w:r w:rsidR="00741181">
        <w:t>.</w:t>
      </w:r>
    </w:p>
    <w:p w:rsidR="00F2151A" w:rsidRPr="00793333" w:rsidRDefault="00F2151A" w:rsidP="00F2151A">
      <w:pPr>
        <w:pStyle w:val="TableTitle"/>
      </w:pPr>
      <w:r>
        <w:t xml:space="preserve">Table </w:t>
      </w:r>
      <w:r w:rsidR="000F5B2C">
        <w:t>49</w:t>
      </w:r>
      <w:r>
        <w:t>: Summary of ongoing safety concerns</w:t>
      </w:r>
    </w:p>
    <w:tbl>
      <w:tblPr>
        <w:tblStyle w:val="TableTGAblue"/>
        <w:tblW w:w="8476" w:type="dxa"/>
        <w:tblLayout w:type="fixed"/>
        <w:tblLook w:val="04A0" w:firstRow="1" w:lastRow="0" w:firstColumn="1" w:lastColumn="0" w:noHBand="0" w:noVBand="1"/>
      </w:tblPr>
      <w:tblGrid>
        <w:gridCol w:w="1409"/>
        <w:gridCol w:w="2749"/>
        <w:gridCol w:w="1177"/>
        <w:gridCol w:w="1309"/>
        <w:gridCol w:w="916"/>
        <w:gridCol w:w="916"/>
      </w:tblGrid>
      <w:tr w:rsidR="00720B5E" w:rsidRPr="00741181" w:rsidTr="00B2498D">
        <w:trPr>
          <w:cnfStyle w:val="100000000000" w:firstRow="1" w:lastRow="0" w:firstColumn="0" w:lastColumn="0" w:oddVBand="0" w:evenVBand="0" w:oddHBand="0" w:evenHBand="0" w:firstRowFirstColumn="0" w:firstRowLastColumn="0" w:lastRowFirstColumn="0" w:lastRowLastColumn="0"/>
          <w:trHeight w:val="130"/>
        </w:trPr>
        <w:tc>
          <w:tcPr>
            <w:tcW w:w="4157" w:type="dxa"/>
            <w:gridSpan w:val="2"/>
            <w:vMerge w:val="restart"/>
          </w:tcPr>
          <w:p w:rsidR="00720B5E" w:rsidRPr="00741181" w:rsidRDefault="00720B5E" w:rsidP="00741181">
            <w:pPr>
              <w:rPr>
                <w:b w:val="0"/>
                <w:sz w:val="18"/>
                <w:szCs w:val="18"/>
              </w:rPr>
            </w:pPr>
            <w:r w:rsidRPr="00741181">
              <w:rPr>
                <w:sz w:val="18"/>
                <w:szCs w:val="18"/>
              </w:rPr>
              <w:t>Summary of safety concerns</w:t>
            </w:r>
          </w:p>
        </w:tc>
        <w:tc>
          <w:tcPr>
            <w:tcW w:w="2486" w:type="dxa"/>
            <w:gridSpan w:val="2"/>
          </w:tcPr>
          <w:p w:rsidR="00720B5E" w:rsidRPr="00741181" w:rsidRDefault="00720B5E" w:rsidP="00741181">
            <w:pPr>
              <w:rPr>
                <w:b w:val="0"/>
                <w:sz w:val="18"/>
                <w:szCs w:val="18"/>
              </w:rPr>
            </w:pPr>
            <w:r w:rsidRPr="00741181">
              <w:rPr>
                <w:sz w:val="18"/>
                <w:szCs w:val="18"/>
              </w:rPr>
              <w:t>Pharmacovigilance</w:t>
            </w:r>
          </w:p>
        </w:tc>
        <w:tc>
          <w:tcPr>
            <w:tcW w:w="1832" w:type="dxa"/>
            <w:gridSpan w:val="2"/>
          </w:tcPr>
          <w:p w:rsidR="00720B5E" w:rsidRPr="00741181" w:rsidRDefault="00720B5E" w:rsidP="00741181">
            <w:pPr>
              <w:rPr>
                <w:b w:val="0"/>
                <w:sz w:val="18"/>
                <w:szCs w:val="18"/>
              </w:rPr>
            </w:pPr>
            <w:r w:rsidRPr="00741181">
              <w:rPr>
                <w:sz w:val="18"/>
                <w:szCs w:val="18"/>
              </w:rPr>
              <w:t>Risk Minimisation</w:t>
            </w:r>
          </w:p>
        </w:tc>
      </w:tr>
      <w:tr w:rsidR="00720B5E" w:rsidRPr="00741181" w:rsidTr="00B2498D">
        <w:trPr>
          <w:trHeight w:val="149"/>
        </w:trPr>
        <w:tc>
          <w:tcPr>
            <w:tcW w:w="4157" w:type="dxa"/>
            <w:gridSpan w:val="2"/>
            <w:vMerge/>
          </w:tcPr>
          <w:p w:rsidR="00720B5E" w:rsidRPr="00741181" w:rsidRDefault="00720B5E" w:rsidP="00741181">
            <w:pPr>
              <w:rPr>
                <w:sz w:val="18"/>
                <w:szCs w:val="18"/>
              </w:rPr>
            </w:pPr>
          </w:p>
        </w:tc>
        <w:tc>
          <w:tcPr>
            <w:tcW w:w="1177" w:type="dxa"/>
          </w:tcPr>
          <w:p w:rsidR="00720B5E" w:rsidRPr="00741181" w:rsidRDefault="00720B5E" w:rsidP="00741181">
            <w:pPr>
              <w:rPr>
                <w:sz w:val="18"/>
                <w:szCs w:val="18"/>
              </w:rPr>
            </w:pPr>
            <w:r w:rsidRPr="00741181">
              <w:rPr>
                <w:sz w:val="18"/>
                <w:szCs w:val="18"/>
              </w:rPr>
              <w:t>Routine</w:t>
            </w:r>
            <w:r w:rsidR="00741181" w:rsidRPr="00741181">
              <w:rPr>
                <w:sz w:val="18"/>
                <w:szCs w:val="18"/>
              </w:rPr>
              <w:t xml:space="preserve"> (R)</w:t>
            </w:r>
          </w:p>
        </w:tc>
        <w:tc>
          <w:tcPr>
            <w:tcW w:w="1309" w:type="dxa"/>
          </w:tcPr>
          <w:p w:rsidR="00720B5E" w:rsidRPr="00741181" w:rsidRDefault="00720B5E" w:rsidP="00741181">
            <w:pPr>
              <w:rPr>
                <w:sz w:val="18"/>
                <w:szCs w:val="18"/>
              </w:rPr>
            </w:pPr>
            <w:r w:rsidRPr="00741181">
              <w:rPr>
                <w:sz w:val="18"/>
                <w:szCs w:val="18"/>
              </w:rPr>
              <w:t>Additional</w:t>
            </w:r>
            <w:r w:rsidR="00741181" w:rsidRPr="00741181">
              <w:rPr>
                <w:sz w:val="18"/>
                <w:szCs w:val="18"/>
              </w:rPr>
              <w:t xml:space="preserve"> (A)</w:t>
            </w:r>
          </w:p>
        </w:tc>
        <w:tc>
          <w:tcPr>
            <w:tcW w:w="916" w:type="dxa"/>
          </w:tcPr>
          <w:p w:rsidR="00720B5E" w:rsidRPr="00741181" w:rsidRDefault="00720B5E" w:rsidP="00741181">
            <w:pPr>
              <w:rPr>
                <w:sz w:val="18"/>
                <w:szCs w:val="18"/>
              </w:rPr>
            </w:pPr>
            <w:r w:rsidRPr="00741181">
              <w:rPr>
                <w:sz w:val="18"/>
                <w:szCs w:val="18"/>
              </w:rPr>
              <w:t>R</w:t>
            </w:r>
          </w:p>
        </w:tc>
        <w:tc>
          <w:tcPr>
            <w:tcW w:w="916" w:type="dxa"/>
          </w:tcPr>
          <w:p w:rsidR="00720B5E" w:rsidRPr="00741181" w:rsidRDefault="00720B5E" w:rsidP="00741181">
            <w:pPr>
              <w:rPr>
                <w:sz w:val="18"/>
                <w:szCs w:val="18"/>
              </w:rPr>
            </w:pPr>
            <w:r w:rsidRPr="00741181">
              <w:rPr>
                <w:sz w:val="18"/>
                <w:szCs w:val="18"/>
              </w:rPr>
              <w:t>A</w:t>
            </w:r>
          </w:p>
        </w:tc>
      </w:tr>
      <w:tr w:rsidR="00720B5E" w:rsidRPr="00741181" w:rsidTr="00B2498D">
        <w:trPr>
          <w:trHeight w:val="136"/>
        </w:trPr>
        <w:tc>
          <w:tcPr>
            <w:tcW w:w="1409" w:type="dxa"/>
            <w:vMerge w:val="restart"/>
          </w:tcPr>
          <w:p w:rsidR="00720B5E" w:rsidRPr="00741181" w:rsidRDefault="00720B5E" w:rsidP="00741181">
            <w:pPr>
              <w:rPr>
                <w:sz w:val="18"/>
                <w:szCs w:val="18"/>
              </w:rPr>
            </w:pPr>
            <w:r w:rsidRPr="00741181">
              <w:rPr>
                <w:sz w:val="18"/>
                <w:szCs w:val="18"/>
              </w:rPr>
              <w:t>Important identified risks</w:t>
            </w:r>
          </w:p>
        </w:tc>
        <w:tc>
          <w:tcPr>
            <w:tcW w:w="2749" w:type="dxa"/>
          </w:tcPr>
          <w:p w:rsidR="00720B5E" w:rsidRPr="00741181" w:rsidRDefault="00720B5E" w:rsidP="00741181">
            <w:pPr>
              <w:rPr>
                <w:sz w:val="18"/>
                <w:szCs w:val="18"/>
              </w:rPr>
            </w:pPr>
            <w:r w:rsidRPr="00741181">
              <w:rPr>
                <w:sz w:val="18"/>
                <w:szCs w:val="18"/>
              </w:rPr>
              <w:t>Serious infections</w:t>
            </w:r>
          </w:p>
        </w:tc>
        <w:tc>
          <w:tcPr>
            <w:tcW w:w="1177" w:type="dxa"/>
          </w:tcPr>
          <w:p w:rsidR="00720B5E" w:rsidRPr="00741181" w:rsidRDefault="00720B5E" w:rsidP="00741181">
            <w:pPr>
              <w:rPr>
                <w:sz w:val="18"/>
                <w:szCs w:val="18"/>
              </w:rPr>
            </w:pPr>
            <w:r w:rsidRPr="00741181">
              <w:rPr>
                <w:sz w:val="18"/>
                <w:szCs w:val="18"/>
              </w:rPr>
              <w:sym w:font="Wingdings" w:char="F0FC"/>
            </w:r>
          </w:p>
        </w:tc>
        <w:tc>
          <w:tcPr>
            <w:tcW w:w="1309" w:type="dxa"/>
          </w:tcPr>
          <w:p w:rsidR="00720B5E" w:rsidRPr="00741181" w:rsidRDefault="00720B5E" w:rsidP="00741181">
            <w:pPr>
              <w:rPr>
                <w:sz w:val="18"/>
                <w:szCs w:val="18"/>
              </w:rPr>
            </w:pPr>
            <w:r w:rsidRPr="00741181">
              <w:rPr>
                <w:sz w:val="18"/>
                <w:szCs w:val="18"/>
              </w:rPr>
              <w:sym w:font="Wingdings" w:char="F0FC"/>
            </w:r>
          </w:p>
        </w:tc>
        <w:tc>
          <w:tcPr>
            <w:tcW w:w="916" w:type="dxa"/>
          </w:tcPr>
          <w:p w:rsidR="00720B5E" w:rsidRPr="00741181" w:rsidRDefault="00720B5E" w:rsidP="00741181">
            <w:pPr>
              <w:rPr>
                <w:sz w:val="18"/>
                <w:szCs w:val="18"/>
              </w:rPr>
            </w:pPr>
            <w:r w:rsidRPr="00741181">
              <w:rPr>
                <w:sz w:val="18"/>
                <w:szCs w:val="18"/>
              </w:rPr>
              <w:sym w:font="Wingdings" w:char="F0FC"/>
            </w:r>
          </w:p>
        </w:tc>
        <w:tc>
          <w:tcPr>
            <w:tcW w:w="916" w:type="dxa"/>
          </w:tcPr>
          <w:p w:rsidR="00720B5E" w:rsidRPr="00741181" w:rsidRDefault="00720B5E" w:rsidP="00741181">
            <w:pPr>
              <w:rPr>
                <w:sz w:val="18"/>
                <w:szCs w:val="18"/>
              </w:rPr>
            </w:pPr>
            <w:r w:rsidRPr="00741181">
              <w:rPr>
                <w:sz w:val="18"/>
                <w:szCs w:val="18"/>
              </w:rPr>
              <w:sym w:font="Wingdings" w:char="F0FC"/>
            </w:r>
          </w:p>
        </w:tc>
      </w:tr>
      <w:tr w:rsidR="00720B5E" w:rsidRPr="00741181" w:rsidTr="00B2498D">
        <w:trPr>
          <w:trHeight w:val="168"/>
        </w:trPr>
        <w:tc>
          <w:tcPr>
            <w:tcW w:w="1409" w:type="dxa"/>
            <w:vMerge/>
          </w:tcPr>
          <w:p w:rsidR="00720B5E" w:rsidRPr="00741181" w:rsidRDefault="00720B5E" w:rsidP="00741181">
            <w:pPr>
              <w:rPr>
                <w:sz w:val="18"/>
                <w:szCs w:val="18"/>
              </w:rPr>
            </w:pPr>
          </w:p>
        </w:tc>
        <w:tc>
          <w:tcPr>
            <w:tcW w:w="2749" w:type="dxa"/>
          </w:tcPr>
          <w:p w:rsidR="00720B5E" w:rsidRPr="00741181" w:rsidRDefault="00720B5E" w:rsidP="00741181">
            <w:pPr>
              <w:rPr>
                <w:sz w:val="18"/>
                <w:szCs w:val="18"/>
              </w:rPr>
            </w:pPr>
            <w:r w:rsidRPr="00741181">
              <w:rPr>
                <w:sz w:val="18"/>
                <w:szCs w:val="18"/>
              </w:rPr>
              <w:t>Hypersensitivity reactions</w:t>
            </w:r>
          </w:p>
        </w:tc>
        <w:tc>
          <w:tcPr>
            <w:tcW w:w="1177" w:type="dxa"/>
          </w:tcPr>
          <w:p w:rsidR="00720B5E" w:rsidRPr="00741181" w:rsidRDefault="00720B5E" w:rsidP="00741181">
            <w:pPr>
              <w:rPr>
                <w:sz w:val="18"/>
                <w:szCs w:val="18"/>
              </w:rPr>
            </w:pPr>
            <w:r w:rsidRPr="00741181">
              <w:rPr>
                <w:sz w:val="18"/>
                <w:szCs w:val="18"/>
              </w:rPr>
              <w:sym w:font="Wingdings" w:char="F0FC"/>
            </w:r>
          </w:p>
        </w:tc>
        <w:tc>
          <w:tcPr>
            <w:tcW w:w="1309" w:type="dxa"/>
          </w:tcPr>
          <w:p w:rsidR="00720B5E" w:rsidRPr="00741181" w:rsidRDefault="00720B5E" w:rsidP="00741181">
            <w:pPr>
              <w:rPr>
                <w:sz w:val="18"/>
                <w:szCs w:val="18"/>
              </w:rPr>
            </w:pPr>
            <w:r w:rsidRPr="00741181">
              <w:rPr>
                <w:sz w:val="18"/>
                <w:szCs w:val="18"/>
              </w:rPr>
              <w:t>–</w:t>
            </w:r>
          </w:p>
        </w:tc>
        <w:tc>
          <w:tcPr>
            <w:tcW w:w="916" w:type="dxa"/>
          </w:tcPr>
          <w:p w:rsidR="00720B5E" w:rsidRPr="00741181" w:rsidRDefault="00720B5E" w:rsidP="00741181">
            <w:pPr>
              <w:rPr>
                <w:sz w:val="18"/>
                <w:szCs w:val="18"/>
              </w:rPr>
            </w:pPr>
            <w:r w:rsidRPr="00741181">
              <w:rPr>
                <w:sz w:val="18"/>
                <w:szCs w:val="18"/>
              </w:rPr>
              <w:sym w:font="Wingdings" w:char="F0FC"/>
            </w:r>
          </w:p>
        </w:tc>
        <w:tc>
          <w:tcPr>
            <w:tcW w:w="916" w:type="dxa"/>
          </w:tcPr>
          <w:p w:rsidR="00720B5E" w:rsidRPr="00741181" w:rsidRDefault="00720B5E" w:rsidP="00741181">
            <w:pPr>
              <w:rPr>
                <w:sz w:val="18"/>
                <w:szCs w:val="18"/>
              </w:rPr>
            </w:pPr>
            <w:r w:rsidRPr="00741181">
              <w:rPr>
                <w:sz w:val="18"/>
                <w:szCs w:val="18"/>
              </w:rPr>
              <w:sym w:font="Wingdings" w:char="F0FC"/>
            </w:r>
          </w:p>
        </w:tc>
      </w:tr>
      <w:tr w:rsidR="00720B5E" w:rsidRPr="00741181" w:rsidTr="00B2498D">
        <w:trPr>
          <w:trHeight w:val="109"/>
        </w:trPr>
        <w:tc>
          <w:tcPr>
            <w:tcW w:w="1409" w:type="dxa"/>
            <w:vMerge/>
          </w:tcPr>
          <w:p w:rsidR="00720B5E" w:rsidRPr="00741181" w:rsidRDefault="00720B5E" w:rsidP="00741181">
            <w:pPr>
              <w:rPr>
                <w:sz w:val="18"/>
                <w:szCs w:val="18"/>
              </w:rPr>
            </w:pPr>
          </w:p>
        </w:tc>
        <w:tc>
          <w:tcPr>
            <w:tcW w:w="2749" w:type="dxa"/>
          </w:tcPr>
          <w:p w:rsidR="00720B5E" w:rsidRPr="00741181" w:rsidRDefault="00720B5E" w:rsidP="00741181">
            <w:pPr>
              <w:rPr>
                <w:sz w:val="18"/>
                <w:szCs w:val="18"/>
              </w:rPr>
            </w:pPr>
            <w:r w:rsidRPr="00741181">
              <w:rPr>
                <w:sz w:val="18"/>
                <w:szCs w:val="18"/>
              </w:rPr>
              <w:t>Neutro</w:t>
            </w:r>
            <w:r w:rsidR="001E2D44" w:rsidRPr="00741181">
              <w:rPr>
                <w:sz w:val="18"/>
                <w:szCs w:val="18"/>
              </w:rPr>
              <w:t>paenia</w:t>
            </w:r>
          </w:p>
        </w:tc>
        <w:tc>
          <w:tcPr>
            <w:tcW w:w="1177" w:type="dxa"/>
          </w:tcPr>
          <w:p w:rsidR="00720B5E" w:rsidRPr="00741181" w:rsidRDefault="00720B5E" w:rsidP="00741181">
            <w:pPr>
              <w:rPr>
                <w:sz w:val="18"/>
                <w:szCs w:val="18"/>
              </w:rPr>
            </w:pPr>
            <w:r w:rsidRPr="00741181">
              <w:rPr>
                <w:sz w:val="18"/>
                <w:szCs w:val="18"/>
              </w:rPr>
              <w:sym w:font="Wingdings" w:char="F0FC"/>
            </w:r>
          </w:p>
        </w:tc>
        <w:tc>
          <w:tcPr>
            <w:tcW w:w="1309" w:type="dxa"/>
          </w:tcPr>
          <w:p w:rsidR="00720B5E" w:rsidRPr="00741181" w:rsidRDefault="00720B5E" w:rsidP="00741181">
            <w:pPr>
              <w:rPr>
                <w:sz w:val="18"/>
                <w:szCs w:val="18"/>
              </w:rPr>
            </w:pPr>
            <w:r w:rsidRPr="00741181">
              <w:rPr>
                <w:sz w:val="18"/>
                <w:szCs w:val="18"/>
              </w:rPr>
              <w:t>–</w:t>
            </w:r>
          </w:p>
        </w:tc>
        <w:tc>
          <w:tcPr>
            <w:tcW w:w="916" w:type="dxa"/>
          </w:tcPr>
          <w:p w:rsidR="00720B5E" w:rsidRPr="00741181" w:rsidRDefault="00720B5E" w:rsidP="00741181">
            <w:pPr>
              <w:rPr>
                <w:sz w:val="18"/>
                <w:szCs w:val="18"/>
              </w:rPr>
            </w:pPr>
            <w:r w:rsidRPr="00741181">
              <w:rPr>
                <w:sz w:val="18"/>
                <w:szCs w:val="18"/>
              </w:rPr>
              <w:sym w:font="Wingdings" w:char="F0FC"/>
            </w:r>
          </w:p>
        </w:tc>
        <w:tc>
          <w:tcPr>
            <w:tcW w:w="916" w:type="dxa"/>
          </w:tcPr>
          <w:p w:rsidR="00720B5E" w:rsidRPr="00741181" w:rsidRDefault="00720B5E" w:rsidP="00741181">
            <w:pPr>
              <w:rPr>
                <w:sz w:val="18"/>
                <w:szCs w:val="18"/>
              </w:rPr>
            </w:pPr>
            <w:r w:rsidRPr="00741181">
              <w:rPr>
                <w:sz w:val="18"/>
                <w:szCs w:val="18"/>
              </w:rPr>
              <w:sym w:font="Wingdings" w:char="F0FC"/>
            </w:r>
          </w:p>
        </w:tc>
      </w:tr>
      <w:tr w:rsidR="00720B5E" w:rsidRPr="00741181" w:rsidTr="00B2498D">
        <w:trPr>
          <w:trHeight w:val="185"/>
        </w:trPr>
        <w:tc>
          <w:tcPr>
            <w:tcW w:w="1409" w:type="dxa"/>
            <w:vMerge/>
          </w:tcPr>
          <w:p w:rsidR="00720B5E" w:rsidRPr="00741181" w:rsidRDefault="00720B5E" w:rsidP="00741181">
            <w:pPr>
              <w:rPr>
                <w:sz w:val="18"/>
                <w:szCs w:val="18"/>
              </w:rPr>
            </w:pPr>
          </w:p>
        </w:tc>
        <w:tc>
          <w:tcPr>
            <w:tcW w:w="2749" w:type="dxa"/>
          </w:tcPr>
          <w:p w:rsidR="00720B5E" w:rsidRPr="00741181" w:rsidRDefault="00720B5E" w:rsidP="00741181">
            <w:pPr>
              <w:rPr>
                <w:sz w:val="18"/>
                <w:szCs w:val="18"/>
              </w:rPr>
            </w:pPr>
            <w:r w:rsidRPr="00741181">
              <w:rPr>
                <w:sz w:val="18"/>
                <w:szCs w:val="18"/>
              </w:rPr>
              <w:t>Gastrointestinal perforations</w:t>
            </w:r>
          </w:p>
        </w:tc>
        <w:tc>
          <w:tcPr>
            <w:tcW w:w="1177" w:type="dxa"/>
          </w:tcPr>
          <w:p w:rsidR="00720B5E" w:rsidRPr="00741181" w:rsidRDefault="00720B5E" w:rsidP="00741181">
            <w:pPr>
              <w:rPr>
                <w:sz w:val="18"/>
                <w:szCs w:val="18"/>
              </w:rPr>
            </w:pPr>
            <w:r w:rsidRPr="00741181">
              <w:rPr>
                <w:sz w:val="18"/>
                <w:szCs w:val="18"/>
              </w:rPr>
              <w:sym w:font="Wingdings" w:char="F0FC"/>
            </w:r>
          </w:p>
        </w:tc>
        <w:tc>
          <w:tcPr>
            <w:tcW w:w="1309" w:type="dxa"/>
          </w:tcPr>
          <w:p w:rsidR="00720B5E" w:rsidRPr="00741181" w:rsidRDefault="00720B5E" w:rsidP="00741181">
            <w:pPr>
              <w:rPr>
                <w:sz w:val="18"/>
                <w:szCs w:val="18"/>
              </w:rPr>
            </w:pPr>
            <w:r w:rsidRPr="00741181">
              <w:rPr>
                <w:sz w:val="18"/>
                <w:szCs w:val="18"/>
              </w:rPr>
              <w:sym w:font="Wingdings" w:char="F0FC"/>
            </w:r>
          </w:p>
        </w:tc>
        <w:tc>
          <w:tcPr>
            <w:tcW w:w="916" w:type="dxa"/>
          </w:tcPr>
          <w:p w:rsidR="00720B5E" w:rsidRPr="00741181" w:rsidRDefault="00720B5E" w:rsidP="00741181">
            <w:pPr>
              <w:rPr>
                <w:sz w:val="18"/>
                <w:szCs w:val="18"/>
              </w:rPr>
            </w:pPr>
            <w:r w:rsidRPr="00741181">
              <w:rPr>
                <w:sz w:val="18"/>
                <w:szCs w:val="18"/>
              </w:rPr>
              <w:sym w:font="Wingdings" w:char="F0FC"/>
            </w:r>
          </w:p>
        </w:tc>
        <w:tc>
          <w:tcPr>
            <w:tcW w:w="916" w:type="dxa"/>
          </w:tcPr>
          <w:p w:rsidR="00720B5E" w:rsidRPr="00741181" w:rsidRDefault="00720B5E" w:rsidP="00741181">
            <w:pPr>
              <w:rPr>
                <w:sz w:val="18"/>
                <w:szCs w:val="18"/>
              </w:rPr>
            </w:pPr>
            <w:r w:rsidRPr="00741181">
              <w:rPr>
                <w:sz w:val="18"/>
                <w:szCs w:val="18"/>
              </w:rPr>
              <w:sym w:font="Wingdings" w:char="F0FC"/>
            </w:r>
          </w:p>
        </w:tc>
      </w:tr>
      <w:tr w:rsidR="00720B5E" w:rsidRPr="00741181" w:rsidTr="00B2498D">
        <w:trPr>
          <w:trHeight w:val="158"/>
        </w:trPr>
        <w:tc>
          <w:tcPr>
            <w:tcW w:w="1409" w:type="dxa"/>
            <w:vMerge w:val="restart"/>
          </w:tcPr>
          <w:p w:rsidR="00720B5E" w:rsidRPr="00741181" w:rsidRDefault="00720B5E" w:rsidP="00741181">
            <w:pPr>
              <w:rPr>
                <w:sz w:val="18"/>
                <w:szCs w:val="18"/>
              </w:rPr>
            </w:pPr>
            <w:r w:rsidRPr="00741181">
              <w:rPr>
                <w:sz w:val="18"/>
                <w:szCs w:val="18"/>
              </w:rPr>
              <w:t>Important potential risks</w:t>
            </w:r>
          </w:p>
        </w:tc>
        <w:tc>
          <w:tcPr>
            <w:tcW w:w="2749" w:type="dxa"/>
          </w:tcPr>
          <w:p w:rsidR="00720B5E" w:rsidRPr="00741181" w:rsidRDefault="00720B5E" w:rsidP="00741181">
            <w:pPr>
              <w:rPr>
                <w:sz w:val="18"/>
                <w:szCs w:val="18"/>
              </w:rPr>
            </w:pPr>
            <w:r w:rsidRPr="00741181">
              <w:rPr>
                <w:sz w:val="18"/>
                <w:szCs w:val="18"/>
              </w:rPr>
              <w:t>Thrombocyto</w:t>
            </w:r>
            <w:r w:rsidR="001E2D44" w:rsidRPr="00741181">
              <w:rPr>
                <w:sz w:val="18"/>
                <w:szCs w:val="18"/>
              </w:rPr>
              <w:t>paenia</w:t>
            </w:r>
            <w:r w:rsidRPr="00741181">
              <w:rPr>
                <w:sz w:val="18"/>
                <w:szCs w:val="18"/>
              </w:rPr>
              <w:t xml:space="preserve"> and potential risk of bleeding</w:t>
            </w:r>
          </w:p>
        </w:tc>
        <w:tc>
          <w:tcPr>
            <w:tcW w:w="1177" w:type="dxa"/>
          </w:tcPr>
          <w:p w:rsidR="00720B5E" w:rsidRPr="00741181" w:rsidRDefault="00720B5E" w:rsidP="00741181">
            <w:pPr>
              <w:rPr>
                <w:sz w:val="18"/>
                <w:szCs w:val="18"/>
              </w:rPr>
            </w:pPr>
            <w:r w:rsidRPr="00741181">
              <w:rPr>
                <w:sz w:val="18"/>
                <w:szCs w:val="18"/>
              </w:rPr>
              <w:sym w:font="Wingdings" w:char="F0FC"/>
            </w:r>
          </w:p>
        </w:tc>
        <w:tc>
          <w:tcPr>
            <w:tcW w:w="1309" w:type="dxa"/>
          </w:tcPr>
          <w:p w:rsidR="00720B5E" w:rsidRPr="00741181" w:rsidRDefault="00720B5E" w:rsidP="00741181">
            <w:pPr>
              <w:rPr>
                <w:sz w:val="18"/>
                <w:szCs w:val="18"/>
              </w:rPr>
            </w:pPr>
            <w:r w:rsidRPr="00741181">
              <w:rPr>
                <w:sz w:val="18"/>
                <w:szCs w:val="18"/>
              </w:rPr>
              <w:t>–</w:t>
            </w:r>
          </w:p>
        </w:tc>
        <w:tc>
          <w:tcPr>
            <w:tcW w:w="916" w:type="dxa"/>
          </w:tcPr>
          <w:p w:rsidR="00720B5E" w:rsidRPr="00741181" w:rsidRDefault="00720B5E" w:rsidP="00741181">
            <w:pPr>
              <w:rPr>
                <w:sz w:val="18"/>
                <w:szCs w:val="18"/>
              </w:rPr>
            </w:pPr>
            <w:r w:rsidRPr="00741181">
              <w:rPr>
                <w:sz w:val="18"/>
                <w:szCs w:val="18"/>
              </w:rPr>
              <w:sym w:font="Wingdings" w:char="F0FC"/>
            </w:r>
          </w:p>
        </w:tc>
        <w:tc>
          <w:tcPr>
            <w:tcW w:w="916" w:type="dxa"/>
          </w:tcPr>
          <w:p w:rsidR="00720B5E" w:rsidRPr="00741181" w:rsidRDefault="00720B5E" w:rsidP="00741181">
            <w:pPr>
              <w:rPr>
                <w:sz w:val="18"/>
                <w:szCs w:val="18"/>
              </w:rPr>
            </w:pPr>
            <w:r w:rsidRPr="00741181">
              <w:rPr>
                <w:sz w:val="18"/>
                <w:szCs w:val="18"/>
              </w:rPr>
              <w:sym w:font="Wingdings" w:char="F0FC"/>
            </w:r>
          </w:p>
        </w:tc>
      </w:tr>
      <w:tr w:rsidR="00720B5E" w:rsidRPr="00741181" w:rsidTr="00B2498D">
        <w:trPr>
          <w:trHeight w:val="121"/>
        </w:trPr>
        <w:tc>
          <w:tcPr>
            <w:tcW w:w="1409" w:type="dxa"/>
            <w:vMerge/>
          </w:tcPr>
          <w:p w:rsidR="00720B5E" w:rsidRPr="00741181" w:rsidRDefault="00720B5E" w:rsidP="00741181">
            <w:pPr>
              <w:rPr>
                <w:sz w:val="18"/>
                <w:szCs w:val="18"/>
              </w:rPr>
            </w:pPr>
          </w:p>
        </w:tc>
        <w:tc>
          <w:tcPr>
            <w:tcW w:w="2749" w:type="dxa"/>
          </w:tcPr>
          <w:p w:rsidR="00720B5E" w:rsidRPr="00741181" w:rsidRDefault="00720B5E" w:rsidP="00741181">
            <w:pPr>
              <w:rPr>
                <w:sz w:val="18"/>
                <w:szCs w:val="18"/>
              </w:rPr>
            </w:pPr>
            <w:r w:rsidRPr="00741181">
              <w:rPr>
                <w:sz w:val="18"/>
                <w:szCs w:val="18"/>
              </w:rPr>
              <w:t>Clinically evident hepatic injury</w:t>
            </w:r>
          </w:p>
        </w:tc>
        <w:tc>
          <w:tcPr>
            <w:tcW w:w="1177" w:type="dxa"/>
          </w:tcPr>
          <w:p w:rsidR="00720B5E" w:rsidRPr="00741181" w:rsidRDefault="00720B5E" w:rsidP="00741181">
            <w:pPr>
              <w:rPr>
                <w:sz w:val="18"/>
                <w:szCs w:val="18"/>
              </w:rPr>
            </w:pPr>
            <w:r w:rsidRPr="00741181">
              <w:rPr>
                <w:sz w:val="18"/>
                <w:szCs w:val="18"/>
              </w:rPr>
              <w:sym w:font="Wingdings" w:char="F0FC"/>
            </w:r>
          </w:p>
        </w:tc>
        <w:tc>
          <w:tcPr>
            <w:tcW w:w="1309" w:type="dxa"/>
          </w:tcPr>
          <w:p w:rsidR="00720B5E" w:rsidRPr="00741181" w:rsidRDefault="00720B5E" w:rsidP="00741181">
            <w:pPr>
              <w:rPr>
                <w:sz w:val="18"/>
                <w:szCs w:val="18"/>
              </w:rPr>
            </w:pPr>
            <w:r w:rsidRPr="00741181">
              <w:rPr>
                <w:sz w:val="18"/>
                <w:szCs w:val="18"/>
              </w:rPr>
              <w:t>–</w:t>
            </w:r>
          </w:p>
        </w:tc>
        <w:tc>
          <w:tcPr>
            <w:tcW w:w="916" w:type="dxa"/>
          </w:tcPr>
          <w:p w:rsidR="00720B5E" w:rsidRPr="00741181" w:rsidRDefault="00720B5E" w:rsidP="00741181">
            <w:pPr>
              <w:rPr>
                <w:sz w:val="18"/>
                <w:szCs w:val="18"/>
              </w:rPr>
            </w:pPr>
            <w:r w:rsidRPr="00741181">
              <w:rPr>
                <w:sz w:val="18"/>
                <w:szCs w:val="18"/>
              </w:rPr>
              <w:sym w:font="Wingdings" w:char="F0FC"/>
            </w:r>
          </w:p>
        </w:tc>
        <w:tc>
          <w:tcPr>
            <w:tcW w:w="916" w:type="dxa"/>
          </w:tcPr>
          <w:p w:rsidR="00720B5E" w:rsidRPr="00741181" w:rsidRDefault="00720B5E" w:rsidP="00741181">
            <w:pPr>
              <w:rPr>
                <w:sz w:val="18"/>
                <w:szCs w:val="18"/>
              </w:rPr>
            </w:pPr>
            <w:r w:rsidRPr="00741181">
              <w:rPr>
                <w:sz w:val="18"/>
                <w:szCs w:val="18"/>
              </w:rPr>
              <w:sym w:font="Wingdings" w:char="F0FC"/>
            </w:r>
          </w:p>
        </w:tc>
      </w:tr>
      <w:tr w:rsidR="00720B5E" w:rsidRPr="00741181" w:rsidTr="00B2498D">
        <w:trPr>
          <w:trHeight w:val="89"/>
        </w:trPr>
        <w:tc>
          <w:tcPr>
            <w:tcW w:w="1409" w:type="dxa"/>
            <w:vMerge/>
          </w:tcPr>
          <w:p w:rsidR="00720B5E" w:rsidRPr="00741181" w:rsidRDefault="00720B5E" w:rsidP="00741181">
            <w:pPr>
              <w:rPr>
                <w:sz w:val="18"/>
                <w:szCs w:val="18"/>
              </w:rPr>
            </w:pPr>
          </w:p>
        </w:tc>
        <w:tc>
          <w:tcPr>
            <w:tcW w:w="2749" w:type="dxa"/>
          </w:tcPr>
          <w:p w:rsidR="00720B5E" w:rsidRPr="00741181" w:rsidRDefault="00720B5E" w:rsidP="00741181">
            <w:pPr>
              <w:rPr>
                <w:sz w:val="18"/>
                <w:szCs w:val="18"/>
              </w:rPr>
            </w:pPr>
            <w:r w:rsidRPr="00741181">
              <w:rPr>
                <w:sz w:val="18"/>
                <w:szCs w:val="18"/>
              </w:rPr>
              <w:t>Lipid abnormalities and increased risk of major cardiovascular events</w:t>
            </w:r>
          </w:p>
        </w:tc>
        <w:tc>
          <w:tcPr>
            <w:tcW w:w="1177" w:type="dxa"/>
          </w:tcPr>
          <w:p w:rsidR="00720B5E" w:rsidRPr="00741181" w:rsidRDefault="00720B5E" w:rsidP="00741181">
            <w:pPr>
              <w:rPr>
                <w:sz w:val="18"/>
                <w:szCs w:val="18"/>
              </w:rPr>
            </w:pPr>
            <w:r w:rsidRPr="00741181">
              <w:rPr>
                <w:sz w:val="18"/>
                <w:szCs w:val="18"/>
              </w:rPr>
              <w:sym w:font="Wingdings" w:char="F0FC"/>
            </w:r>
          </w:p>
        </w:tc>
        <w:tc>
          <w:tcPr>
            <w:tcW w:w="1309" w:type="dxa"/>
          </w:tcPr>
          <w:p w:rsidR="00720B5E" w:rsidRPr="00741181" w:rsidRDefault="00720B5E" w:rsidP="00741181">
            <w:pPr>
              <w:rPr>
                <w:sz w:val="18"/>
                <w:szCs w:val="18"/>
              </w:rPr>
            </w:pPr>
            <w:r w:rsidRPr="00741181">
              <w:rPr>
                <w:sz w:val="18"/>
                <w:szCs w:val="18"/>
              </w:rPr>
              <w:sym w:font="Wingdings" w:char="F0FC"/>
            </w:r>
          </w:p>
        </w:tc>
        <w:tc>
          <w:tcPr>
            <w:tcW w:w="916" w:type="dxa"/>
          </w:tcPr>
          <w:p w:rsidR="00720B5E" w:rsidRPr="00741181" w:rsidRDefault="00720B5E" w:rsidP="00741181">
            <w:pPr>
              <w:rPr>
                <w:sz w:val="18"/>
                <w:szCs w:val="18"/>
              </w:rPr>
            </w:pPr>
            <w:r w:rsidRPr="00741181">
              <w:rPr>
                <w:sz w:val="18"/>
                <w:szCs w:val="18"/>
              </w:rPr>
              <w:sym w:font="Wingdings" w:char="F0FC"/>
            </w:r>
          </w:p>
        </w:tc>
        <w:tc>
          <w:tcPr>
            <w:tcW w:w="916" w:type="dxa"/>
          </w:tcPr>
          <w:p w:rsidR="00720B5E" w:rsidRPr="00741181" w:rsidRDefault="00720B5E" w:rsidP="00741181">
            <w:pPr>
              <w:rPr>
                <w:sz w:val="18"/>
                <w:szCs w:val="18"/>
              </w:rPr>
            </w:pPr>
            <w:r w:rsidRPr="00741181">
              <w:rPr>
                <w:sz w:val="18"/>
                <w:szCs w:val="18"/>
              </w:rPr>
              <w:sym w:font="Wingdings" w:char="F0FC"/>
            </w:r>
          </w:p>
        </w:tc>
      </w:tr>
      <w:tr w:rsidR="00720B5E" w:rsidRPr="00741181" w:rsidTr="00B2498D">
        <w:trPr>
          <w:trHeight w:val="188"/>
        </w:trPr>
        <w:tc>
          <w:tcPr>
            <w:tcW w:w="1409" w:type="dxa"/>
            <w:vMerge/>
          </w:tcPr>
          <w:p w:rsidR="00720B5E" w:rsidRPr="00741181" w:rsidRDefault="00720B5E" w:rsidP="00741181">
            <w:pPr>
              <w:rPr>
                <w:sz w:val="18"/>
                <w:szCs w:val="18"/>
              </w:rPr>
            </w:pPr>
          </w:p>
        </w:tc>
        <w:tc>
          <w:tcPr>
            <w:tcW w:w="2749" w:type="dxa"/>
          </w:tcPr>
          <w:p w:rsidR="00720B5E" w:rsidRPr="00741181" w:rsidRDefault="00720B5E" w:rsidP="00741181">
            <w:pPr>
              <w:rPr>
                <w:sz w:val="18"/>
                <w:szCs w:val="18"/>
              </w:rPr>
            </w:pPr>
            <w:r w:rsidRPr="00741181">
              <w:rPr>
                <w:sz w:val="18"/>
                <w:szCs w:val="18"/>
              </w:rPr>
              <w:t>Malignancy</w:t>
            </w:r>
          </w:p>
        </w:tc>
        <w:tc>
          <w:tcPr>
            <w:tcW w:w="1177" w:type="dxa"/>
          </w:tcPr>
          <w:p w:rsidR="00720B5E" w:rsidRPr="00741181" w:rsidRDefault="00720B5E" w:rsidP="00741181">
            <w:pPr>
              <w:rPr>
                <w:sz w:val="18"/>
                <w:szCs w:val="18"/>
              </w:rPr>
            </w:pPr>
            <w:r w:rsidRPr="00741181">
              <w:rPr>
                <w:sz w:val="18"/>
                <w:szCs w:val="18"/>
              </w:rPr>
              <w:sym w:font="Wingdings" w:char="F0FC"/>
            </w:r>
          </w:p>
        </w:tc>
        <w:tc>
          <w:tcPr>
            <w:tcW w:w="1309" w:type="dxa"/>
          </w:tcPr>
          <w:p w:rsidR="00720B5E" w:rsidRPr="00741181" w:rsidRDefault="00720B5E" w:rsidP="00741181">
            <w:pPr>
              <w:rPr>
                <w:sz w:val="18"/>
                <w:szCs w:val="18"/>
              </w:rPr>
            </w:pPr>
            <w:r w:rsidRPr="00741181">
              <w:rPr>
                <w:sz w:val="18"/>
                <w:szCs w:val="18"/>
              </w:rPr>
              <w:sym w:font="Wingdings" w:char="F0FC"/>
            </w:r>
          </w:p>
        </w:tc>
        <w:tc>
          <w:tcPr>
            <w:tcW w:w="916" w:type="dxa"/>
          </w:tcPr>
          <w:p w:rsidR="00720B5E" w:rsidRPr="00741181" w:rsidRDefault="00720B5E" w:rsidP="00741181">
            <w:pPr>
              <w:rPr>
                <w:sz w:val="18"/>
                <w:szCs w:val="18"/>
              </w:rPr>
            </w:pPr>
            <w:r w:rsidRPr="00741181">
              <w:rPr>
                <w:sz w:val="18"/>
                <w:szCs w:val="18"/>
              </w:rPr>
              <w:sym w:font="Wingdings" w:char="F0FC"/>
            </w:r>
          </w:p>
        </w:tc>
        <w:tc>
          <w:tcPr>
            <w:tcW w:w="916" w:type="dxa"/>
          </w:tcPr>
          <w:p w:rsidR="00720B5E" w:rsidRPr="00741181" w:rsidRDefault="00720B5E" w:rsidP="00741181">
            <w:pPr>
              <w:rPr>
                <w:sz w:val="18"/>
                <w:szCs w:val="18"/>
              </w:rPr>
            </w:pPr>
            <w:r w:rsidRPr="00741181">
              <w:rPr>
                <w:sz w:val="18"/>
                <w:szCs w:val="18"/>
              </w:rPr>
              <w:t>–</w:t>
            </w:r>
          </w:p>
        </w:tc>
      </w:tr>
      <w:tr w:rsidR="00720B5E" w:rsidRPr="00741181" w:rsidTr="00B2498D">
        <w:trPr>
          <w:trHeight w:val="159"/>
        </w:trPr>
        <w:tc>
          <w:tcPr>
            <w:tcW w:w="1409" w:type="dxa"/>
            <w:vMerge/>
          </w:tcPr>
          <w:p w:rsidR="00720B5E" w:rsidRPr="00741181" w:rsidRDefault="00720B5E" w:rsidP="00741181">
            <w:pPr>
              <w:rPr>
                <w:sz w:val="18"/>
                <w:szCs w:val="18"/>
              </w:rPr>
            </w:pPr>
          </w:p>
        </w:tc>
        <w:tc>
          <w:tcPr>
            <w:tcW w:w="2749" w:type="dxa"/>
          </w:tcPr>
          <w:p w:rsidR="00720B5E" w:rsidRPr="00741181" w:rsidRDefault="00720B5E" w:rsidP="00741181">
            <w:pPr>
              <w:rPr>
                <w:sz w:val="18"/>
                <w:szCs w:val="18"/>
                <w:u w:val="single"/>
              </w:rPr>
            </w:pPr>
            <w:r w:rsidRPr="00741181">
              <w:rPr>
                <w:sz w:val="18"/>
                <w:szCs w:val="18"/>
                <w:u w:val="single"/>
              </w:rPr>
              <w:t>Demyelinating disorder*</w:t>
            </w:r>
          </w:p>
        </w:tc>
        <w:tc>
          <w:tcPr>
            <w:tcW w:w="1177" w:type="dxa"/>
          </w:tcPr>
          <w:p w:rsidR="00720B5E" w:rsidRPr="00741181" w:rsidRDefault="00720B5E" w:rsidP="00741181">
            <w:pPr>
              <w:rPr>
                <w:sz w:val="18"/>
                <w:szCs w:val="18"/>
              </w:rPr>
            </w:pPr>
            <w:r w:rsidRPr="00741181">
              <w:rPr>
                <w:sz w:val="18"/>
                <w:szCs w:val="18"/>
              </w:rPr>
              <w:sym w:font="Wingdings" w:char="F0FC"/>
            </w:r>
          </w:p>
        </w:tc>
        <w:tc>
          <w:tcPr>
            <w:tcW w:w="1309" w:type="dxa"/>
          </w:tcPr>
          <w:p w:rsidR="00720B5E" w:rsidRPr="00741181" w:rsidRDefault="00720B5E" w:rsidP="00741181">
            <w:pPr>
              <w:rPr>
                <w:sz w:val="18"/>
                <w:szCs w:val="18"/>
              </w:rPr>
            </w:pPr>
            <w:r w:rsidRPr="00741181">
              <w:rPr>
                <w:sz w:val="18"/>
                <w:szCs w:val="18"/>
              </w:rPr>
              <w:t>–</w:t>
            </w:r>
          </w:p>
        </w:tc>
        <w:tc>
          <w:tcPr>
            <w:tcW w:w="916" w:type="dxa"/>
          </w:tcPr>
          <w:p w:rsidR="00720B5E" w:rsidRPr="00741181" w:rsidRDefault="00720B5E" w:rsidP="00741181">
            <w:pPr>
              <w:rPr>
                <w:sz w:val="18"/>
                <w:szCs w:val="18"/>
              </w:rPr>
            </w:pPr>
            <w:r w:rsidRPr="00741181">
              <w:rPr>
                <w:sz w:val="18"/>
                <w:szCs w:val="18"/>
              </w:rPr>
              <w:sym w:font="Wingdings" w:char="F0FC"/>
            </w:r>
          </w:p>
        </w:tc>
        <w:tc>
          <w:tcPr>
            <w:tcW w:w="916" w:type="dxa"/>
          </w:tcPr>
          <w:p w:rsidR="00720B5E" w:rsidRPr="00741181" w:rsidRDefault="00720B5E" w:rsidP="00741181">
            <w:pPr>
              <w:rPr>
                <w:sz w:val="18"/>
                <w:szCs w:val="18"/>
              </w:rPr>
            </w:pPr>
            <w:r w:rsidRPr="00741181">
              <w:rPr>
                <w:sz w:val="18"/>
                <w:szCs w:val="18"/>
              </w:rPr>
              <w:t>–</w:t>
            </w:r>
          </w:p>
        </w:tc>
      </w:tr>
      <w:tr w:rsidR="00720B5E" w:rsidRPr="00741181" w:rsidTr="00B2498D">
        <w:trPr>
          <w:trHeight w:val="176"/>
        </w:trPr>
        <w:tc>
          <w:tcPr>
            <w:tcW w:w="1409" w:type="dxa"/>
            <w:vMerge w:val="restart"/>
          </w:tcPr>
          <w:p w:rsidR="00720B5E" w:rsidRPr="00741181" w:rsidRDefault="00720B5E" w:rsidP="00741181">
            <w:pPr>
              <w:rPr>
                <w:sz w:val="18"/>
                <w:szCs w:val="18"/>
              </w:rPr>
            </w:pPr>
            <w:r w:rsidRPr="00741181">
              <w:rPr>
                <w:sz w:val="18"/>
                <w:szCs w:val="18"/>
              </w:rPr>
              <w:lastRenderedPageBreak/>
              <w:t>Missing information</w:t>
            </w:r>
          </w:p>
        </w:tc>
        <w:tc>
          <w:tcPr>
            <w:tcW w:w="2749" w:type="dxa"/>
          </w:tcPr>
          <w:p w:rsidR="00720B5E" w:rsidRPr="00741181" w:rsidRDefault="00720B5E" w:rsidP="00741181">
            <w:pPr>
              <w:rPr>
                <w:sz w:val="18"/>
                <w:szCs w:val="18"/>
              </w:rPr>
            </w:pPr>
            <w:r w:rsidRPr="00741181">
              <w:rPr>
                <w:sz w:val="18"/>
                <w:szCs w:val="18"/>
              </w:rPr>
              <w:t>Use in pregnant and lactating women</w:t>
            </w:r>
          </w:p>
        </w:tc>
        <w:tc>
          <w:tcPr>
            <w:tcW w:w="1177" w:type="dxa"/>
          </w:tcPr>
          <w:p w:rsidR="00720B5E" w:rsidRPr="00741181" w:rsidRDefault="00720B5E" w:rsidP="00741181">
            <w:pPr>
              <w:rPr>
                <w:sz w:val="18"/>
                <w:szCs w:val="18"/>
              </w:rPr>
            </w:pPr>
            <w:r w:rsidRPr="00741181">
              <w:rPr>
                <w:sz w:val="18"/>
                <w:szCs w:val="18"/>
              </w:rPr>
              <w:sym w:font="Wingdings" w:char="F0FC"/>
            </w:r>
          </w:p>
        </w:tc>
        <w:tc>
          <w:tcPr>
            <w:tcW w:w="1309" w:type="dxa"/>
          </w:tcPr>
          <w:p w:rsidR="00720B5E" w:rsidRPr="00741181" w:rsidRDefault="00720B5E" w:rsidP="00741181">
            <w:pPr>
              <w:rPr>
                <w:sz w:val="18"/>
                <w:szCs w:val="18"/>
              </w:rPr>
            </w:pPr>
            <w:r w:rsidRPr="00741181">
              <w:rPr>
                <w:sz w:val="18"/>
                <w:szCs w:val="18"/>
              </w:rPr>
              <w:sym w:font="Wingdings" w:char="F0FC"/>
            </w:r>
          </w:p>
        </w:tc>
        <w:tc>
          <w:tcPr>
            <w:tcW w:w="916" w:type="dxa"/>
          </w:tcPr>
          <w:p w:rsidR="00720B5E" w:rsidRPr="00741181" w:rsidRDefault="00720B5E" w:rsidP="00741181">
            <w:pPr>
              <w:rPr>
                <w:sz w:val="18"/>
                <w:szCs w:val="18"/>
              </w:rPr>
            </w:pPr>
            <w:r w:rsidRPr="00741181">
              <w:rPr>
                <w:sz w:val="18"/>
                <w:szCs w:val="18"/>
              </w:rPr>
              <w:sym w:font="Wingdings" w:char="F0FC"/>
            </w:r>
          </w:p>
        </w:tc>
        <w:tc>
          <w:tcPr>
            <w:tcW w:w="916" w:type="dxa"/>
          </w:tcPr>
          <w:p w:rsidR="00720B5E" w:rsidRPr="00741181" w:rsidRDefault="00720B5E" w:rsidP="00741181">
            <w:pPr>
              <w:rPr>
                <w:sz w:val="18"/>
                <w:szCs w:val="18"/>
              </w:rPr>
            </w:pPr>
            <w:r w:rsidRPr="00741181">
              <w:rPr>
                <w:sz w:val="18"/>
                <w:szCs w:val="18"/>
              </w:rPr>
              <w:t>–</w:t>
            </w:r>
          </w:p>
        </w:tc>
      </w:tr>
      <w:tr w:rsidR="00720B5E" w:rsidRPr="00741181" w:rsidTr="00B2498D">
        <w:trPr>
          <w:trHeight w:val="102"/>
        </w:trPr>
        <w:tc>
          <w:tcPr>
            <w:tcW w:w="1409" w:type="dxa"/>
            <w:vMerge/>
          </w:tcPr>
          <w:p w:rsidR="00720B5E" w:rsidRPr="00741181" w:rsidRDefault="00720B5E" w:rsidP="00741181">
            <w:pPr>
              <w:rPr>
                <w:sz w:val="18"/>
                <w:szCs w:val="18"/>
              </w:rPr>
            </w:pPr>
          </w:p>
        </w:tc>
        <w:tc>
          <w:tcPr>
            <w:tcW w:w="2749" w:type="dxa"/>
          </w:tcPr>
          <w:p w:rsidR="00720B5E" w:rsidRPr="00741181" w:rsidRDefault="00720B5E" w:rsidP="00741181">
            <w:pPr>
              <w:rPr>
                <w:sz w:val="18"/>
                <w:szCs w:val="18"/>
              </w:rPr>
            </w:pPr>
            <w:r w:rsidRPr="00741181">
              <w:rPr>
                <w:sz w:val="18"/>
                <w:szCs w:val="18"/>
              </w:rPr>
              <w:t>Use in paediatric patients</w:t>
            </w:r>
          </w:p>
        </w:tc>
        <w:tc>
          <w:tcPr>
            <w:tcW w:w="1177" w:type="dxa"/>
          </w:tcPr>
          <w:p w:rsidR="00720B5E" w:rsidRPr="00741181" w:rsidRDefault="00720B5E" w:rsidP="00741181">
            <w:pPr>
              <w:rPr>
                <w:sz w:val="18"/>
                <w:szCs w:val="18"/>
              </w:rPr>
            </w:pPr>
            <w:r w:rsidRPr="00741181">
              <w:rPr>
                <w:sz w:val="18"/>
                <w:szCs w:val="18"/>
              </w:rPr>
              <w:sym w:font="Wingdings" w:char="F0FC"/>
            </w:r>
          </w:p>
        </w:tc>
        <w:tc>
          <w:tcPr>
            <w:tcW w:w="1309" w:type="dxa"/>
          </w:tcPr>
          <w:p w:rsidR="00720B5E" w:rsidRPr="00741181" w:rsidRDefault="00720B5E" w:rsidP="00741181">
            <w:pPr>
              <w:rPr>
                <w:sz w:val="18"/>
                <w:szCs w:val="18"/>
              </w:rPr>
            </w:pPr>
            <w:r w:rsidRPr="00741181">
              <w:rPr>
                <w:sz w:val="18"/>
                <w:szCs w:val="18"/>
              </w:rPr>
              <w:t>–</w:t>
            </w:r>
          </w:p>
        </w:tc>
        <w:tc>
          <w:tcPr>
            <w:tcW w:w="916" w:type="dxa"/>
          </w:tcPr>
          <w:p w:rsidR="00720B5E" w:rsidRPr="00741181" w:rsidRDefault="00720B5E" w:rsidP="00741181">
            <w:pPr>
              <w:rPr>
                <w:sz w:val="18"/>
                <w:szCs w:val="18"/>
              </w:rPr>
            </w:pPr>
            <w:r w:rsidRPr="00741181">
              <w:rPr>
                <w:sz w:val="18"/>
                <w:szCs w:val="18"/>
              </w:rPr>
              <w:sym w:font="Wingdings" w:char="F0FC"/>
            </w:r>
          </w:p>
        </w:tc>
        <w:tc>
          <w:tcPr>
            <w:tcW w:w="916" w:type="dxa"/>
          </w:tcPr>
          <w:p w:rsidR="00720B5E" w:rsidRPr="00741181" w:rsidRDefault="00720B5E" w:rsidP="00741181">
            <w:pPr>
              <w:rPr>
                <w:sz w:val="18"/>
                <w:szCs w:val="18"/>
              </w:rPr>
            </w:pPr>
            <w:r w:rsidRPr="00741181">
              <w:rPr>
                <w:sz w:val="18"/>
                <w:szCs w:val="18"/>
              </w:rPr>
              <w:t>–</w:t>
            </w:r>
          </w:p>
        </w:tc>
      </w:tr>
      <w:tr w:rsidR="00720B5E" w:rsidRPr="00741181" w:rsidTr="00B2498D">
        <w:trPr>
          <w:trHeight w:val="159"/>
        </w:trPr>
        <w:tc>
          <w:tcPr>
            <w:tcW w:w="1409" w:type="dxa"/>
            <w:vMerge/>
          </w:tcPr>
          <w:p w:rsidR="00720B5E" w:rsidRPr="00741181" w:rsidRDefault="00720B5E" w:rsidP="00741181">
            <w:pPr>
              <w:rPr>
                <w:sz w:val="18"/>
                <w:szCs w:val="18"/>
              </w:rPr>
            </w:pPr>
          </w:p>
        </w:tc>
        <w:tc>
          <w:tcPr>
            <w:tcW w:w="2749" w:type="dxa"/>
          </w:tcPr>
          <w:p w:rsidR="00720B5E" w:rsidRPr="00741181" w:rsidRDefault="00720B5E" w:rsidP="00741181">
            <w:pPr>
              <w:rPr>
                <w:sz w:val="18"/>
                <w:szCs w:val="18"/>
              </w:rPr>
            </w:pPr>
            <w:r w:rsidRPr="00741181">
              <w:rPr>
                <w:sz w:val="18"/>
                <w:szCs w:val="18"/>
              </w:rPr>
              <w:t>Use in elderly</w:t>
            </w:r>
          </w:p>
        </w:tc>
        <w:tc>
          <w:tcPr>
            <w:tcW w:w="1177" w:type="dxa"/>
          </w:tcPr>
          <w:p w:rsidR="00720B5E" w:rsidRPr="00741181" w:rsidRDefault="00720B5E" w:rsidP="00741181">
            <w:pPr>
              <w:rPr>
                <w:sz w:val="18"/>
                <w:szCs w:val="18"/>
              </w:rPr>
            </w:pPr>
            <w:r w:rsidRPr="00741181">
              <w:rPr>
                <w:sz w:val="18"/>
                <w:szCs w:val="18"/>
              </w:rPr>
              <w:sym w:font="Wingdings" w:char="F0FC"/>
            </w:r>
          </w:p>
        </w:tc>
        <w:tc>
          <w:tcPr>
            <w:tcW w:w="1309" w:type="dxa"/>
          </w:tcPr>
          <w:p w:rsidR="00720B5E" w:rsidRPr="00741181" w:rsidRDefault="00720B5E" w:rsidP="00741181">
            <w:pPr>
              <w:rPr>
                <w:sz w:val="18"/>
                <w:szCs w:val="18"/>
              </w:rPr>
            </w:pPr>
            <w:r w:rsidRPr="00741181">
              <w:rPr>
                <w:sz w:val="18"/>
                <w:szCs w:val="18"/>
              </w:rPr>
              <w:t>–</w:t>
            </w:r>
          </w:p>
        </w:tc>
        <w:tc>
          <w:tcPr>
            <w:tcW w:w="916" w:type="dxa"/>
          </w:tcPr>
          <w:p w:rsidR="00720B5E" w:rsidRPr="00741181" w:rsidRDefault="00720B5E" w:rsidP="00741181">
            <w:pPr>
              <w:rPr>
                <w:sz w:val="18"/>
                <w:szCs w:val="18"/>
              </w:rPr>
            </w:pPr>
            <w:r w:rsidRPr="00741181">
              <w:rPr>
                <w:sz w:val="18"/>
                <w:szCs w:val="18"/>
              </w:rPr>
              <w:sym w:font="Wingdings" w:char="F0FC"/>
            </w:r>
          </w:p>
        </w:tc>
        <w:tc>
          <w:tcPr>
            <w:tcW w:w="916" w:type="dxa"/>
          </w:tcPr>
          <w:p w:rsidR="00720B5E" w:rsidRPr="00741181" w:rsidRDefault="00720B5E" w:rsidP="00741181">
            <w:pPr>
              <w:rPr>
                <w:sz w:val="18"/>
                <w:szCs w:val="18"/>
              </w:rPr>
            </w:pPr>
            <w:r w:rsidRPr="00741181">
              <w:rPr>
                <w:sz w:val="18"/>
                <w:szCs w:val="18"/>
              </w:rPr>
              <w:t>–</w:t>
            </w:r>
          </w:p>
        </w:tc>
      </w:tr>
      <w:tr w:rsidR="00720B5E" w:rsidRPr="00741181" w:rsidTr="00B2498D">
        <w:trPr>
          <w:trHeight w:val="178"/>
        </w:trPr>
        <w:tc>
          <w:tcPr>
            <w:tcW w:w="1409" w:type="dxa"/>
            <w:vMerge/>
          </w:tcPr>
          <w:p w:rsidR="00720B5E" w:rsidRPr="00741181" w:rsidRDefault="00720B5E" w:rsidP="00741181">
            <w:pPr>
              <w:rPr>
                <w:sz w:val="18"/>
                <w:szCs w:val="18"/>
              </w:rPr>
            </w:pPr>
          </w:p>
        </w:tc>
        <w:tc>
          <w:tcPr>
            <w:tcW w:w="2749" w:type="dxa"/>
          </w:tcPr>
          <w:p w:rsidR="00720B5E" w:rsidRPr="00741181" w:rsidRDefault="00720B5E" w:rsidP="00741181">
            <w:pPr>
              <w:rPr>
                <w:sz w:val="18"/>
                <w:szCs w:val="18"/>
              </w:rPr>
            </w:pPr>
            <w:r w:rsidRPr="00741181">
              <w:rPr>
                <w:sz w:val="18"/>
                <w:szCs w:val="18"/>
              </w:rPr>
              <w:t>Use in Hepatitis B/Hepatitis C infected patients</w:t>
            </w:r>
          </w:p>
        </w:tc>
        <w:tc>
          <w:tcPr>
            <w:tcW w:w="1177" w:type="dxa"/>
          </w:tcPr>
          <w:p w:rsidR="00720B5E" w:rsidRPr="00741181" w:rsidRDefault="00720B5E" w:rsidP="00741181">
            <w:pPr>
              <w:rPr>
                <w:sz w:val="18"/>
                <w:szCs w:val="18"/>
              </w:rPr>
            </w:pPr>
            <w:r w:rsidRPr="00741181">
              <w:rPr>
                <w:sz w:val="18"/>
                <w:szCs w:val="18"/>
              </w:rPr>
              <w:sym w:font="Wingdings" w:char="F0FC"/>
            </w:r>
          </w:p>
        </w:tc>
        <w:tc>
          <w:tcPr>
            <w:tcW w:w="1309" w:type="dxa"/>
          </w:tcPr>
          <w:p w:rsidR="00720B5E" w:rsidRPr="00741181" w:rsidRDefault="00720B5E" w:rsidP="00741181">
            <w:pPr>
              <w:rPr>
                <w:sz w:val="18"/>
                <w:szCs w:val="18"/>
              </w:rPr>
            </w:pPr>
            <w:r w:rsidRPr="00741181">
              <w:rPr>
                <w:sz w:val="18"/>
                <w:szCs w:val="18"/>
              </w:rPr>
              <w:t>–</w:t>
            </w:r>
          </w:p>
        </w:tc>
        <w:tc>
          <w:tcPr>
            <w:tcW w:w="916" w:type="dxa"/>
          </w:tcPr>
          <w:p w:rsidR="00720B5E" w:rsidRPr="00741181" w:rsidRDefault="00720B5E" w:rsidP="00741181">
            <w:pPr>
              <w:rPr>
                <w:sz w:val="18"/>
                <w:szCs w:val="18"/>
              </w:rPr>
            </w:pPr>
            <w:r w:rsidRPr="00741181">
              <w:rPr>
                <w:sz w:val="18"/>
                <w:szCs w:val="18"/>
              </w:rPr>
              <w:sym w:font="Wingdings" w:char="F0FC"/>
            </w:r>
          </w:p>
        </w:tc>
        <w:tc>
          <w:tcPr>
            <w:tcW w:w="916" w:type="dxa"/>
          </w:tcPr>
          <w:p w:rsidR="00720B5E" w:rsidRPr="00741181" w:rsidRDefault="00720B5E" w:rsidP="00741181">
            <w:pPr>
              <w:rPr>
                <w:sz w:val="18"/>
                <w:szCs w:val="18"/>
              </w:rPr>
            </w:pPr>
            <w:r w:rsidRPr="00741181">
              <w:rPr>
                <w:sz w:val="18"/>
                <w:szCs w:val="18"/>
              </w:rPr>
              <w:t>–</w:t>
            </w:r>
          </w:p>
        </w:tc>
      </w:tr>
      <w:tr w:rsidR="00720B5E" w:rsidRPr="00741181" w:rsidTr="00B2498D">
        <w:trPr>
          <w:trHeight w:val="139"/>
        </w:trPr>
        <w:tc>
          <w:tcPr>
            <w:tcW w:w="1409" w:type="dxa"/>
            <w:vMerge/>
          </w:tcPr>
          <w:p w:rsidR="00720B5E" w:rsidRPr="00741181" w:rsidRDefault="00720B5E" w:rsidP="00741181">
            <w:pPr>
              <w:rPr>
                <w:sz w:val="18"/>
                <w:szCs w:val="18"/>
              </w:rPr>
            </w:pPr>
          </w:p>
        </w:tc>
        <w:tc>
          <w:tcPr>
            <w:tcW w:w="2749" w:type="dxa"/>
          </w:tcPr>
          <w:p w:rsidR="00720B5E" w:rsidRPr="00741181" w:rsidRDefault="00720B5E" w:rsidP="00741181">
            <w:pPr>
              <w:rPr>
                <w:sz w:val="18"/>
                <w:szCs w:val="18"/>
              </w:rPr>
            </w:pPr>
            <w:r w:rsidRPr="00741181">
              <w:rPr>
                <w:sz w:val="18"/>
                <w:szCs w:val="18"/>
              </w:rPr>
              <w:t>Use in HIV infected patients</w:t>
            </w:r>
          </w:p>
        </w:tc>
        <w:tc>
          <w:tcPr>
            <w:tcW w:w="1177" w:type="dxa"/>
          </w:tcPr>
          <w:p w:rsidR="00720B5E" w:rsidRPr="00741181" w:rsidRDefault="00720B5E" w:rsidP="00741181">
            <w:pPr>
              <w:rPr>
                <w:sz w:val="18"/>
                <w:szCs w:val="18"/>
              </w:rPr>
            </w:pPr>
            <w:r w:rsidRPr="00741181">
              <w:rPr>
                <w:sz w:val="18"/>
                <w:szCs w:val="18"/>
              </w:rPr>
              <w:sym w:font="Wingdings" w:char="F0FC"/>
            </w:r>
          </w:p>
        </w:tc>
        <w:tc>
          <w:tcPr>
            <w:tcW w:w="1309" w:type="dxa"/>
          </w:tcPr>
          <w:p w:rsidR="00720B5E" w:rsidRPr="00741181" w:rsidRDefault="00720B5E" w:rsidP="00741181">
            <w:pPr>
              <w:rPr>
                <w:sz w:val="18"/>
                <w:szCs w:val="18"/>
              </w:rPr>
            </w:pPr>
            <w:r w:rsidRPr="00741181">
              <w:rPr>
                <w:sz w:val="18"/>
                <w:szCs w:val="18"/>
              </w:rPr>
              <w:t>–</w:t>
            </w:r>
          </w:p>
        </w:tc>
        <w:tc>
          <w:tcPr>
            <w:tcW w:w="916" w:type="dxa"/>
          </w:tcPr>
          <w:p w:rsidR="00720B5E" w:rsidRPr="00741181" w:rsidRDefault="00720B5E" w:rsidP="00741181">
            <w:pPr>
              <w:rPr>
                <w:sz w:val="18"/>
                <w:szCs w:val="18"/>
              </w:rPr>
            </w:pPr>
            <w:r w:rsidRPr="00741181">
              <w:rPr>
                <w:sz w:val="18"/>
                <w:szCs w:val="18"/>
              </w:rPr>
              <w:sym w:font="Wingdings" w:char="F0FC"/>
            </w:r>
          </w:p>
        </w:tc>
        <w:tc>
          <w:tcPr>
            <w:tcW w:w="916" w:type="dxa"/>
          </w:tcPr>
          <w:p w:rsidR="00720B5E" w:rsidRPr="00741181" w:rsidRDefault="00720B5E" w:rsidP="00741181">
            <w:pPr>
              <w:rPr>
                <w:sz w:val="18"/>
                <w:szCs w:val="18"/>
              </w:rPr>
            </w:pPr>
          </w:p>
        </w:tc>
      </w:tr>
      <w:tr w:rsidR="00720B5E" w:rsidRPr="00741181" w:rsidTr="00B2498D">
        <w:trPr>
          <w:trHeight w:val="149"/>
        </w:trPr>
        <w:tc>
          <w:tcPr>
            <w:tcW w:w="1409" w:type="dxa"/>
            <w:vMerge/>
          </w:tcPr>
          <w:p w:rsidR="00720B5E" w:rsidRPr="00741181" w:rsidRDefault="00720B5E" w:rsidP="00741181">
            <w:pPr>
              <w:rPr>
                <w:sz w:val="18"/>
                <w:szCs w:val="18"/>
              </w:rPr>
            </w:pPr>
          </w:p>
        </w:tc>
        <w:tc>
          <w:tcPr>
            <w:tcW w:w="2749" w:type="dxa"/>
          </w:tcPr>
          <w:p w:rsidR="00720B5E" w:rsidRPr="00741181" w:rsidRDefault="00720B5E" w:rsidP="00741181">
            <w:pPr>
              <w:rPr>
                <w:sz w:val="18"/>
                <w:szCs w:val="18"/>
              </w:rPr>
            </w:pPr>
            <w:r w:rsidRPr="00741181">
              <w:rPr>
                <w:sz w:val="18"/>
                <w:szCs w:val="18"/>
              </w:rPr>
              <w:t>Immunoglobulins levels following sarilumab treatment</w:t>
            </w:r>
          </w:p>
        </w:tc>
        <w:tc>
          <w:tcPr>
            <w:tcW w:w="1177" w:type="dxa"/>
          </w:tcPr>
          <w:p w:rsidR="00720B5E" w:rsidRPr="00741181" w:rsidRDefault="00720B5E" w:rsidP="00741181">
            <w:pPr>
              <w:rPr>
                <w:sz w:val="18"/>
                <w:szCs w:val="18"/>
              </w:rPr>
            </w:pPr>
            <w:r w:rsidRPr="00741181">
              <w:rPr>
                <w:sz w:val="18"/>
                <w:szCs w:val="18"/>
              </w:rPr>
              <w:sym w:font="Wingdings" w:char="F0FC"/>
            </w:r>
          </w:p>
        </w:tc>
        <w:tc>
          <w:tcPr>
            <w:tcW w:w="1309" w:type="dxa"/>
          </w:tcPr>
          <w:p w:rsidR="00720B5E" w:rsidRPr="00741181" w:rsidRDefault="00720B5E" w:rsidP="00741181">
            <w:pPr>
              <w:rPr>
                <w:sz w:val="18"/>
                <w:szCs w:val="18"/>
              </w:rPr>
            </w:pPr>
            <w:r w:rsidRPr="00741181">
              <w:rPr>
                <w:sz w:val="18"/>
                <w:szCs w:val="18"/>
              </w:rPr>
              <w:t>–</w:t>
            </w:r>
          </w:p>
        </w:tc>
        <w:tc>
          <w:tcPr>
            <w:tcW w:w="916" w:type="dxa"/>
          </w:tcPr>
          <w:p w:rsidR="00720B5E" w:rsidRPr="00741181" w:rsidRDefault="00720B5E" w:rsidP="00741181">
            <w:pPr>
              <w:rPr>
                <w:sz w:val="18"/>
                <w:szCs w:val="18"/>
              </w:rPr>
            </w:pPr>
            <w:r w:rsidRPr="00741181">
              <w:rPr>
                <w:sz w:val="18"/>
                <w:szCs w:val="18"/>
              </w:rPr>
              <w:sym w:font="Wingdings" w:char="F0FC"/>
            </w:r>
          </w:p>
        </w:tc>
        <w:tc>
          <w:tcPr>
            <w:tcW w:w="916" w:type="dxa"/>
          </w:tcPr>
          <w:p w:rsidR="00720B5E" w:rsidRPr="00741181" w:rsidRDefault="00720B5E" w:rsidP="00741181">
            <w:pPr>
              <w:rPr>
                <w:sz w:val="18"/>
                <w:szCs w:val="18"/>
              </w:rPr>
            </w:pPr>
          </w:p>
        </w:tc>
      </w:tr>
      <w:tr w:rsidR="00720B5E" w:rsidRPr="00741181" w:rsidTr="00B2498D">
        <w:trPr>
          <w:trHeight w:val="129"/>
        </w:trPr>
        <w:tc>
          <w:tcPr>
            <w:tcW w:w="1409" w:type="dxa"/>
            <w:vMerge/>
          </w:tcPr>
          <w:p w:rsidR="00720B5E" w:rsidRPr="00741181" w:rsidRDefault="00720B5E" w:rsidP="00741181">
            <w:pPr>
              <w:rPr>
                <w:sz w:val="18"/>
                <w:szCs w:val="18"/>
              </w:rPr>
            </w:pPr>
          </w:p>
        </w:tc>
        <w:tc>
          <w:tcPr>
            <w:tcW w:w="2749" w:type="dxa"/>
          </w:tcPr>
          <w:p w:rsidR="00720B5E" w:rsidRPr="00741181" w:rsidRDefault="00720B5E" w:rsidP="00741181">
            <w:pPr>
              <w:rPr>
                <w:sz w:val="18"/>
                <w:szCs w:val="18"/>
              </w:rPr>
            </w:pPr>
            <w:r w:rsidRPr="00741181">
              <w:rPr>
                <w:sz w:val="18"/>
                <w:szCs w:val="18"/>
              </w:rPr>
              <w:t>Use of vaccination in patients receiving sarilumab</w:t>
            </w:r>
          </w:p>
        </w:tc>
        <w:tc>
          <w:tcPr>
            <w:tcW w:w="1177" w:type="dxa"/>
          </w:tcPr>
          <w:p w:rsidR="00720B5E" w:rsidRPr="00741181" w:rsidRDefault="00720B5E" w:rsidP="00741181">
            <w:pPr>
              <w:rPr>
                <w:sz w:val="18"/>
                <w:szCs w:val="18"/>
              </w:rPr>
            </w:pPr>
            <w:r w:rsidRPr="00741181">
              <w:rPr>
                <w:sz w:val="18"/>
                <w:szCs w:val="18"/>
              </w:rPr>
              <w:sym w:font="Wingdings" w:char="F0FC"/>
            </w:r>
          </w:p>
        </w:tc>
        <w:tc>
          <w:tcPr>
            <w:tcW w:w="1309" w:type="dxa"/>
          </w:tcPr>
          <w:p w:rsidR="00720B5E" w:rsidRPr="00741181" w:rsidRDefault="00720B5E" w:rsidP="00741181">
            <w:pPr>
              <w:rPr>
                <w:sz w:val="18"/>
                <w:szCs w:val="18"/>
              </w:rPr>
            </w:pPr>
            <w:r w:rsidRPr="00741181">
              <w:rPr>
                <w:sz w:val="18"/>
                <w:szCs w:val="18"/>
              </w:rPr>
              <w:t>–</w:t>
            </w:r>
          </w:p>
        </w:tc>
        <w:tc>
          <w:tcPr>
            <w:tcW w:w="916" w:type="dxa"/>
          </w:tcPr>
          <w:p w:rsidR="00720B5E" w:rsidRPr="00741181" w:rsidRDefault="00720B5E" w:rsidP="00741181">
            <w:pPr>
              <w:rPr>
                <w:sz w:val="18"/>
                <w:szCs w:val="18"/>
              </w:rPr>
            </w:pPr>
            <w:r w:rsidRPr="00741181">
              <w:rPr>
                <w:sz w:val="18"/>
                <w:szCs w:val="18"/>
              </w:rPr>
              <w:sym w:font="Wingdings" w:char="F0FC"/>
            </w:r>
          </w:p>
        </w:tc>
        <w:tc>
          <w:tcPr>
            <w:tcW w:w="916" w:type="dxa"/>
          </w:tcPr>
          <w:p w:rsidR="00720B5E" w:rsidRPr="00741181" w:rsidRDefault="00720B5E" w:rsidP="00741181">
            <w:pPr>
              <w:rPr>
                <w:sz w:val="18"/>
                <w:szCs w:val="18"/>
              </w:rPr>
            </w:pPr>
            <w:r w:rsidRPr="00741181">
              <w:rPr>
                <w:sz w:val="18"/>
                <w:szCs w:val="18"/>
              </w:rPr>
              <w:t>–</w:t>
            </w:r>
          </w:p>
        </w:tc>
      </w:tr>
      <w:tr w:rsidR="00720B5E" w:rsidRPr="00741181" w:rsidTr="00B2498D">
        <w:trPr>
          <w:trHeight w:val="168"/>
        </w:trPr>
        <w:tc>
          <w:tcPr>
            <w:tcW w:w="1409" w:type="dxa"/>
            <w:vMerge/>
          </w:tcPr>
          <w:p w:rsidR="00720B5E" w:rsidRPr="00741181" w:rsidRDefault="00720B5E" w:rsidP="00741181">
            <w:pPr>
              <w:rPr>
                <w:sz w:val="18"/>
                <w:szCs w:val="18"/>
              </w:rPr>
            </w:pPr>
          </w:p>
        </w:tc>
        <w:tc>
          <w:tcPr>
            <w:tcW w:w="2749" w:type="dxa"/>
          </w:tcPr>
          <w:p w:rsidR="00720B5E" w:rsidRPr="00741181" w:rsidRDefault="00720B5E" w:rsidP="00741181">
            <w:pPr>
              <w:rPr>
                <w:sz w:val="18"/>
                <w:szCs w:val="18"/>
              </w:rPr>
            </w:pPr>
            <w:r w:rsidRPr="00741181">
              <w:rPr>
                <w:sz w:val="18"/>
                <w:szCs w:val="18"/>
              </w:rPr>
              <w:t>Depression*</w:t>
            </w:r>
          </w:p>
        </w:tc>
        <w:tc>
          <w:tcPr>
            <w:tcW w:w="1177" w:type="dxa"/>
          </w:tcPr>
          <w:p w:rsidR="00720B5E" w:rsidRPr="00741181" w:rsidRDefault="00720B5E" w:rsidP="00741181">
            <w:pPr>
              <w:rPr>
                <w:sz w:val="18"/>
                <w:szCs w:val="18"/>
              </w:rPr>
            </w:pPr>
            <w:r w:rsidRPr="00741181">
              <w:rPr>
                <w:sz w:val="18"/>
                <w:szCs w:val="18"/>
              </w:rPr>
              <w:sym w:font="Wingdings" w:char="F0FC"/>
            </w:r>
          </w:p>
        </w:tc>
        <w:tc>
          <w:tcPr>
            <w:tcW w:w="1309" w:type="dxa"/>
          </w:tcPr>
          <w:p w:rsidR="00720B5E" w:rsidRPr="00741181" w:rsidRDefault="00720B5E" w:rsidP="00741181">
            <w:pPr>
              <w:rPr>
                <w:sz w:val="18"/>
                <w:szCs w:val="18"/>
              </w:rPr>
            </w:pPr>
            <w:r w:rsidRPr="00741181">
              <w:rPr>
                <w:sz w:val="18"/>
                <w:szCs w:val="18"/>
              </w:rPr>
              <w:t>–</w:t>
            </w:r>
          </w:p>
        </w:tc>
        <w:tc>
          <w:tcPr>
            <w:tcW w:w="916" w:type="dxa"/>
          </w:tcPr>
          <w:p w:rsidR="00720B5E" w:rsidRPr="00741181" w:rsidRDefault="00720B5E" w:rsidP="00741181">
            <w:pPr>
              <w:rPr>
                <w:sz w:val="18"/>
                <w:szCs w:val="18"/>
              </w:rPr>
            </w:pPr>
            <w:r w:rsidRPr="00741181">
              <w:rPr>
                <w:sz w:val="18"/>
                <w:szCs w:val="18"/>
              </w:rPr>
              <w:t>–</w:t>
            </w:r>
          </w:p>
        </w:tc>
        <w:tc>
          <w:tcPr>
            <w:tcW w:w="916" w:type="dxa"/>
          </w:tcPr>
          <w:p w:rsidR="00720B5E" w:rsidRPr="00741181" w:rsidRDefault="00720B5E" w:rsidP="00741181">
            <w:pPr>
              <w:rPr>
                <w:sz w:val="18"/>
                <w:szCs w:val="18"/>
              </w:rPr>
            </w:pPr>
            <w:r w:rsidRPr="00741181">
              <w:rPr>
                <w:sz w:val="18"/>
                <w:szCs w:val="18"/>
              </w:rPr>
              <w:t>–</w:t>
            </w:r>
          </w:p>
        </w:tc>
      </w:tr>
      <w:tr w:rsidR="00720B5E" w:rsidRPr="00741181" w:rsidTr="00B2498D">
        <w:trPr>
          <w:trHeight w:val="79"/>
        </w:trPr>
        <w:tc>
          <w:tcPr>
            <w:tcW w:w="1409" w:type="dxa"/>
            <w:vMerge/>
          </w:tcPr>
          <w:p w:rsidR="00720B5E" w:rsidRPr="00741181" w:rsidRDefault="00720B5E" w:rsidP="00741181">
            <w:pPr>
              <w:rPr>
                <w:sz w:val="18"/>
                <w:szCs w:val="18"/>
              </w:rPr>
            </w:pPr>
          </w:p>
        </w:tc>
        <w:tc>
          <w:tcPr>
            <w:tcW w:w="2749" w:type="dxa"/>
          </w:tcPr>
          <w:p w:rsidR="00720B5E" w:rsidRPr="00741181" w:rsidRDefault="00720B5E" w:rsidP="00741181">
            <w:pPr>
              <w:rPr>
                <w:sz w:val="18"/>
                <w:szCs w:val="18"/>
                <w:u w:val="single"/>
              </w:rPr>
            </w:pPr>
            <w:r w:rsidRPr="00741181">
              <w:rPr>
                <w:sz w:val="18"/>
                <w:szCs w:val="18"/>
                <w:u w:val="single"/>
              </w:rPr>
              <w:t>Long-term safety in patients switching to/from other drugs in the anti-</w:t>
            </w:r>
            <w:r w:rsidR="007A4EEA">
              <w:rPr>
                <w:sz w:val="18"/>
                <w:szCs w:val="18"/>
                <w:u w:val="single"/>
              </w:rPr>
              <w:t>IL-6</w:t>
            </w:r>
            <w:r w:rsidRPr="00741181">
              <w:rPr>
                <w:sz w:val="18"/>
                <w:szCs w:val="18"/>
                <w:u w:val="single"/>
              </w:rPr>
              <w:t xml:space="preserve"> class*</w:t>
            </w:r>
          </w:p>
        </w:tc>
        <w:tc>
          <w:tcPr>
            <w:tcW w:w="1177" w:type="dxa"/>
          </w:tcPr>
          <w:p w:rsidR="00720B5E" w:rsidRPr="00741181" w:rsidRDefault="00720B5E" w:rsidP="00741181">
            <w:pPr>
              <w:rPr>
                <w:sz w:val="18"/>
                <w:szCs w:val="18"/>
              </w:rPr>
            </w:pPr>
            <w:r w:rsidRPr="00741181">
              <w:rPr>
                <w:sz w:val="18"/>
                <w:szCs w:val="18"/>
              </w:rPr>
              <w:sym w:font="Wingdings" w:char="F0FC"/>
            </w:r>
          </w:p>
        </w:tc>
        <w:tc>
          <w:tcPr>
            <w:tcW w:w="1309" w:type="dxa"/>
          </w:tcPr>
          <w:p w:rsidR="00720B5E" w:rsidRPr="00741181" w:rsidRDefault="00720B5E" w:rsidP="00741181">
            <w:pPr>
              <w:rPr>
                <w:sz w:val="18"/>
                <w:szCs w:val="18"/>
              </w:rPr>
            </w:pPr>
            <w:r w:rsidRPr="00741181">
              <w:rPr>
                <w:sz w:val="18"/>
                <w:szCs w:val="18"/>
              </w:rPr>
              <w:sym w:font="Wingdings" w:char="F0FC"/>
            </w:r>
          </w:p>
        </w:tc>
        <w:tc>
          <w:tcPr>
            <w:tcW w:w="916" w:type="dxa"/>
          </w:tcPr>
          <w:p w:rsidR="00720B5E" w:rsidRPr="00741181" w:rsidRDefault="00720B5E" w:rsidP="00741181">
            <w:pPr>
              <w:rPr>
                <w:sz w:val="18"/>
                <w:szCs w:val="18"/>
              </w:rPr>
            </w:pPr>
            <w:r w:rsidRPr="00741181">
              <w:rPr>
                <w:sz w:val="18"/>
                <w:szCs w:val="18"/>
              </w:rPr>
              <w:sym w:font="Wingdings" w:char="F0FC"/>
            </w:r>
          </w:p>
        </w:tc>
        <w:tc>
          <w:tcPr>
            <w:tcW w:w="916" w:type="dxa"/>
          </w:tcPr>
          <w:p w:rsidR="00720B5E" w:rsidRPr="00741181" w:rsidRDefault="00720B5E" w:rsidP="00741181">
            <w:pPr>
              <w:rPr>
                <w:sz w:val="18"/>
                <w:szCs w:val="18"/>
              </w:rPr>
            </w:pPr>
            <w:r w:rsidRPr="00741181">
              <w:rPr>
                <w:sz w:val="18"/>
                <w:szCs w:val="18"/>
              </w:rPr>
              <w:t>–</w:t>
            </w:r>
          </w:p>
        </w:tc>
      </w:tr>
    </w:tbl>
    <w:p w:rsidR="00AA6B20" w:rsidRDefault="00720B5E" w:rsidP="00741181">
      <w:pPr>
        <w:pStyle w:val="TableDescription"/>
      </w:pPr>
      <w:r w:rsidRPr="00D2090E">
        <w:t xml:space="preserve">* </w:t>
      </w:r>
      <w:r w:rsidRPr="00793333">
        <w:t>Included in the ASA only.</w:t>
      </w:r>
    </w:p>
    <w:p w:rsidR="00720B5E" w:rsidRPr="00853B5A" w:rsidRDefault="00720B5E" w:rsidP="00F2151A">
      <w:r w:rsidRPr="00853B5A">
        <w:t xml:space="preserve">Additional pharmacovigilance activities include </w:t>
      </w:r>
      <w:r w:rsidRPr="00427066">
        <w:t xml:space="preserve">a </w:t>
      </w:r>
      <w:r w:rsidR="00741181">
        <w:t>P</w:t>
      </w:r>
      <w:r w:rsidRPr="00427066">
        <w:t xml:space="preserve">regnancy registry (North America only) and a surveillance program using existing EU rheumatoid arthritis registries which is acceptable. However, it is recommended the </w:t>
      </w:r>
      <w:r w:rsidR="00741181">
        <w:t>s</w:t>
      </w:r>
      <w:r w:rsidRPr="00427066">
        <w:t xml:space="preserve">ponsor consider a survey to measure </w:t>
      </w:r>
      <w:r w:rsidRPr="00853B5A">
        <w:t>effectiveness of additional</w:t>
      </w:r>
      <w:r w:rsidR="00741181">
        <w:t xml:space="preserve"> risk minimisation activities (that is, </w:t>
      </w:r>
      <w:r w:rsidRPr="00853B5A">
        <w:t xml:space="preserve">the </w:t>
      </w:r>
      <w:r w:rsidR="00741181">
        <w:t xml:space="preserve">Healthcare </w:t>
      </w:r>
      <w:r w:rsidR="00DE3146">
        <w:t xml:space="preserve">Provider </w:t>
      </w:r>
      <w:r w:rsidR="00741181">
        <w:t>(</w:t>
      </w:r>
      <w:r w:rsidRPr="00853B5A">
        <w:t>HCP</w:t>
      </w:r>
      <w:r w:rsidR="00741181">
        <w:t>)</w:t>
      </w:r>
      <w:r w:rsidRPr="00853B5A">
        <w:t xml:space="preserve"> Prescriber Guide).</w:t>
      </w:r>
    </w:p>
    <w:p w:rsidR="00720B5E" w:rsidRPr="00853B5A" w:rsidRDefault="00741181" w:rsidP="00F2151A">
      <w:r>
        <w:t>T</w:t>
      </w:r>
      <w:r w:rsidR="00720B5E" w:rsidRPr="00853B5A">
        <w:t xml:space="preserve">he </w:t>
      </w:r>
      <w:r>
        <w:t>s</w:t>
      </w:r>
      <w:r w:rsidR="00720B5E" w:rsidRPr="00853B5A">
        <w:t xml:space="preserve">ponsor </w:t>
      </w:r>
      <w:r>
        <w:t xml:space="preserve">has </w:t>
      </w:r>
      <w:r w:rsidR="00720B5E" w:rsidRPr="00853B5A">
        <w:t xml:space="preserve">adequately described their process for monitoring the distribution of additional risk minimisation materials. The </w:t>
      </w:r>
      <w:r>
        <w:t>s</w:t>
      </w:r>
      <w:r w:rsidR="00720B5E" w:rsidRPr="00853B5A">
        <w:t>ponsor also has proposed routine pharmacovigilance to monitor the effectiveness of the additional risk minimisation activities. This is acceptable as sarilumab is not the first monoclonal antibody used to treat rheumatoid arthritis that has additional risk minimisation activities for similar safety concerns.</w:t>
      </w:r>
    </w:p>
    <w:p w:rsidR="00AA6B20" w:rsidRDefault="00720B5E" w:rsidP="00F2151A">
      <w:r w:rsidRPr="00853B5A">
        <w:t xml:space="preserve">Additional risk minimisation activities include a HCP Prescriber Guide </w:t>
      </w:r>
      <w:r w:rsidRPr="00427066">
        <w:t xml:space="preserve">(ASA only) which addresses all the Important Identified and Potential Risks except malignancy. A Patient Alert Card is also proposed. </w:t>
      </w:r>
      <w:r>
        <w:t>In response to RMP recommendations, the prescriber guide has been modified to include further information on dosing and selected risks, and both the guide and patient alert card include information regarding inclusion in the Black Triangle Scheme. B</w:t>
      </w:r>
      <w:r w:rsidRPr="00427066">
        <w:t xml:space="preserve">oth </w:t>
      </w:r>
      <w:r>
        <w:t xml:space="preserve">sets of materials </w:t>
      </w:r>
      <w:r w:rsidRPr="00427066">
        <w:t>are</w:t>
      </w:r>
      <w:r>
        <w:t xml:space="preserve"> now</w:t>
      </w:r>
      <w:r w:rsidRPr="00427066">
        <w:t xml:space="preserve"> acceptable.</w:t>
      </w:r>
    </w:p>
    <w:p w:rsidR="00720B5E" w:rsidRPr="00853B5A" w:rsidRDefault="00741181" w:rsidP="00720B5E">
      <w:pPr>
        <w:pStyle w:val="Heading4"/>
      </w:pPr>
      <w:bookmarkStart w:id="227" w:name="_Toc521581753"/>
      <w:r>
        <w:t>R</w:t>
      </w:r>
      <w:r w:rsidR="00720B5E" w:rsidRPr="00853B5A">
        <w:t>ecommendations</w:t>
      </w:r>
      <w:bookmarkEnd w:id="227"/>
      <w:r>
        <w:t xml:space="preserve"> and proposed wording for conditions of registration</w:t>
      </w:r>
    </w:p>
    <w:p w:rsidR="00AA6B20" w:rsidRDefault="00720B5E" w:rsidP="00F2151A">
      <w:r w:rsidRPr="00E85577">
        <w:t xml:space="preserve">The </w:t>
      </w:r>
      <w:r w:rsidR="00741181">
        <w:t>s</w:t>
      </w:r>
      <w:r w:rsidRPr="00E85577">
        <w:t xml:space="preserve">ponsor has adequately addressed all the </w:t>
      </w:r>
      <w:r w:rsidR="00741181">
        <w:t xml:space="preserve">first </w:t>
      </w:r>
      <w:r w:rsidRPr="00E85577">
        <w:t xml:space="preserve">round and </w:t>
      </w:r>
      <w:r w:rsidR="00741181">
        <w:t xml:space="preserve">second </w:t>
      </w:r>
      <w:r w:rsidRPr="00E85577">
        <w:t>round recommendations.</w:t>
      </w:r>
    </w:p>
    <w:p w:rsidR="00720B5E" w:rsidRPr="00141CB3" w:rsidRDefault="00720B5E" w:rsidP="00741181">
      <w:pPr>
        <w:pStyle w:val="Heading5"/>
      </w:pPr>
      <w:bookmarkStart w:id="228" w:name="_Toc521581754"/>
      <w:r w:rsidRPr="00141CB3">
        <w:lastRenderedPageBreak/>
        <w:t>Wording for conditions of registration</w:t>
      </w:r>
      <w:bookmarkEnd w:id="228"/>
    </w:p>
    <w:p w:rsidR="00AA6B20" w:rsidRDefault="00720B5E" w:rsidP="00F2151A">
      <w:r w:rsidRPr="00141CB3">
        <w:t>Any changes to which the sponsor has agreed should be included in a revised RMP and ASA. However, irrespective of whether or not they are included in the currently available version of the RMP document, the agreed changes become part of the risk management system.</w:t>
      </w:r>
    </w:p>
    <w:p w:rsidR="00AA6B20" w:rsidRDefault="00720B5E" w:rsidP="00F2151A">
      <w:r w:rsidRPr="00141CB3">
        <w:t>The suggested wording is:</w:t>
      </w:r>
    </w:p>
    <w:p w:rsidR="00720B5E" w:rsidRPr="00F2151A" w:rsidRDefault="00720B5E" w:rsidP="00F2151A">
      <w:pPr>
        <w:ind w:left="720"/>
        <w:rPr>
          <w:i/>
        </w:rPr>
      </w:pPr>
      <w:r w:rsidRPr="00F2151A">
        <w:rPr>
          <w:i/>
        </w:rPr>
        <w:t xml:space="preserve">The </w:t>
      </w:r>
      <w:r w:rsidR="00DE3146" w:rsidRPr="00DB5136">
        <w:rPr>
          <w:i/>
        </w:rPr>
        <w:t>Kevzara</w:t>
      </w:r>
      <w:r w:rsidRPr="00F2151A">
        <w:rPr>
          <w:i/>
        </w:rPr>
        <w:t xml:space="preserve"> EU-Risk Management Plan (RMP) (version 1.2, dated 21 April 2017, data lock point 17 February 2016), with Australian Specific Annex (version 4.1, dated 17 July 2018), included with submission PM-2017-03119-1-3, and any subsequent revisions, as agreed with the TGA will be implemented in Australia.</w:t>
      </w:r>
    </w:p>
    <w:p w:rsidR="00720B5E" w:rsidRPr="00141CB3" w:rsidRDefault="00720B5E" w:rsidP="00F2151A">
      <w:r w:rsidRPr="00141CB3">
        <w:t xml:space="preserve">The following wording is recommended for the </w:t>
      </w:r>
      <w:r w:rsidR="0027047D">
        <w:t>Periodic Safety Update Report (</w:t>
      </w:r>
      <w:r w:rsidRPr="00141CB3">
        <w:t>PSUR</w:t>
      </w:r>
      <w:r w:rsidR="0027047D">
        <w:t>)</w:t>
      </w:r>
      <w:r w:rsidRPr="00141CB3">
        <w:t xml:space="preserve"> requirement:</w:t>
      </w:r>
    </w:p>
    <w:p w:rsidR="00AA6B20" w:rsidRDefault="00720B5E" w:rsidP="00F2151A">
      <w:pPr>
        <w:ind w:left="720"/>
        <w:rPr>
          <w:i/>
        </w:rPr>
      </w:pPr>
      <w:r w:rsidRPr="00F2151A">
        <w:rPr>
          <w:i/>
        </w:rPr>
        <w:t>An obligatory component of risk management plans is routine pharmacovigilance. Routine pharmacovigilance includes the submission of Periodic Safety Update Reports (PSURs).</w:t>
      </w:r>
    </w:p>
    <w:p w:rsidR="00AA6B20" w:rsidRDefault="00720B5E" w:rsidP="00F2151A">
      <w:pPr>
        <w:ind w:left="720"/>
        <w:rPr>
          <w:i/>
        </w:rPr>
      </w:pPr>
      <w:r w:rsidRPr="00F2151A">
        <w:rPr>
          <w:i/>
        </w:rPr>
        <w:t>Reports are to be provided in line with the current published list of EU reference dates and frequency of submission of PSURs until the period covered by such reports is not less than three years from the date of this approval letter.</w:t>
      </w:r>
    </w:p>
    <w:p w:rsidR="00720B5E" w:rsidRPr="00F2151A" w:rsidRDefault="00720B5E" w:rsidP="00F2151A">
      <w:pPr>
        <w:ind w:left="720"/>
        <w:rPr>
          <w:i/>
        </w:rPr>
      </w:pPr>
      <w:r w:rsidRPr="00F2151A">
        <w:rPr>
          <w:i/>
        </w:rPr>
        <w:t>The reports are to at least meet the requirements for PSURs as described in the European Medicines Agency’s Guideline on good pharmacovigilance practices (GVP) Module VII-Periodic Safety Update Report (Rev 1), Part VII.B Structures and processes. Note that submission of a PSUR does not constitute an application to vary the registration. Each report must have been prepared within ninety calendar days of the data lock point for that report.</w:t>
      </w:r>
    </w:p>
    <w:p w:rsidR="00AA6B20" w:rsidRDefault="00720B5E" w:rsidP="00F2151A">
      <w:r w:rsidRPr="00141CB3">
        <w:t xml:space="preserve">As </w:t>
      </w:r>
      <w:r w:rsidRPr="00B35865">
        <w:t>Kevzara</w:t>
      </w:r>
      <w:r w:rsidRPr="00141CB3">
        <w:t xml:space="preserve"> is a new biological entity it should be included in the Black Triangle Scheme as a condition of registration. The following wording is recommended for the condition of registration:</w:t>
      </w:r>
    </w:p>
    <w:p w:rsidR="00720B5E" w:rsidRPr="00F2151A" w:rsidRDefault="00720B5E" w:rsidP="00F2151A">
      <w:pPr>
        <w:ind w:left="720"/>
        <w:rPr>
          <w:i/>
        </w:rPr>
      </w:pPr>
      <w:r w:rsidRPr="007F1BEB">
        <w:rPr>
          <w:i/>
        </w:rPr>
        <w:t>Kevzara</w:t>
      </w:r>
      <w:r w:rsidRPr="00F2151A">
        <w:rPr>
          <w:i/>
        </w:rPr>
        <w:t xml:space="preserve"> (sarilumab) is to be included in the Black Triangle Scheme. The PI and CMI for </w:t>
      </w:r>
      <w:r w:rsidRPr="007F1BEB">
        <w:rPr>
          <w:i/>
        </w:rPr>
        <w:t>Kevzara</w:t>
      </w:r>
      <w:r w:rsidRPr="00F2151A">
        <w:rPr>
          <w:i/>
        </w:rPr>
        <w:t xml:space="preserve"> must include the </w:t>
      </w:r>
      <w:r w:rsidR="0057307A" w:rsidRPr="00F2151A">
        <w:rPr>
          <w:i/>
        </w:rPr>
        <w:t xml:space="preserve">Black Triangle </w:t>
      </w:r>
      <w:r w:rsidRPr="00F2151A">
        <w:rPr>
          <w:i/>
        </w:rPr>
        <w:t>symbol and mandatory accompanying text for five years, which starts from the date that the sponsor notifies the TGA of supply of the product.</w:t>
      </w:r>
    </w:p>
    <w:p w:rsidR="008E7846" w:rsidRPr="00792A32" w:rsidRDefault="008E7846" w:rsidP="008E7846">
      <w:pPr>
        <w:pStyle w:val="Heading2"/>
      </w:pPr>
      <w:bookmarkStart w:id="229" w:name="_Toc247691527"/>
      <w:bookmarkStart w:id="230" w:name="_Toc314842510"/>
      <w:bookmarkStart w:id="231" w:name="_Toc12272164"/>
      <w:r>
        <w:t>V</w:t>
      </w:r>
      <w:r w:rsidR="00456765">
        <w:t>I</w:t>
      </w:r>
      <w:r>
        <w:t xml:space="preserve">I. </w:t>
      </w:r>
      <w:r w:rsidRPr="00792A32">
        <w:t xml:space="preserve">Overall </w:t>
      </w:r>
      <w:r>
        <w:t>c</w:t>
      </w:r>
      <w:r w:rsidRPr="00792A32">
        <w:t xml:space="preserve">onclusion and </w:t>
      </w:r>
      <w:r>
        <w:t>r</w:t>
      </w:r>
      <w:r w:rsidRPr="00792A32">
        <w:t>isk/</w:t>
      </w:r>
      <w:r>
        <w:t>b</w:t>
      </w:r>
      <w:r w:rsidRPr="00792A32">
        <w:t xml:space="preserve">enefit </w:t>
      </w:r>
      <w:r>
        <w:t>a</w:t>
      </w:r>
      <w:r w:rsidRPr="00792A32">
        <w:t>ssessment</w:t>
      </w:r>
      <w:bookmarkEnd w:id="122"/>
      <w:bookmarkEnd w:id="229"/>
      <w:bookmarkEnd w:id="230"/>
      <w:bookmarkEnd w:id="231"/>
    </w:p>
    <w:p w:rsidR="008E7846" w:rsidRDefault="008E7846" w:rsidP="008E7846">
      <w:bookmarkStart w:id="232" w:name="_Toc247691528"/>
      <w:r>
        <w:t xml:space="preserve">The submission was summarised in the following </w:t>
      </w:r>
      <w:r w:rsidRPr="00EF5C48">
        <w:t xml:space="preserve">Delegate’s </w:t>
      </w:r>
      <w:r>
        <w:t>overview</w:t>
      </w:r>
      <w:r w:rsidRPr="00EF5C48">
        <w:t xml:space="preserve"> and recommendation</w:t>
      </w:r>
      <w:r>
        <w:t>s</w:t>
      </w:r>
      <w:r w:rsidR="00DE3146">
        <w:t>.</w:t>
      </w:r>
    </w:p>
    <w:p w:rsidR="00A11AA6" w:rsidRPr="00A11AA6" w:rsidRDefault="00A11AA6" w:rsidP="00A11AA6">
      <w:pPr>
        <w:pStyle w:val="Heading3"/>
      </w:pPr>
      <w:bookmarkStart w:id="233" w:name="_Toc12272165"/>
      <w:r w:rsidRPr="00A11AA6">
        <w:t>Introduction</w:t>
      </w:r>
      <w:bookmarkEnd w:id="233"/>
    </w:p>
    <w:p w:rsidR="00A11AA6" w:rsidRPr="006806CB" w:rsidRDefault="00A11AA6" w:rsidP="00A11AA6">
      <w:pPr>
        <w:rPr>
          <w:rFonts w:asciiTheme="minorHAnsi" w:hAnsiTheme="minorHAnsi"/>
        </w:rPr>
      </w:pPr>
      <w:r w:rsidRPr="00A11AA6">
        <w:t>This request for ACM advice focuses on the new data, extension to the indications and dosing. A full evaluation of the previous clinical data is located in the initial clinical evaluation report</w:t>
      </w:r>
      <w:r w:rsidR="008A3EE5">
        <w:t>,</w:t>
      </w:r>
      <w:r w:rsidRPr="00A11AA6">
        <w:rPr>
          <w:rStyle w:val="FootnoteReference"/>
        </w:rPr>
        <w:footnoteReference w:id="24"/>
      </w:r>
      <w:r w:rsidRPr="00A11AA6">
        <w:t xml:space="preserve"> and a summary is also provided in the current clinical evaluation report. The previous requests for ACM advice also cover the initial submission.</w:t>
      </w:r>
    </w:p>
    <w:p w:rsidR="008E7846" w:rsidRDefault="008E7846" w:rsidP="008E7846">
      <w:pPr>
        <w:pStyle w:val="Heading3"/>
      </w:pPr>
      <w:bookmarkStart w:id="234" w:name="_Toc314842511"/>
      <w:bookmarkStart w:id="235" w:name="_Toc12272166"/>
      <w:r>
        <w:lastRenderedPageBreak/>
        <w:t>Quality</w:t>
      </w:r>
      <w:bookmarkEnd w:id="232"/>
      <w:bookmarkEnd w:id="234"/>
      <w:bookmarkEnd w:id="235"/>
    </w:p>
    <w:p w:rsidR="00572EFC" w:rsidRPr="00E94298" w:rsidRDefault="00572EFC" w:rsidP="00572EFC">
      <w:r w:rsidRPr="000372AC">
        <w:t xml:space="preserve">The </w:t>
      </w:r>
      <w:r w:rsidR="00525478">
        <w:t>quality</w:t>
      </w:r>
      <w:r w:rsidRPr="000372AC">
        <w:t xml:space="preserve"> evaluator has </w:t>
      </w:r>
      <w:r>
        <w:t>no objections to</w:t>
      </w:r>
      <w:r w:rsidRPr="000372AC">
        <w:t xml:space="preserve"> </w:t>
      </w:r>
      <w:r>
        <w:t>registration</w:t>
      </w:r>
      <w:r w:rsidRPr="000372AC">
        <w:t xml:space="preserve"> </w:t>
      </w:r>
      <w:r>
        <w:t>of Kevzara pre-filled syringes and pens on quality grounds including from sterility,</w:t>
      </w:r>
      <w:r w:rsidRPr="00D27DE4">
        <w:t xml:space="preserve"> endotoxin, container safety and viral safety related aspects</w:t>
      </w:r>
      <w:r>
        <w:t>.</w:t>
      </w:r>
      <w:r w:rsidR="003E7288">
        <w:t xml:space="preserve"> </w:t>
      </w:r>
      <w:r w:rsidRPr="00D27DE4">
        <w:t>Overall, sufficient evidence has been provided to demonstrate that the risks related to the manufacturing quality of Kevzara have been controlled to an acceptable level</w:t>
      </w:r>
      <w:r>
        <w:t>.</w:t>
      </w:r>
      <w:r w:rsidR="003E7288">
        <w:t xml:space="preserve"> </w:t>
      </w:r>
      <w:r>
        <w:t>There are no outstanding issues and the s</w:t>
      </w:r>
      <w:r w:rsidRPr="00D27DE4">
        <w:t xml:space="preserve">ponsor </w:t>
      </w:r>
      <w:r>
        <w:t>has provided</w:t>
      </w:r>
      <w:r w:rsidRPr="00D27DE4">
        <w:t xml:space="preserve"> an undertaking that all GMP pre-clearances will be valid at the time of product registration</w:t>
      </w:r>
      <w:r>
        <w:t>.</w:t>
      </w:r>
      <w:r w:rsidR="003E7288">
        <w:t xml:space="preserve"> </w:t>
      </w:r>
      <w:r>
        <w:t>Batch release testing and compliance with certified product details are recommended conditions of registration.</w:t>
      </w:r>
    </w:p>
    <w:p w:rsidR="008E7846" w:rsidRDefault="008E7846" w:rsidP="008E7846">
      <w:pPr>
        <w:pStyle w:val="Heading3"/>
      </w:pPr>
      <w:bookmarkStart w:id="236" w:name="_Toc314842512"/>
      <w:bookmarkStart w:id="237" w:name="_Toc12272167"/>
      <w:r>
        <w:t>Nonclinical</w:t>
      </w:r>
      <w:bookmarkEnd w:id="236"/>
      <w:bookmarkEnd w:id="237"/>
    </w:p>
    <w:p w:rsidR="00572EFC" w:rsidRPr="00D823E4" w:rsidRDefault="00572EFC" w:rsidP="00572EFC">
      <w:pPr>
        <w:rPr>
          <w:rFonts w:asciiTheme="minorHAnsi" w:hAnsiTheme="minorHAnsi"/>
        </w:rPr>
      </w:pPr>
      <w:r w:rsidRPr="00F172A3">
        <w:rPr>
          <w:rFonts w:asciiTheme="minorHAnsi" w:hAnsiTheme="minorHAnsi"/>
        </w:rPr>
        <w:t xml:space="preserve">The </w:t>
      </w:r>
      <w:r w:rsidR="00525478">
        <w:rPr>
          <w:rFonts w:asciiTheme="minorHAnsi" w:hAnsiTheme="minorHAnsi"/>
        </w:rPr>
        <w:t xml:space="preserve">nonclinical </w:t>
      </w:r>
      <w:r w:rsidRPr="00F172A3">
        <w:rPr>
          <w:rFonts w:asciiTheme="minorHAnsi" w:hAnsiTheme="minorHAnsi"/>
        </w:rPr>
        <w:t>evaluator ha</w:t>
      </w:r>
      <w:r>
        <w:rPr>
          <w:rFonts w:asciiTheme="minorHAnsi" w:hAnsiTheme="minorHAnsi"/>
        </w:rPr>
        <w:t>s</w:t>
      </w:r>
      <w:r w:rsidRPr="00F172A3">
        <w:rPr>
          <w:rFonts w:asciiTheme="minorHAnsi" w:hAnsiTheme="minorHAnsi"/>
        </w:rPr>
        <w:t xml:space="preserve"> no </w:t>
      </w:r>
      <w:r>
        <w:rPr>
          <w:rFonts w:asciiTheme="minorHAnsi" w:hAnsiTheme="minorHAnsi"/>
        </w:rPr>
        <w:t xml:space="preserve">nonclinical </w:t>
      </w:r>
      <w:r w:rsidRPr="00F172A3">
        <w:rPr>
          <w:rFonts w:asciiTheme="minorHAnsi" w:hAnsiTheme="minorHAnsi"/>
        </w:rPr>
        <w:t>objections to the registration of Kevzara.</w:t>
      </w:r>
      <w:r w:rsidR="003E7288">
        <w:rPr>
          <w:rFonts w:asciiTheme="minorHAnsi" w:hAnsiTheme="minorHAnsi"/>
        </w:rPr>
        <w:t xml:space="preserve"> </w:t>
      </w:r>
      <w:r w:rsidRPr="0070763C">
        <w:t>The pharmacology, pharmacokinetics and toxicology of sarilumab we</w:t>
      </w:r>
      <w:r w:rsidRPr="00D01CFA">
        <w:t xml:space="preserve">re adequately investigated in the </w:t>
      </w:r>
      <w:r>
        <w:t>submission</w:t>
      </w:r>
      <w:r w:rsidRPr="00D01CFA">
        <w:t xml:space="preserve"> using appropriate </w:t>
      </w:r>
      <w:r w:rsidRPr="00525478">
        <w:t>in vitro and in vivo</w:t>
      </w:r>
      <w:r w:rsidRPr="00D01CFA">
        <w:t xml:space="preserve"> </w:t>
      </w:r>
      <w:r>
        <w:t xml:space="preserve">nonclinical </w:t>
      </w:r>
      <w:r w:rsidRPr="00D01CFA">
        <w:t>models</w:t>
      </w:r>
      <w:r>
        <w:t>.</w:t>
      </w:r>
      <w:r w:rsidR="003E7288">
        <w:t xml:space="preserve"> </w:t>
      </w:r>
      <w:r>
        <w:t>The p</w:t>
      </w:r>
      <w:r w:rsidRPr="00D01CFA">
        <w:t>rimary pharmacology studies support the drug’s mechanism of action</w:t>
      </w:r>
      <w:r>
        <w:t xml:space="preserve"> however the a</w:t>
      </w:r>
      <w:r w:rsidRPr="00D01CFA">
        <w:t>ctivity of sarilumab in animal models of rheumatoid arthritis was not investigated</w:t>
      </w:r>
      <w:r>
        <w:t>.</w:t>
      </w:r>
      <w:r w:rsidR="003E7288">
        <w:t xml:space="preserve"> </w:t>
      </w:r>
      <w:r w:rsidRPr="00D01CFA">
        <w:t>Haematological effects were the main toxicologically significant findings in cynomolgus monkeys. These were consistent with an exaggerated pharmacological effect arising from IL-6R</w:t>
      </w:r>
      <w:r>
        <w:t xml:space="preserve"> blockade</w:t>
      </w:r>
      <w:r w:rsidRPr="00D01CFA">
        <w:t xml:space="preserve">. These effects were observed at doses </w:t>
      </w:r>
      <w:r>
        <w:t xml:space="preserve">significantly </w:t>
      </w:r>
      <w:r w:rsidRPr="00D01CFA">
        <w:t xml:space="preserve">greater than the maximum </w:t>
      </w:r>
      <w:r>
        <w:t xml:space="preserve">anticipated </w:t>
      </w:r>
      <w:r w:rsidRPr="00D01CFA">
        <w:t>human dose</w:t>
      </w:r>
      <w:r>
        <w:t>.</w:t>
      </w:r>
      <w:r w:rsidR="003E7288">
        <w:t xml:space="preserve"> </w:t>
      </w:r>
      <w:r w:rsidRPr="00D01CFA">
        <w:t xml:space="preserve">No target organs of toxicity were identified. </w:t>
      </w:r>
      <w:r>
        <w:t>Sarilumab</w:t>
      </w:r>
      <w:r w:rsidRPr="00D01CFA">
        <w:t xml:space="preserve"> is not </w:t>
      </w:r>
      <w:r>
        <w:t>expected</w:t>
      </w:r>
      <w:r w:rsidRPr="00D01CFA">
        <w:t xml:space="preserve"> to pose a genotoxic or carcinogenic hazard</w:t>
      </w:r>
      <w:r w:rsidR="00525478">
        <w:t>,</w:t>
      </w:r>
      <w:r>
        <w:t xml:space="preserve"> although specific studies were not conducted</w:t>
      </w:r>
      <w:r w:rsidRPr="00D01CFA">
        <w:t>, and is not teratogenic</w:t>
      </w:r>
      <w:r>
        <w:t>.</w:t>
      </w:r>
      <w:r w:rsidR="003E7288">
        <w:t xml:space="preserve"> </w:t>
      </w:r>
      <w:r>
        <w:t>Sarilumab should be classified as Pregnancy Category C consistent with tocilizumab.</w:t>
      </w:r>
      <w:r w:rsidR="008A3EE5" w:rsidRPr="00525478">
        <w:rPr>
          <w:vertAlign w:val="superscript"/>
        </w:rPr>
        <w:fldChar w:fldCharType="begin"/>
      </w:r>
      <w:r w:rsidR="008A3EE5" w:rsidRPr="00525478">
        <w:rPr>
          <w:vertAlign w:val="superscript"/>
        </w:rPr>
        <w:instrText xml:space="preserve"> NOTEREF _Ref528145772 \h </w:instrText>
      </w:r>
      <w:r w:rsidR="008A3EE5">
        <w:rPr>
          <w:vertAlign w:val="superscript"/>
        </w:rPr>
        <w:instrText xml:space="preserve"> \* MERGEFORMAT </w:instrText>
      </w:r>
      <w:r w:rsidR="008A3EE5" w:rsidRPr="00525478">
        <w:rPr>
          <w:vertAlign w:val="superscript"/>
        </w:rPr>
      </w:r>
      <w:r w:rsidR="008A3EE5" w:rsidRPr="00525478">
        <w:rPr>
          <w:vertAlign w:val="superscript"/>
        </w:rPr>
        <w:fldChar w:fldCharType="separate"/>
      </w:r>
      <w:r w:rsidR="008A3EE5">
        <w:rPr>
          <w:vertAlign w:val="superscript"/>
        </w:rPr>
        <w:t>15</w:t>
      </w:r>
      <w:r w:rsidR="008A3EE5" w:rsidRPr="00525478">
        <w:rPr>
          <w:vertAlign w:val="superscript"/>
        </w:rPr>
        <w:fldChar w:fldCharType="end"/>
      </w:r>
      <w:r w:rsidR="003E7288">
        <w:t xml:space="preserve"> </w:t>
      </w:r>
      <w:r>
        <w:t>N</w:t>
      </w:r>
      <w:r w:rsidRPr="0048166F">
        <w:t xml:space="preserve">o nonclinical data were submitted to support </w:t>
      </w:r>
      <w:r>
        <w:t>the use of s</w:t>
      </w:r>
      <w:r w:rsidRPr="00D01CFA">
        <w:t xml:space="preserve">arilumab in combination with </w:t>
      </w:r>
      <w:r w:rsidR="00DD2390">
        <w:t>MTX</w:t>
      </w:r>
      <w:r w:rsidRPr="00D01CFA">
        <w:t xml:space="preserve"> and/or other </w:t>
      </w:r>
      <w:r>
        <w:t>DMARDs.</w:t>
      </w:r>
    </w:p>
    <w:p w:rsidR="008E7846" w:rsidRDefault="008E7846" w:rsidP="008E7846">
      <w:pPr>
        <w:pStyle w:val="Heading3"/>
      </w:pPr>
      <w:bookmarkStart w:id="238" w:name="_Toc247691530"/>
      <w:bookmarkStart w:id="239" w:name="_Toc314842513"/>
      <w:bookmarkStart w:id="240" w:name="_Toc12272168"/>
      <w:r>
        <w:t>Clinical</w:t>
      </w:r>
      <w:bookmarkEnd w:id="238"/>
      <w:bookmarkEnd w:id="239"/>
      <w:bookmarkEnd w:id="240"/>
    </w:p>
    <w:p w:rsidR="00572EFC" w:rsidRPr="00304528" w:rsidRDefault="00572EFC" w:rsidP="00F2151A">
      <w:bookmarkStart w:id="241" w:name="_Toc314842514"/>
      <w:r>
        <w:t xml:space="preserve">The clinical evaluator has recommended approval of Kevzara as monotherapy and combination treatment with non-biological DMARDs </w:t>
      </w:r>
      <w:r w:rsidRPr="003128CB">
        <w:t xml:space="preserve">for the treatment of moderate to severe </w:t>
      </w:r>
      <w:r w:rsidR="00525478">
        <w:t>RA</w:t>
      </w:r>
      <w:r w:rsidRPr="003128CB">
        <w:t xml:space="preserve"> in adult patients who have had an inadequate response or intolerance to one or more DMARDs</w:t>
      </w:r>
      <w:r w:rsidRPr="00F172A3">
        <w:t>.</w:t>
      </w:r>
      <w:r w:rsidR="003E7288">
        <w:t xml:space="preserve"> </w:t>
      </w:r>
      <w:r>
        <w:t xml:space="preserve">The evaluator supported the sponsor’s proposed dosage regimen </w:t>
      </w:r>
      <w:r w:rsidRPr="00887447">
        <w:t>that Kevzara be initiated at a dose of 200 mg q2w and reduced to 150 mg q2w based on the dose modifications for neutro</w:t>
      </w:r>
      <w:r w:rsidR="001E2D44">
        <w:t>paenia</w:t>
      </w:r>
      <w:r w:rsidRPr="00887447">
        <w:t>, low platelet count and increased ALT recommended in the PI</w:t>
      </w:r>
      <w:r>
        <w:t>.</w:t>
      </w:r>
      <w:r w:rsidR="003E7288">
        <w:t xml:space="preserve"> </w:t>
      </w:r>
      <w:r>
        <w:t xml:space="preserve">The evaluator also </w:t>
      </w:r>
      <w:r w:rsidRPr="00887447">
        <w:t xml:space="preserve">recommended </w:t>
      </w:r>
      <w:r w:rsidRPr="00887447">
        <w:rPr>
          <w:rFonts w:cs="Calibri"/>
        </w:rPr>
        <w:t>that it should be a condition of registration that the sponsor submit</w:t>
      </w:r>
      <w:r w:rsidR="00525478">
        <w:rPr>
          <w:rFonts w:cs="Calibri"/>
        </w:rPr>
        <w:t>s</w:t>
      </w:r>
      <w:r w:rsidRPr="00887447">
        <w:rPr>
          <w:rFonts w:cs="Calibri"/>
        </w:rPr>
        <w:t xml:space="preserve"> the proposed paediatric studies to the TGA at the same time as the</w:t>
      </w:r>
      <w:r>
        <w:rPr>
          <w:rFonts w:cs="Calibri"/>
        </w:rPr>
        <w:t>y</w:t>
      </w:r>
      <w:r w:rsidRPr="00887447">
        <w:rPr>
          <w:rFonts w:cs="Calibri"/>
        </w:rPr>
        <w:t xml:space="preserve"> are submitted to the EMA and/or the US FDA</w:t>
      </w:r>
      <w:r>
        <w:rPr>
          <w:rFonts w:cs="Calibri"/>
        </w:rPr>
        <w:t>.</w:t>
      </w:r>
    </w:p>
    <w:p w:rsidR="00572EFC" w:rsidRDefault="00525478" w:rsidP="00F2151A">
      <w:r>
        <w:t>The clinical submission</w:t>
      </w:r>
      <w:r w:rsidR="00572EFC" w:rsidRPr="002D5628">
        <w:t xml:space="preserve"> included the clinical studies provided in the initial submission and the new clinical studies provided for evaluation. The new clinical data are</w:t>
      </w:r>
      <w:r w:rsidR="00572EFC">
        <w:t>:</w:t>
      </w:r>
    </w:p>
    <w:p w:rsidR="00572EFC" w:rsidRDefault="00525478" w:rsidP="00F2151A">
      <w:pPr>
        <w:pStyle w:val="ListBullet"/>
      </w:pPr>
      <w:r>
        <w:t xml:space="preserve">Study </w:t>
      </w:r>
      <w:r w:rsidR="005A2C47">
        <w:t>EFC14092</w:t>
      </w:r>
      <w:r w:rsidR="008A3EE5">
        <w:t>/</w:t>
      </w:r>
      <w:r w:rsidR="005A2C47">
        <w:t>M</w:t>
      </w:r>
      <w:r w:rsidR="00572EFC">
        <w:t>ONARCH</w:t>
      </w:r>
      <w:r w:rsidR="008A3EE5">
        <w:t xml:space="preserve"> trial: a</w:t>
      </w:r>
      <w:r w:rsidR="00572EFC">
        <w:t xml:space="preserve"> </w:t>
      </w:r>
      <w:r w:rsidR="001470FB">
        <w:t>Phase III</w:t>
      </w:r>
      <w:r w:rsidR="00572EFC">
        <w:t xml:space="preserve"> study assessing the efficacy and safety of sarilumab monotherapy versus adalimumab monotherapy for 24 weeks in patients with rheumatoid arthritis.</w:t>
      </w:r>
    </w:p>
    <w:p w:rsidR="00572EFC" w:rsidRDefault="00525478" w:rsidP="00F2151A">
      <w:pPr>
        <w:pStyle w:val="ListBullet"/>
        <w:rPr>
          <w:rFonts w:asciiTheme="minorHAnsi" w:hAnsiTheme="minorHAnsi"/>
        </w:rPr>
      </w:pPr>
      <w:r>
        <w:t xml:space="preserve">Study </w:t>
      </w:r>
      <w:r w:rsidR="00572EFC">
        <w:t>MSC12655</w:t>
      </w:r>
      <w:r w:rsidR="008A3EE5">
        <w:t>: a</w:t>
      </w:r>
      <w:r w:rsidR="00572EFC">
        <w:t xml:space="preserve"> </w:t>
      </w:r>
      <w:r w:rsidR="001470FB">
        <w:t>Phase III</w:t>
      </w:r>
      <w:r w:rsidR="00572EFC">
        <w:t xml:space="preserve"> study assessing the usability of the </w:t>
      </w:r>
      <w:proofErr w:type="spellStart"/>
      <w:r w:rsidR="00572EFC">
        <w:t>sarilumab</w:t>
      </w:r>
      <w:proofErr w:type="spellEnd"/>
      <w:r w:rsidR="00572EFC">
        <w:t xml:space="preserve"> </w:t>
      </w:r>
      <w:proofErr w:type="spellStart"/>
      <w:r w:rsidR="00572EFC">
        <w:t>autoinjector</w:t>
      </w:r>
      <w:proofErr w:type="spellEnd"/>
      <w:r w:rsidR="00572EFC">
        <w:t xml:space="preserve"> device and the </w:t>
      </w:r>
      <w:r>
        <w:t>PFS</w:t>
      </w:r>
      <w:r w:rsidR="00572EFC">
        <w:t xml:space="preserve"> in patients with moderate to severe RA. The study included a 12</w:t>
      </w:r>
      <w:r>
        <w:t xml:space="preserve"> </w:t>
      </w:r>
      <w:r w:rsidR="00572EFC">
        <w:t xml:space="preserve">week </w:t>
      </w:r>
      <w:proofErr w:type="spellStart"/>
      <w:r w:rsidR="00572EFC">
        <w:t>autoinjector</w:t>
      </w:r>
      <w:proofErr w:type="spellEnd"/>
      <w:r w:rsidR="00572EFC">
        <w:t xml:space="preserve"> assessment phase.</w:t>
      </w:r>
    </w:p>
    <w:p w:rsidR="00572EFC" w:rsidRPr="00326E5B" w:rsidRDefault="00572EFC" w:rsidP="00F2151A">
      <w:r>
        <w:t>The following sections mainly cover comments by the clinical evaluator on the new studies in this submission.</w:t>
      </w:r>
      <w:r w:rsidR="003E7288">
        <w:t xml:space="preserve"> </w:t>
      </w:r>
      <w:r>
        <w:t>The current CER also covers the previously submitted studies and an update on the long term safety population.</w:t>
      </w:r>
      <w:r w:rsidR="003E7288">
        <w:t xml:space="preserve"> </w:t>
      </w:r>
      <w:r>
        <w:t>The previous CER provides a more detailed evaluation of the original studies.</w:t>
      </w:r>
    </w:p>
    <w:p w:rsidR="00572EFC" w:rsidRPr="000A24BD" w:rsidRDefault="00572EFC" w:rsidP="00F2151A">
      <w:pPr>
        <w:pStyle w:val="Heading4"/>
      </w:pPr>
      <w:r w:rsidRPr="000A24BD">
        <w:lastRenderedPageBreak/>
        <w:t>Pharmacology</w:t>
      </w:r>
    </w:p>
    <w:p w:rsidR="00572EFC" w:rsidRPr="002D3B75" w:rsidRDefault="00572EFC" w:rsidP="00F2151A">
      <w:pPr>
        <w:rPr>
          <w:rFonts w:asciiTheme="minorHAnsi" w:hAnsiTheme="minorHAnsi"/>
        </w:rPr>
      </w:pPr>
      <w:r>
        <w:t xml:space="preserve">The pivotal </w:t>
      </w:r>
      <w:r w:rsidR="001470FB">
        <w:t>Phase III</w:t>
      </w:r>
      <w:r>
        <w:t xml:space="preserve"> </w:t>
      </w:r>
      <w:r w:rsidR="00525478">
        <w:t>S</w:t>
      </w:r>
      <w:r>
        <w:t xml:space="preserve">tudy </w:t>
      </w:r>
      <w:r w:rsidR="00525478">
        <w:t>EFC14092</w:t>
      </w:r>
      <w:r w:rsidR="008A3EE5">
        <w:t>/</w:t>
      </w:r>
      <w:r w:rsidRPr="00525478">
        <w:t>MONARCH</w:t>
      </w:r>
      <w:r w:rsidR="008A3EE5">
        <w:t xml:space="preserve"> trial</w:t>
      </w:r>
      <w:r>
        <w:t xml:space="preserve"> </w:t>
      </w:r>
      <w:r w:rsidRPr="002D3B75">
        <w:t xml:space="preserve">which compared sarilumab with adalimumab </w:t>
      </w:r>
      <w:r>
        <w:t xml:space="preserve">provided PK data </w:t>
      </w:r>
      <w:r w:rsidRPr="002D3B75">
        <w:t>from patients treated with sarilumab 200 mg q2w in the 24</w:t>
      </w:r>
      <w:r w:rsidR="008A3EE5">
        <w:t> </w:t>
      </w:r>
      <w:r w:rsidRPr="002D3B75">
        <w:t>week randomised period</w:t>
      </w:r>
      <w:r>
        <w:t>.</w:t>
      </w:r>
      <w:r w:rsidR="003E7288">
        <w:t xml:space="preserve"> </w:t>
      </w:r>
      <w:r>
        <w:t>A</w:t>
      </w:r>
      <w:r w:rsidRPr="00CE282C">
        <w:t>fter multiple SC administrations of sarilumab 200 mg q2w, the observed trough concentrations of sarilumab indicated that steady state was reached between Week 12 and Week 16, with about 4</w:t>
      </w:r>
      <w:r w:rsidR="00525478">
        <w:t xml:space="preserve"> </w:t>
      </w:r>
      <w:r w:rsidRPr="00CE282C">
        <w:t>fold accumulation.</w:t>
      </w:r>
      <w:r w:rsidR="003E7288">
        <w:t xml:space="preserve"> </w:t>
      </w:r>
      <w:r>
        <w:t>The incidence of ADA in the sarilumab 200 mg q2w group was 7.1% (13/184), with 2.7% (5/184) persistent ADA response. None of the patients exhibited neutralising ADA.</w:t>
      </w:r>
      <w:r w:rsidR="003E7288">
        <w:t xml:space="preserve"> </w:t>
      </w:r>
      <w:r w:rsidRPr="00CE282C">
        <w:t>Although the mean serum functional sarilumab concentration in ADA positive patients were lower than in ADA negative patients, there was overlap in concentrations between ADA positive and ADA negative patients</w:t>
      </w:r>
      <w:r>
        <w:t>.</w:t>
      </w:r>
    </w:p>
    <w:p w:rsidR="00572EFC" w:rsidRPr="00BE114E" w:rsidRDefault="00572EFC" w:rsidP="00F2151A">
      <w:pPr>
        <w:rPr>
          <w:rFonts w:asciiTheme="minorHAnsi" w:hAnsiTheme="minorHAnsi"/>
        </w:rPr>
      </w:pPr>
      <w:r w:rsidRPr="00525478">
        <w:rPr>
          <w:rFonts w:asciiTheme="minorHAnsi" w:hAnsiTheme="minorHAnsi"/>
        </w:rPr>
        <w:t>Study MSC12665</w:t>
      </w:r>
      <w:r>
        <w:rPr>
          <w:rFonts w:asciiTheme="minorHAnsi" w:hAnsiTheme="minorHAnsi"/>
          <w:b/>
        </w:rPr>
        <w:t xml:space="preserve"> </w:t>
      </w:r>
      <w:r w:rsidRPr="00632460">
        <w:rPr>
          <w:rFonts w:asciiTheme="minorHAnsi" w:hAnsiTheme="minorHAnsi"/>
        </w:rPr>
        <w:t>was a</w:t>
      </w:r>
      <w:r>
        <w:rPr>
          <w:rFonts w:cs="‡?¯ø◊óÂ"/>
          <w:lang w:val="en-US"/>
        </w:rPr>
        <w:t xml:space="preserve"> 12 week with one year open label extension, </w:t>
      </w:r>
      <w:proofErr w:type="spellStart"/>
      <w:r>
        <w:rPr>
          <w:rFonts w:cs="‡?¯ø◊óÂ"/>
          <w:lang w:val="en-US"/>
        </w:rPr>
        <w:t>multicentr</w:t>
      </w:r>
      <w:r w:rsidR="008A3EE5">
        <w:rPr>
          <w:rFonts w:cs="‡?¯ø◊óÂ"/>
          <w:lang w:val="en-US"/>
        </w:rPr>
        <w:t>e</w:t>
      </w:r>
      <w:proofErr w:type="spellEnd"/>
      <w:r>
        <w:rPr>
          <w:rFonts w:cs="‡?¯ø◊óÂ"/>
          <w:lang w:val="en-US"/>
        </w:rPr>
        <w:t xml:space="preserve">, </w:t>
      </w:r>
      <w:proofErr w:type="spellStart"/>
      <w:r>
        <w:rPr>
          <w:rFonts w:cs="‡?¯ø◊óÂ"/>
          <w:lang w:val="en-US"/>
        </w:rPr>
        <w:t>randomis</w:t>
      </w:r>
      <w:r w:rsidRPr="00BB1A20">
        <w:rPr>
          <w:rFonts w:cs="‡?¯ø◊óÂ"/>
          <w:lang w:val="en-US"/>
        </w:rPr>
        <w:t>ed</w:t>
      </w:r>
      <w:proofErr w:type="spellEnd"/>
      <w:r w:rsidRPr="00BB1A20">
        <w:rPr>
          <w:rFonts w:cs="‡?¯ø◊óÂ"/>
          <w:lang w:val="en-US"/>
        </w:rPr>
        <w:t>,</w:t>
      </w:r>
      <w:r>
        <w:rPr>
          <w:rFonts w:cs="‡?¯ø◊óÂ"/>
          <w:lang w:val="en-US"/>
        </w:rPr>
        <w:t xml:space="preserve"> open-label, p</w:t>
      </w:r>
      <w:r w:rsidRPr="00BB1A20">
        <w:rPr>
          <w:rFonts w:cs="‡?¯ø◊óÂ"/>
          <w:lang w:val="en-US"/>
        </w:rPr>
        <w:t>arallel</w:t>
      </w:r>
      <w:r>
        <w:rPr>
          <w:rFonts w:cs="‡?¯ø◊óÂ"/>
          <w:lang w:val="en-US"/>
        </w:rPr>
        <w:t xml:space="preserve"> usability study of the </w:t>
      </w:r>
      <w:proofErr w:type="spellStart"/>
      <w:r>
        <w:rPr>
          <w:rFonts w:cs="‡?¯ø◊óÂ"/>
          <w:lang w:val="en-US"/>
        </w:rPr>
        <w:t>s</w:t>
      </w:r>
      <w:r w:rsidRPr="00BB1A20">
        <w:rPr>
          <w:rFonts w:cs="‡?¯ø◊óÂ"/>
          <w:lang w:val="en-US"/>
        </w:rPr>
        <w:t>arilumab</w:t>
      </w:r>
      <w:proofErr w:type="spellEnd"/>
      <w:r w:rsidRPr="00BB1A20">
        <w:rPr>
          <w:rFonts w:cs="‡?¯ø◊óÂ"/>
          <w:lang w:val="en-US"/>
        </w:rPr>
        <w:t xml:space="preserve"> </w:t>
      </w:r>
      <w:proofErr w:type="spellStart"/>
      <w:r w:rsidR="008A3EE5">
        <w:rPr>
          <w:rFonts w:cs="‡?¯ø◊óÂ"/>
          <w:lang w:val="en-US"/>
        </w:rPr>
        <w:t>a</w:t>
      </w:r>
      <w:r w:rsidR="008A3EE5" w:rsidRPr="00BB1A20">
        <w:rPr>
          <w:rFonts w:cs="‡?¯ø◊óÂ"/>
          <w:lang w:val="en-US"/>
        </w:rPr>
        <w:t>utoinjector</w:t>
      </w:r>
      <w:proofErr w:type="spellEnd"/>
      <w:r w:rsidR="008A3EE5">
        <w:rPr>
          <w:rFonts w:cs="‡?¯ø◊óÂ"/>
          <w:lang w:val="en-US"/>
        </w:rPr>
        <w:t xml:space="preserve"> </w:t>
      </w:r>
      <w:r>
        <w:rPr>
          <w:rFonts w:cs="‡?¯ø◊óÂ"/>
          <w:lang w:val="en-US"/>
        </w:rPr>
        <w:t xml:space="preserve">(AI) device and a </w:t>
      </w:r>
      <w:r w:rsidR="008A3EE5">
        <w:rPr>
          <w:rFonts w:cs="‡?¯ø◊óÂ"/>
          <w:lang w:val="en-US"/>
        </w:rPr>
        <w:t>pre-filled syringe (</w:t>
      </w:r>
      <w:r>
        <w:rPr>
          <w:rFonts w:cs="‡?¯ø◊óÂ"/>
          <w:lang w:val="en-US"/>
        </w:rPr>
        <w:t>PFS</w:t>
      </w:r>
      <w:r w:rsidR="008A3EE5">
        <w:rPr>
          <w:rFonts w:cs="‡?¯ø◊óÂ"/>
          <w:lang w:val="en-US"/>
        </w:rPr>
        <w:t>)</w:t>
      </w:r>
      <w:r>
        <w:rPr>
          <w:rFonts w:cs="‡?¯ø◊óÂ"/>
          <w:lang w:val="en-US"/>
        </w:rPr>
        <w:t xml:space="preserve"> in an initial 217 patients with moderate to severe a</w:t>
      </w:r>
      <w:r w:rsidRPr="00BB1A20">
        <w:rPr>
          <w:rFonts w:cs="‡?¯ø◊óÂ"/>
          <w:lang w:val="en-US"/>
        </w:rPr>
        <w:t>ctive</w:t>
      </w:r>
      <w:r>
        <w:rPr>
          <w:rFonts w:cs="‡?¯ø◊óÂ"/>
          <w:lang w:val="en-US"/>
        </w:rPr>
        <w:t xml:space="preserve"> rheumatoid a</w:t>
      </w:r>
      <w:r w:rsidRPr="00BB1A20">
        <w:rPr>
          <w:rFonts w:cs="‡?¯ø◊óÂ"/>
          <w:lang w:val="en-US"/>
        </w:rPr>
        <w:t>rthritis</w:t>
      </w:r>
      <w:r>
        <w:rPr>
          <w:rFonts w:cs="‡?¯ø◊óÂ"/>
          <w:lang w:val="en-US"/>
        </w:rPr>
        <w:t>.</w:t>
      </w:r>
      <w:r w:rsidR="003E7288">
        <w:rPr>
          <w:rFonts w:cs="‡?¯ø◊óÂ"/>
          <w:lang w:val="en-US"/>
        </w:rPr>
        <w:t xml:space="preserve"> </w:t>
      </w:r>
      <w:r>
        <w:rPr>
          <w:rFonts w:asciiTheme="minorHAnsi" w:hAnsiTheme="minorHAnsi"/>
        </w:rPr>
        <w:t>The study was designed to assess the robustness and usability of the AI device and to also collect PK data in comparison with the PFS.</w:t>
      </w:r>
      <w:r w:rsidR="003E7288">
        <w:rPr>
          <w:rFonts w:asciiTheme="minorHAnsi" w:hAnsiTheme="minorHAnsi"/>
        </w:rPr>
        <w:t xml:space="preserve"> </w:t>
      </w:r>
      <w:r>
        <w:rPr>
          <w:rFonts w:asciiTheme="minorHAnsi" w:hAnsiTheme="minorHAnsi"/>
        </w:rPr>
        <w:t>Both strengths of sarilumab were assessed using both devices.</w:t>
      </w:r>
      <w:r w:rsidR="003E7288">
        <w:rPr>
          <w:rFonts w:asciiTheme="minorHAnsi" w:hAnsiTheme="minorHAnsi"/>
        </w:rPr>
        <w:t xml:space="preserve"> </w:t>
      </w:r>
      <w:r>
        <w:rPr>
          <w:rFonts w:asciiTheme="minorHAnsi" w:hAnsiTheme="minorHAnsi"/>
        </w:rPr>
        <w:t>I</w:t>
      </w:r>
      <w:r w:rsidRPr="00632460">
        <w:rPr>
          <w:rFonts w:asciiTheme="minorHAnsi" w:hAnsiTheme="minorHAnsi"/>
        </w:rPr>
        <w:t xml:space="preserve">n the AI assessment phase </w:t>
      </w:r>
      <w:r>
        <w:rPr>
          <w:rFonts w:asciiTheme="minorHAnsi" w:hAnsiTheme="minorHAnsi"/>
        </w:rPr>
        <w:t>to Week 12</w:t>
      </w:r>
      <w:r w:rsidRPr="00632460">
        <w:rPr>
          <w:rFonts w:asciiTheme="minorHAnsi" w:hAnsiTheme="minorHAnsi"/>
        </w:rPr>
        <w:t xml:space="preserve"> </w:t>
      </w:r>
      <w:r w:rsidRPr="00632460">
        <w:rPr>
          <w:rFonts w:asciiTheme="minorHAnsi" w:hAnsiTheme="minorHAnsi"/>
          <w:lang w:val="en-US"/>
        </w:rPr>
        <w:t>there were no validated AI-associated product technical failures reported among 600 injections</w:t>
      </w:r>
      <w:r>
        <w:rPr>
          <w:rFonts w:asciiTheme="minorHAnsi" w:hAnsiTheme="minorHAnsi"/>
          <w:lang w:val="en-US"/>
        </w:rPr>
        <w:t xml:space="preserve"> in 108 patients</w:t>
      </w:r>
      <w:r w:rsidRPr="00632460">
        <w:rPr>
          <w:rFonts w:asciiTheme="minorHAnsi" w:hAnsiTheme="minorHAnsi"/>
          <w:lang w:val="en-US"/>
        </w:rPr>
        <w:t xml:space="preserve">. All </w:t>
      </w:r>
      <w:r>
        <w:rPr>
          <w:rFonts w:asciiTheme="minorHAnsi" w:hAnsiTheme="minorHAnsi"/>
          <w:lang w:val="en-US"/>
        </w:rPr>
        <w:t xml:space="preserve">AI </w:t>
      </w:r>
      <w:r w:rsidRPr="00632460">
        <w:rPr>
          <w:rFonts w:asciiTheme="minorHAnsi" w:hAnsiTheme="minorHAnsi"/>
          <w:lang w:val="en-US"/>
        </w:rPr>
        <w:t>injections were completed successfully. The 1 reported product technical complaint with the AI was due to user error and not due to a device failure.</w:t>
      </w:r>
      <w:r w:rsidR="003E7288">
        <w:rPr>
          <w:rFonts w:asciiTheme="minorHAnsi" w:hAnsiTheme="minorHAnsi"/>
          <w:lang w:val="en-US"/>
        </w:rPr>
        <w:t xml:space="preserve"> </w:t>
      </w:r>
      <w:r w:rsidRPr="00632460">
        <w:rPr>
          <w:rFonts w:asciiTheme="minorHAnsi" w:hAnsiTheme="minorHAnsi"/>
          <w:lang w:val="en-US"/>
        </w:rPr>
        <w:t xml:space="preserve">After 12 weeks of treatment, 98% were </w:t>
      </w:r>
      <w:r w:rsidR="008A3EE5">
        <w:rPr>
          <w:rFonts w:asciiTheme="minorHAnsi" w:hAnsiTheme="minorHAnsi"/>
          <w:lang w:val="en-US"/>
        </w:rPr>
        <w:t>‘</w:t>
      </w:r>
      <w:r w:rsidRPr="00632460">
        <w:rPr>
          <w:rFonts w:asciiTheme="minorHAnsi" w:hAnsiTheme="minorHAnsi"/>
          <w:lang w:val="en-US"/>
        </w:rPr>
        <w:t>satisfied</w:t>
      </w:r>
      <w:r w:rsidR="008A3EE5">
        <w:rPr>
          <w:rFonts w:asciiTheme="minorHAnsi" w:hAnsiTheme="minorHAnsi"/>
          <w:lang w:val="en-US"/>
        </w:rPr>
        <w:t>’</w:t>
      </w:r>
      <w:r w:rsidRPr="00632460">
        <w:rPr>
          <w:rFonts w:asciiTheme="minorHAnsi" w:hAnsiTheme="minorHAnsi"/>
          <w:lang w:val="en-US"/>
        </w:rPr>
        <w:t xml:space="preserve"> to </w:t>
      </w:r>
      <w:r w:rsidR="008A3EE5">
        <w:rPr>
          <w:rFonts w:asciiTheme="minorHAnsi" w:hAnsiTheme="minorHAnsi"/>
          <w:lang w:val="en-US"/>
        </w:rPr>
        <w:t>‘</w:t>
      </w:r>
      <w:r w:rsidRPr="00632460">
        <w:rPr>
          <w:rFonts w:asciiTheme="minorHAnsi" w:hAnsiTheme="minorHAnsi"/>
          <w:lang w:val="en-US"/>
        </w:rPr>
        <w:t>very satisfied</w:t>
      </w:r>
      <w:r w:rsidR="008A3EE5">
        <w:rPr>
          <w:rFonts w:asciiTheme="minorHAnsi" w:hAnsiTheme="minorHAnsi"/>
          <w:lang w:val="en-US"/>
        </w:rPr>
        <w:t>’</w:t>
      </w:r>
      <w:r w:rsidRPr="00632460">
        <w:rPr>
          <w:rFonts w:asciiTheme="minorHAnsi" w:hAnsiTheme="minorHAnsi"/>
          <w:lang w:val="en-US"/>
        </w:rPr>
        <w:t xml:space="preserve"> with the AI</w:t>
      </w:r>
      <w:r w:rsidR="00F549B4">
        <w:rPr>
          <w:rFonts w:asciiTheme="minorHAnsi" w:hAnsiTheme="minorHAnsi"/>
          <w:lang w:val="en-US"/>
        </w:rPr>
        <w:t>;</w:t>
      </w:r>
      <w:r w:rsidRPr="00632460">
        <w:rPr>
          <w:rFonts w:asciiTheme="minorHAnsi" w:hAnsiTheme="minorHAnsi"/>
          <w:lang w:val="en-US"/>
        </w:rPr>
        <w:t xml:space="preserve"> 88% of patients thought the AI was very easy to use, 98% thought the injection time was normal, short, or very short and 91% were very confident to extremely confident about using the same AI for self-injection in the future</w:t>
      </w:r>
      <w:r>
        <w:rPr>
          <w:rFonts w:asciiTheme="minorHAnsi" w:hAnsiTheme="minorHAnsi"/>
          <w:lang w:val="en-US"/>
        </w:rPr>
        <w:t>.</w:t>
      </w:r>
    </w:p>
    <w:p w:rsidR="00572EFC" w:rsidRPr="00BE114E" w:rsidRDefault="00572EFC" w:rsidP="00F2151A">
      <w:pPr>
        <w:rPr>
          <w:rFonts w:asciiTheme="minorHAnsi" w:hAnsiTheme="minorHAnsi"/>
        </w:rPr>
      </w:pPr>
      <w:r>
        <w:rPr>
          <w:lang w:val="en-US"/>
        </w:rPr>
        <w:t>T</w:t>
      </w:r>
      <w:r w:rsidRPr="00CE282C">
        <w:rPr>
          <w:lang w:val="en-US"/>
        </w:rPr>
        <w:t>he AI 150 mg q2w and PFS 150 mg q2w treatments were bioequivalent at Week</w:t>
      </w:r>
      <w:r>
        <w:rPr>
          <w:lang w:val="en-US"/>
        </w:rPr>
        <w:t>s</w:t>
      </w:r>
      <w:r w:rsidRPr="00CE282C">
        <w:rPr>
          <w:lang w:val="en-US"/>
        </w:rPr>
        <w:t xml:space="preserve"> </w:t>
      </w:r>
      <w:r>
        <w:rPr>
          <w:lang w:val="en-US"/>
        </w:rPr>
        <w:t>1</w:t>
      </w:r>
      <w:r w:rsidRPr="00CE282C">
        <w:rPr>
          <w:lang w:val="en-US"/>
        </w:rPr>
        <w:t>0</w:t>
      </w:r>
      <w:r w:rsidR="008A3EE5">
        <w:rPr>
          <w:lang w:val="en-US"/>
        </w:rPr>
        <w:t xml:space="preserve"> to </w:t>
      </w:r>
      <w:r w:rsidRPr="00CE282C">
        <w:rPr>
          <w:lang w:val="en-US"/>
        </w:rPr>
        <w:t>12 based on the AUC</w:t>
      </w:r>
      <w:r w:rsidRPr="00CE282C">
        <w:rPr>
          <w:sz w:val="18"/>
          <w:szCs w:val="18"/>
          <w:lang w:val="en-US"/>
        </w:rPr>
        <w:t xml:space="preserve">0-τ </w:t>
      </w:r>
      <w:r w:rsidRPr="00CE282C">
        <w:rPr>
          <w:lang w:val="en-US"/>
        </w:rPr>
        <w:t xml:space="preserve">values using standard </w:t>
      </w:r>
      <w:r>
        <w:rPr>
          <w:lang w:val="en-US"/>
        </w:rPr>
        <w:t xml:space="preserve">criteria. No other comparisons for the </w:t>
      </w:r>
      <w:proofErr w:type="spellStart"/>
      <w:r w:rsidR="00027A8C">
        <w:t>C</w:t>
      </w:r>
      <w:r w:rsidR="00027A8C" w:rsidRPr="00027A8C">
        <w:rPr>
          <w:vertAlign w:val="subscript"/>
        </w:rPr>
        <w:t>max</w:t>
      </w:r>
      <w:proofErr w:type="spellEnd"/>
      <w:r w:rsidRPr="00D63A46">
        <w:rPr>
          <w:sz w:val="18"/>
          <w:szCs w:val="18"/>
          <w:lang w:val="en-US"/>
        </w:rPr>
        <w:t xml:space="preserve"> </w:t>
      </w:r>
      <w:r>
        <w:rPr>
          <w:lang w:val="en-US"/>
        </w:rPr>
        <w:t xml:space="preserve">or </w:t>
      </w:r>
      <w:r w:rsidRPr="00CE282C">
        <w:rPr>
          <w:lang w:val="en-US"/>
        </w:rPr>
        <w:t>AUC</w:t>
      </w:r>
      <w:r w:rsidRPr="00CE282C">
        <w:rPr>
          <w:sz w:val="18"/>
          <w:szCs w:val="18"/>
          <w:lang w:val="en-US"/>
        </w:rPr>
        <w:t xml:space="preserve">0-τ </w:t>
      </w:r>
      <w:r>
        <w:rPr>
          <w:lang w:val="en-US"/>
        </w:rPr>
        <w:t>between the AI and PFS at Weeks 0</w:t>
      </w:r>
      <w:r w:rsidR="008A3EE5">
        <w:rPr>
          <w:lang w:val="en-US"/>
        </w:rPr>
        <w:t xml:space="preserve"> to </w:t>
      </w:r>
      <w:r>
        <w:rPr>
          <w:lang w:val="en-US"/>
        </w:rPr>
        <w:t>2 or Weeks 10</w:t>
      </w:r>
      <w:r w:rsidR="008A3EE5">
        <w:rPr>
          <w:lang w:val="en-US"/>
        </w:rPr>
        <w:t xml:space="preserve"> to </w:t>
      </w:r>
      <w:r>
        <w:rPr>
          <w:lang w:val="en-US"/>
        </w:rPr>
        <w:t xml:space="preserve">12 were bioequivalent. </w:t>
      </w:r>
      <w:r w:rsidRPr="00CE282C">
        <w:rPr>
          <w:lang w:val="en-US"/>
        </w:rPr>
        <w:t>However, the study was not powered to demonstrate bioequivalence</w:t>
      </w:r>
      <w:r>
        <w:rPr>
          <w:lang w:val="en-US"/>
        </w:rPr>
        <w:t xml:space="preserve"> between the AI and PFS at the 150 mg and 200 mg q2w doses</w:t>
      </w:r>
      <w:r w:rsidRPr="00CE282C">
        <w:rPr>
          <w:lang w:val="en-US"/>
        </w:rPr>
        <w:t xml:space="preserve">. The </w:t>
      </w:r>
      <w:r>
        <w:rPr>
          <w:lang w:val="en-US"/>
        </w:rPr>
        <w:t xml:space="preserve">evaluator considered </w:t>
      </w:r>
      <w:r w:rsidRPr="00CE282C">
        <w:rPr>
          <w:lang w:val="en-US"/>
        </w:rPr>
        <w:t xml:space="preserve">the observed PK differences between the AI and PFS at the 150 mg q2w and 200 mg q2w doses are unlikely </w:t>
      </w:r>
      <w:r>
        <w:rPr>
          <w:lang w:val="en-US"/>
        </w:rPr>
        <w:t xml:space="preserve">to </w:t>
      </w:r>
      <w:r w:rsidRPr="00CE282C">
        <w:rPr>
          <w:lang w:val="en-US"/>
        </w:rPr>
        <w:t>result in significant clinical differences between the presentations</w:t>
      </w:r>
      <w:r>
        <w:rPr>
          <w:lang w:val="en-US"/>
        </w:rPr>
        <w:t>.</w:t>
      </w:r>
      <w:r w:rsidR="003E7288">
        <w:rPr>
          <w:lang w:val="en-US"/>
        </w:rPr>
        <w:t xml:space="preserve"> </w:t>
      </w:r>
      <w:r w:rsidRPr="00AE4BC8">
        <w:rPr>
          <w:rFonts w:asciiTheme="minorHAnsi" w:hAnsiTheme="minorHAnsi"/>
          <w:lang w:val="en-US"/>
        </w:rPr>
        <w:t>The incidence of ADA in the sarilumab 150 mg q2w group was 22.6% using the PFS and 28.6% using the AI. The incidence of ADA in the sarilumab 200 mg q2w group was 23.2% using the PFS and 13.5% using the AI. Neutralising antibodies were reported in 2 (3.6%) patients in the AI 150 mg q2w group</w:t>
      </w:r>
      <w:r>
        <w:rPr>
          <w:rFonts w:asciiTheme="minorHAnsi" w:hAnsiTheme="minorHAnsi"/>
          <w:lang w:val="en-US"/>
        </w:rPr>
        <w:t>.</w:t>
      </w:r>
      <w:r w:rsidR="003E7288">
        <w:rPr>
          <w:rFonts w:asciiTheme="minorHAnsi" w:hAnsiTheme="minorHAnsi"/>
          <w:lang w:val="en-US"/>
        </w:rPr>
        <w:t xml:space="preserve"> </w:t>
      </w:r>
      <w:r w:rsidRPr="00AE4BC8">
        <w:rPr>
          <w:rFonts w:asciiTheme="minorHAnsi" w:hAnsiTheme="minorHAnsi" w:cs="Times"/>
          <w:lang w:val="en-US"/>
        </w:rPr>
        <w:t>TEAEs leading to treatment discontinuation were reported notably more frequently in the AI 200 mg q2w group than in the other three treatment groups, while SAEs were r</w:t>
      </w:r>
      <w:r>
        <w:rPr>
          <w:rFonts w:asciiTheme="minorHAnsi" w:hAnsiTheme="minorHAnsi" w:cs="Times"/>
          <w:lang w:val="en-US"/>
        </w:rPr>
        <w:t xml:space="preserve">eported more frequently in the </w:t>
      </w:r>
      <w:r w:rsidRPr="00AE4BC8">
        <w:rPr>
          <w:rFonts w:asciiTheme="minorHAnsi" w:hAnsiTheme="minorHAnsi" w:cs="Times"/>
          <w:lang w:val="en-US"/>
        </w:rPr>
        <w:t>two 200 mg q2w groups than in the two 150 mg q2w groups</w:t>
      </w:r>
      <w:r>
        <w:rPr>
          <w:rFonts w:asciiTheme="minorHAnsi" w:hAnsiTheme="minorHAnsi" w:cs="Times"/>
          <w:lang w:val="en-US"/>
        </w:rPr>
        <w:t>.</w:t>
      </w:r>
      <w:r w:rsidR="003E7288">
        <w:rPr>
          <w:rFonts w:asciiTheme="minorHAnsi" w:hAnsiTheme="minorHAnsi" w:cs="Times"/>
          <w:lang w:val="en-US"/>
        </w:rPr>
        <w:t xml:space="preserve"> </w:t>
      </w:r>
      <w:r w:rsidRPr="00AE4BC8">
        <w:rPr>
          <w:rFonts w:asciiTheme="minorHAnsi" w:hAnsiTheme="minorHAnsi" w:cs="Times"/>
          <w:lang w:val="en-US"/>
        </w:rPr>
        <w:t>Infections and leuko</w:t>
      </w:r>
      <w:r w:rsidR="001E2D44">
        <w:rPr>
          <w:rFonts w:asciiTheme="minorHAnsi" w:hAnsiTheme="minorHAnsi" w:cs="Times"/>
          <w:lang w:val="en-US"/>
        </w:rPr>
        <w:t>paenia</w:t>
      </w:r>
      <w:r w:rsidRPr="00AE4BC8">
        <w:rPr>
          <w:rFonts w:asciiTheme="minorHAnsi" w:hAnsiTheme="minorHAnsi" w:cs="Times"/>
          <w:lang w:val="en-US"/>
        </w:rPr>
        <w:t xml:space="preserve"> (predominantly neutro</w:t>
      </w:r>
      <w:r w:rsidR="001E2D44">
        <w:rPr>
          <w:rFonts w:asciiTheme="minorHAnsi" w:hAnsiTheme="minorHAnsi" w:cs="Times"/>
          <w:lang w:val="en-US"/>
        </w:rPr>
        <w:t>paenia</w:t>
      </w:r>
      <w:r w:rsidRPr="00AE4BC8">
        <w:rPr>
          <w:rFonts w:asciiTheme="minorHAnsi" w:hAnsiTheme="minorHAnsi" w:cs="Times"/>
          <w:lang w:val="en-US"/>
        </w:rPr>
        <w:t xml:space="preserve">) were the most frequently reported </w:t>
      </w:r>
      <w:r>
        <w:rPr>
          <w:rFonts w:asciiTheme="minorHAnsi" w:hAnsiTheme="minorHAnsi" w:cs="Times"/>
          <w:lang w:val="en-US"/>
        </w:rPr>
        <w:t>adverse events of special interest</w:t>
      </w:r>
      <w:r w:rsidRPr="00AE4BC8">
        <w:rPr>
          <w:rFonts w:asciiTheme="minorHAnsi" w:hAnsiTheme="minorHAnsi" w:cs="Times"/>
          <w:lang w:val="en-US"/>
        </w:rPr>
        <w:t>. There were no marked differences in the number of patients in the groups experiencing injection site reactions</w:t>
      </w:r>
      <w:r>
        <w:rPr>
          <w:rFonts w:asciiTheme="minorHAnsi" w:hAnsiTheme="minorHAnsi" w:cs="Times"/>
          <w:lang w:val="en-US"/>
        </w:rPr>
        <w:t>.</w:t>
      </w:r>
    </w:p>
    <w:p w:rsidR="00525478" w:rsidRDefault="00572EFC" w:rsidP="00525478">
      <w:pPr>
        <w:pStyle w:val="Heading5"/>
      </w:pPr>
      <w:r w:rsidRPr="00B97DFD">
        <w:t>Neutro</w:t>
      </w:r>
      <w:r w:rsidR="001E2D44">
        <w:t>paenia</w:t>
      </w:r>
    </w:p>
    <w:p w:rsidR="00572EFC" w:rsidRPr="009D17D7" w:rsidRDefault="00572EFC" w:rsidP="00F2151A">
      <w:pPr>
        <w:rPr>
          <w:rFonts w:asciiTheme="minorHAnsi" w:hAnsiTheme="minorHAnsi"/>
        </w:rPr>
      </w:pPr>
      <w:r>
        <w:t>The sponsor considers that the mechanism of neutro</w:t>
      </w:r>
      <w:r w:rsidR="001E2D44">
        <w:t>paenia</w:t>
      </w:r>
      <w:r>
        <w:t xml:space="preserve"> observed with ILR-6R inhibitors is different from that observed with cytotoxic agents and although not definitely established, is most likely due to margination/neutrophil tracking.</w:t>
      </w:r>
      <w:r w:rsidR="003E7288">
        <w:t xml:space="preserve"> </w:t>
      </w:r>
      <w:r>
        <w:rPr>
          <w:rFonts w:asciiTheme="minorHAnsi" w:hAnsiTheme="minorHAnsi"/>
          <w:lang w:val="en-US"/>
        </w:rPr>
        <w:t>ANC</w:t>
      </w:r>
      <w:r w:rsidRPr="00AD61EC">
        <w:rPr>
          <w:rFonts w:asciiTheme="minorHAnsi" w:hAnsiTheme="minorHAnsi"/>
          <w:lang w:val="en-US"/>
        </w:rPr>
        <w:t xml:space="preserve"> levels dropped and rebounded quickly f</w:t>
      </w:r>
      <w:r>
        <w:rPr>
          <w:rFonts w:asciiTheme="minorHAnsi" w:hAnsiTheme="minorHAnsi"/>
          <w:lang w:val="en-US"/>
        </w:rPr>
        <w:t>ollowing single-dose sarilumab</w:t>
      </w:r>
      <w:r w:rsidRPr="00AD61EC">
        <w:rPr>
          <w:rFonts w:asciiTheme="minorHAnsi" w:hAnsiTheme="minorHAnsi"/>
          <w:lang w:val="en-US"/>
        </w:rPr>
        <w:t xml:space="preserve">. </w:t>
      </w:r>
      <w:r>
        <w:rPr>
          <w:rFonts w:asciiTheme="minorHAnsi" w:hAnsiTheme="minorHAnsi"/>
          <w:lang w:val="en-US"/>
        </w:rPr>
        <w:t>R</w:t>
      </w:r>
      <w:r w:rsidRPr="00AD61EC">
        <w:rPr>
          <w:rFonts w:asciiTheme="minorHAnsi" w:hAnsiTheme="minorHAnsi"/>
          <w:lang w:val="en-US"/>
        </w:rPr>
        <w:t xml:space="preserve">epeat-dose data from the pivotal </w:t>
      </w:r>
      <w:r w:rsidR="001470FB">
        <w:rPr>
          <w:rFonts w:asciiTheme="minorHAnsi" w:hAnsiTheme="minorHAnsi"/>
          <w:lang w:val="en-US"/>
        </w:rPr>
        <w:t>Phase III</w:t>
      </w:r>
      <w:r w:rsidRPr="00AD61EC">
        <w:rPr>
          <w:rFonts w:asciiTheme="minorHAnsi" w:hAnsiTheme="minorHAnsi"/>
          <w:lang w:val="en-US"/>
        </w:rPr>
        <w:t xml:space="preserve"> monotherapy </w:t>
      </w:r>
      <w:r w:rsidR="00894642">
        <w:rPr>
          <w:rFonts w:asciiTheme="minorHAnsi" w:hAnsiTheme="minorHAnsi"/>
          <w:lang w:val="en-US"/>
        </w:rPr>
        <w:t>Study EFC</w:t>
      </w:r>
      <w:r w:rsidRPr="00AD61EC">
        <w:rPr>
          <w:rFonts w:asciiTheme="minorHAnsi" w:hAnsiTheme="minorHAnsi"/>
          <w:lang w:val="en-US"/>
        </w:rPr>
        <w:t>14092 MONARCH show</w:t>
      </w:r>
      <w:r>
        <w:rPr>
          <w:rFonts w:asciiTheme="minorHAnsi" w:hAnsiTheme="minorHAnsi"/>
          <w:lang w:val="en-US"/>
        </w:rPr>
        <w:t>ed</w:t>
      </w:r>
      <w:r w:rsidRPr="00AD61EC">
        <w:rPr>
          <w:rFonts w:asciiTheme="minorHAnsi" w:hAnsiTheme="minorHAnsi"/>
          <w:lang w:val="en-US"/>
        </w:rPr>
        <w:t xml:space="preserve"> that mean neutrophil count</w:t>
      </w:r>
      <w:r>
        <w:rPr>
          <w:rFonts w:asciiTheme="minorHAnsi" w:hAnsiTheme="minorHAnsi"/>
          <w:lang w:val="en-US"/>
        </w:rPr>
        <w:t xml:space="preserve">s rapidly decline </w:t>
      </w:r>
      <w:r w:rsidRPr="00AD61EC">
        <w:rPr>
          <w:rFonts w:asciiTheme="minorHAnsi" w:hAnsiTheme="minorHAnsi"/>
          <w:lang w:val="en-US"/>
        </w:rPr>
        <w:t>following sarilumab 200 mg q2w</w:t>
      </w:r>
      <w:r>
        <w:rPr>
          <w:rFonts w:asciiTheme="minorHAnsi" w:hAnsiTheme="minorHAnsi"/>
          <w:lang w:val="en-US"/>
        </w:rPr>
        <w:t xml:space="preserve">, </w:t>
      </w:r>
      <w:r w:rsidRPr="00AD61EC">
        <w:rPr>
          <w:rFonts w:asciiTheme="minorHAnsi" w:hAnsiTheme="minorHAnsi"/>
          <w:lang w:val="en-US"/>
        </w:rPr>
        <w:t xml:space="preserve">reaching a nadir at Week 4 </w:t>
      </w:r>
      <w:r>
        <w:rPr>
          <w:rFonts w:asciiTheme="minorHAnsi" w:hAnsiTheme="minorHAnsi"/>
          <w:lang w:val="en-US"/>
        </w:rPr>
        <w:t xml:space="preserve">and </w:t>
      </w:r>
      <w:r w:rsidRPr="00AD61EC">
        <w:rPr>
          <w:rFonts w:asciiTheme="minorHAnsi" w:hAnsiTheme="minorHAnsi"/>
          <w:lang w:val="en-US"/>
        </w:rPr>
        <w:t xml:space="preserve">then stabilising through to Week 24. In the sarilumab </w:t>
      </w:r>
      <w:r>
        <w:rPr>
          <w:rFonts w:asciiTheme="minorHAnsi" w:hAnsiTheme="minorHAnsi"/>
          <w:lang w:val="en-US"/>
        </w:rPr>
        <w:t xml:space="preserve">200 mg q2w </w:t>
      </w:r>
      <w:r w:rsidRPr="00AD61EC">
        <w:rPr>
          <w:rFonts w:asciiTheme="minorHAnsi" w:hAnsiTheme="minorHAnsi"/>
          <w:lang w:val="en-US"/>
        </w:rPr>
        <w:t xml:space="preserve">group, </w:t>
      </w:r>
      <w:r>
        <w:rPr>
          <w:rFonts w:asciiTheme="minorHAnsi" w:hAnsiTheme="minorHAnsi"/>
          <w:lang w:val="en-US"/>
        </w:rPr>
        <w:t xml:space="preserve">the </w:t>
      </w:r>
      <w:r w:rsidRPr="00AD61EC">
        <w:rPr>
          <w:rFonts w:asciiTheme="minorHAnsi" w:hAnsiTheme="minorHAnsi"/>
          <w:lang w:val="en-US"/>
        </w:rPr>
        <w:t xml:space="preserve">percent reduction from baseline to </w:t>
      </w:r>
      <w:r w:rsidR="004472E2">
        <w:rPr>
          <w:rFonts w:asciiTheme="minorHAnsi" w:hAnsiTheme="minorHAnsi"/>
          <w:lang w:val="en-US"/>
        </w:rPr>
        <w:t>W</w:t>
      </w:r>
      <w:r w:rsidRPr="00AD61EC">
        <w:rPr>
          <w:rFonts w:asciiTheme="minorHAnsi" w:hAnsiTheme="minorHAnsi"/>
          <w:lang w:val="en-US"/>
        </w:rPr>
        <w:t xml:space="preserve">eek 24 in the mean neutrophil count was approximately 39%, however, the mean </w:t>
      </w:r>
      <w:r>
        <w:rPr>
          <w:rFonts w:asciiTheme="minorHAnsi" w:hAnsiTheme="minorHAnsi"/>
          <w:lang w:val="en-US"/>
        </w:rPr>
        <w:t xml:space="preserve">ANC </w:t>
      </w:r>
      <w:r w:rsidRPr="00AD61EC">
        <w:rPr>
          <w:rFonts w:asciiTheme="minorHAnsi" w:hAnsiTheme="minorHAnsi"/>
          <w:lang w:val="en-US"/>
        </w:rPr>
        <w:t>level at each visit remained within n</w:t>
      </w:r>
      <w:r>
        <w:rPr>
          <w:rFonts w:asciiTheme="minorHAnsi" w:hAnsiTheme="minorHAnsi"/>
          <w:lang w:val="en-US"/>
        </w:rPr>
        <w:t xml:space="preserve">ormal limits for the study </w:t>
      </w:r>
      <w:proofErr w:type="gramStart"/>
      <w:r>
        <w:rPr>
          <w:rFonts w:asciiTheme="minorHAnsi" w:hAnsiTheme="minorHAnsi"/>
          <w:lang w:val="en-US"/>
        </w:rPr>
        <w:t>(</w:t>
      </w:r>
      <w:r w:rsidRPr="00AD61EC">
        <w:rPr>
          <w:rFonts w:asciiTheme="minorHAnsi" w:hAnsiTheme="minorHAnsi"/>
          <w:lang w:val="en-US"/>
        </w:rPr>
        <w:t>1.96 to 7.23</w:t>
      </w:r>
      <w:r w:rsidR="00B2498D">
        <w:rPr>
          <w:rFonts w:asciiTheme="minorHAnsi" w:hAnsiTheme="minorHAnsi"/>
          <w:lang w:val="en-US"/>
        </w:rPr>
        <w:t> </w:t>
      </w:r>
      <w:r w:rsidRPr="00AD61EC">
        <w:rPr>
          <w:rFonts w:asciiTheme="minorHAnsi" w:hAnsiTheme="minorHAnsi"/>
          <w:lang w:val="en-US"/>
        </w:rPr>
        <w:t>Giga/L)</w:t>
      </w:r>
      <w:proofErr w:type="gramEnd"/>
      <w:r w:rsidRPr="00AD61EC">
        <w:rPr>
          <w:rFonts w:asciiTheme="minorHAnsi" w:hAnsiTheme="minorHAnsi"/>
          <w:lang w:val="en-US"/>
        </w:rPr>
        <w:t>.</w:t>
      </w:r>
      <w:r>
        <w:rPr>
          <w:rFonts w:asciiTheme="minorHAnsi" w:hAnsiTheme="minorHAnsi"/>
          <w:lang w:val="en-US"/>
        </w:rPr>
        <w:t xml:space="preserve"> The majority of patients treated with sarilumab 200 mg q2w in whom ANC was </w:t>
      </w:r>
      <w:r w:rsidR="007F1BEB">
        <w:t>&lt; </w:t>
      </w:r>
      <w:r>
        <w:rPr>
          <w:rFonts w:asciiTheme="minorHAnsi" w:hAnsiTheme="minorHAnsi"/>
          <w:lang w:val="en-US"/>
        </w:rPr>
        <w:t xml:space="preserve">1.0 Giga/L were able to continue treatment with sarilumab 150 mg q2w following </w:t>
      </w:r>
      <w:r>
        <w:rPr>
          <w:rFonts w:asciiTheme="minorHAnsi" w:hAnsiTheme="minorHAnsi"/>
          <w:lang w:val="en-US"/>
        </w:rPr>
        <w:lastRenderedPageBreak/>
        <w:t>treatment interruption.</w:t>
      </w:r>
      <w:r w:rsidR="003E7288">
        <w:rPr>
          <w:rFonts w:asciiTheme="minorHAnsi" w:hAnsiTheme="minorHAnsi"/>
          <w:lang w:val="en-US"/>
        </w:rPr>
        <w:t xml:space="preserve"> </w:t>
      </w:r>
      <w:r w:rsidRPr="004C126A">
        <w:rPr>
          <w:lang w:val="en-US"/>
        </w:rPr>
        <w:t xml:space="preserve">The sponsor </w:t>
      </w:r>
      <w:r>
        <w:rPr>
          <w:lang w:val="en-US"/>
        </w:rPr>
        <w:t xml:space="preserve">reports </w:t>
      </w:r>
      <w:r w:rsidRPr="004C126A">
        <w:rPr>
          <w:lang w:val="en-US"/>
        </w:rPr>
        <w:t xml:space="preserve">that </w:t>
      </w:r>
      <w:r>
        <w:rPr>
          <w:lang w:val="en-US"/>
        </w:rPr>
        <w:t>n</w:t>
      </w:r>
      <w:r w:rsidRPr="004C126A">
        <w:rPr>
          <w:lang w:val="en-US"/>
        </w:rPr>
        <w:t xml:space="preserve">eutrophil margination </w:t>
      </w:r>
      <w:r>
        <w:rPr>
          <w:lang w:val="en-US"/>
        </w:rPr>
        <w:t xml:space="preserve">following sarilumab administration </w:t>
      </w:r>
      <w:r w:rsidRPr="004C126A">
        <w:rPr>
          <w:lang w:val="en-US"/>
        </w:rPr>
        <w:t xml:space="preserve">provides a possible </w:t>
      </w:r>
      <w:r>
        <w:rPr>
          <w:lang w:val="en-US"/>
        </w:rPr>
        <w:t>explanation</w:t>
      </w:r>
      <w:r w:rsidRPr="004C126A">
        <w:rPr>
          <w:lang w:val="en-US"/>
        </w:rPr>
        <w:t xml:space="preserve"> </w:t>
      </w:r>
      <w:r>
        <w:rPr>
          <w:lang w:val="en-US"/>
        </w:rPr>
        <w:t>for the absence of impairment in neutrophil function as well as the lack of an observed association between ANC decrease and infection.</w:t>
      </w:r>
    </w:p>
    <w:p w:rsidR="00572EFC" w:rsidRPr="009D17D7" w:rsidRDefault="00572EFC" w:rsidP="004472E2">
      <w:pPr>
        <w:pStyle w:val="Heading4"/>
      </w:pPr>
      <w:r w:rsidRPr="009D17D7">
        <w:t>Efficacy</w:t>
      </w:r>
    </w:p>
    <w:p w:rsidR="00572EFC" w:rsidRPr="00413FE1" w:rsidRDefault="00572EFC" w:rsidP="00F2151A">
      <w:pPr>
        <w:rPr>
          <w:rFonts w:asciiTheme="minorHAnsi" w:hAnsiTheme="minorHAnsi"/>
        </w:rPr>
      </w:pPr>
      <w:r>
        <w:rPr>
          <w:lang w:val="en-US"/>
        </w:rPr>
        <w:t>B</w:t>
      </w:r>
      <w:r w:rsidRPr="00AF3974">
        <w:rPr>
          <w:lang w:val="en-US"/>
        </w:rPr>
        <w:t xml:space="preserve">ased on </w:t>
      </w:r>
      <w:r>
        <w:rPr>
          <w:lang w:val="en-US"/>
        </w:rPr>
        <w:t xml:space="preserve">comparative </w:t>
      </w:r>
      <w:r w:rsidRPr="00AF3974">
        <w:rPr>
          <w:lang w:val="en-US"/>
        </w:rPr>
        <w:t>data</w:t>
      </w:r>
      <w:r>
        <w:rPr>
          <w:lang w:val="en-US"/>
        </w:rPr>
        <w:t xml:space="preserve"> </w:t>
      </w:r>
      <w:r w:rsidRPr="00AF3974">
        <w:rPr>
          <w:lang w:val="en-US"/>
        </w:rPr>
        <w:t>and to optimi</w:t>
      </w:r>
      <w:r>
        <w:rPr>
          <w:lang w:val="en-US"/>
        </w:rPr>
        <w:t>s</w:t>
      </w:r>
      <w:r w:rsidRPr="00AF3974">
        <w:rPr>
          <w:lang w:val="en-US"/>
        </w:rPr>
        <w:t>e patient benefit</w:t>
      </w:r>
      <w:r>
        <w:rPr>
          <w:lang w:val="en-US"/>
        </w:rPr>
        <w:t>,</w:t>
      </w:r>
      <w:r w:rsidRPr="00AF3974">
        <w:rPr>
          <w:lang w:val="en-US"/>
        </w:rPr>
        <w:t xml:space="preserve"> the sponsor selected the 200</w:t>
      </w:r>
      <w:r w:rsidR="008A3EE5">
        <w:rPr>
          <w:lang w:val="en-US"/>
        </w:rPr>
        <w:t> </w:t>
      </w:r>
      <w:r w:rsidRPr="00AF3974">
        <w:rPr>
          <w:lang w:val="en-US"/>
        </w:rPr>
        <w:t xml:space="preserve">mg sarilumab dose over the 150 mg sarilumab dose for </w:t>
      </w:r>
      <w:r>
        <w:rPr>
          <w:lang w:val="en-US"/>
        </w:rPr>
        <w:t xml:space="preserve">the pivotal </w:t>
      </w:r>
      <w:r w:rsidR="001470FB">
        <w:rPr>
          <w:lang w:val="en-US"/>
        </w:rPr>
        <w:t>Phase III</w:t>
      </w:r>
      <w:r>
        <w:rPr>
          <w:lang w:val="en-US"/>
        </w:rPr>
        <w:t xml:space="preserve"> </w:t>
      </w:r>
      <w:r w:rsidR="00894642">
        <w:rPr>
          <w:lang w:val="en-US"/>
        </w:rPr>
        <w:t>Study</w:t>
      </w:r>
      <w:r w:rsidR="008A3EE5">
        <w:rPr>
          <w:lang w:val="en-US"/>
        </w:rPr>
        <w:t> </w:t>
      </w:r>
      <w:r w:rsidR="00894642">
        <w:rPr>
          <w:lang w:val="en-US"/>
        </w:rPr>
        <w:t>EFC</w:t>
      </w:r>
      <w:r>
        <w:rPr>
          <w:lang w:val="en-US"/>
        </w:rPr>
        <w:t>14092</w:t>
      </w:r>
      <w:r w:rsidR="008A3EE5">
        <w:rPr>
          <w:lang w:val="en-US"/>
        </w:rPr>
        <w:t>/</w:t>
      </w:r>
      <w:r w:rsidR="001F3EAD">
        <w:t>MONARCH</w:t>
      </w:r>
      <w:r w:rsidR="008A3EE5">
        <w:t xml:space="preserve"> trial</w:t>
      </w:r>
      <w:r w:rsidRPr="00AF3974">
        <w:rPr>
          <w:lang w:val="en-US"/>
        </w:rPr>
        <w:t>. The s</w:t>
      </w:r>
      <w:r>
        <w:rPr>
          <w:lang w:val="en-US"/>
        </w:rPr>
        <w:t xml:space="preserve">ponsor selected adalimumab as the </w:t>
      </w:r>
      <w:r w:rsidRPr="00AF3974">
        <w:rPr>
          <w:lang w:val="en-US"/>
        </w:rPr>
        <w:t xml:space="preserve">comparator, given its widespread use </w:t>
      </w:r>
      <w:r>
        <w:rPr>
          <w:lang w:val="en-US"/>
        </w:rPr>
        <w:t xml:space="preserve">in clinical practice </w:t>
      </w:r>
      <w:r w:rsidRPr="00AF3974">
        <w:rPr>
          <w:lang w:val="en-US"/>
        </w:rPr>
        <w:t xml:space="preserve">and data supporting its use as monotherapy for RA patients who do not respond to MTX or who are </w:t>
      </w:r>
      <w:r>
        <w:rPr>
          <w:lang w:val="en-US"/>
        </w:rPr>
        <w:t>MTX intolerant.</w:t>
      </w:r>
    </w:p>
    <w:p w:rsidR="00AA6B20" w:rsidRDefault="00572EFC" w:rsidP="00F2151A">
      <w:pPr>
        <w:rPr>
          <w:rFonts w:asciiTheme="minorHAnsi" w:hAnsiTheme="minorHAnsi" w:cs="Times"/>
          <w:lang w:val="en-US"/>
        </w:rPr>
      </w:pPr>
      <w:bookmarkStart w:id="242" w:name="_Ref243301615"/>
      <w:bookmarkStart w:id="243" w:name="_Ref271040927"/>
      <w:bookmarkStart w:id="244" w:name="_Ref271040932"/>
      <w:bookmarkStart w:id="245" w:name="_Toc272414653"/>
      <w:bookmarkStart w:id="246" w:name="_Toc290888501"/>
      <w:bookmarkStart w:id="247" w:name="_Toc416353717"/>
      <w:r w:rsidRPr="004472E2">
        <w:rPr>
          <w:rFonts w:asciiTheme="minorHAnsi" w:hAnsiTheme="minorHAnsi"/>
        </w:rPr>
        <w:t>Study</w:t>
      </w:r>
      <w:bookmarkEnd w:id="242"/>
      <w:bookmarkEnd w:id="243"/>
      <w:bookmarkEnd w:id="244"/>
      <w:bookmarkEnd w:id="245"/>
      <w:bookmarkEnd w:id="246"/>
      <w:bookmarkEnd w:id="247"/>
      <w:r w:rsidRPr="004472E2">
        <w:rPr>
          <w:rFonts w:asciiTheme="minorHAnsi" w:hAnsiTheme="minorHAnsi"/>
        </w:rPr>
        <w:t xml:space="preserve"> EFC14092</w:t>
      </w:r>
      <w:r w:rsidR="008A3EE5">
        <w:rPr>
          <w:rFonts w:asciiTheme="minorHAnsi" w:hAnsiTheme="minorHAnsi"/>
        </w:rPr>
        <w:t>/</w:t>
      </w:r>
      <w:r w:rsidRPr="004472E2">
        <w:rPr>
          <w:rFonts w:asciiTheme="minorHAnsi" w:hAnsiTheme="minorHAnsi"/>
        </w:rPr>
        <w:t>MONARCH</w:t>
      </w:r>
      <w:r w:rsidR="008A3EE5">
        <w:rPr>
          <w:rFonts w:asciiTheme="minorHAnsi" w:hAnsiTheme="minorHAnsi"/>
        </w:rPr>
        <w:t xml:space="preserve"> trial</w:t>
      </w:r>
      <w:r w:rsidRPr="00E75797">
        <w:rPr>
          <w:rFonts w:asciiTheme="minorHAnsi" w:hAnsiTheme="minorHAnsi"/>
        </w:rPr>
        <w:t xml:space="preserve"> </w:t>
      </w:r>
      <w:r w:rsidRPr="00E75797">
        <w:t>was a multicentre, randomised, double</w:t>
      </w:r>
      <w:r w:rsidR="008A3EE5">
        <w:t xml:space="preserve"> </w:t>
      </w:r>
      <w:r w:rsidRPr="00E75797">
        <w:t>blind, parallel</w:t>
      </w:r>
      <w:r w:rsidR="008A3EE5">
        <w:t xml:space="preserve"> </w:t>
      </w:r>
      <w:r w:rsidRPr="00E75797">
        <w:t>group, double dummy, superiority study assessing the efficacy and safety of 20</w:t>
      </w:r>
      <w:r w:rsidR="001470FB">
        <w:t>0</w:t>
      </w:r>
      <w:r w:rsidR="008A3EE5">
        <w:t> </w:t>
      </w:r>
      <w:r w:rsidR="001470FB">
        <w:t>mg</w:t>
      </w:r>
      <w:r w:rsidRPr="00E75797">
        <w:t xml:space="preserve"> sarilumab fortnightly monotherapy (no dose reduction) versus 4</w:t>
      </w:r>
      <w:r w:rsidR="001470FB">
        <w:t>0 mg</w:t>
      </w:r>
      <w:r w:rsidRPr="00E75797">
        <w:t xml:space="preserve"> adalimumab fortnightly monotherapy in 369 patients with active </w:t>
      </w:r>
      <w:r w:rsidR="001F3EAD">
        <w:t>RA</w:t>
      </w:r>
      <w:r w:rsidRPr="00E75797">
        <w:t xml:space="preserve"> </w:t>
      </w:r>
      <w:r w:rsidRPr="00E75797">
        <w:rPr>
          <w:rFonts w:asciiTheme="minorHAnsi" w:hAnsiTheme="minorHAnsi" w:cs="Times"/>
          <w:lang w:val="en-US"/>
        </w:rPr>
        <w:t>who were considered to be unsuitable candidates for continued treatment with MTX due to intolerance or inadequate response</w:t>
      </w:r>
      <w:r w:rsidRPr="00E75797">
        <w:t>, for 24 weeks (open label extension period to week 276 is ongoing).</w:t>
      </w:r>
      <w:r w:rsidR="003E7288">
        <w:t xml:space="preserve"> </w:t>
      </w:r>
      <w:r w:rsidRPr="00E75797">
        <w:t>Dosing of adalimumab could have increased to 4</w:t>
      </w:r>
      <w:r w:rsidR="001470FB">
        <w:t>0 mg</w:t>
      </w:r>
      <w:r w:rsidRPr="00E75797">
        <w:t xml:space="preserve"> weekly if inadequate response.</w:t>
      </w:r>
      <w:r w:rsidR="003E7288">
        <w:t xml:space="preserve"> </w:t>
      </w:r>
      <w:r w:rsidRPr="00E75797">
        <w:rPr>
          <w:rFonts w:asciiTheme="minorHAnsi" w:hAnsiTheme="minorHAnsi"/>
          <w:lang w:val="en-US"/>
        </w:rPr>
        <w:t>Baseline demographic factors were well balanced between the two treatment groups and disease characteristics were mostly balanced.</w:t>
      </w:r>
      <w:r w:rsidR="003E7288">
        <w:rPr>
          <w:rFonts w:asciiTheme="minorHAnsi" w:hAnsiTheme="minorHAnsi"/>
          <w:lang w:val="en-US"/>
        </w:rPr>
        <w:t xml:space="preserve"> </w:t>
      </w:r>
      <w:r w:rsidRPr="00E75797">
        <w:rPr>
          <w:rFonts w:asciiTheme="minorHAnsi" w:hAnsiTheme="minorHAnsi" w:cs="Times"/>
          <w:lang w:val="en-US"/>
        </w:rPr>
        <w:t xml:space="preserve">The primary efficacy endpoint analysis showed that sarilumab was statistically significantly superior to adalimumab as regards the change from baseline to Week 24 in the DAS28-ESR score (LS mean difference = </w:t>
      </w:r>
      <w:r w:rsidRPr="00E75797">
        <w:rPr>
          <w:rFonts w:asciiTheme="minorHAnsi" w:hAnsiTheme="minorHAnsi"/>
          <w:lang w:val="en-US"/>
        </w:rPr>
        <w:t xml:space="preserve">-1.077 </w:t>
      </w:r>
      <w:r w:rsidR="009E4CF7">
        <w:rPr>
          <w:rFonts w:asciiTheme="minorHAnsi" w:hAnsiTheme="minorHAnsi"/>
          <w:lang w:val="en-US"/>
        </w:rPr>
        <w:t>(</w:t>
      </w:r>
      <w:r w:rsidRPr="00E75797">
        <w:rPr>
          <w:rFonts w:asciiTheme="minorHAnsi" w:hAnsiTheme="minorHAnsi"/>
          <w:lang w:val="en-US"/>
        </w:rPr>
        <w:t xml:space="preserve">95% CI: </w:t>
      </w:r>
      <w:r w:rsidR="00B2498D">
        <w:rPr>
          <w:rFonts w:asciiTheme="minorHAnsi" w:hAnsiTheme="minorHAnsi"/>
          <w:lang w:val="en-US"/>
        </w:rPr>
        <w:noBreakHyphen/>
      </w:r>
      <w:r w:rsidRPr="00E75797">
        <w:rPr>
          <w:rFonts w:asciiTheme="minorHAnsi" w:hAnsiTheme="minorHAnsi"/>
          <w:lang w:val="en-US"/>
        </w:rPr>
        <w:t>1.361, -0.793</w:t>
      </w:r>
      <w:r w:rsidR="008A3EE5">
        <w:rPr>
          <w:rFonts w:asciiTheme="minorHAnsi" w:hAnsiTheme="minorHAnsi"/>
          <w:lang w:val="en-US"/>
        </w:rPr>
        <w:t>)</w:t>
      </w:r>
      <w:r w:rsidRPr="00E75797">
        <w:rPr>
          <w:rFonts w:asciiTheme="minorHAnsi" w:hAnsiTheme="minorHAnsi"/>
          <w:lang w:val="en-US"/>
        </w:rPr>
        <w:t xml:space="preserve">, p&lt;0.0001). The mean difference between the two treatment groups was </w:t>
      </w:r>
      <w:r w:rsidR="00DD5BCE">
        <w:t>&gt;</w:t>
      </w:r>
      <w:r w:rsidR="00B2498D">
        <w:t> </w:t>
      </w:r>
      <w:r w:rsidRPr="00E75797">
        <w:rPr>
          <w:rFonts w:asciiTheme="minorHAnsi" w:hAnsiTheme="minorHAnsi"/>
          <w:lang w:val="en-US"/>
        </w:rPr>
        <w:t>0.6, which was the difference specified by the sponsor as being clinically relevant.</w:t>
      </w:r>
      <w:r w:rsidR="003E7288">
        <w:rPr>
          <w:rFonts w:asciiTheme="minorHAnsi" w:hAnsiTheme="minorHAnsi"/>
          <w:lang w:val="en-US"/>
        </w:rPr>
        <w:t xml:space="preserve"> </w:t>
      </w:r>
      <w:r w:rsidRPr="00E75797">
        <w:rPr>
          <w:rFonts w:asciiTheme="minorHAnsi" w:hAnsiTheme="minorHAnsi" w:cs="Times"/>
          <w:lang w:val="en-US"/>
        </w:rPr>
        <w:t>The pre-specified subgroup analyses showed that the change from baseline to Week 24 in the DAS28-ESR scores consistently favoured the sarilumab group compared with the adalimumab group.</w:t>
      </w:r>
      <w:r w:rsidR="003E7288">
        <w:rPr>
          <w:rFonts w:asciiTheme="minorHAnsi" w:hAnsiTheme="minorHAnsi" w:cs="Times"/>
          <w:lang w:val="en-US"/>
        </w:rPr>
        <w:t xml:space="preserve"> </w:t>
      </w:r>
      <w:r>
        <w:rPr>
          <w:rFonts w:asciiTheme="minorHAnsi" w:hAnsiTheme="minorHAnsi" w:cs="Times"/>
          <w:lang w:val="en-US"/>
        </w:rPr>
        <w:t>There were 8 secondary efficacy endpoints.</w:t>
      </w:r>
      <w:r w:rsidR="003E7288">
        <w:rPr>
          <w:rFonts w:asciiTheme="minorHAnsi" w:hAnsiTheme="minorHAnsi" w:cs="Times"/>
          <w:lang w:val="en-US"/>
        </w:rPr>
        <w:t xml:space="preserve"> </w:t>
      </w:r>
      <w:r w:rsidRPr="00E75797">
        <w:rPr>
          <w:rFonts w:asciiTheme="minorHAnsi" w:hAnsiTheme="minorHAnsi" w:cs="Times"/>
          <w:lang w:val="en-US"/>
        </w:rPr>
        <w:t xml:space="preserve">The 6 secondary efficacy variables that statistically significantly favoured patients in the sarilumab group compared with the adalimumab group, respectively, in the pre-specified hierarchical testing procedure were remission at Week 24 as assessed by the DAS28-ESR </w:t>
      </w:r>
      <w:r w:rsidR="007F1BEB">
        <w:t>&lt; </w:t>
      </w:r>
      <w:r w:rsidRPr="00E75797">
        <w:rPr>
          <w:rFonts w:asciiTheme="minorHAnsi" w:hAnsiTheme="minorHAnsi" w:cs="Times"/>
          <w:lang w:val="en-US"/>
        </w:rPr>
        <w:t>2.6 (26.6%</w:t>
      </w:r>
      <w:r w:rsidR="004472E2">
        <w:rPr>
          <w:rFonts w:asciiTheme="minorHAnsi" w:hAnsiTheme="minorHAnsi" w:cs="Times"/>
          <w:lang w:val="en-US"/>
        </w:rPr>
        <w:t xml:space="preserve"> versus </w:t>
      </w:r>
      <w:r w:rsidRPr="00E75797">
        <w:rPr>
          <w:rFonts w:asciiTheme="minorHAnsi" w:hAnsiTheme="minorHAnsi" w:cs="Times"/>
          <w:lang w:val="en-US"/>
        </w:rPr>
        <w:t>7.0%, p&lt;0.0001), ACR50 response at Week 24 (45.7%</w:t>
      </w:r>
      <w:r w:rsidR="004472E2">
        <w:rPr>
          <w:rFonts w:asciiTheme="minorHAnsi" w:hAnsiTheme="minorHAnsi" w:cs="Times"/>
          <w:lang w:val="en-US"/>
        </w:rPr>
        <w:t xml:space="preserve"> versus </w:t>
      </w:r>
      <w:r w:rsidRPr="00E75797">
        <w:rPr>
          <w:rFonts w:asciiTheme="minorHAnsi" w:hAnsiTheme="minorHAnsi" w:cs="Times"/>
          <w:lang w:val="en-US"/>
        </w:rPr>
        <w:t>29.7%, p=0.0017), ACR70 response at Week 24 (23.4%</w:t>
      </w:r>
      <w:r w:rsidR="004472E2">
        <w:rPr>
          <w:rFonts w:asciiTheme="minorHAnsi" w:hAnsiTheme="minorHAnsi" w:cs="Times"/>
          <w:lang w:val="en-US"/>
        </w:rPr>
        <w:t xml:space="preserve"> versus </w:t>
      </w:r>
      <w:r w:rsidRPr="00E75797">
        <w:rPr>
          <w:rFonts w:asciiTheme="minorHAnsi" w:hAnsiTheme="minorHAnsi" w:cs="Times"/>
          <w:lang w:val="en-US"/>
        </w:rPr>
        <w:t>11.9%, p=0.0036), ACR20 response at Week</w:t>
      </w:r>
      <w:r w:rsidR="008A3EE5">
        <w:rPr>
          <w:rFonts w:asciiTheme="minorHAnsi" w:hAnsiTheme="minorHAnsi" w:cs="Times"/>
          <w:lang w:val="en-US"/>
        </w:rPr>
        <w:t> </w:t>
      </w:r>
      <w:r w:rsidRPr="00E75797">
        <w:rPr>
          <w:rFonts w:asciiTheme="minorHAnsi" w:hAnsiTheme="minorHAnsi" w:cs="Times"/>
          <w:lang w:val="en-US"/>
        </w:rPr>
        <w:t>24 (71.1%</w:t>
      </w:r>
      <w:r w:rsidR="004472E2">
        <w:rPr>
          <w:rFonts w:asciiTheme="minorHAnsi" w:hAnsiTheme="minorHAnsi" w:cs="Times"/>
          <w:lang w:val="en-US"/>
        </w:rPr>
        <w:t xml:space="preserve"> versus </w:t>
      </w:r>
      <w:r w:rsidRPr="00E75797">
        <w:rPr>
          <w:rFonts w:asciiTheme="minorHAnsi" w:hAnsiTheme="minorHAnsi" w:cs="Times"/>
          <w:lang w:val="en-US"/>
        </w:rPr>
        <w:t>58.4%, p=0.0074), improvement from baseline in HAQ-DI score at Week 24 (LS mean change -0.61</w:t>
      </w:r>
      <w:r w:rsidR="004472E2">
        <w:rPr>
          <w:rFonts w:asciiTheme="minorHAnsi" w:hAnsiTheme="minorHAnsi" w:cs="Times"/>
          <w:lang w:val="en-US"/>
        </w:rPr>
        <w:t xml:space="preserve"> versus </w:t>
      </w:r>
      <w:r w:rsidRPr="00E75797">
        <w:rPr>
          <w:rFonts w:asciiTheme="minorHAnsi" w:hAnsiTheme="minorHAnsi" w:cs="Times"/>
          <w:lang w:val="en-US"/>
        </w:rPr>
        <w:t>-0.43, p=0.0037), and improvement from baseline in SF-36 (PCS) at Week 24 (LS mean change 8.74</w:t>
      </w:r>
      <w:r w:rsidR="004472E2">
        <w:rPr>
          <w:rFonts w:asciiTheme="minorHAnsi" w:hAnsiTheme="minorHAnsi" w:cs="Times"/>
          <w:lang w:val="en-US"/>
        </w:rPr>
        <w:t xml:space="preserve"> versus </w:t>
      </w:r>
      <w:r w:rsidRPr="00E75797">
        <w:rPr>
          <w:rFonts w:asciiTheme="minorHAnsi" w:hAnsiTheme="minorHAnsi" w:cs="Times"/>
          <w:lang w:val="en-US"/>
        </w:rPr>
        <w:t>6.09, p=0.0006).</w:t>
      </w:r>
      <w:r w:rsidR="003E7288">
        <w:rPr>
          <w:rFonts w:asciiTheme="minorHAnsi" w:hAnsiTheme="minorHAnsi" w:cs="Times"/>
          <w:lang w:val="en-US"/>
        </w:rPr>
        <w:t xml:space="preserve"> </w:t>
      </w:r>
      <w:r w:rsidRPr="00682797">
        <w:rPr>
          <w:rFonts w:asciiTheme="minorHAnsi" w:hAnsiTheme="minorHAnsi" w:cs="Times"/>
          <w:lang w:val="en-US"/>
        </w:rPr>
        <w:t>The 2</w:t>
      </w:r>
      <w:r w:rsidR="008A3EE5">
        <w:rPr>
          <w:rFonts w:asciiTheme="minorHAnsi" w:hAnsiTheme="minorHAnsi" w:cs="Times"/>
          <w:lang w:val="en-US"/>
        </w:rPr>
        <w:t> </w:t>
      </w:r>
      <w:r w:rsidRPr="00682797">
        <w:rPr>
          <w:rFonts w:asciiTheme="minorHAnsi" w:hAnsiTheme="minorHAnsi" w:cs="Times"/>
          <w:lang w:val="en-US"/>
        </w:rPr>
        <w:t>secondary efficacy endpoints</w:t>
      </w:r>
      <w:r>
        <w:rPr>
          <w:rFonts w:asciiTheme="minorHAnsi" w:hAnsiTheme="minorHAnsi" w:cs="Times"/>
          <w:lang w:val="en-US"/>
        </w:rPr>
        <w:t xml:space="preserve"> in the pre-specified hierarchical testing procedure </w:t>
      </w:r>
      <w:r w:rsidRPr="00682797">
        <w:rPr>
          <w:rFonts w:asciiTheme="minorHAnsi" w:hAnsiTheme="minorHAnsi" w:cs="Times"/>
          <w:lang w:val="en-US"/>
        </w:rPr>
        <w:t xml:space="preserve">that </w:t>
      </w:r>
      <w:r>
        <w:rPr>
          <w:rFonts w:asciiTheme="minorHAnsi" w:hAnsiTheme="minorHAnsi" w:cs="Times"/>
          <w:lang w:val="en-US"/>
        </w:rPr>
        <w:t>were</w:t>
      </w:r>
      <w:r w:rsidRPr="00682797">
        <w:rPr>
          <w:rFonts w:asciiTheme="minorHAnsi" w:hAnsiTheme="minorHAnsi" w:cs="Times"/>
          <w:lang w:val="en-US"/>
        </w:rPr>
        <w:t xml:space="preserve"> not statistically significant were changes in the FACIT Fatigue and SF-36 (MCS) scores</w:t>
      </w:r>
      <w:r>
        <w:rPr>
          <w:rFonts w:asciiTheme="minorHAnsi" w:hAnsiTheme="minorHAnsi" w:cs="Times"/>
          <w:lang w:val="en-US"/>
        </w:rPr>
        <w:t>.</w:t>
      </w:r>
      <w:r w:rsidR="003E7288">
        <w:rPr>
          <w:rFonts w:asciiTheme="minorHAnsi" w:hAnsiTheme="minorHAnsi" w:cs="Times"/>
          <w:lang w:val="en-US"/>
        </w:rPr>
        <w:t xml:space="preserve"> </w:t>
      </w:r>
      <w:r>
        <w:rPr>
          <w:rFonts w:asciiTheme="minorHAnsi" w:hAnsiTheme="minorHAnsi" w:cs="Times"/>
          <w:lang w:val="en-US"/>
        </w:rPr>
        <w:t>T</w:t>
      </w:r>
      <w:r w:rsidRPr="00E75797">
        <w:rPr>
          <w:rFonts w:asciiTheme="minorHAnsi" w:hAnsiTheme="minorHAnsi" w:cs="Times"/>
          <w:lang w:val="en-US"/>
        </w:rPr>
        <w:t xml:space="preserve">here were no data in </w:t>
      </w:r>
      <w:r w:rsidR="00894642">
        <w:rPr>
          <w:rFonts w:asciiTheme="minorHAnsi" w:hAnsiTheme="minorHAnsi" w:cs="Times"/>
          <w:lang w:val="en-US"/>
        </w:rPr>
        <w:t>Study EFC</w:t>
      </w:r>
      <w:r w:rsidRPr="00E75797">
        <w:rPr>
          <w:rFonts w:asciiTheme="minorHAnsi" w:hAnsiTheme="minorHAnsi" w:cs="Times"/>
          <w:lang w:val="en-US"/>
        </w:rPr>
        <w:t xml:space="preserve">14092 </w:t>
      </w:r>
      <w:r w:rsidR="001F3EAD">
        <w:t>MONARCH</w:t>
      </w:r>
      <w:r w:rsidR="001F3EAD" w:rsidRPr="00E75797">
        <w:rPr>
          <w:rFonts w:asciiTheme="minorHAnsi" w:hAnsiTheme="minorHAnsi" w:cs="Times"/>
          <w:lang w:val="en-US"/>
        </w:rPr>
        <w:t xml:space="preserve"> </w:t>
      </w:r>
      <w:r w:rsidRPr="00E75797">
        <w:rPr>
          <w:rFonts w:asciiTheme="minorHAnsi" w:hAnsiTheme="minorHAnsi" w:cs="Times"/>
          <w:lang w:val="en-US"/>
        </w:rPr>
        <w:t>relating</w:t>
      </w:r>
      <w:r>
        <w:rPr>
          <w:rFonts w:asciiTheme="minorHAnsi" w:hAnsiTheme="minorHAnsi" w:cs="Times"/>
          <w:lang w:val="en-US"/>
        </w:rPr>
        <w:t xml:space="preserve"> to</w:t>
      </w:r>
      <w:r w:rsidRPr="00E75797">
        <w:rPr>
          <w:rFonts w:asciiTheme="minorHAnsi" w:hAnsiTheme="minorHAnsi" w:cs="Times"/>
          <w:lang w:val="en-US"/>
        </w:rPr>
        <w:t xml:space="preserve"> radiological progression.</w:t>
      </w:r>
    </w:p>
    <w:p w:rsidR="00572EFC" w:rsidRDefault="00572EFC" w:rsidP="00F2151A">
      <w:pPr>
        <w:rPr>
          <w:rFonts w:asciiTheme="minorHAnsi" w:hAnsiTheme="minorHAnsi"/>
        </w:rPr>
      </w:pPr>
      <w:r w:rsidRPr="004472E2">
        <w:t>Study LTS11210</w:t>
      </w:r>
      <w:r w:rsidR="004472E2">
        <w:t xml:space="preserve"> is</w:t>
      </w:r>
      <w:r>
        <w:t xml:space="preserve"> an ongoing, open-label, long-term (up to 5 years) extension study in adult patients with RA who completed involvement in earlier trials, with subjects continuing their previous concomitant treatments.</w:t>
      </w:r>
      <w:r w:rsidR="003A59CB">
        <w:t xml:space="preserve"> </w:t>
      </w:r>
      <w:r>
        <w:t>The primary objective was to evaluate the long-term safety of sarilumab, but persistence of efficacy response was a secondary objective.</w:t>
      </w:r>
      <w:r w:rsidR="003E7288">
        <w:t xml:space="preserve"> </w:t>
      </w:r>
      <w:r w:rsidRPr="00AE03B2">
        <w:rPr>
          <w:rFonts w:asciiTheme="minorHAnsi" w:hAnsiTheme="minorHAnsi"/>
        </w:rPr>
        <w:t xml:space="preserve">Data to 148 weeks (see Figure </w:t>
      </w:r>
      <w:r w:rsidR="004472E2">
        <w:rPr>
          <w:rFonts w:asciiTheme="minorHAnsi" w:hAnsiTheme="minorHAnsi"/>
        </w:rPr>
        <w:t>1</w:t>
      </w:r>
      <w:r w:rsidR="008948C4">
        <w:rPr>
          <w:rFonts w:asciiTheme="minorHAnsi" w:hAnsiTheme="minorHAnsi"/>
        </w:rPr>
        <w:t>3</w:t>
      </w:r>
      <w:r w:rsidRPr="00AE03B2">
        <w:rPr>
          <w:rFonts w:asciiTheme="minorHAnsi" w:hAnsiTheme="minorHAnsi"/>
        </w:rPr>
        <w:t xml:space="preserve">) was provided by the sponsor as part of the </w:t>
      </w:r>
      <w:r>
        <w:rPr>
          <w:rFonts w:asciiTheme="minorHAnsi" w:hAnsiTheme="minorHAnsi"/>
        </w:rPr>
        <w:t xml:space="preserve">initial submission’s </w:t>
      </w:r>
      <w:r w:rsidRPr="00AE03B2">
        <w:rPr>
          <w:rFonts w:asciiTheme="minorHAnsi" w:hAnsiTheme="minorHAnsi"/>
        </w:rPr>
        <w:t xml:space="preserve">second request for ACM advice and in this submission on change in the </w:t>
      </w:r>
      <w:proofErr w:type="spellStart"/>
      <w:r w:rsidRPr="00AE03B2">
        <w:rPr>
          <w:rFonts w:asciiTheme="minorHAnsi" w:hAnsiTheme="minorHAnsi"/>
        </w:rPr>
        <w:t>mTSS</w:t>
      </w:r>
      <w:proofErr w:type="spellEnd"/>
      <w:r w:rsidRPr="00AE03B2">
        <w:rPr>
          <w:rFonts w:asciiTheme="minorHAnsi" w:hAnsiTheme="minorHAnsi"/>
        </w:rPr>
        <w:t xml:space="preserve"> showing a benefit for patients initiated on 20</w:t>
      </w:r>
      <w:r w:rsidR="001470FB">
        <w:rPr>
          <w:rFonts w:asciiTheme="minorHAnsi" w:hAnsiTheme="minorHAnsi"/>
        </w:rPr>
        <w:t>0 mg</w:t>
      </w:r>
      <w:r w:rsidRPr="00AE03B2">
        <w:rPr>
          <w:rFonts w:asciiTheme="minorHAnsi" w:hAnsiTheme="minorHAnsi"/>
        </w:rPr>
        <w:t xml:space="preserve"> compared to 15</w:t>
      </w:r>
      <w:r w:rsidR="001470FB">
        <w:rPr>
          <w:rFonts w:asciiTheme="minorHAnsi" w:hAnsiTheme="minorHAnsi"/>
        </w:rPr>
        <w:t>0 mg</w:t>
      </w:r>
      <w:r w:rsidRPr="00AE03B2">
        <w:rPr>
          <w:rFonts w:asciiTheme="minorHAnsi" w:hAnsiTheme="minorHAnsi"/>
        </w:rPr>
        <w:t xml:space="preserve"> and placebo however the numerical difference was small (the minimum clinically important difference for </w:t>
      </w:r>
      <w:proofErr w:type="spellStart"/>
      <w:r w:rsidRPr="00AE03B2">
        <w:rPr>
          <w:rFonts w:asciiTheme="minorHAnsi" w:hAnsiTheme="minorHAnsi"/>
        </w:rPr>
        <w:t>mTSS</w:t>
      </w:r>
      <w:proofErr w:type="spellEnd"/>
      <w:r w:rsidRPr="00AE03B2">
        <w:rPr>
          <w:rFonts w:asciiTheme="minorHAnsi" w:hAnsiTheme="minorHAnsi"/>
        </w:rPr>
        <w:t xml:space="preserve"> is generally stated to be 5 units).</w:t>
      </w:r>
    </w:p>
    <w:p w:rsidR="004472E2" w:rsidRPr="00AE03B2" w:rsidRDefault="004472E2" w:rsidP="004472E2">
      <w:pPr>
        <w:pStyle w:val="FigureTitle"/>
      </w:pPr>
      <w:r>
        <w:lastRenderedPageBreak/>
        <w:t>Figure 1</w:t>
      </w:r>
      <w:r w:rsidR="008948C4">
        <w:t>3</w:t>
      </w:r>
      <w:r>
        <w:t xml:space="preserve">: </w:t>
      </w:r>
      <w:r w:rsidR="008A3EE5">
        <w:t xml:space="preserve">Study LTS112119 </w:t>
      </w:r>
      <w:r>
        <w:t xml:space="preserve">Mean change from </w:t>
      </w:r>
      <w:r w:rsidR="008A3EE5">
        <w:t xml:space="preserve">Baseline </w:t>
      </w:r>
      <w:r>
        <w:t>in the modified total Sharp score (</w:t>
      </w:r>
      <w:proofErr w:type="spellStart"/>
      <w:r>
        <w:t>mTSS</w:t>
      </w:r>
      <w:proofErr w:type="spellEnd"/>
      <w:r>
        <w:t>) at each visit</w:t>
      </w:r>
      <w:r w:rsidR="008A3EE5">
        <w:t>;</w:t>
      </w:r>
      <w:r>
        <w:t xml:space="preserve"> Reading Campaign 2</w:t>
      </w:r>
      <w:r w:rsidR="008A3EE5">
        <w:t>,</w:t>
      </w:r>
      <w:r w:rsidR="00B2498D">
        <w:t xml:space="preserve"> </w:t>
      </w:r>
      <w:r>
        <w:t>ITT</w:t>
      </w:r>
      <w:r w:rsidR="008A3EE5">
        <w:t> </w:t>
      </w:r>
      <w:r>
        <w:t>population</w:t>
      </w:r>
    </w:p>
    <w:p w:rsidR="00572EFC" w:rsidRPr="00F2151A" w:rsidRDefault="00572EFC" w:rsidP="00F2151A">
      <w:pPr>
        <w:rPr>
          <w:rFonts w:asciiTheme="minorHAnsi" w:hAnsiTheme="minorHAnsi"/>
        </w:rPr>
      </w:pPr>
      <w:r>
        <w:rPr>
          <w:noProof/>
          <w:lang w:eastAsia="en-AU"/>
        </w:rPr>
        <w:drawing>
          <wp:inline distT="0" distB="0" distL="0" distR="0" wp14:anchorId="54458126" wp14:editId="097882B9">
            <wp:extent cx="4731658" cy="3011714"/>
            <wp:effectExtent l="0" t="0" r="0" b="0"/>
            <wp:docPr id="1" name="Picture 1" descr="Study LTS112119 Mean change from Baseline in the modified total Sharp score (mTSS) at each visit; Reading Campaign 2, ITT population"/>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92">
                      <a:extLst>
                        <a:ext uri="{BEBA8EAE-BF5A-486C-A8C5-ECC9F3942E4B}">
                          <a14:imgProps xmlns:a14="http://schemas.microsoft.com/office/drawing/2010/main">
                            <a14:imgLayer r:embed="rId93">
                              <a14:imgEffect>
                                <a14:sharpenSoften amount="25000"/>
                              </a14:imgEffect>
                            </a14:imgLayer>
                          </a14:imgProps>
                        </a:ext>
                      </a:extLst>
                    </a:blip>
                    <a:srcRect t="8936"/>
                    <a:stretch/>
                  </pic:blipFill>
                  <pic:spPr bwMode="auto">
                    <a:xfrm>
                      <a:off x="0" y="0"/>
                      <a:ext cx="4732293" cy="3012118"/>
                    </a:xfrm>
                    <a:prstGeom prst="rect">
                      <a:avLst/>
                    </a:prstGeom>
                    <a:ln>
                      <a:noFill/>
                    </a:ln>
                    <a:extLst>
                      <a:ext uri="{53640926-AAD7-44D8-BBD7-CCE9431645EC}">
                        <a14:shadowObscured xmlns:a14="http://schemas.microsoft.com/office/drawing/2010/main"/>
                      </a:ext>
                    </a:extLst>
                  </pic:spPr>
                </pic:pic>
              </a:graphicData>
            </a:graphic>
          </wp:inline>
        </w:drawing>
      </w:r>
    </w:p>
    <w:p w:rsidR="00572EFC" w:rsidRPr="00394E6C" w:rsidRDefault="00572EFC" w:rsidP="00E86CFA">
      <w:pPr>
        <w:pStyle w:val="Heading4"/>
      </w:pPr>
      <w:r w:rsidRPr="00394E6C">
        <w:t>Safety</w:t>
      </w:r>
    </w:p>
    <w:p w:rsidR="00AA6B20" w:rsidRDefault="00572EFC" w:rsidP="00F2151A">
      <w:pPr>
        <w:rPr>
          <w:lang w:val="en-US"/>
        </w:rPr>
      </w:pPr>
      <w:r w:rsidRPr="00E75797">
        <w:rPr>
          <w:lang w:val="en-US"/>
        </w:rPr>
        <w:t>A total of 3354 patients in the total safety population have received at least one dose of sarilumab, with 2887 patients receiving sarilumab in com</w:t>
      </w:r>
      <w:r>
        <w:rPr>
          <w:lang w:val="en-US"/>
        </w:rPr>
        <w:t>bination with conventional DMARD (1960 for at least 48 weeks)</w:t>
      </w:r>
      <w:r w:rsidRPr="00E75797">
        <w:rPr>
          <w:lang w:val="en-US"/>
        </w:rPr>
        <w:t>, and 467 receiving sarilumab monotherapy (</w:t>
      </w:r>
      <w:r>
        <w:rPr>
          <w:lang w:val="en-US"/>
        </w:rPr>
        <w:t>109 for at least 48 weeks</w:t>
      </w:r>
      <w:r w:rsidRPr="00E75797">
        <w:rPr>
          <w:lang w:val="en-US"/>
        </w:rPr>
        <w:t>).</w:t>
      </w:r>
    </w:p>
    <w:p w:rsidR="00572EFC" w:rsidRPr="003A0F43" w:rsidRDefault="00572EFC" w:rsidP="00F2151A">
      <w:pPr>
        <w:rPr>
          <w:rFonts w:asciiTheme="minorHAnsi" w:hAnsiTheme="minorHAnsi"/>
        </w:rPr>
      </w:pPr>
      <w:r>
        <w:rPr>
          <w:rFonts w:asciiTheme="minorHAnsi" w:hAnsiTheme="minorHAnsi"/>
        </w:rPr>
        <w:t xml:space="preserve">New safety data were reported for </w:t>
      </w:r>
      <w:r w:rsidR="00894642">
        <w:rPr>
          <w:rFonts w:asciiTheme="minorHAnsi" w:hAnsiTheme="minorHAnsi"/>
        </w:rPr>
        <w:t>Study EFC</w:t>
      </w:r>
      <w:r>
        <w:rPr>
          <w:rFonts w:asciiTheme="minorHAnsi" w:hAnsiTheme="minorHAnsi"/>
        </w:rPr>
        <w:t xml:space="preserve">14092 </w:t>
      </w:r>
      <w:r w:rsidR="001F3EAD">
        <w:t>MONARCH</w:t>
      </w:r>
      <w:r w:rsidR="001F3EAD">
        <w:rPr>
          <w:rFonts w:asciiTheme="minorHAnsi" w:hAnsiTheme="minorHAnsi"/>
        </w:rPr>
        <w:t xml:space="preserve"> </w:t>
      </w:r>
      <w:r>
        <w:rPr>
          <w:rFonts w:asciiTheme="minorHAnsi" w:hAnsiTheme="minorHAnsi"/>
        </w:rPr>
        <w:t>and a pool of monotherapy exposure across studies.</w:t>
      </w:r>
      <w:r w:rsidR="003E7288">
        <w:rPr>
          <w:rFonts w:asciiTheme="minorHAnsi" w:hAnsiTheme="minorHAnsi"/>
        </w:rPr>
        <w:t xml:space="preserve"> </w:t>
      </w:r>
      <w:r>
        <w:rPr>
          <w:rFonts w:asciiTheme="minorHAnsi" w:hAnsiTheme="minorHAnsi"/>
        </w:rPr>
        <w:t xml:space="preserve">The CER notes </w:t>
      </w:r>
      <w:r>
        <w:rPr>
          <w:lang w:val="en-US"/>
        </w:rPr>
        <w:t xml:space="preserve">the </w:t>
      </w:r>
      <w:r w:rsidRPr="002E285C">
        <w:rPr>
          <w:lang w:val="en-US"/>
        </w:rPr>
        <w:t xml:space="preserve">safety profile for the sarilumab monotherapy </w:t>
      </w:r>
      <w:r>
        <w:rPr>
          <w:lang w:val="en-US"/>
        </w:rPr>
        <w:t xml:space="preserve">200 mg </w:t>
      </w:r>
      <w:r w:rsidRPr="002E285C">
        <w:rPr>
          <w:lang w:val="en-US"/>
        </w:rPr>
        <w:t xml:space="preserve">q2W group in </w:t>
      </w:r>
      <w:r w:rsidR="00894642">
        <w:rPr>
          <w:lang w:val="en-US"/>
        </w:rPr>
        <w:t>Study EFC</w:t>
      </w:r>
      <w:r w:rsidRPr="002E285C">
        <w:rPr>
          <w:lang w:val="en-US"/>
        </w:rPr>
        <w:t xml:space="preserve">14092 </w:t>
      </w:r>
      <w:r w:rsidR="001F3EAD">
        <w:t>MONARCH</w:t>
      </w:r>
      <w:r w:rsidR="001F3EAD" w:rsidRPr="002E285C">
        <w:rPr>
          <w:lang w:val="en-US"/>
        </w:rPr>
        <w:t xml:space="preserve"> </w:t>
      </w:r>
      <w:r w:rsidRPr="002E285C">
        <w:rPr>
          <w:lang w:val="en-US"/>
        </w:rPr>
        <w:t xml:space="preserve">was </w:t>
      </w:r>
      <w:r>
        <w:rPr>
          <w:lang w:val="en-US"/>
        </w:rPr>
        <w:t xml:space="preserve">similar to </w:t>
      </w:r>
      <w:r w:rsidRPr="002E285C">
        <w:rPr>
          <w:lang w:val="en-US"/>
        </w:rPr>
        <w:t xml:space="preserve">the safety profile for the any sarilumab monotherapy dose group </w:t>
      </w:r>
      <w:r>
        <w:rPr>
          <w:lang w:val="en-US"/>
        </w:rPr>
        <w:t>pool.</w:t>
      </w:r>
    </w:p>
    <w:p w:rsidR="00AA6B20" w:rsidRDefault="00572EFC" w:rsidP="00F2151A">
      <w:pPr>
        <w:rPr>
          <w:rFonts w:asciiTheme="minorHAnsi" w:hAnsiTheme="minorHAnsi"/>
        </w:rPr>
      </w:pPr>
      <w:r w:rsidRPr="003A0F43">
        <w:rPr>
          <w:rFonts w:asciiTheme="minorHAnsi" w:hAnsiTheme="minorHAnsi"/>
        </w:rPr>
        <w:t xml:space="preserve">In </w:t>
      </w:r>
      <w:r w:rsidR="00E86CFA">
        <w:rPr>
          <w:rFonts w:asciiTheme="minorHAnsi" w:hAnsiTheme="minorHAnsi"/>
        </w:rPr>
        <w:t xml:space="preserve">Study </w:t>
      </w:r>
      <w:r w:rsidR="00E86CFA">
        <w:t xml:space="preserve">EFC14092 </w:t>
      </w:r>
      <w:r w:rsidRPr="00E86CFA">
        <w:rPr>
          <w:rFonts w:asciiTheme="minorHAnsi" w:hAnsiTheme="minorHAnsi"/>
        </w:rPr>
        <w:t>MONARCH</w:t>
      </w:r>
      <w:r w:rsidRPr="003A0F43">
        <w:rPr>
          <w:rFonts w:asciiTheme="minorHAnsi" w:hAnsiTheme="minorHAnsi"/>
        </w:rPr>
        <w:t>, the safety of sarilumab 200 mg q2w (</w:t>
      </w:r>
      <w:r w:rsidR="007C7C62">
        <w:rPr>
          <w:rFonts w:asciiTheme="minorHAnsi" w:hAnsiTheme="minorHAnsi"/>
        </w:rPr>
        <w:t xml:space="preserve">n = </w:t>
      </w:r>
      <w:r w:rsidRPr="003A0F43">
        <w:rPr>
          <w:rFonts w:asciiTheme="minorHAnsi" w:hAnsiTheme="minorHAnsi"/>
        </w:rPr>
        <w:t>184) was compared with the safety of adalimumab 40 mg q2w (</w:t>
      </w:r>
      <w:r w:rsidR="007C7C62">
        <w:rPr>
          <w:rFonts w:asciiTheme="minorHAnsi" w:hAnsiTheme="minorHAnsi"/>
        </w:rPr>
        <w:t xml:space="preserve">n = </w:t>
      </w:r>
      <w:r w:rsidRPr="003A0F43">
        <w:rPr>
          <w:rFonts w:asciiTheme="minorHAnsi" w:hAnsiTheme="minorHAnsi"/>
        </w:rPr>
        <w:t>184) over 24-weeks.</w:t>
      </w:r>
      <w:r w:rsidR="003E7288">
        <w:rPr>
          <w:rFonts w:asciiTheme="minorHAnsi" w:hAnsiTheme="minorHAnsi"/>
        </w:rPr>
        <w:t xml:space="preserve"> </w:t>
      </w:r>
      <w:r w:rsidRPr="003A0F43">
        <w:rPr>
          <w:rFonts w:asciiTheme="minorHAnsi" w:hAnsiTheme="minorHAnsi"/>
        </w:rPr>
        <w:t>At the Week</w:t>
      </w:r>
      <w:r w:rsidR="008A3EE5">
        <w:rPr>
          <w:rFonts w:asciiTheme="minorHAnsi" w:hAnsiTheme="minorHAnsi"/>
        </w:rPr>
        <w:t> </w:t>
      </w:r>
      <w:r w:rsidRPr="003A0F43">
        <w:rPr>
          <w:rFonts w:asciiTheme="minorHAnsi" w:hAnsiTheme="minorHAnsi"/>
        </w:rPr>
        <w:t>16</w:t>
      </w:r>
      <w:r w:rsidR="008A3EE5">
        <w:rPr>
          <w:rFonts w:asciiTheme="minorHAnsi" w:hAnsiTheme="minorHAnsi"/>
        </w:rPr>
        <w:t xml:space="preserve"> to </w:t>
      </w:r>
      <w:r w:rsidRPr="003A0F43">
        <w:rPr>
          <w:rFonts w:asciiTheme="minorHAnsi" w:hAnsiTheme="minorHAnsi"/>
        </w:rPr>
        <w:t>20</w:t>
      </w:r>
      <w:r w:rsidR="008A3EE5">
        <w:rPr>
          <w:rFonts w:asciiTheme="minorHAnsi" w:hAnsiTheme="minorHAnsi"/>
        </w:rPr>
        <w:t xml:space="preserve"> </w:t>
      </w:r>
      <w:proofErr w:type="gramStart"/>
      <w:r w:rsidR="008A3EE5">
        <w:rPr>
          <w:rFonts w:asciiTheme="minorHAnsi" w:hAnsiTheme="minorHAnsi"/>
        </w:rPr>
        <w:t>period</w:t>
      </w:r>
      <w:proofErr w:type="gramEnd"/>
      <w:r w:rsidRPr="003A0F43">
        <w:rPr>
          <w:rFonts w:asciiTheme="minorHAnsi" w:hAnsiTheme="minorHAnsi"/>
        </w:rPr>
        <w:t>, 8.7% of adalimumab patients increased to 40 mg every week. TEAEs were observed in a similar proportion of patients in the sarilumab 200 mg q2w and adalimumab 40 mg q2w groups (64.1%</w:t>
      </w:r>
      <w:r w:rsidR="004472E2">
        <w:rPr>
          <w:rFonts w:asciiTheme="minorHAnsi" w:hAnsiTheme="minorHAnsi"/>
        </w:rPr>
        <w:t xml:space="preserve"> versus </w:t>
      </w:r>
      <w:r w:rsidRPr="003A0F43">
        <w:rPr>
          <w:rFonts w:asciiTheme="minorHAnsi" w:hAnsiTheme="minorHAnsi"/>
        </w:rPr>
        <w:t>63.6%, respectively), as were treatment</w:t>
      </w:r>
      <w:r w:rsidR="008A3EE5">
        <w:rPr>
          <w:rFonts w:asciiTheme="minorHAnsi" w:hAnsiTheme="minorHAnsi"/>
        </w:rPr>
        <w:t xml:space="preserve"> </w:t>
      </w:r>
      <w:r w:rsidRPr="003A0F43">
        <w:rPr>
          <w:rFonts w:asciiTheme="minorHAnsi" w:hAnsiTheme="minorHAnsi"/>
        </w:rPr>
        <w:t>emergent SAEs (4.9%</w:t>
      </w:r>
      <w:r w:rsidR="004472E2">
        <w:rPr>
          <w:rFonts w:asciiTheme="minorHAnsi" w:hAnsiTheme="minorHAnsi"/>
        </w:rPr>
        <w:t xml:space="preserve"> versus </w:t>
      </w:r>
      <w:r w:rsidRPr="003A0F43">
        <w:rPr>
          <w:rFonts w:asciiTheme="minorHAnsi" w:hAnsiTheme="minorHAnsi"/>
        </w:rPr>
        <w:t>6.5%, respectively) and TEAEs leading to permanent treatment discontinuation (6.0%</w:t>
      </w:r>
      <w:r w:rsidR="004472E2">
        <w:rPr>
          <w:rFonts w:asciiTheme="minorHAnsi" w:hAnsiTheme="minorHAnsi"/>
        </w:rPr>
        <w:t xml:space="preserve"> versus </w:t>
      </w:r>
      <w:r w:rsidRPr="003A0F43">
        <w:rPr>
          <w:rFonts w:asciiTheme="minorHAnsi" w:hAnsiTheme="minorHAnsi"/>
        </w:rPr>
        <w:t xml:space="preserve">7.1% respectively). TEAEs leading to death were reported in 1 (0.5%) patient in the sarilumab group (CV causes) and no patients in the adalimumab group. </w:t>
      </w:r>
      <w:r>
        <w:rPr>
          <w:rFonts w:asciiTheme="minorHAnsi" w:hAnsiTheme="minorHAnsi"/>
        </w:rPr>
        <w:t xml:space="preserve">There was a </w:t>
      </w:r>
      <w:r w:rsidRPr="00841489">
        <w:rPr>
          <w:rFonts w:asciiTheme="minorHAnsi" w:hAnsiTheme="minorHAnsi"/>
        </w:rPr>
        <w:t>higher incidence of neutro</w:t>
      </w:r>
      <w:r w:rsidR="001E2D44">
        <w:rPr>
          <w:rFonts w:asciiTheme="minorHAnsi" w:hAnsiTheme="minorHAnsi"/>
        </w:rPr>
        <w:t>paenia</w:t>
      </w:r>
      <w:r w:rsidRPr="00841489">
        <w:rPr>
          <w:rFonts w:asciiTheme="minorHAnsi" w:hAnsiTheme="minorHAnsi"/>
        </w:rPr>
        <w:t xml:space="preserve"> in the sarilumab group compared with the adalimumab group (13.6%</w:t>
      </w:r>
      <w:r w:rsidR="004472E2">
        <w:rPr>
          <w:rFonts w:asciiTheme="minorHAnsi" w:hAnsiTheme="minorHAnsi"/>
        </w:rPr>
        <w:t xml:space="preserve"> versus </w:t>
      </w:r>
      <w:r w:rsidRPr="00841489">
        <w:rPr>
          <w:rFonts w:asciiTheme="minorHAnsi" w:hAnsiTheme="minorHAnsi"/>
        </w:rPr>
        <w:t xml:space="preserve">0.5%, respectively). Other TEAEs reported in </w:t>
      </w:r>
      <w:r w:rsidR="00DD5BCE">
        <w:t>≥</w:t>
      </w:r>
      <w:r w:rsidR="007C7C62">
        <w:t xml:space="preserve"> </w:t>
      </w:r>
      <w:r w:rsidRPr="00841489">
        <w:rPr>
          <w:rFonts w:asciiTheme="minorHAnsi" w:hAnsiTheme="minorHAnsi"/>
        </w:rPr>
        <w:t xml:space="preserve">2% of patients in either of the two treatment groups, and </w:t>
      </w:r>
      <w:r w:rsidR="00DD5BCE">
        <w:t>≥</w:t>
      </w:r>
      <w:r w:rsidR="007C7C62">
        <w:t xml:space="preserve"> </w:t>
      </w:r>
      <w:r w:rsidRPr="00841489">
        <w:rPr>
          <w:rFonts w:asciiTheme="minorHAnsi" w:hAnsiTheme="minorHAnsi"/>
        </w:rPr>
        <w:t>2% more frequently in the sarilumab group compared with the adalimumab group were injection site erythema and bronchitis</w:t>
      </w:r>
      <w:r>
        <w:rPr>
          <w:rFonts w:asciiTheme="minorHAnsi" w:hAnsiTheme="minorHAnsi"/>
        </w:rPr>
        <w:t>.</w:t>
      </w:r>
      <w:r w:rsidR="003E7288">
        <w:rPr>
          <w:rFonts w:asciiTheme="minorHAnsi" w:hAnsiTheme="minorHAnsi"/>
        </w:rPr>
        <w:t xml:space="preserve"> </w:t>
      </w:r>
      <w:r w:rsidRPr="003A0F43">
        <w:rPr>
          <w:rFonts w:asciiTheme="minorHAnsi" w:hAnsiTheme="minorHAnsi"/>
        </w:rPr>
        <w:t>The most commonly reported AESIs in both treatment groups were infections, which occurred in a similar proportion of patients in both the sarilumab 200 mg q2w group and the adalimumab 40 mg q2w group (28.8%</w:t>
      </w:r>
      <w:r w:rsidR="004472E2">
        <w:rPr>
          <w:rFonts w:asciiTheme="minorHAnsi" w:hAnsiTheme="minorHAnsi"/>
        </w:rPr>
        <w:t xml:space="preserve"> versus </w:t>
      </w:r>
      <w:r w:rsidRPr="003A0F43">
        <w:rPr>
          <w:rFonts w:asciiTheme="minorHAnsi" w:hAnsiTheme="minorHAnsi"/>
        </w:rPr>
        <w:t xml:space="preserve">27.7%, respectively). Serious infections occurred infrequently and in the same proportion of patients in the two treatment groups (1.1%, </w:t>
      </w:r>
      <w:r w:rsidR="007C7C62">
        <w:rPr>
          <w:rFonts w:asciiTheme="minorHAnsi" w:hAnsiTheme="minorHAnsi"/>
        </w:rPr>
        <w:t xml:space="preserve">n = </w:t>
      </w:r>
      <w:r w:rsidRPr="003A0F43">
        <w:rPr>
          <w:rFonts w:asciiTheme="minorHAnsi" w:hAnsiTheme="minorHAnsi"/>
        </w:rPr>
        <w:t xml:space="preserve">2), as did opportunistic infections (0.5%, </w:t>
      </w:r>
      <w:r w:rsidR="007C7C62">
        <w:rPr>
          <w:rFonts w:asciiTheme="minorHAnsi" w:hAnsiTheme="minorHAnsi"/>
        </w:rPr>
        <w:t xml:space="preserve">n = </w:t>
      </w:r>
      <w:r w:rsidRPr="003A0F43">
        <w:rPr>
          <w:rFonts w:asciiTheme="minorHAnsi" w:hAnsiTheme="minorHAnsi"/>
        </w:rPr>
        <w:t>1), while TB occurred in 1 (0.5%) patient in the adalimumab group and no patients in the sarilumab group. AESIs of leuko</w:t>
      </w:r>
      <w:r w:rsidR="001E2D44">
        <w:rPr>
          <w:rFonts w:asciiTheme="minorHAnsi" w:hAnsiTheme="minorHAnsi"/>
        </w:rPr>
        <w:t>paenia</w:t>
      </w:r>
      <w:r>
        <w:rPr>
          <w:rFonts w:asciiTheme="minorHAnsi" w:hAnsiTheme="minorHAnsi"/>
        </w:rPr>
        <w:t xml:space="preserve"> (14.1%</w:t>
      </w:r>
      <w:r w:rsidR="004472E2">
        <w:rPr>
          <w:rFonts w:asciiTheme="minorHAnsi" w:hAnsiTheme="minorHAnsi"/>
        </w:rPr>
        <w:t xml:space="preserve"> versus </w:t>
      </w:r>
      <w:r w:rsidR="00E86CFA">
        <w:rPr>
          <w:rFonts w:asciiTheme="minorHAnsi" w:hAnsiTheme="minorHAnsi"/>
        </w:rPr>
        <w:t>1.6%</w:t>
      </w:r>
      <w:r>
        <w:rPr>
          <w:rFonts w:asciiTheme="minorHAnsi" w:hAnsiTheme="minorHAnsi"/>
        </w:rPr>
        <w:t>)</w:t>
      </w:r>
      <w:r w:rsidRPr="003A0F43">
        <w:rPr>
          <w:rFonts w:asciiTheme="minorHAnsi" w:hAnsiTheme="minorHAnsi"/>
        </w:rPr>
        <w:t xml:space="preserve">, injection site reactions </w:t>
      </w:r>
      <w:r>
        <w:rPr>
          <w:rFonts w:asciiTheme="minorHAnsi" w:hAnsiTheme="minorHAnsi"/>
        </w:rPr>
        <w:t>(9.2%</w:t>
      </w:r>
      <w:r w:rsidR="004472E2">
        <w:rPr>
          <w:rFonts w:asciiTheme="minorHAnsi" w:hAnsiTheme="minorHAnsi"/>
        </w:rPr>
        <w:t xml:space="preserve"> versus </w:t>
      </w:r>
      <w:r>
        <w:rPr>
          <w:rFonts w:asciiTheme="minorHAnsi" w:hAnsiTheme="minorHAnsi"/>
        </w:rPr>
        <w:t xml:space="preserve">4.3%) </w:t>
      </w:r>
      <w:r w:rsidRPr="003A0F43">
        <w:rPr>
          <w:rFonts w:asciiTheme="minorHAnsi" w:hAnsiTheme="minorHAnsi"/>
        </w:rPr>
        <w:t xml:space="preserve">and hepatic disorders </w:t>
      </w:r>
      <w:r>
        <w:rPr>
          <w:rFonts w:asciiTheme="minorHAnsi" w:hAnsiTheme="minorHAnsi"/>
        </w:rPr>
        <w:t>(4.9%</w:t>
      </w:r>
      <w:r w:rsidR="004472E2">
        <w:rPr>
          <w:rFonts w:asciiTheme="minorHAnsi" w:hAnsiTheme="minorHAnsi"/>
        </w:rPr>
        <w:t xml:space="preserve"> versus </w:t>
      </w:r>
      <w:r>
        <w:rPr>
          <w:rFonts w:asciiTheme="minorHAnsi" w:hAnsiTheme="minorHAnsi"/>
        </w:rPr>
        <w:t xml:space="preserve">3.8%) </w:t>
      </w:r>
      <w:r w:rsidRPr="003A0F43">
        <w:rPr>
          <w:rFonts w:asciiTheme="minorHAnsi" w:hAnsiTheme="minorHAnsi"/>
        </w:rPr>
        <w:t xml:space="preserve">occurred more frequently in patients in the sarilumab group than in patients in the adalimumab group. </w:t>
      </w:r>
      <w:r w:rsidRPr="00116395">
        <w:rPr>
          <w:rFonts w:asciiTheme="minorHAnsi" w:eastAsiaTheme="minorHAnsi" w:hAnsiTheme="minorHAnsi" w:cs="TimesNewRomanPSMT"/>
          <w:color w:val="000000"/>
        </w:rPr>
        <w:t xml:space="preserve">No </w:t>
      </w:r>
      <w:r>
        <w:rPr>
          <w:rFonts w:asciiTheme="minorHAnsi" w:eastAsiaTheme="minorHAnsi" w:hAnsiTheme="minorHAnsi" w:cs="TimesNewRomanPSMT"/>
          <w:color w:val="000000"/>
        </w:rPr>
        <w:t xml:space="preserve">serious </w:t>
      </w:r>
      <w:r w:rsidRPr="00116395">
        <w:rPr>
          <w:rFonts w:asciiTheme="minorHAnsi" w:eastAsiaTheme="minorHAnsi" w:hAnsiTheme="minorHAnsi" w:cs="TimesNewRomanPSMT"/>
          <w:color w:val="000000"/>
        </w:rPr>
        <w:t xml:space="preserve">infections were noted in patients with ANC </w:t>
      </w:r>
      <w:r w:rsidR="007F1BEB">
        <w:t>&lt; </w:t>
      </w:r>
      <w:r w:rsidRPr="00116395">
        <w:rPr>
          <w:rFonts w:asciiTheme="minorHAnsi" w:eastAsiaTheme="minorHAnsi" w:hAnsiTheme="minorHAnsi" w:cs="TimesNewRomanPSMT"/>
          <w:color w:val="000000"/>
        </w:rPr>
        <w:t xml:space="preserve">1 Giga/L (Grade 3 or 4 </w:t>
      </w:r>
      <w:r w:rsidRPr="00116395">
        <w:rPr>
          <w:rFonts w:asciiTheme="minorHAnsi" w:eastAsiaTheme="minorHAnsi" w:hAnsiTheme="minorHAnsi" w:cs="TimesNewRomanPSMT"/>
          <w:color w:val="000000"/>
        </w:rPr>
        <w:lastRenderedPageBreak/>
        <w:t>neutro</w:t>
      </w:r>
      <w:r w:rsidR="001E2D44">
        <w:rPr>
          <w:rFonts w:asciiTheme="minorHAnsi" w:eastAsiaTheme="minorHAnsi" w:hAnsiTheme="minorHAnsi" w:cs="TimesNewRomanPSMT"/>
          <w:color w:val="000000"/>
        </w:rPr>
        <w:t>paenia</w:t>
      </w:r>
      <w:r w:rsidRPr="00116395">
        <w:rPr>
          <w:rFonts w:asciiTheme="minorHAnsi" w:eastAsiaTheme="minorHAnsi" w:hAnsiTheme="minorHAnsi" w:cs="TimesNewRomanPSMT"/>
          <w:color w:val="000000"/>
        </w:rPr>
        <w:t>) in either treatment group</w:t>
      </w:r>
      <w:r>
        <w:rPr>
          <w:rFonts w:asciiTheme="minorHAnsi" w:hAnsiTheme="minorHAnsi"/>
        </w:rPr>
        <w:t>.</w:t>
      </w:r>
      <w:r w:rsidR="003E7288">
        <w:rPr>
          <w:rFonts w:asciiTheme="minorHAnsi" w:hAnsiTheme="minorHAnsi"/>
        </w:rPr>
        <w:t xml:space="preserve"> </w:t>
      </w:r>
      <w:r>
        <w:rPr>
          <w:rFonts w:asciiTheme="minorHAnsi" w:hAnsiTheme="minorHAnsi"/>
          <w:lang w:val="en-US"/>
        </w:rPr>
        <w:t xml:space="preserve">Of the </w:t>
      </w:r>
      <w:r w:rsidRPr="00C40636">
        <w:rPr>
          <w:rFonts w:asciiTheme="minorHAnsi" w:hAnsiTheme="minorHAnsi"/>
          <w:lang w:val="en-US"/>
        </w:rPr>
        <w:t>19</w:t>
      </w:r>
      <w:r>
        <w:rPr>
          <w:rFonts w:asciiTheme="minorHAnsi" w:hAnsiTheme="minorHAnsi"/>
          <w:lang w:val="en-US"/>
        </w:rPr>
        <w:t xml:space="preserve"> (10.3%) </w:t>
      </w:r>
      <w:r w:rsidRPr="00C40636">
        <w:rPr>
          <w:rFonts w:asciiTheme="minorHAnsi" w:hAnsiTheme="minorHAnsi"/>
          <w:lang w:val="en-US"/>
        </w:rPr>
        <w:t>patients in the sarilumab group with ANC</w:t>
      </w:r>
      <w:r w:rsidR="008A3EE5">
        <w:rPr>
          <w:rFonts w:asciiTheme="minorHAnsi" w:hAnsiTheme="minorHAnsi"/>
          <w:lang w:val="en-US"/>
        </w:rPr>
        <w:t> </w:t>
      </w:r>
      <w:r w:rsidR="007F1BEB">
        <w:t>&lt; </w:t>
      </w:r>
      <w:r w:rsidRPr="00C40636">
        <w:rPr>
          <w:rFonts w:asciiTheme="minorHAnsi" w:hAnsiTheme="minorHAnsi"/>
          <w:lang w:val="en-US"/>
        </w:rPr>
        <w:t>1.0</w:t>
      </w:r>
      <w:r w:rsidR="008A3EE5">
        <w:rPr>
          <w:rFonts w:asciiTheme="minorHAnsi" w:hAnsiTheme="minorHAnsi"/>
          <w:lang w:val="en-US"/>
        </w:rPr>
        <w:t> </w:t>
      </w:r>
      <w:r w:rsidRPr="00C40636">
        <w:rPr>
          <w:rFonts w:asciiTheme="minorHAnsi" w:hAnsiTheme="minorHAnsi"/>
          <w:lang w:val="en-US"/>
        </w:rPr>
        <w:t>Giga/L (Grade 3 or 4 neutro</w:t>
      </w:r>
      <w:r w:rsidR="001E2D44">
        <w:rPr>
          <w:rFonts w:asciiTheme="minorHAnsi" w:hAnsiTheme="minorHAnsi"/>
          <w:lang w:val="en-US"/>
        </w:rPr>
        <w:t>paenia</w:t>
      </w:r>
      <w:r w:rsidRPr="00C40636">
        <w:rPr>
          <w:rFonts w:asciiTheme="minorHAnsi" w:hAnsiTheme="minorHAnsi"/>
          <w:lang w:val="en-US"/>
        </w:rPr>
        <w:t xml:space="preserve">), 11 </w:t>
      </w:r>
      <w:r>
        <w:rPr>
          <w:rFonts w:asciiTheme="minorHAnsi" w:hAnsiTheme="minorHAnsi"/>
          <w:lang w:val="en-US"/>
        </w:rPr>
        <w:t xml:space="preserve">(6.0%) normalised on treatment, </w:t>
      </w:r>
      <w:r w:rsidRPr="00C40636">
        <w:rPr>
          <w:rFonts w:asciiTheme="minorHAnsi" w:hAnsiTheme="minorHAnsi"/>
          <w:lang w:val="en-US"/>
        </w:rPr>
        <w:t xml:space="preserve">4 </w:t>
      </w:r>
      <w:r>
        <w:rPr>
          <w:rFonts w:asciiTheme="minorHAnsi" w:hAnsiTheme="minorHAnsi"/>
          <w:lang w:val="en-US"/>
        </w:rPr>
        <w:t xml:space="preserve">(2.2%) </w:t>
      </w:r>
      <w:r w:rsidRPr="00C40636">
        <w:rPr>
          <w:rFonts w:asciiTheme="minorHAnsi" w:hAnsiTheme="minorHAnsi"/>
          <w:lang w:val="en-US"/>
        </w:rPr>
        <w:t>normalised after discontinuation of treatment</w:t>
      </w:r>
      <w:r>
        <w:rPr>
          <w:rFonts w:asciiTheme="minorHAnsi" w:hAnsiTheme="minorHAnsi"/>
          <w:lang w:val="en-US"/>
        </w:rPr>
        <w:t xml:space="preserve"> and 4 (2.2%) did not normalise after discontinuation of treatment with sarilumab. </w:t>
      </w:r>
      <w:r w:rsidRPr="00C40636">
        <w:rPr>
          <w:rFonts w:asciiTheme="minorHAnsi" w:hAnsiTheme="minorHAnsi"/>
          <w:lang w:val="en-US"/>
        </w:rPr>
        <w:t>Three of the 4 patients whose neutro</w:t>
      </w:r>
      <w:r w:rsidR="001E2D44">
        <w:rPr>
          <w:rFonts w:asciiTheme="minorHAnsi" w:hAnsiTheme="minorHAnsi"/>
          <w:lang w:val="en-US"/>
        </w:rPr>
        <w:t>paenia</w:t>
      </w:r>
      <w:r w:rsidRPr="00C40636">
        <w:rPr>
          <w:rFonts w:asciiTheme="minorHAnsi" w:hAnsiTheme="minorHAnsi"/>
          <w:lang w:val="en-US"/>
        </w:rPr>
        <w:t xml:space="preserve"> did not normalise after the last evaluation in the double-blind treatment enrolled in the open-label treatment period</w:t>
      </w:r>
      <w:r>
        <w:rPr>
          <w:rFonts w:asciiTheme="minorHAnsi" w:hAnsiTheme="minorHAnsi"/>
          <w:lang w:val="en-US"/>
        </w:rPr>
        <w:t>.</w:t>
      </w:r>
      <w:r w:rsidR="003E7288">
        <w:rPr>
          <w:rFonts w:asciiTheme="minorHAnsi" w:hAnsiTheme="minorHAnsi"/>
          <w:lang w:val="en-US"/>
        </w:rPr>
        <w:t xml:space="preserve"> </w:t>
      </w:r>
      <w:r w:rsidRPr="003A0F43">
        <w:rPr>
          <w:rFonts w:asciiTheme="minorHAnsi" w:hAnsiTheme="minorHAnsi"/>
        </w:rPr>
        <w:t>AESIs of elevation in lipids occurred more frequently in patients in the adalimumab group than in patients in the sarilumab group. Hypersensitivity reactions occurred in the same proportion of patients in both treatment groups, and there were no reports of anaphylaxis in either of the two treatment groups. All other AESIs occurred infrequently in both treatment groups. Laboratory abnormalities relating to neutro</w:t>
      </w:r>
      <w:r w:rsidR="001E2D44">
        <w:rPr>
          <w:rFonts w:asciiTheme="minorHAnsi" w:hAnsiTheme="minorHAnsi"/>
        </w:rPr>
        <w:t>paenia</w:t>
      </w:r>
      <w:r w:rsidRPr="003A0F43">
        <w:rPr>
          <w:rFonts w:asciiTheme="minorHAnsi" w:hAnsiTheme="minorHAnsi"/>
        </w:rPr>
        <w:t>, thrombocyto</w:t>
      </w:r>
      <w:r w:rsidR="001E2D44">
        <w:rPr>
          <w:rFonts w:asciiTheme="minorHAnsi" w:hAnsiTheme="minorHAnsi"/>
        </w:rPr>
        <w:t>paenia</w:t>
      </w:r>
      <w:r w:rsidRPr="003A0F43">
        <w:rPr>
          <w:rFonts w:asciiTheme="minorHAnsi" w:hAnsiTheme="minorHAnsi"/>
        </w:rPr>
        <w:t xml:space="preserve">, increased ALT, increased total bilirubin, increased total cholesterol, increased LDL cholesterol and increased triglycerides were all reported more frequently in the sarilumab group than in the adalimumab group. However, the mean values for the laboratory parameters for both treatment groups were consistently within normal ranges at all post-baseline visits through to Week 24. </w:t>
      </w:r>
      <w:r>
        <w:rPr>
          <w:rFonts w:asciiTheme="minorHAnsi" w:hAnsiTheme="minorHAnsi"/>
        </w:rPr>
        <w:t>For ADA results, 7.1%</w:t>
      </w:r>
      <w:r w:rsidRPr="003A0F43">
        <w:rPr>
          <w:rFonts w:asciiTheme="minorHAnsi" w:hAnsiTheme="minorHAnsi"/>
        </w:rPr>
        <w:t xml:space="preserve"> patients were treatment-emer</w:t>
      </w:r>
      <w:r>
        <w:rPr>
          <w:rFonts w:asciiTheme="minorHAnsi" w:hAnsiTheme="minorHAnsi"/>
        </w:rPr>
        <w:t>gent ADA positive, including 2.7%</w:t>
      </w:r>
      <w:r w:rsidRPr="003A0F43">
        <w:rPr>
          <w:rFonts w:asciiTheme="minorHAnsi" w:hAnsiTheme="minorHAnsi"/>
        </w:rPr>
        <w:t xml:space="preserve"> patients with a persistent ADA positive res</w:t>
      </w:r>
      <w:r>
        <w:rPr>
          <w:rFonts w:asciiTheme="minorHAnsi" w:hAnsiTheme="minorHAnsi"/>
        </w:rPr>
        <w:t xml:space="preserve">ponse (all </w:t>
      </w:r>
      <w:proofErr w:type="spellStart"/>
      <w:r>
        <w:rPr>
          <w:rFonts w:asciiTheme="minorHAnsi" w:hAnsiTheme="minorHAnsi"/>
        </w:rPr>
        <w:t>NAb</w:t>
      </w:r>
      <w:proofErr w:type="spellEnd"/>
      <w:r>
        <w:rPr>
          <w:rFonts w:asciiTheme="minorHAnsi" w:hAnsiTheme="minorHAnsi"/>
        </w:rPr>
        <w:t xml:space="preserve"> negative) and 4.3%</w:t>
      </w:r>
      <w:r w:rsidRPr="003A0F43">
        <w:rPr>
          <w:rFonts w:asciiTheme="minorHAnsi" w:hAnsiTheme="minorHAnsi"/>
        </w:rPr>
        <w:t xml:space="preserve"> with a transient ADA positive response (all </w:t>
      </w:r>
      <w:proofErr w:type="spellStart"/>
      <w:r w:rsidRPr="003A0F43">
        <w:rPr>
          <w:rFonts w:asciiTheme="minorHAnsi" w:hAnsiTheme="minorHAnsi"/>
        </w:rPr>
        <w:t>NAb</w:t>
      </w:r>
      <w:proofErr w:type="spellEnd"/>
      <w:r w:rsidRPr="003A0F43">
        <w:rPr>
          <w:rFonts w:asciiTheme="minorHAnsi" w:hAnsiTheme="minorHAnsi"/>
        </w:rPr>
        <w:t xml:space="preserve"> negative). None of the 13 patients who were ADA positive discontinued treatment due to lack or loss of efficacy, while 3 of the ADA positive patients experienced mild, localised, hypersensitivity rashes.</w:t>
      </w:r>
    </w:p>
    <w:p w:rsidR="00572EFC" w:rsidRDefault="00572EFC" w:rsidP="00F2151A">
      <w:r>
        <w:t>Subgroups based on gender, age and weight are discussed in the CER.</w:t>
      </w:r>
    </w:p>
    <w:p w:rsidR="00AA6B20" w:rsidRDefault="00572EFC" w:rsidP="00F2151A">
      <w:pPr>
        <w:rPr>
          <w:rFonts w:cs="Times"/>
          <w:lang w:val="en-US"/>
        </w:rPr>
      </w:pPr>
      <w:r>
        <w:rPr>
          <w:rFonts w:cs="Times"/>
          <w:lang w:val="en-US"/>
        </w:rPr>
        <w:t>The safety profiles were similar for the 467 patients with a total exposure of 299.4 PY in the any sarilumab dose group (Pool 3) and for the 184 patients with a total exposure of 78.7 PY in the sarilumab 200 mg q2w group (</w:t>
      </w:r>
      <w:r w:rsidR="00E86CFA">
        <w:rPr>
          <w:rFonts w:cs="Times"/>
          <w:lang w:val="en-US"/>
        </w:rPr>
        <w:t xml:space="preserve">Study </w:t>
      </w:r>
      <w:r w:rsidR="00E86CFA">
        <w:t xml:space="preserve">EFC14092 </w:t>
      </w:r>
      <w:r>
        <w:rPr>
          <w:rFonts w:cs="Times"/>
          <w:lang w:val="en-US"/>
        </w:rPr>
        <w:t>MONARCH).</w:t>
      </w:r>
    </w:p>
    <w:p w:rsidR="00572EFC" w:rsidRPr="00E93A63" w:rsidRDefault="00572EFC" w:rsidP="00F2151A">
      <w:r>
        <w:rPr>
          <w:rFonts w:eastAsiaTheme="minorHAnsi" w:cs="TimesNewRomanPSMT"/>
        </w:rPr>
        <w:t>In t</w:t>
      </w:r>
      <w:r>
        <w:t xml:space="preserve">he </w:t>
      </w:r>
      <w:r w:rsidRPr="00E86CFA">
        <w:t>long-term sarilumab + DMARD safety population</w:t>
      </w:r>
      <w:r>
        <w:t>, t</w:t>
      </w:r>
      <w:r w:rsidRPr="00B00E8F">
        <w:rPr>
          <w:rFonts w:eastAsiaTheme="minorHAnsi" w:cs="TimesNewRomanPSMT"/>
        </w:rPr>
        <w:t>he</w:t>
      </w:r>
      <w:r>
        <w:rPr>
          <w:rFonts w:eastAsiaTheme="minorHAnsi" w:cs="TimesNewRomanPSMT"/>
        </w:rPr>
        <w:t xml:space="preserve"> evaluator noted</w:t>
      </w:r>
      <w:r w:rsidRPr="00B00E8F">
        <w:rPr>
          <w:rFonts w:eastAsiaTheme="minorHAnsi" w:cs="TimesNewRomanPSMT"/>
        </w:rPr>
        <w:t xml:space="preserve"> 8 patients with LFT laboratory abnormalities meeting </w:t>
      </w:r>
      <w:proofErr w:type="spellStart"/>
      <w:r w:rsidRPr="00B00E8F">
        <w:rPr>
          <w:rFonts w:eastAsiaTheme="minorHAnsi" w:cs="TimesNewRomanPSMT"/>
        </w:rPr>
        <w:t>Hy’s</w:t>
      </w:r>
      <w:proofErr w:type="spellEnd"/>
      <w:r w:rsidRPr="00B00E8F">
        <w:rPr>
          <w:rFonts w:eastAsiaTheme="minorHAnsi" w:cs="TimesNewRomanPSMT"/>
        </w:rPr>
        <w:t xml:space="preserve"> law criteria for drug induced liver injury including 2 (0.1%) in the sarilumab 150 mg q2w initial dose group and 6 (1.3%) in the sarilumab 200 mg q2w initial dose group</w:t>
      </w:r>
      <w:r>
        <w:rPr>
          <w:rFonts w:eastAsiaTheme="minorHAnsi" w:cs="TimesNewRomanPSMT"/>
        </w:rPr>
        <w:t>.</w:t>
      </w:r>
      <w:r w:rsidR="003E7288">
        <w:rPr>
          <w:rFonts w:eastAsiaTheme="minorHAnsi" w:cs="TimesNewRomanPSMT"/>
        </w:rPr>
        <w:t xml:space="preserve"> </w:t>
      </w:r>
      <w:r>
        <w:rPr>
          <w:rFonts w:eastAsiaTheme="minorHAnsi" w:cs="TimesNewRomanPSMT"/>
        </w:rPr>
        <w:t>The sponsor has been requested to provide further information.</w:t>
      </w:r>
    </w:p>
    <w:p w:rsidR="00572EFC" w:rsidRPr="00E93A63" w:rsidRDefault="00572EFC" w:rsidP="00F2151A">
      <w:r>
        <w:t>In the long term safety population</w:t>
      </w:r>
      <w:r w:rsidRPr="00851797">
        <w:rPr>
          <w:lang w:val="en-US"/>
        </w:rPr>
        <w:t xml:space="preserve"> </w:t>
      </w:r>
      <w:r>
        <w:rPr>
          <w:lang w:val="en-US"/>
        </w:rPr>
        <w:t xml:space="preserve">for the any </w:t>
      </w:r>
      <w:r w:rsidRPr="00E93A63">
        <w:rPr>
          <w:lang w:val="en-US"/>
        </w:rPr>
        <w:t>sarilumab dose + DMARD group</w:t>
      </w:r>
      <w:r>
        <w:t xml:space="preserve">, </w:t>
      </w:r>
      <w:r w:rsidRPr="00E93A63">
        <w:rPr>
          <w:lang w:val="en-US"/>
        </w:rPr>
        <w:t xml:space="preserve">the incidence of ANC </w:t>
      </w:r>
      <w:r w:rsidR="007F1BEB">
        <w:t>&lt; </w:t>
      </w:r>
      <w:r w:rsidRPr="00E93A63">
        <w:rPr>
          <w:lang w:val="en-US"/>
        </w:rPr>
        <w:t>1.0 Giga/L was 11.8%, which was numerically higher than the rates in the sarilumab + DMARD groups in the placebo controlled period. The sponsor comments that this finding was not unexpected given that the observation time was longer in long term data compared with the controlled data.</w:t>
      </w:r>
      <w:r w:rsidR="003E7288">
        <w:rPr>
          <w:lang w:val="en-US"/>
        </w:rPr>
        <w:t xml:space="preserve"> </w:t>
      </w:r>
      <w:r>
        <w:t xml:space="preserve">The new CER reports that </w:t>
      </w:r>
      <w:r w:rsidRPr="00E93A63">
        <w:rPr>
          <w:rFonts w:eastAsiaTheme="minorHAnsi" w:cs="TimesNewRomanPSMT"/>
          <w:color w:val="000000"/>
        </w:rPr>
        <w:t>the occurrence of ANC &lt;1.0 Giga/L appeared to be highest within 6 months of initiating therapy, while the time to onset of serious infection appeared to be constant over time, consistent with a lack of association between decrease in neutrophil count and increased risk of serious infection in patients receiving sarilumab.</w:t>
      </w:r>
    </w:p>
    <w:p w:rsidR="00572EFC" w:rsidRPr="00E93A63" w:rsidRDefault="00572EFC" w:rsidP="00F2151A">
      <w:pPr>
        <w:rPr>
          <w:rFonts w:asciiTheme="minorHAnsi" w:hAnsiTheme="minorHAnsi"/>
        </w:rPr>
      </w:pPr>
      <w:r w:rsidRPr="00E86CFA">
        <w:t>Study SFY13370 (ASCERTAIN</w:t>
      </w:r>
      <w:r w:rsidR="008A3EE5">
        <w:t xml:space="preserve"> trial</w:t>
      </w:r>
      <w:r w:rsidRPr="00E86CFA">
        <w:t>)</w:t>
      </w:r>
      <w:r>
        <w:t xml:space="preserve"> was</w:t>
      </w:r>
      <w:r w:rsidRPr="001765EA">
        <w:t xml:space="preserve"> </w:t>
      </w:r>
      <w:r>
        <w:t xml:space="preserve">a </w:t>
      </w:r>
      <w:r w:rsidRPr="001765EA">
        <w:t>randomi</w:t>
      </w:r>
      <w:r>
        <w:t>s</w:t>
      </w:r>
      <w:r w:rsidRPr="001765EA">
        <w:t>ed, double-blind, double-dummy t</w:t>
      </w:r>
      <w:r>
        <w:t xml:space="preserve">rial which primarily aimed to </w:t>
      </w:r>
      <w:r w:rsidRPr="001765EA">
        <w:t xml:space="preserve">assess the safety and tolerability of </w:t>
      </w:r>
      <w:r>
        <w:t>sarilumab in combination with DMARDs (</w:t>
      </w:r>
      <w:r w:rsidR="007C7C62">
        <w:t xml:space="preserve">n = </w:t>
      </w:r>
      <w:r>
        <w:t>49 for 15</w:t>
      </w:r>
      <w:r w:rsidR="001470FB">
        <w:t>0 mg</w:t>
      </w:r>
      <w:r>
        <w:t xml:space="preserve"> and </w:t>
      </w:r>
      <w:r w:rsidR="007C7C62">
        <w:t xml:space="preserve">n = </w:t>
      </w:r>
      <w:r>
        <w:t>51 for 20</w:t>
      </w:r>
      <w:r w:rsidR="001470FB">
        <w:t>0 mg</w:t>
      </w:r>
      <w:r>
        <w:t xml:space="preserve">) </w:t>
      </w:r>
      <w:r w:rsidRPr="001765EA">
        <w:t>and</w:t>
      </w:r>
      <w:r>
        <w:t xml:space="preserve"> IV </w:t>
      </w:r>
      <w:r w:rsidRPr="001765EA">
        <w:t>tocilizumab</w:t>
      </w:r>
      <w:r>
        <w:t xml:space="preserve"> (</w:t>
      </w:r>
      <w:r w:rsidR="007C7C62">
        <w:t xml:space="preserve">n = </w:t>
      </w:r>
      <w:r>
        <w:t xml:space="preserve">102) in combination with DMARDs </w:t>
      </w:r>
      <w:r w:rsidRPr="001765EA">
        <w:t xml:space="preserve">in </w:t>
      </w:r>
      <w:r>
        <w:t xml:space="preserve">adult </w:t>
      </w:r>
      <w:r w:rsidRPr="001765EA">
        <w:t xml:space="preserve">patients with </w:t>
      </w:r>
      <w:r>
        <w:t>active RA</w:t>
      </w:r>
      <w:r w:rsidRPr="001765EA">
        <w:t xml:space="preserve"> who </w:t>
      </w:r>
      <w:r>
        <w:t>we</w:t>
      </w:r>
      <w:r w:rsidRPr="001765EA">
        <w:t xml:space="preserve">re inadequate responders to or intolerant of </w:t>
      </w:r>
      <w:r>
        <w:t>anti-</w:t>
      </w:r>
      <w:r w:rsidRPr="001765EA">
        <w:t>TNF</w:t>
      </w:r>
      <w:r>
        <w:t xml:space="preserve"> drugs.</w:t>
      </w:r>
      <w:r w:rsidR="003E7288">
        <w:t xml:space="preserve"> </w:t>
      </w:r>
      <w:r>
        <w:t>The study was previously submitted.</w:t>
      </w:r>
      <w:r w:rsidR="003E7288">
        <w:t xml:space="preserve"> </w:t>
      </w:r>
      <w:r>
        <w:t>The current CER notes that t</w:t>
      </w:r>
      <w:r>
        <w:rPr>
          <w:lang w:val="en-US"/>
        </w:rPr>
        <w:t>he risks of treatment with sarilumab and tocilizumab appeared to be comparable however the risks of neutro</w:t>
      </w:r>
      <w:r w:rsidR="001E2D44">
        <w:rPr>
          <w:lang w:val="en-US"/>
        </w:rPr>
        <w:t>paenia</w:t>
      </w:r>
      <w:r>
        <w:rPr>
          <w:lang w:val="en-US"/>
        </w:rPr>
        <w:t xml:space="preserve"> were numerically higher in the sarilumab groups and the risks of elevated lipids were numerically higher in the tocilizumab group. The sponsor stated that these differences were not considered to be clinically meaningful. The risks of hepatic disorders and potentially clinically significant abnormalities relating to increased ALT levels were similar in the sarilumab and tocilizumab groups. Hypersensitivity reactions occurred with a similar incidence and there were no reports of anaphylaxis. TEAEs leading to permanent treatment discontinuation </w:t>
      </w:r>
      <w:r>
        <w:rPr>
          <w:lang w:val="en-US"/>
        </w:rPr>
        <w:lastRenderedPageBreak/>
        <w:t>occurred more frequently in the sarilumab groups with the difference appearing to be primarily due to a higher incidence of laboratory abnormalities</w:t>
      </w:r>
      <w:r>
        <w:t>.</w:t>
      </w:r>
    </w:p>
    <w:p w:rsidR="008E7846" w:rsidRDefault="00386150" w:rsidP="007B6132">
      <w:pPr>
        <w:pStyle w:val="Heading3"/>
        <w:rPr>
          <w:lang w:eastAsia="en-AU"/>
        </w:rPr>
      </w:pPr>
      <w:bookmarkStart w:id="248" w:name="_Toc12272169"/>
      <w:r>
        <w:rPr>
          <w:lang w:eastAsia="en-AU"/>
        </w:rPr>
        <w:t>Risk m</w:t>
      </w:r>
      <w:r w:rsidR="008E7846">
        <w:rPr>
          <w:lang w:eastAsia="en-AU"/>
        </w:rPr>
        <w:t xml:space="preserve">anagement </w:t>
      </w:r>
      <w:r>
        <w:rPr>
          <w:lang w:eastAsia="en-AU"/>
        </w:rPr>
        <w:t>p</w:t>
      </w:r>
      <w:r w:rsidR="008E7846">
        <w:rPr>
          <w:lang w:eastAsia="en-AU"/>
        </w:rPr>
        <w:t>lan</w:t>
      </w:r>
      <w:bookmarkEnd w:id="241"/>
      <w:bookmarkEnd w:id="248"/>
    </w:p>
    <w:p w:rsidR="00572EFC" w:rsidRPr="00CB4BF9" w:rsidRDefault="00572EFC" w:rsidP="00572EFC">
      <w:pPr>
        <w:rPr>
          <w:rFonts w:asciiTheme="minorHAnsi" w:hAnsiTheme="minorHAnsi"/>
        </w:rPr>
      </w:pPr>
      <w:r w:rsidRPr="00CB4BF9">
        <w:rPr>
          <w:rFonts w:asciiTheme="minorHAnsi" w:hAnsiTheme="minorHAnsi"/>
        </w:rPr>
        <w:t xml:space="preserve">The </w:t>
      </w:r>
      <w:r w:rsidR="00E86CFA">
        <w:rPr>
          <w:rFonts w:asciiTheme="minorHAnsi" w:hAnsiTheme="minorHAnsi"/>
        </w:rPr>
        <w:t>TGA</w:t>
      </w:r>
      <w:r w:rsidRPr="00CB4BF9">
        <w:rPr>
          <w:rFonts w:asciiTheme="minorHAnsi" w:hAnsiTheme="minorHAnsi"/>
        </w:rPr>
        <w:t xml:space="preserve"> has accepted the </w:t>
      </w:r>
      <w:r w:rsidRPr="00CB4BF9">
        <w:t xml:space="preserve">EU </w:t>
      </w:r>
      <w:r w:rsidR="00E86CFA">
        <w:t>RMP</w:t>
      </w:r>
      <w:r w:rsidRPr="00CB4BF9">
        <w:t xml:space="preserve"> for Kevzara (sarilumab), (version 1.2, dated</w:t>
      </w:r>
      <w:r w:rsidR="008A3EE5">
        <w:t> </w:t>
      </w:r>
      <w:r w:rsidRPr="00CB4BF9">
        <w:t>21</w:t>
      </w:r>
      <w:r w:rsidR="008A3EE5">
        <w:t> </w:t>
      </w:r>
      <w:r w:rsidRPr="00CB4BF9">
        <w:t>April</w:t>
      </w:r>
      <w:r w:rsidR="008A3EE5">
        <w:t> </w:t>
      </w:r>
      <w:r w:rsidRPr="00CB4BF9">
        <w:t xml:space="preserve">2017, data lock point 17 February 2016), with </w:t>
      </w:r>
      <w:r w:rsidR="008A3EE5">
        <w:t>Australian specific Annex (</w:t>
      </w:r>
      <w:r w:rsidRPr="00CB4BF9">
        <w:t>A</w:t>
      </w:r>
      <w:r w:rsidR="00E86CFA">
        <w:t>SA</w:t>
      </w:r>
      <w:r w:rsidR="008A3EE5">
        <w:t>)</w:t>
      </w:r>
      <w:r w:rsidRPr="00CB4BF9">
        <w:t xml:space="preserve"> (version 4.0, dated 27 April 2018).</w:t>
      </w:r>
    </w:p>
    <w:p w:rsidR="00AA6B20" w:rsidRDefault="00572EFC" w:rsidP="00572EFC">
      <w:r w:rsidRPr="003D2A2E">
        <w:t xml:space="preserve">The proposed Summary of </w:t>
      </w:r>
      <w:r w:rsidRPr="000F5B2C">
        <w:t>Safety Concerns and their associated risk monitoring and mitigation strategies are summarised in Table</w:t>
      </w:r>
      <w:r w:rsidR="002D4760" w:rsidRPr="000F5B2C">
        <w:t xml:space="preserve"> </w:t>
      </w:r>
      <w:r w:rsidR="000F5B2C" w:rsidRPr="000F5B2C">
        <w:t>49</w:t>
      </w:r>
      <w:r w:rsidR="002D4760" w:rsidRPr="000F5B2C">
        <w:t>.</w:t>
      </w:r>
    </w:p>
    <w:p w:rsidR="00572EFC" w:rsidRDefault="00572EFC" w:rsidP="00F2151A">
      <w:r>
        <w:t>The RMP evaluator provides the following comments:</w:t>
      </w:r>
    </w:p>
    <w:p w:rsidR="00572EFC" w:rsidRPr="00C84023" w:rsidRDefault="00572EFC" w:rsidP="00F2151A">
      <w:pPr>
        <w:pStyle w:val="ListBullet"/>
      </w:pPr>
      <w:r w:rsidRPr="00853B5A">
        <w:t xml:space="preserve">Additional pharmacovigilance activities include </w:t>
      </w:r>
      <w:r w:rsidRPr="00427066">
        <w:t xml:space="preserve">a pregnancy registry (North America only) and a surveillance program using existing EU rheumatoid arthritis registries which is acceptable. </w:t>
      </w:r>
      <w:r>
        <w:t>However, it is recommended the s</w:t>
      </w:r>
      <w:r w:rsidRPr="00427066">
        <w:t xml:space="preserve">ponsor consider a survey to measure </w:t>
      </w:r>
      <w:r w:rsidRPr="00853B5A">
        <w:t xml:space="preserve">effectiveness of additional risk minimisation activities (the </w:t>
      </w:r>
      <w:r w:rsidR="008A3EE5">
        <w:t>Healthcare Professional (</w:t>
      </w:r>
      <w:r w:rsidRPr="00853B5A">
        <w:t>HCP</w:t>
      </w:r>
      <w:r w:rsidR="008A3EE5">
        <w:t>)</w:t>
      </w:r>
      <w:r w:rsidRPr="00853B5A">
        <w:t xml:space="preserve"> Prescriber Guide)</w:t>
      </w:r>
      <w:r w:rsidRPr="00C84023">
        <w:t>.</w:t>
      </w:r>
    </w:p>
    <w:p w:rsidR="00572EFC" w:rsidRPr="00000D85" w:rsidRDefault="00E86CFA" w:rsidP="00F2151A">
      <w:pPr>
        <w:pStyle w:val="ListBullet"/>
        <w:rPr>
          <w:rFonts w:asciiTheme="minorHAnsi" w:hAnsiTheme="minorHAnsi"/>
        </w:rPr>
      </w:pPr>
      <w:r>
        <w:t>T</w:t>
      </w:r>
      <w:r w:rsidR="00572EFC">
        <w:t>he s</w:t>
      </w:r>
      <w:r w:rsidR="00572EFC" w:rsidRPr="00853B5A">
        <w:t xml:space="preserve">ponsor </w:t>
      </w:r>
      <w:r>
        <w:t xml:space="preserve">has </w:t>
      </w:r>
      <w:r w:rsidR="00572EFC" w:rsidRPr="00853B5A">
        <w:t xml:space="preserve">adequately described their process for monitoring the distribution of additional risk minimisation materials. The </w:t>
      </w:r>
      <w:r w:rsidR="00572EFC">
        <w:t>s</w:t>
      </w:r>
      <w:r w:rsidR="00572EFC" w:rsidRPr="00853B5A">
        <w:t>ponsor also has proposed routine pharmacovigilance to monitor the effectiveness of the additional risk minimisation activities. This is acceptable as sarilumab is not the first monoclonal antibody used to treat rheumatoid arthritis that has additional risk minimisation activities for similar safety concerns</w:t>
      </w:r>
      <w:r w:rsidR="00572EFC" w:rsidRPr="00C84023">
        <w:t>.</w:t>
      </w:r>
    </w:p>
    <w:p w:rsidR="00572EFC" w:rsidRPr="001E0B97" w:rsidRDefault="00572EFC" w:rsidP="00F2151A">
      <w:pPr>
        <w:pStyle w:val="ListBullet"/>
        <w:rPr>
          <w:rFonts w:asciiTheme="minorHAnsi" w:hAnsiTheme="minorHAnsi"/>
        </w:rPr>
      </w:pPr>
      <w:r w:rsidRPr="00853B5A">
        <w:t xml:space="preserve">Additional risk minimisation activities include a HCP Prescriber Guide </w:t>
      </w:r>
      <w:r w:rsidRPr="00427066">
        <w:t>(ASA only) which addresses all the Important Identified and Potential Risks except malignancy</w:t>
      </w:r>
      <w:r>
        <w:t xml:space="preserve"> (however this is included in the PI)</w:t>
      </w:r>
      <w:r w:rsidRPr="00427066">
        <w:t>. A Patient Alert Card is also proposed. Both are acceptable</w:t>
      </w:r>
      <w:r>
        <w:t>.</w:t>
      </w:r>
    </w:p>
    <w:p w:rsidR="00572EFC" w:rsidRPr="00145FE7" w:rsidRDefault="00E86CFA" w:rsidP="00F2151A">
      <w:pPr>
        <w:pStyle w:val="ListBullet"/>
        <w:rPr>
          <w:rFonts w:asciiTheme="minorHAnsi" w:hAnsiTheme="minorHAnsi"/>
        </w:rPr>
      </w:pPr>
      <w:r>
        <w:t>The s</w:t>
      </w:r>
      <w:r w:rsidR="00572EFC">
        <w:t>ponsor has provided a malignancy targeted questionnaire attached to the ASA (version 2.2) with this application. It was considered that if this was implemented then this w</w:t>
      </w:r>
      <w:r w:rsidR="00572EFC" w:rsidRPr="009240C3">
        <w:t>ould provide sufficient surveillance to detect a signal for this potential risk in the Australian context.</w:t>
      </w:r>
      <w:r w:rsidR="003E7288">
        <w:t xml:space="preserve"> </w:t>
      </w:r>
      <w:r w:rsidR="00572EFC" w:rsidRPr="003A6197">
        <w:t xml:space="preserve">The questionnaire </w:t>
      </w:r>
      <w:r w:rsidR="00572EFC" w:rsidRPr="00793333">
        <w:t>that has been provided is satisfactory</w:t>
      </w:r>
      <w:r w:rsidR="00572EFC">
        <w:t>.</w:t>
      </w:r>
    </w:p>
    <w:p w:rsidR="00572EFC" w:rsidRDefault="00572EFC" w:rsidP="00F2151A">
      <w:pPr>
        <w:pStyle w:val="ListBullet"/>
        <w:rPr>
          <w:rFonts w:asciiTheme="minorHAnsi" w:hAnsiTheme="minorHAnsi"/>
        </w:rPr>
      </w:pPr>
      <w:r w:rsidRPr="00145FE7">
        <w:rPr>
          <w:rFonts w:asciiTheme="minorHAnsi" w:hAnsiTheme="minorHAnsi"/>
        </w:rPr>
        <w:t xml:space="preserve">The </w:t>
      </w:r>
      <w:r w:rsidR="00E86CFA">
        <w:rPr>
          <w:rFonts w:asciiTheme="minorHAnsi" w:hAnsiTheme="minorHAnsi"/>
        </w:rPr>
        <w:t>Consumer Medicine Information (</w:t>
      </w:r>
      <w:r w:rsidRPr="00145FE7">
        <w:rPr>
          <w:rFonts w:asciiTheme="minorHAnsi" w:hAnsiTheme="minorHAnsi"/>
        </w:rPr>
        <w:t>CMI</w:t>
      </w:r>
      <w:r w:rsidR="00E86CFA">
        <w:rPr>
          <w:rFonts w:asciiTheme="minorHAnsi" w:hAnsiTheme="minorHAnsi"/>
        </w:rPr>
        <w:t>)</w:t>
      </w:r>
      <w:r w:rsidRPr="00145FE7">
        <w:rPr>
          <w:rFonts w:asciiTheme="minorHAnsi" w:hAnsiTheme="minorHAnsi"/>
        </w:rPr>
        <w:t xml:space="preserve"> does not include diagrams of how to inject </w:t>
      </w:r>
      <w:r w:rsidR="001470FB">
        <w:rPr>
          <w:rFonts w:asciiTheme="minorHAnsi" w:hAnsiTheme="minorHAnsi"/>
        </w:rPr>
        <w:t>Kevzara</w:t>
      </w:r>
      <w:r w:rsidRPr="00145FE7">
        <w:rPr>
          <w:rFonts w:asciiTheme="minorHAnsi" w:hAnsiTheme="minorHAnsi"/>
        </w:rPr>
        <w:t>. However, there is an instruction for use (IFU) leaflet which wil</w:t>
      </w:r>
      <w:r>
        <w:rPr>
          <w:rFonts w:asciiTheme="minorHAnsi" w:hAnsiTheme="minorHAnsi"/>
        </w:rPr>
        <w:t>l be included in the packaging.</w:t>
      </w:r>
      <w:r w:rsidR="003E7288">
        <w:rPr>
          <w:rFonts w:asciiTheme="minorHAnsi" w:hAnsiTheme="minorHAnsi"/>
        </w:rPr>
        <w:t xml:space="preserve"> </w:t>
      </w:r>
      <w:r w:rsidRPr="00145FE7">
        <w:rPr>
          <w:rFonts w:asciiTheme="minorHAnsi" w:hAnsiTheme="minorHAnsi"/>
        </w:rPr>
        <w:t xml:space="preserve">The IFU contains clear instructions on how to use the </w:t>
      </w:r>
      <w:r>
        <w:rPr>
          <w:rFonts w:asciiTheme="minorHAnsi" w:hAnsiTheme="minorHAnsi"/>
        </w:rPr>
        <w:t>PFS</w:t>
      </w:r>
      <w:r w:rsidRPr="00145FE7">
        <w:rPr>
          <w:rFonts w:asciiTheme="minorHAnsi" w:hAnsiTheme="minorHAnsi"/>
        </w:rPr>
        <w:t xml:space="preserve"> or pen</w:t>
      </w:r>
      <w:r>
        <w:rPr>
          <w:rFonts w:asciiTheme="minorHAnsi" w:hAnsiTheme="minorHAnsi"/>
        </w:rPr>
        <w:t>.</w:t>
      </w:r>
    </w:p>
    <w:p w:rsidR="00572EFC" w:rsidRDefault="00572EFC" w:rsidP="00F2151A">
      <w:pPr>
        <w:pStyle w:val="ListBullet"/>
        <w:rPr>
          <w:rFonts w:asciiTheme="minorHAnsi" w:hAnsiTheme="minorHAnsi"/>
        </w:rPr>
      </w:pPr>
      <w:r>
        <w:rPr>
          <w:rFonts w:asciiTheme="minorHAnsi" w:hAnsiTheme="minorHAnsi"/>
        </w:rPr>
        <w:t>Kevzara</w:t>
      </w:r>
      <w:r w:rsidRPr="00145FE7">
        <w:rPr>
          <w:rFonts w:asciiTheme="minorHAnsi" w:hAnsiTheme="minorHAnsi"/>
        </w:rPr>
        <w:t xml:space="preserve"> meets the eligibility criteria for the Black Triangle Scheme</w:t>
      </w:r>
      <w:r>
        <w:rPr>
          <w:rFonts w:asciiTheme="minorHAnsi" w:hAnsiTheme="minorHAnsi"/>
        </w:rPr>
        <w:t>.</w:t>
      </w:r>
    </w:p>
    <w:p w:rsidR="00572EFC" w:rsidRPr="00145FE7" w:rsidRDefault="00572EFC" w:rsidP="00F2151A">
      <w:pPr>
        <w:pStyle w:val="ListBullet"/>
        <w:rPr>
          <w:rFonts w:asciiTheme="minorHAnsi" w:hAnsiTheme="minorHAnsi"/>
        </w:rPr>
      </w:pPr>
      <w:r>
        <w:t>Depression was previously identified as a potential concern and the sponsor has added it under Missing Information in the ASA which was acceptable to the RMP evaluator as information regarding this risk will be captured by routine pharmacovigilance activities (</w:t>
      </w:r>
      <w:r w:rsidR="008A3EE5">
        <w:t>periodic safety update reports (</w:t>
      </w:r>
      <w:r>
        <w:t>PSUR</w:t>
      </w:r>
      <w:r w:rsidR="008A3EE5">
        <w:t>)</w:t>
      </w:r>
      <w:r>
        <w:t>).</w:t>
      </w:r>
    </w:p>
    <w:p w:rsidR="00572EFC" w:rsidRPr="00471E40" w:rsidRDefault="00572EFC" w:rsidP="00F2151A">
      <w:r>
        <w:t xml:space="preserve">There is one new recommendation from the RMP evaluator that the sponsor should follow up with </w:t>
      </w:r>
      <w:r w:rsidR="00E86CFA">
        <w:t xml:space="preserve">then evaluator </w:t>
      </w:r>
      <w:r>
        <w:t xml:space="preserve">and in the </w:t>
      </w:r>
      <w:r w:rsidR="00E86CFA">
        <w:t xml:space="preserve">sponsor’s </w:t>
      </w:r>
      <w:r>
        <w:t xml:space="preserve">Pre-ACM </w:t>
      </w:r>
      <w:r w:rsidR="00E86CFA">
        <w:t>r</w:t>
      </w:r>
      <w:r>
        <w:t>esponse:</w:t>
      </w:r>
    </w:p>
    <w:p w:rsidR="00572EFC" w:rsidRDefault="00572EFC" w:rsidP="00E86CFA">
      <w:pPr>
        <w:pStyle w:val="ListBullet"/>
      </w:pPr>
      <w:r>
        <w:t xml:space="preserve">The additional risk minimisation materials should also include the </w:t>
      </w:r>
      <w:r w:rsidR="0057307A">
        <w:t xml:space="preserve">Black Triangle </w:t>
      </w:r>
      <w:r>
        <w:t>symbol and a statement relating to the product being under additional monitoring. The PI statement is recommended for the HCP guide but an abridged version of the CMI statement may be proposed for the patient alert card.</w:t>
      </w:r>
    </w:p>
    <w:p w:rsidR="008E7846" w:rsidRDefault="00AA0ED0" w:rsidP="008E7846">
      <w:pPr>
        <w:pStyle w:val="Heading3"/>
      </w:pPr>
      <w:bookmarkStart w:id="249" w:name="_Toc247691531"/>
      <w:bookmarkStart w:id="250" w:name="_Toc314842515"/>
      <w:bookmarkStart w:id="251" w:name="_Toc196046505"/>
      <w:bookmarkStart w:id="252" w:name="_Toc196046949"/>
      <w:bookmarkStart w:id="253" w:name="_Toc12272170"/>
      <w:r>
        <w:lastRenderedPageBreak/>
        <w:t>Risk-benefit a</w:t>
      </w:r>
      <w:r w:rsidR="008E7846">
        <w:t>nalysis</w:t>
      </w:r>
      <w:bookmarkEnd w:id="249"/>
      <w:bookmarkEnd w:id="250"/>
      <w:bookmarkEnd w:id="253"/>
    </w:p>
    <w:p w:rsidR="00AA6B20" w:rsidRDefault="00D23139" w:rsidP="00D23139">
      <w:pPr>
        <w:pStyle w:val="Heading4"/>
      </w:pPr>
      <w:r w:rsidRPr="00D23139">
        <w:t>Delegate’s considerations</w:t>
      </w:r>
    </w:p>
    <w:p w:rsidR="00E86CFA" w:rsidRDefault="00E86CFA" w:rsidP="00E86CFA">
      <w:pPr>
        <w:pStyle w:val="Heading5"/>
      </w:pPr>
      <w:r>
        <w:t>Quality</w:t>
      </w:r>
    </w:p>
    <w:p w:rsidR="00572EFC" w:rsidRPr="00343F34" w:rsidRDefault="00E86CFA" w:rsidP="00572EFC">
      <w:r>
        <w:t>T</w:t>
      </w:r>
      <w:r w:rsidR="00572EFC" w:rsidRPr="000372AC">
        <w:t xml:space="preserve">he </w:t>
      </w:r>
      <w:r>
        <w:t>quality</w:t>
      </w:r>
      <w:r w:rsidR="00572EFC" w:rsidRPr="000372AC">
        <w:t xml:space="preserve"> evaluator has </w:t>
      </w:r>
      <w:r w:rsidR="00572EFC">
        <w:t>no objections to</w:t>
      </w:r>
      <w:r w:rsidR="00572EFC" w:rsidRPr="000372AC">
        <w:t xml:space="preserve"> approval </w:t>
      </w:r>
      <w:r w:rsidR="00572EFC">
        <w:t>on quality grounds and has recommended batch release testing as a condition of registration</w:t>
      </w:r>
      <w:r w:rsidR="00572EFC">
        <w:rPr>
          <w:rFonts w:eastAsia="TimesNewRoman" w:cs="TimesNewRoman"/>
          <w:color w:val="000000"/>
          <w:lang w:eastAsia="en-AU"/>
        </w:rPr>
        <w:t>.</w:t>
      </w:r>
      <w:r w:rsidR="003E7288">
        <w:rPr>
          <w:rFonts w:eastAsia="TimesNewRoman" w:cs="TimesNewRoman"/>
          <w:color w:val="000000"/>
          <w:lang w:eastAsia="en-AU"/>
        </w:rPr>
        <w:t xml:space="preserve"> </w:t>
      </w:r>
      <w:r w:rsidR="00572EFC">
        <w:rPr>
          <w:rFonts w:eastAsia="TimesNewRoman" w:cs="TimesNewRoman"/>
          <w:color w:val="000000"/>
          <w:lang w:eastAsia="en-AU"/>
        </w:rPr>
        <w:t>Updated GMP clearances will need to be provided prior to registration.</w:t>
      </w:r>
    </w:p>
    <w:p w:rsidR="00E86CFA" w:rsidRDefault="00572EFC" w:rsidP="00E86CFA">
      <w:pPr>
        <w:pStyle w:val="Heading5"/>
      </w:pPr>
      <w:r w:rsidRPr="00343F34">
        <w:t>Nonclinical</w:t>
      </w:r>
    </w:p>
    <w:p w:rsidR="00572EFC" w:rsidRPr="00122BA7" w:rsidRDefault="00572EFC" w:rsidP="00572EFC">
      <w:r>
        <w:t xml:space="preserve">The </w:t>
      </w:r>
      <w:r w:rsidR="00E86CFA">
        <w:t>nonclinical</w:t>
      </w:r>
      <w:r>
        <w:t xml:space="preserve"> evaluator has</w:t>
      </w:r>
      <w:r w:rsidRPr="00F172A3">
        <w:t xml:space="preserve"> no objections to registration</w:t>
      </w:r>
      <w:r>
        <w:t>.</w:t>
      </w:r>
    </w:p>
    <w:p w:rsidR="00E86CFA" w:rsidRDefault="00572EFC" w:rsidP="00E86CFA">
      <w:pPr>
        <w:pStyle w:val="Heading5"/>
      </w:pPr>
      <w:r>
        <w:t>Clinical</w:t>
      </w:r>
    </w:p>
    <w:p w:rsidR="00572EFC" w:rsidRPr="00E87C9E" w:rsidRDefault="00572EFC" w:rsidP="00572EFC">
      <w:r>
        <w:t>The clinical evaluator has recommended approval of Kevzara in combination with non-biological DMARDs and as monotherapy at the sponsor’s requested dose of 20</w:t>
      </w:r>
      <w:r w:rsidR="001470FB">
        <w:t>0 mg</w:t>
      </w:r>
      <w:r>
        <w:t xml:space="preserve"> fortnightly, decreasing to 15</w:t>
      </w:r>
      <w:r w:rsidR="001470FB">
        <w:t>0 mg</w:t>
      </w:r>
      <w:r>
        <w:t xml:space="preserve"> fortnightly </w:t>
      </w:r>
      <w:r w:rsidRPr="00887447">
        <w:t>based on the dose modifications for neutro</w:t>
      </w:r>
      <w:r w:rsidR="001E2D44">
        <w:t>paenia</w:t>
      </w:r>
      <w:r w:rsidRPr="00887447">
        <w:t xml:space="preserve">, low platelet count and increased ALT </w:t>
      </w:r>
      <w:r>
        <w:t xml:space="preserve">as </w:t>
      </w:r>
      <w:r w:rsidRPr="00887447">
        <w:t>recommended in the PI</w:t>
      </w:r>
      <w:r>
        <w:t>.</w:t>
      </w:r>
    </w:p>
    <w:p w:rsidR="00E86CFA" w:rsidRDefault="00572EFC" w:rsidP="00E86CFA">
      <w:pPr>
        <w:pStyle w:val="Heading5"/>
      </w:pPr>
      <w:r w:rsidRPr="00897EEA">
        <w:t>Efficacy</w:t>
      </w:r>
    </w:p>
    <w:p w:rsidR="00572EFC" w:rsidRPr="00897EEA" w:rsidRDefault="00572EFC" w:rsidP="00572EFC">
      <w:r>
        <w:t>The pivotal monotherapy study demonstrated superiority of 20</w:t>
      </w:r>
      <w:r w:rsidR="001470FB">
        <w:t>0 mg</w:t>
      </w:r>
      <w:r>
        <w:t xml:space="preserve"> sarilumab compared to 4</w:t>
      </w:r>
      <w:r w:rsidR="001470FB">
        <w:t>0 mg</w:t>
      </w:r>
      <w:r>
        <w:t xml:space="preserve"> adalimumab for the primary efficacy endpoint and 6 of 8 secondary efficacy endpoints over a 24 week period </w:t>
      </w:r>
      <w:r w:rsidRPr="00682797">
        <w:rPr>
          <w:rFonts w:cs="Times"/>
          <w:lang w:val="en-US"/>
        </w:rPr>
        <w:t>in patients with active RA who w</w:t>
      </w:r>
      <w:r w:rsidR="00E86CFA">
        <w:rPr>
          <w:rFonts w:cs="Times"/>
          <w:lang w:val="en-US"/>
        </w:rPr>
        <w:t>as</w:t>
      </w:r>
      <w:r w:rsidRPr="00682797">
        <w:rPr>
          <w:rFonts w:cs="Times"/>
          <w:lang w:val="en-US"/>
        </w:rPr>
        <w:t xml:space="preserve"> considered to be unsuitable candidates for continued treatment with MTX due to intolerance or inadequate response</w:t>
      </w:r>
      <w:r>
        <w:rPr>
          <w:rFonts w:cs="Times"/>
          <w:lang w:val="en-US"/>
        </w:rPr>
        <w:t>.</w:t>
      </w:r>
      <w:r w:rsidR="003E7288">
        <w:rPr>
          <w:rFonts w:cs="Times"/>
          <w:lang w:val="en-US"/>
        </w:rPr>
        <w:t xml:space="preserve"> </w:t>
      </w:r>
      <w:r>
        <w:rPr>
          <w:rFonts w:cs="Times"/>
          <w:lang w:val="en-US"/>
        </w:rPr>
        <w:t>N</w:t>
      </w:r>
      <w:r>
        <w:t>o data are available to support radiographic outcomes and the lo</w:t>
      </w:r>
      <w:r>
        <w:rPr>
          <w:rFonts w:cs="Times"/>
          <w:lang w:val="en-US"/>
        </w:rPr>
        <w:t>ng-term sarilumab open-label study is ongoing.</w:t>
      </w:r>
      <w:r w:rsidR="003E7288">
        <w:rPr>
          <w:rFonts w:cs="Times"/>
          <w:lang w:val="en-US"/>
        </w:rPr>
        <w:t xml:space="preserve"> </w:t>
      </w:r>
      <w:r>
        <w:rPr>
          <w:rFonts w:cs="Times"/>
          <w:lang w:val="en-US"/>
        </w:rPr>
        <w:t>The study did not assess the benefits of a 15</w:t>
      </w:r>
      <w:r w:rsidR="001470FB">
        <w:rPr>
          <w:rFonts w:cs="Times"/>
          <w:lang w:val="en-US"/>
        </w:rPr>
        <w:t>0 mg</w:t>
      </w:r>
      <w:r>
        <w:rPr>
          <w:rFonts w:cs="Times"/>
          <w:lang w:val="en-US"/>
        </w:rPr>
        <w:t xml:space="preserve"> dose of sarilumab.</w:t>
      </w:r>
    </w:p>
    <w:p w:rsidR="00572EFC" w:rsidRPr="00897EEA" w:rsidRDefault="00572EFC" w:rsidP="00572EFC">
      <w:r w:rsidRPr="006D71BD">
        <w:t xml:space="preserve">The pivotal combination studies </w:t>
      </w:r>
      <w:r w:rsidR="00E86CFA">
        <w:t>previously submitted</w:t>
      </w:r>
      <w:r>
        <w:t xml:space="preserve"> </w:t>
      </w:r>
      <w:r w:rsidRPr="006D71BD">
        <w:t xml:space="preserve">demonstrated efficacy of both doses of sarilumab in patients with moderate to severe active RA on a background of non-biological DMARDs (mostly </w:t>
      </w:r>
      <w:r w:rsidR="00DD2390">
        <w:t>MTX</w:t>
      </w:r>
      <w:r w:rsidRPr="006D71BD">
        <w:t>) using validated co-primary efficacy endpoints covering signs and symptoms of active RA, physical functioning and progression of structural joint damage.</w:t>
      </w:r>
      <w:r w:rsidR="003E7288">
        <w:t xml:space="preserve"> </w:t>
      </w:r>
      <w:r w:rsidRPr="006D71BD">
        <w:t>The pivotal studies covered 24</w:t>
      </w:r>
      <w:r w:rsidR="00E86CFA">
        <w:t xml:space="preserve"> to </w:t>
      </w:r>
      <w:r w:rsidRPr="006D71BD">
        <w:t>52 weeks duration and are supported by a long term extension study.</w:t>
      </w:r>
      <w:r w:rsidR="003E7288">
        <w:t xml:space="preserve"> </w:t>
      </w:r>
      <w:r w:rsidRPr="006D71BD">
        <w:t xml:space="preserve">Both of the </w:t>
      </w:r>
      <w:r w:rsidR="001470FB">
        <w:t>Phase III</w:t>
      </w:r>
      <w:r w:rsidRPr="006D71BD">
        <w:t xml:space="preserve"> trials included patients who had previously been exposed to anti-TNF drugs and those who were anti-TNF naïve.</w:t>
      </w:r>
      <w:r w:rsidR="003E7288">
        <w:t xml:space="preserve"> </w:t>
      </w:r>
      <w:r w:rsidRPr="006D71BD">
        <w:t xml:space="preserve">However both studies excluded patients who were at a significant risk of infection (particularly, </w:t>
      </w:r>
      <w:r w:rsidR="007A4EEA">
        <w:t>TB</w:t>
      </w:r>
      <w:r w:rsidRPr="006D71BD">
        <w:t>) or malignancy, or who had various abnormal laboratory results at baseline (abnormal haematology, liver function tests or lipid parameters). In addition, there were many exclusion criteria.</w:t>
      </w:r>
    </w:p>
    <w:p w:rsidR="00E86CFA" w:rsidRDefault="00572EFC" w:rsidP="00E86CFA">
      <w:pPr>
        <w:pStyle w:val="Heading5"/>
      </w:pPr>
      <w:r w:rsidRPr="003228AE">
        <w:t>Safety</w:t>
      </w:r>
    </w:p>
    <w:p w:rsidR="00572EFC" w:rsidRPr="00897EEA" w:rsidRDefault="00572EFC" w:rsidP="00572EFC">
      <w:r w:rsidRPr="003228AE">
        <w:t xml:space="preserve">The safety of sarilumab 200 mg q2w as monotherapy for the treatment of RA has been adequately demonstrated in the pivotal </w:t>
      </w:r>
      <w:r w:rsidR="001470FB">
        <w:t>Phase III</w:t>
      </w:r>
      <w:r w:rsidRPr="003228AE">
        <w:t xml:space="preserve"> </w:t>
      </w:r>
      <w:r w:rsidR="00894642">
        <w:t>Study EFC</w:t>
      </w:r>
      <w:r w:rsidRPr="003228AE">
        <w:t>14092</w:t>
      </w:r>
      <w:r w:rsidR="008A3EE5">
        <w:t>/</w:t>
      </w:r>
      <w:r w:rsidR="001F3EAD">
        <w:t>MONARCH</w:t>
      </w:r>
      <w:r w:rsidRPr="003228AE">
        <w:t xml:space="preserve"> </w:t>
      </w:r>
      <w:r w:rsidR="008A3EE5">
        <w:t xml:space="preserve">trial </w:t>
      </w:r>
      <w:r w:rsidRPr="003228AE">
        <w:t>and is supported by the data from the sarilumab any dose group in the integrated monotherapy safety analysis.</w:t>
      </w:r>
      <w:r w:rsidR="003E7288">
        <w:t xml:space="preserve"> </w:t>
      </w:r>
      <w:r w:rsidRPr="003228AE">
        <w:t xml:space="preserve">Although the </w:t>
      </w:r>
      <w:r w:rsidR="005A2C47" w:rsidRPr="003228AE">
        <w:t xml:space="preserve">study data </w:t>
      </w:r>
      <w:r w:rsidR="005A2C47">
        <w:t xml:space="preserve">from Study </w:t>
      </w:r>
      <w:r w:rsidR="00E86CFA">
        <w:t xml:space="preserve">EFC14092 </w:t>
      </w:r>
      <w:r w:rsidRPr="003228AE">
        <w:t>MONARCH submitted is li</w:t>
      </w:r>
      <w:r>
        <w:t xml:space="preserve">mited to 24 weeks at this stage, </w:t>
      </w:r>
      <w:r w:rsidRPr="003228AE">
        <w:t>this is mitigated by the pooled monotherapy safety data from the integrated safety analysis in which 467 patients treated with any dose of sarilumab had a median duration of 255 days</w:t>
      </w:r>
      <w:r>
        <w:t xml:space="preserve"> and </w:t>
      </w:r>
      <w:r w:rsidRPr="003228AE">
        <w:t>pooled long-term safety data for sarilumab + DMARD.</w:t>
      </w:r>
      <w:r w:rsidR="003E7288">
        <w:t xml:space="preserve"> </w:t>
      </w:r>
      <w:r w:rsidRPr="003228AE">
        <w:t>The CER notes that the long-term combination safety data for sarilumab + DMARD are consistent with the safety data for sarilumab monotherapy provided in the re-submission.</w:t>
      </w:r>
      <w:r w:rsidR="003E7288">
        <w:t xml:space="preserve"> </w:t>
      </w:r>
      <w:r>
        <w:t>The safety profile of sarilumab and adalimumab differ but were considered to be generally comparable by the evaluator.</w:t>
      </w:r>
      <w:r w:rsidR="003E7288">
        <w:t xml:space="preserve"> </w:t>
      </w:r>
      <w:r>
        <w:rPr>
          <w:lang w:val="en-US"/>
        </w:rPr>
        <w:t>The overall incidence of TEAEs was similar in the two treatment groups, with the major differences being notably higher incidences of neutro</w:t>
      </w:r>
      <w:r w:rsidR="001E2D44">
        <w:rPr>
          <w:lang w:val="en-US"/>
        </w:rPr>
        <w:t>paenia</w:t>
      </w:r>
      <w:r>
        <w:rPr>
          <w:lang w:val="en-US"/>
        </w:rPr>
        <w:t xml:space="preserve"> and injection site reactions in the sarilumab group, a higher incidence of hepatic disorders in the sarilumab group and a higher incidence of lipid disorders in the adalimumab group. There were no other notable differences </w:t>
      </w:r>
      <w:r>
        <w:rPr>
          <w:lang w:val="en-US"/>
        </w:rPr>
        <w:lastRenderedPageBreak/>
        <w:t>between groups in TEAEs, including AESI. There were no clinically meaningful differences between the two treatment groups as regards SAEs. Laboratory abnormalities relating to neutro</w:t>
      </w:r>
      <w:r w:rsidR="001E2D44">
        <w:rPr>
          <w:lang w:val="en-US"/>
        </w:rPr>
        <w:t>paenia</w:t>
      </w:r>
      <w:r>
        <w:rPr>
          <w:lang w:val="en-US"/>
        </w:rPr>
        <w:t xml:space="preserve"> and increased ALT levels were reported more frequently in patients in the sarilumab group than in the adalimumab group.</w:t>
      </w:r>
    </w:p>
    <w:p w:rsidR="00572EFC" w:rsidRPr="00897EEA" w:rsidRDefault="00572EFC" w:rsidP="00572EFC">
      <w:r w:rsidRPr="00903D21">
        <w:t>The safety profile for sarilumab in combination with non-biological DMARDs has been demonstrated in the pivotal combination studies</w:t>
      </w:r>
      <w:r>
        <w:t xml:space="preserve"> and long term extension study</w:t>
      </w:r>
      <w:r w:rsidRPr="00903D21">
        <w:t>.</w:t>
      </w:r>
      <w:r w:rsidR="003E7288">
        <w:t xml:space="preserve"> </w:t>
      </w:r>
      <w:r w:rsidRPr="00903D21">
        <w:t xml:space="preserve">Overall, </w:t>
      </w:r>
      <w:r w:rsidRPr="00903D21">
        <w:rPr>
          <w:lang w:val="en-US"/>
        </w:rPr>
        <w:t>TEAEs, serious TEAEs, and TEAEs leading to permanent treatment discontinuation occurred more frequently in patients in both sarilumab dose groups (150 mg q2w and 200 mg q2w) compared with placebo, and marginally more frequently in the higher dose compared with the lower dose sarilumab group. TEAEs leading to death occurred infrequently in each of the three treatment groups.</w:t>
      </w:r>
      <w:r w:rsidR="003E7288">
        <w:rPr>
          <w:lang w:val="en-US"/>
        </w:rPr>
        <w:t xml:space="preserve"> </w:t>
      </w:r>
      <w:r w:rsidRPr="00903D21">
        <w:rPr>
          <w:lang w:val="en-US"/>
        </w:rPr>
        <w:t xml:space="preserve">The most frequently observed risks for sarilumab in combination with </w:t>
      </w:r>
      <w:proofErr w:type="spellStart"/>
      <w:r w:rsidRPr="00903D21">
        <w:rPr>
          <w:lang w:val="en-US"/>
        </w:rPr>
        <w:t>cDMARD</w:t>
      </w:r>
      <w:proofErr w:type="spellEnd"/>
      <w:r w:rsidRPr="00903D21">
        <w:rPr>
          <w:lang w:val="en-US"/>
        </w:rPr>
        <w:t xml:space="preserve"> related to infections, although serious infections, opportunistic infections and TB occurred relatively infrequently. Other risks of note associated with combination treatments included neutro</w:t>
      </w:r>
      <w:r w:rsidR="001E2D44">
        <w:rPr>
          <w:lang w:val="en-US"/>
        </w:rPr>
        <w:t>paenia</w:t>
      </w:r>
      <w:r w:rsidRPr="00903D21">
        <w:rPr>
          <w:lang w:val="en-US"/>
        </w:rPr>
        <w:t>, thrombocyto</w:t>
      </w:r>
      <w:r w:rsidR="001E2D44">
        <w:rPr>
          <w:lang w:val="en-US"/>
        </w:rPr>
        <w:t>paenia</w:t>
      </w:r>
      <w:r w:rsidRPr="00903D21">
        <w:rPr>
          <w:lang w:val="en-US"/>
        </w:rPr>
        <w:t xml:space="preserve">, injection site reactions, hepatic disorders (including laboratory abnormalities of increased ALT, AST, and total bilirubin levels) and lipid disorders (including laboratory abnormalities of increased LDL, HDL and triglycerides). The </w:t>
      </w:r>
      <w:r w:rsidR="00E86CFA">
        <w:rPr>
          <w:lang w:val="en-US"/>
        </w:rPr>
        <w:t xml:space="preserve">clinical </w:t>
      </w:r>
      <w:r w:rsidRPr="00903D21">
        <w:rPr>
          <w:lang w:val="en-US"/>
        </w:rPr>
        <w:t xml:space="preserve">evaluator </w:t>
      </w:r>
      <w:r>
        <w:rPr>
          <w:lang w:val="en-US"/>
        </w:rPr>
        <w:t>comments that</w:t>
      </w:r>
      <w:r w:rsidRPr="00903D21">
        <w:rPr>
          <w:lang w:val="en-US"/>
        </w:rPr>
        <w:t xml:space="preserve"> there did not appear to be a relationship between neutro</w:t>
      </w:r>
      <w:r w:rsidR="001E2D44">
        <w:rPr>
          <w:lang w:val="en-US"/>
        </w:rPr>
        <w:t>paenia</w:t>
      </w:r>
      <w:r w:rsidRPr="00903D21">
        <w:rPr>
          <w:lang w:val="en-US"/>
        </w:rPr>
        <w:t xml:space="preserve"> and infections, thrombocyto</w:t>
      </w:r>
      <w:r w:rsidR="001E2D44">
        <w:rPr>
          <w:lang w:val="en-US"/>
        </w:rPr>
        <w:t>paenia</w:t>
      </w:r>
      <w:r w:rsidRPr="00903D21">
        <w:rPr>
          <w:lang w:val="en-US"/>
        </w:rPr>
        <w:t xml:space="preserve"> and bleeding, or abnormal lipids and major cardiovascular adverse events.</w:t>
      </w:r>
      <w:r w:rsidR="003E7288">
        <w:rPr>
          <w:lang w:val="en-US"/>
        </w:rPr>
        <w:t xml:space="preserve"> </w:t>
      </w:r>
      <w:r w:rsidRPr="00CF0677">
        <w:rPr>
          <w:rFonts w:eastAsiaTheme="minorHAnsi" w:cs="TimesNewRomanPSMT"/>
        </w:rPr>
        <w:t xml:space="preserve">Based on exposure-adjusted </w:t>
      </w:r>
      <w:r>
        <w:rPr>
          <w:rFonts w:eastAsiaTheme="minorHAnsi" w:cs="TimesNewRomanPSMT"/>
        </w:rPr>
        <w:t xml:space="preserve">patient </w:t>
      </w:r>
      <w:r w:rsidRPr="00CF0677">
        <w:rPr>
          <w:rFonts w:eastAsiaTheme="minorHAnsi" w:cs="TimesNewRomanPSMT"/>
        </w:rPr>
        <w:t xml:space="preserve">incidence </w:t>
      </w:r>
      <w:r>
        <w:rPr>
          <w:rFonts w:eastAsiaTheme="minorHAnsi" w:cs="TimesNewRomanPSMT"/>
        </w:rPr>
        <w:t xml:space="preserve">rates, the evaluator notes that no clinically meaningful </w:t>
      </w:r>
      <w:r w:rsidRPr="00CF0677">
        <w:rPr>
          <w:rFonts w:eastAsiaTheme="minorHAnsi" w:cs="TimesNewRomanPSMT"/>
        </w:rPr>
        <w:t xml:space="preserve">differences </w:t>
      </w:r>
      <w:r>
        <w:rPr>
          <w:rFonts w:eastAsiaTheme="minorHAnsi" w:cs="TimesNewRomanPSMT"/>
        </w:rPr>
        <w:t xml:space="preserve">were observed </w:t>
      </w:r>
      <w:r w:rsidRPr="00CF0677">
        <w:rPr>
          <w:rFonts w:eastAsiaTheme="minorHAnsi" w:cs="TimesNewRomanPSMT"/>
        </w:rPr>
        <w:t xml:space="preserve">between </w:t>
      </w:r>
      <w:r>
        <w:rPr>
          <w:rFonts w:eastAsiaTheme="minorHAnsi" w:cs="TimesNewRomanPSMT"/>
        </w:rPr>
        <w:t xml:space="preserve">the </w:t>
      </w:r>
      <w:r w:rsidRPr="00CF0677">
        <w:rPr>
          <w:rFonts w:eastAsiaTheme="minorHAnsi" w:cs="TimesNewRomanPSMT"/>
        </w:rPr>
        <w:t>sarilumab + DMARD long-term safety population and the sarilumab + DMARD placebo-controlled population</w:t>
      </w:r>
      <w:r>
        <w:rPr>
          <w:rFonts w:eastAsiaTheme="minorHAnsi" w:cs="TimesNewRomanPSMT"/>
        </w:rPr>
        <w:t>.</w:t>
      </w:r>
    </w:p>
    <w:p w:rsidR="00572EFC" w:rsidRPr="00CE5CC5" w:rsidRDefault="00572EFC" w:rsidP="00572EFC">
      <w:r>
        <w:rPr>
          <w:lang w:val="en-US"/>
        </w:rPr>
        <w:t xml:space="preserve">The safety and tolerability data from </w:t>
      </w:r>
      <w:r w:rsidR="00E86CFA">
        <w:rPr>
          <w:lang w:val="en-US"/>
        </w:rPr>
        <w:t>S</w:t>
      </w:r>
      <w:r>
        <w:rPr>
          <w:lang w:val="en-US"/>
        </w:rPr>
        <w:t>tudy SFY13370 comparing sarilumab and tocilizumab showed the risks of neutro</w:t>
      </w:r>
      <w:r w:rsidR="001E2D44">
        <w:rPr>
          <w:lang w:val="en-US"/>
        </w:rPr>
        <w:t>paenia</w:t>
      </w:r>
      <w:r>
        <w:rPr>
          <w:lang w:val="en-US"/>
        </w:rPr>
        <w:t xml:space="preserve"> were numerically higher in the sarilumab groups. The risks of hepatic disorders and potentially clinically significant abnormalities associated with increased ALT levels were similar in the sarilumab and tocilizumab groups.</w:t>
      </w:r>
    </w:p>
    <w:p w:rsidR="00AA6B20" w:rsidRDefault="00572EFC" w:rsidP="00572EFC">
      <w:proofErr w:type="gramStart"/>
      <w:r w:rsidRPr="0098339D">
        <w:t>Neutro</w:t>
      </w:r>
      <w:r w:rsidR="001E2D44">
        <w:t>paenia</w:t>
      </w:r>
      <w:r w:rsidRPr="0098339D">
        <w:t>,</w:t>
      </w:r>
      <w:proofErr w:type="gramEnd"/>
      <w:r w:rsidRPr="0098339D">
        <w:t xml:space="preserve"> raised liver enzymes and thrombocyto</w:t>
      </w:r>
      <w:r w:rsidR="001E2D44">
        <w:t>paenia</w:t>
      </w:r>
      <w:r w:rsidRPr="0098339D">
        <w:t xml:space="preserve"> are of concern and the sponsor is proposing dose reductions to 15</w:t>
      </w:r>
      <w:r w:rsidR="001470FB">
        <w:t>0 mg</w:t>
      </w:r>
      <w:r w:rsidRPr="0098339D">
        <w:t xml:space="preserve"> for </w:t>
      </w:r>
      <w:r>
        <w:t>these</w:t>
      </w:r>
      <w:r w:rsidRPr="0098339D">
        <w:t xml:space="preserve"> along with laboratory monitoring. </w:t>
      </w:r>
      <w:r w:rsidR="00E86CFA">
        <w:t>Gastrointestinal (</w:t>
      </w:r>
      <w:r w:rsidRPr="0098339D">
        <w:t>GI</w:t>
      </w:r>
      <w:r w:rsidR="00E86CFA">
        <w:t>)</w:t>
      </w:r>
      <w:r w:rsidRPr="0098339D">
        <w:t xml:space="preserve"> perforation/ulceration/diverticulitis was slightly higher on sarilumab</w:t>
      </w:r>
      <w:r>
        <w:t xml:space="preserve"> and t</w:t>
      </w:r>
      <w:r w:rsidRPr="0098339D">
        <w:t>he risk of malignancies needs longer follow-up, as to for MACE events</w:t>
      </w:r>
      <w:r>
        <w:t xml:space="preserve"> (long term combination safety population: MACE </w:t>
      </w:r>
      <w:r>
        <w:rPr>
          <w:rFonts w:eastAsiaTheme="minorHAnsi" w:cs="TimesNewRomanPSMT"/>
        </w:rPr>
        <w:t>0.5/100 PY</w:t>
      </w:r>
      <w:r>
        <w:t xml:space="preserve">, malignancies </w:t>
      </w:r>
      <w:r w:rsidRPr="00CC40A7">
        <w:rPr>
          <w:rFonts w:eastAsiaTheme="minorHAnsi" w:cs="TimesNewRomanPSMT"/>
        </w:rPr>
        <w:t>0.8/100 PY</w:t>
      </w:r>
      <w:r>
        <w:t>)</w:t>
      </w:r>
      <w:r w:rsidRPr="0098339D">
        <w:t>.</w:t>
      </w:r>
      <w:r w:rsidR="003E7288">
        <w:t xml:space="preserve"> </w:t>
      </w:r>
      <w:r>
        <w:t>D</w:t>
      </w:r>
      <w:r w:rsidRPr="0098339D">
        <w:t xml:space="preserve">epression </w:t>
      </w:r>
      <w:r>
        <w:t>has been included in the RMP.</w:t>
      </w:r>
    </w:p>
    <w:p w:rsidR="00E86CFA" w:rsidRDefault="00572EFC" w:rsidP="00E86CFA">
      <w:pPr>
        <w:pStyle w:val="Heading5"/>
      </w:pPr>
      <w:r w:rsidRPr="001F24CF">
        <w:t>Dose</w:t>
      </w:r>
    </w:p>
    <w:p w:rsidR="00AA6B20" w:rsidRDefault="00572EFC" w:rsidP="00572EFC">
      <w:pPr>
        <w:rPr>
          <w:rFonts w:cs="Times"/>
          <w:lang w:val="en-US"/>
        </w:rPr>
      </w:pPr>
      <w:r w:rsidRPr="001F24CF">
        <w:t>Both pivotal combination studies compared two doses of sarilumab with placebo but were not designed or had pre-specified statistical testing to determine superiority of the higher dose over the lower dose.</w:t>
      </w:r>
      <w:r w:rsidR="003E7288">
        <w:t xml:space="preserve"> </w:t>
      </w:r>
      <w:r w:rsidRPr="001F24CF">
        <w:t>The monotherapy study only tested the higher dose.</w:t>
      </w:r>
      <w:r w:rsidR="003E7288">
        <w:t xml:space="preserve"> </w:t>
      </w:r>
      <w:r w:rsidRPr="001F24CF">
        <w:t xml:space="preserve">The previous </w:t>
      </w:r>
      <w:r>
        <w:t>submission raised</w:t>
      </w:r>
      <w:r w:rsidRPr="001F24CF">
        <w:t xml:space="preserve"> concerns </w:t>
      </w:r>
      <w:r>
        <w:t>with</w:t>
      </w:r>
      <w:r w:rsidRPr="001F24CF">
        <w:t xml:space="preserve"> the </w:t>
      </w:r>
      <w:r>
        <w:t xml:space="preserve">starting </w:t>
      </w:r>
      <w:r w:rsidRPr="001F24CF">
        <w:t>dos</w:t>
      </w:r>
      <w:r>
        <w:t>e</w:t>
      </w:r>
      <w:r w:rsidRPr="001F24CF">
        <w:t xml:space="preserve"> </w:t>
      </w:r>
      <w:r>
        <w:t>but</w:t>
      </w:r>
      <w:r w:rsidRPr="001F24CF">
        <w:t xml:space="preserve"> the current clinical evaluator, with the additional data, comments that, </w:t>
      </w:r>
      <w:r w:rsidR="001470FB">
        <w:t>‘</w:t>
      </w:r>
      <w:r w:rsidRPr="00983696">
        <w:rPr>
          <w:i/>
        </w:rPr>
        <w:t xml:space="preserve">the majority of patients </w:t>
      </w:r>
      <w:r w:rsidRPr="00983696">
        <w:rPr>
          <w:i/>
          <w:lang w:val="en-US"/>
        </w:rPr>
        <w:t>starting on sarilumab 200 mg q2w + DMARD can safely remain at that dose, with reduction to sarilumab 150 mg q2w + DMARD in the event of toxicity on the higher dose. Following recovery of laboratory abnormalities related to neutro</w:t>
      </w:r>
      <w:r w:rsidR="001E2D44" w:rsidRPr="00983696">
        <w:rPr>
          <w:i/>
          <w:lang w:val="en-US"/>
        </w:rPr>
        <w:t>paenia</w:t>
      </w:r>
      <w:r w:rsidRPr="00983696">
        <w:rPr>
          <w:i/>
          <w:lang w:val="en-US"/>
        </w:rPr>
        <w:t>, thrombocyto</w:t>
      </w:r>
      <w:r w:rsidR="001E2D44" w:rsidRPr="00983696">
        <w:rPr>
          <w:i/>
          <w:lang w:val="en-US"/>
        </w:rPr>
        <w:t>paenia</w:t>
      </w:r>
      <w:r w:rsidRPr="00983696">
        <w:rPr>
          <w:i/>
          <w:lang w:val="en-US"/>
        </w:rPr>
        <w:t xml:space="preserve"> or increased ALT levels observed with the higher dose of sarilumab 200 mg q2w, the data indicated that treatment can be safely re-initiated at the lower dose of sarilumab 150 mg q2w +DMARD. The monitoring regimens recommended in the PI for identifying neutro</w:t>
      </w:r>
      <w:r w:rsidR="001E2D44" w:rsidRPr="00983696">
        <w:rPr>
          <w:i/>
          <w:lang w:val="en-US"/>
        </w:rPr>
        <w:t>paenia</w:t>
      </w:r>
      <w:r w:rsidRPr="00983696">
        <w:rPr>
          <w:i/>
          <w:lang w:val="en-US"/>
        </w:rPr>
        <w:t>, thrombocyto</w:t>
      </w:r>
      <w:r w:rsidR="001E2D44" w:rsidRPr="00983696">
        <w:rPr>
          <w:i/>
          <w:lang w:val="en-US"/>
        </w:rPr>
        <w:t>paenia</w:t>
      </w:r>
      <w:r w:rsidRPr="00983696">
        <w:rPr>
          <w:i/>
          <w:lang w:val="en-US"/>
        </w:rPr>
        <w:t xml:space="preserve">, or ALT </w:t>
      </w:r>
      <w:proofErr w:type="gramStart"/>
      <w:r w:rsidRPr="00983696">
        <w:rPr>
          <w:i/>
          <w:lang w:val="en-US"/>
        </w:rPr>
        <w:t>are</w:t>
      </w:r>
      <w:proofErr w:type="gramEnd"/>
      <w:r w:rsidRPr="00983696">
        <w:rPr>
          <w:i/>
          <w:lang w:val="en-US"/>
        </w:rPr>
        <w:t xml:space="preserve"> considered to be appropriate. There is no reason why the proposed monitoring requirements cannot be safely instituted in remote communities. The monitoring requirements proposed for sarilumab are similar to those required for tocilizumab</w:t>
      </w:r>
      <w:r w:rsidRPr="001F24CF">
        <w:rPr>
          <w:lang w:val="en-US"/>
        </w:rPr>
        <w:t>.</w:t>
      </w:r>
      <w:r w:rsidR="001470FB">
        <w:rPr>
          <w:lang w:val="en-US"/>
        </w:rPr>
        <w:t>’</w:t>
      </w:r>
      <w:r w:rsidRPr="001F24CF">
        <w:t xml:space="preserve"> It is also noted that starting with the higher dose and decreasing to the lower </w:t>
      </w:r>
      <w:r>
        <w:t xml:space="preserve">dose </w:t>
      </w:r>
      <w:r w:rsidRPr="001F24CF">
        <w:t>in the event of toxicity has been approved in the US, Europe and Canada.</w:t>
      </w:r>
      <w:r w:rsidR="003E7288">
        <w:t xml:space="preserve"> </w:t>
      </w:r>
      <w:r w:rsidRPr="001F24CF">
        <w:t>Although the sponsor has not demonstrated significantly superior efficacy for the 20</w:t>
      </w:r>
      <w:r w:rsidR="001470FB">
        <w:t>0 mg</w:t>
      </w:r>
      <w:r w:rsidRPr="001F24CF">
        <w:t xml:space="preserve"> over the 15</w:t>
      </w:r>
      <w:r w:rsidR="001470FB">
        <w:t>0 mg</w:t>
      </w:r>
      <w:r w:rsidRPr="001F24CF">
        <w:t>, there is a numerical trend to higher efficacy.</w:t>
      </w:r>
      <w:r w:rsidR="003E7288">
        <w:t xml:space="preserve"> </w:t>
      </w:r>
      <w:r>
        <w:t xml:space="preserve">Data </w:t>
      </w:r>
      <w:r w:rsidRPr="001F24CF">
        <w:t xml:space="preserve">from the long term </w:t>
      </w:r>
      <w:r>
        <w:t xml:space="preserve">combination </w:t>
      </w:r>
      <w:r w:rsidRPr="001F24CF">
        <w:lastRenderedPageBreak/>
        <w:t>study relating to radiological progression of joint damage are considered by the sponsor to show better radiological outcome for patients initiated on 20</w:t>
      </w:r>
      <w:r w:rsidR="001470FB">
        <w:t>0 mg</w:t>
      </w:r>
      <w:r w:rsidRPr="001F24CF">
        <w:t xml:space="preserve"> than 15</w:t>
      </w:r>
      <w:r w:rsidR="001470FB">
        <w:t>0 mg</w:t>
      </w:r>
      <w:r w:rsidRPr="001F24CF">
        <w:t xml:space="preserve"> up to </w:t>
      </w:r>
      <w:r w:rsidR="00983696">
        <w:t>Y</w:t>
      </w:r>
      <w:r w:rsidRPr="001F24CF">
        <w:t>ear</w:t>
      </w:r>
      <w:r w:rsidR="00C220BB">
        <w:t> </w:t>
      </w:r>
      <w:r w:rsidRPr="001F24CF">
        <w:t>3.</w:t>
      </w:r>
      <w:r w:rsidR="003E7288">
        <w:t xml:space="preserve"> </w:t>
      </w:r>
      <w:r w:rsidRPr="001F24CF">
        <w:t xml:space="preserve">The clinical evaluator comments, </w:t>
      </w:r>
      <w:r w:rsidR="001470FB">
        <w:t>‘</w:t>
      </w:r>
      <w:r w:rsidRPr="00983696">
        <w:rPr>
          <w:rFonts w:cs="Times"/>
          <w:i/>
          <w:lang w:val="en-US"/>
        </w:rPr>
        <w:t>overall, the data showed that progression of radiological structural joint damage was less marked in patients initiating treatment with sarilumab 200 mg q2w and continuing at this dose than in patients initiating treatment with sarilumab 150 mg q2w and subsequently increasing the sarilumab dose to 200 mg q2w.</w:t>
      </w:r>
      <w:r w:rsidR="001470FB">
        <w:rPr>
          <w:rFonts w:cs="Times"/>
          <w:lang w:val="en-US"/>
        </w:rPr>
        <w:t>’</w:t>
      </w:r>
    </w:p>
    <w:p w:rsidR="00572EFC" w:rsidRPr="001F24CF" w:rsidRDefault="00572EFC" w:rsidP="00572EFC">
      <w:r w:rsidRPr="000E475D">
        <w:t>Neutro</w:t>
      </w:r>
      <w:r w:rsidR="001E2D44">
        <w:t>paenia</w:t>
      </w:r>
      <w:r w:rsidRPr="001F24CF">
        <w:t xml:space="preserve"> is a significant concern, but the clinical evaluator comments that </w:t>
      </w:r>
      <w:r w:rsidR="001470FB">
        <w:t>‘</w:t>
      </w:r>
      <w:r w:rsidRPr="00983696">
        <w:rPr>
          <w:i/>
          <w:lang w:val="en-US"/>
        </w:rPr>
        <w:t>Based on the totality of the safety data relating to the incidence of neutro</w:t>
      </w:r>
      <w:r w:rsidR="001E2D44" w:rsidRPr="00983696">
        <w:rPr>
          <w:i/>
          <w:lang w:val="en-US"/>
        </w:rPr>
        <w:t>paenia</w:t>
      </w:r>
      <w:r w:rsidRPr="00983696">
        <w:rPr>
          <w:i/>
          <w:lang w:val="en-US"/>
        </w:rPr>
        <w:t xml:space="preserve"> it is considered that treatment can be safely initiated with sarilumab 200 mg q2w and reduced to 150 mg q2w based on the ANC criteria provided in the PI</w:t>
      </w:r>
      <w:r w:rsidRPr="001F24CF">
        <w:rPr>
          <w:lang w:val="en-US"/>
        </w:rPr>
        <w:t>.</w:t>
      </w:r>
      <w:r w:rsidR="001470FB">
        <w:rPr>
          <w:lang w:val="en-US"/>
        </w:rPr>
        <w:t>’</w:t>
      </w:r>
      <w:r w:rsidR="003E7288">
        <w:rPr>
          <w:lang w:val="en-US"/>
        </w:rPr>
        <w:t xml:space="preserve"> </w:t>
      </w:r>
      <w:r w:rsidRPr="001F24CF">
        <w:rPr>
          <w:lang w:val="en-US"/>
        </w:rPr>
        <w:t>Despite the higher rate of neutro</w:t>
      </w:r>
      <w:r w:rsidR="001E2D44">
        <w:rPr>
          <w:lang w:val="en-US"/>
        </w:rPr>
        <w:t>paenia</w:t>
      </w:r>
      <w:r w:rsidRPr="001F24CF">
        <w:rPr>
          <w:lang w:val="en-US"/>
        </w:rPr>
        <w:t xml:space="preserve"> seen in both combination studies on 20</w:t>
      </w:r>
      <w:r w:rsidR="001470FB">
        <w:rPr>
          <w:lang w:val="en-US"/>
        </w:rPr>
        <w:t>0 mg</w:t>
      </w:r>
      <w:r w:rsidR="004472E2">
        <w:rPr>
          <w:lang w:val="en-US"/>
        </w:rPr>
        <w:t xml:space="preserve"> versus </w:t>
      </w:r>
      <w:r w:rsidRPr="001F24CF">
        <w:rPr>
          <w:lang w:val="en-US"/>
        </w:rPr>
        <w:t>15</w:t>
      </w:r>
      <w:r w:rsidR="001470FB">
        <w:rPr>
          <w:lang w:val="en-US"/>
        </w:rPr>
        <w:t>0 mg</w:t>
      </w:r>
      <w:r w:rsidRPr="001F24CF">
        <w:rPr>
          <w:lang w:val="en-US"/>
        </w:rPr>
        <w:t xml:space="preserve"> </w:t>
      </w:r>
      <w:r>
        <w:rPr>
          <w:lang w:val="en-US"/>
        </w:rPr>
        <w:t>(pool 1: 14.2%</w:t>
      </w:r>
      <w:r w:rsidR="004472E2">
        <w:rPr>
          <w:lang w:val="en-US"/>
        </w:rPr>
        <w:t xml:space="preserve"> versus </w:t>
      </w:r>
      <w:r>
        <w:rPr>
          <w:lang w:val="en-US"/>
        </w:rPr>
        <w:t xml:space="preserve">9.8%) </w:t>
      </w:r>
      <w:r w:rsidRPr="001F24CF">
        <w:rPr>
          <w:lang w:val="en-US"/>
        </w:rPr>
        <w:t>and in the monotherapy study for 20</w:t>
      </w:r>
      <w:r w:rsidR="001470FB">
        <w:rPr>
          <w:lang w:val="en-US"/>
        </w:rPr>
        <w:t>0 mg</w:t>
      </w:r>
      <w:r w:rsidRPr="001F24CF">
        <w:rPr>
          <w:lang w:val="en-US"/>
        </w:rPr>
        <w:t xml:space="preserve"> compared with adalimumab</w:t>
      </w:r>
      <w:r>
        <w:rPr>
          <w:lang w:val="en-US"/>
        </w:rPr>
        <w:t xml:space="preserve"> (</w:t>
      </w:r>
      <w:r w:rsidRPr="00841489">
        <w:t>13.6%</w:t>
      </w:r>
      <w:r w:rsidR="004472E2">
        <w:t xml:space="preserve"> versus </w:t>
      </w:r>
      <w:r w:rsidRPr="00841489">
        <w:t>0.5%</w:t>
      </w:r>
      <w:r>
        <w:t>)</w:t>
      </w:r>
      <w:r w:rsidRPr="001F24CF">
        <w:rPr>
          <w:lang w:val="en-US"/>
        </w:rPr>
        <w:t>, the rate of overall infection appeared to be mostly similar between the two doses in the controlled phases and between sarilumab and adalimumab in the monotherapy study.</w:t>
      </w:r>
      <w:r w:rsidR="003E7288">
        <w:rPr>
          <w:lang w:val="en-US"/>
        </w:rPr>
        <w:t xml:space="preserve"> </w:t>
      </w:r>
      <w:r w:rsidRPr="001F24CF">
        <w:rPr>
          <w:lang w:val="en-US"/>
        </w:rPr>
        <w:t xml:space="preserve">The evaluator also </w:t>
      </w:r>
      <w:r w:rsidR="001470FB">
        <w:rPr>
          <w:lang w:val="en-US"/>
        </w:rPr>
        <w:t>‘</w:t>
      </w:r>
      <w:r w:rsidRPr="00983696">
        <w:rPr>
          <w:i/>
          <w:lang w:val="en-US"/>
        </w:rPr>
        <w:t xml:space="preserve">considered that there </w:t>
      </w:r>
      <w:r w:rsidRPr="00983696">
        <w:rPr>
          <w:i/>
        </w:rPr>
        <w:t>were no clinically meaningful differences in the patterns of infection in the sarilumab 200 mg q2w + DMARD and sarilumab 150 mg q2w + DMARD groups</w:t>
      </w:r>
      <w:r w:rsidR="001470FB">
        <w:t>’</w:t>
      </w:r>
      <w:r w:rsidRPr="001F24CF">
        <w:t xml:space="preserve"> however in the sarilumab + DMARD long-term safety population, infections in the sarilumab 200 mg q2w initial dose group were reported more frequently than in the sarilumab 150 mg q2w initial dose group (46.0%</w:t>
      </w:r>
      <w:r w:rsidR="004472E2">
        <w:t xml:space="preserve"> versus </w:t>
      </w:r>
      <w:r w:rsidRPr="001F24CF">
        <w:t>32.6%, respectively), but the exposure-adjusted event rates were greater in the 150 mg q2w initial dose group than in the 200 mg q2w initial dose group.</w:t>
      </w:r>
      <w:r w:rsidR="003E7288">
        <w:t xml:space="preserve"> </w:t>
      </w:r>
      <w:r w:rsidRPr="001F24CF">
        <w:t>In this same population</w:t>
      </w:r>
      <w:r>
        <w:t>,</w:t>
      </w:r>
      <w:r w:rsidRPr="001F24CF">
        <w:t xml:space="preserve"> serious infections were reported more frequently in patients in the sarilumab 200 mg q2w initial dose group than in the sarilumab 150 mg q2w initial dose group (5.7%</w:t>
      </w:r>
      <w:r w:rsidR="004472E2">
        <w:t xml:space="preserve"> versus </w:t>
      </w:r>
      <w:r w:rsidRPr="001F24CF">
        <w:t>1.4%, respectively)</w:t>
      </w:r>
      <w:r>
        <w:t xml:space="preserve"> with exposure-adjusted event rates of 4.0/100 PY</w:t>
      </w:r>
      <w:r w:rsidR="003D2290">
        <w:t xml:space="preserve"> versus </w:t>
      </w:r>
      <w:r>
        <w:t>2.7/100 PY respectively</w:t>
      </w:r>
      <w:r w:rsidRPr="001F24CF">
        <w:t>.</w:t>
      </w:r>
      <w:r w:rsidR="003E7288">
        <w:t xml:space="preserve"> </w:t>
      </w:r>
      <w:r w:rsidRPr="001F24CF">
        <w:t xml:space="preserve">The </w:t>
      </w:r>
      <w:r w:rsidR="0027047D">
        <w:t xml:space="preserve">clinical </w:t>
      </w:r>
      <w:r w:rsidRPr="001F24CF">
        <w:t xml:space="preserve">evaluator also comments that, </w:t>
      </w:r>
      <w:r w:rsidR="001470FB">
        <w:t>‘</w:t>
      </w:r>
      <w:r w:rsidRPr="00983696">
        <w:rPr>
          <w:i/>
          <w:lang w:val="en-US"/>
        </w:rPr>
        <w:t>overall, the reports of increased ALT associated with sarilumab 200 mg q2w do not give rise to concern</w:t>
      </w:r>
      <w:r w:rsidRPr="001F24CF">
        <w:rPr>
          <w:lang w:val="en-US"/>
        </w:rPr>
        <w:t>.</w:t>
      </w:r>
      <w:r w:rsidR="001470FB">
        <w:rPr>
          <w:lang w:val="en-US"/>
        </w:rPr>
        <w:t>’</w:t>
      </w:r>
      <w:r w:rsidR="003E7288">
        <w:rPr>
          <w:lang w:val="en-US"/>
        </w:rPr>
        <w:t xml:space="preserve"> </w:t>
      </w:r>
      <w:r w:rsidRPr="001F24CF">
        <w:rPr>
          <w:lang w:val="en-US"/>
        </w:rPr>
        <w:t>In the long term study, dose reductions occurred in 17.7% of patients, with the major reason being neutrophil count decreased (11.3%), followed by ALT increased (3.9%). After dose reduction, an improvement in ANC and ALT towards baseline or normal values was observed. No patient increased dose to 200 mg q2w after reducing the dose to 150 mg q2w</w:t>
      </w:r>
      <w:r w:rsidRPr="001F24CF">
        <w:t>.</w:t>
      </w:r>
    </w:p>
    <w:p w:rsidR="00983696" w:rsidRDefault="00572EFC" w:rsidP="00983696">
      <w:pPr>
        <w:pStyle w:val="Heading5"/>
      </w:pPr>
      <w:r w:rsidRPr="0007565D">
        <w:t>RMP</w:t>
      </w:r>
    </w:p>
    <w:p w:rsidR="00572EFC" w:rsidRPr="00A23C2C" w:rsidRDefault="00572EFC" w:rsidP="00572EFC">
      <w:r w:rsidRPr="00FA1F9F">
        <w:t xml:space="preserve">An </w:t>
      </w:r>
      <w:r>
        <w:t xml:space="preserve">acceptable </w:t>
      </w:r>
      <w:r w:rsidRPr="00FA1F9F">
        <w:t>RMP with ASA has been provided</w:t>
      </w:r>
      <w:r>
        <w:t xml:space="preserve"> with one outstanding matter which the sponsor should address prior to registration.</w:t>
      </w:r>
      <w:r w:rsidR="003E7288">
        <w:t xml:space="preserve"> </w:t>
      </w:r>
      <w:r>
        <w:t xml:space="preserve">The </w:t>
      </w:r>
      <w:r w:rsidR="00983696">
        <w:t>De</w:t>
      </w:r>
      <w:r>
        <w:t>legate supports the RMP evaluator’s recommendations.</w:t>
      </w:r>
    </w:p>
    <w:p w:rsidR="00983696" w:rsidRDefault="00572EFC" w:rsidP="00983696">
      <w:pPr>
        <w:pStyle w:val="Heading5"/>
      </w:pPr>
      <w:r w:rsidRPr="00632D76">
        <w:t>Overall</w:t>
      </w:r>
    </w:p>
    <w:p w:rsidR="00572EFC" w:rsidRPr="001F24CF" w:rsidRDefault="00572EFC" w:rsidP="00572EFC">
      <w:r w:rsidRPr="00632D76">
        <w:t>The quality, nonclinical and clinical evaluators have recommended approval, and an acceptable RMP/ASA has been provided, pending satisfactory resolution of GMP and RMP matters and the PI and CMI.</w:t>
      </w:r>
      <w:r w:rsidR="003E7288">
        <w:t xml:space="preserve"> </w:t>
      </w:r>
      <w:r w:rsidR="00C220BB">
        <w:t xml:space="preserve">The </w:t>
      </w:r>
      <w:r>
        <w:t>ACM previously advised that sarilumab had an overall positive benefit-risk balance but was concerned with the starting dose.</w:t>
      </w:r>
      <w:r w:rsidR="003E7288">
        <w:t xml:space="preserve"> </w:t>
      </w:r>
      <w:r w:rsidRPr="004D2014">
        <w:t>Considering</w:t>
      </w:r>
      <w:r>
        <w:t xml:space="preserve"> the totality </w:t>
      </w:r>
      <w:r w:rsidR="00983696">
        <w:t>of the data now available, the D</w:t>
      </w:r>
      <w:r>
        <w:t>elegate is minded to accept the sponsor’s proposed dosing regimen.</w:t>
      </w:r>
      <w:r w:rsidR="003E7288">
        <w:t xml:space="preserve"> </w:t>
      </w:r>
      <w:r>
        <w:t xml:space="preserve">It is noted that the sponsor has added to the PI in the </w:t>
      </w:r>
      <w:r w:rsidR="00983696">
        <w:t>D</w:t>
      </w:r>
      <w:r>
        <w:t xml:space="preserve">osage section that the </w:t>
      </w:r>
      <w:r w:rsidR="001470FB">
        <w:t>‘</w:t>
      </w:r>
      <w:r w:rsidRPr="00983696">
        <w:rPr>
          <w:i/>
        </w:rPr>
        <w:t>choice of the starting dose should be based on an individual patient assessment, taking into consideration potential risks</w:t>
      </w:r>
      <w:r w:rsidR="001470FB" w:rsidRPr="00983696">
        <w:rPr>
          <w:i/>
        </w:rPr>
        <w:t>’</w:t>
      </w:r>
      <w:r>
        <w:t xml:space="preserve"> which was not included in the previous submission.</w:t>
      </w:r>
      <w:r w:rsidR="003E7288">
        <w:t xml:space="preserve"> </w:t>
      </w:r>
      <w:r w:rsidR="00C220BB">
        <w:t xml:space="preserve">The </w:t>
      </w:r>
      <w:r>
        <w:t>ACMs advice is requested on this matter.</w:t>
      </w:r>
    </w:p>
    <w:p w:rsidR="00983696" w:rsidRDefault="00572EFC" w:rsidP="00983696">
      <w:pPr>
        <w:pStyle w:val="Heading5"/>
      </w:pPr>
      <w:r w:rsidRPr="00C55352">
        <w:t>Data deficiencies</w:t>
      </w:r>
    </w:p>
    <w:p w:rsidR="00AA6B20" w:rsidRDefault="00572EFC" w:rsidP="00572EFC">
      <w:r w:rsidRPr="00C55352">
        <w:t>The pivotal studies were not designed or powered to evaluate significant differences between the two sarilumab doses.</w:t>
      </w:r>
      <w:r w:rsidR="003E7288">
        <w:t xml:space="preserve"> </w:t>
      </w:r>
      <w:r w:rsidRPr="00C55352">
        <w:t xml:space="preserve">Sarilumab has not been studied in patients &lt;18 years of age, in subjects with significant organ dysfunction (including renal, hepatic or cardiac failure), those at risk of reactivated latent </w:t>
      </w:r>
      <w:r w:rsidR="00983696">
        <w:t>TB</w:t>
      </w:r>
      <w:r w:rsidRPr="00C55352">
        <w:t>, in the setting of live vaccines, and in pregnant or lactating women.</w:t>
      </w:r>
      <w:r w:rsidR="003E7288">
        <w:t xml:space="preserve"> </w:t>
      </w:r>
      <w:r>
        <w:t xml:space="preserve">The pivotal monotherapy study did not assess radiographic progression. </w:t>
      </w:r>
      <w:r w:rsidRPr="00C55352">
        <w:t xml:space="preserve">There is insufficient long term data on potential risks of malignancy </w:t>
      </w:r>
      <w:r w:rsidRPr="00C55352">
        <w:lastRenderedPageBreak/>
        <w:t>(including non-melanoma skin cancers) and major adverse cardiovascular events</w:t>
      </w:r>
      <w:r>
        <w:t xml:space="preserve"> which are therefore </w:t>
      </w:r>
      <w:r w:rsidRPr="00CC40A7">
        <w:rPr>
          <w:rFonts w:eastAsiaTheme="minorHAnsi" w:cs="TimesNewRomanPSMT"/>
        </w:rPr>
        <w:t>dependent on post-marketing exposure in a large</w:t>
      </w:r>
      <w:r>
        <w:rPr>
          <w:rFonts w:eastAsiaTheme="minorHAnsi" w:cs="TimesNewRomanPSMT"/>
        </w:rPr>
        <w:t>r</w:t>
      </w:r>
      <w:r w:rsidRPr="00CC40A7">
        <w:rPr>
          <w:rFonts w:eastAsiaTheme="minorHAnsi" w:cs="TimesNewRomanPSMT"/>
        </w:rPr>
        <w:t xml:space="preserve"> number of patients</w:t>
      </w:r>
      <w:r>
        <w:rPr>
          <w:rFonts w:eastAsiaTheme="minorHAnsi" w:cs="TimesNewRomanPSMT"/>
        </w:rPr>
        <w:t>.</w:t>
      </w:r>
      <w:r w:rsidR="003E7288">
        <w:rPr>
          <w:rFonts w:eastAsiaTheme="minorHAnsi" w:cs="TimesNewRomanPSMT"/>
        </w:rPr>
        <w:t xml:space="preserve"> </w:t>
      </w:r>
      <w:r w:rsidRPr="00C55352">
        <w:t>There are limited data in the elderly.</w:t>
      </w:r>
    </w:p>
    <w:p w:rsidR="00983696" w:rsidRDefault="00572EFC" w:rsidP="00983696">
      <w:pPr>
        <w:pStyle w:val="Heading5"/>
      </w:pPr>
      <w:r>
        <w:t>Conditions of Registration</w:t>
      </w:r>
    </w:p>
    <w:p w:rsidR="00572EFC" w:rsidRDefault="00572EFC" w:rsidP="00572EFC">
      <w:r w:rsidRPr="00295D2E">
        <w:t>The following are proposed as conditions of registration</w:t>
      </w:r>
      <w:r>
        <w:t xml:space="preserve"> and the sponsor is invited to comment in the Pre-ACM response:</w:t>
      </w:r>
    </w:p>
    <w:p w:rsidR="00572EFC" w:rsidRDefault="00572EFC" w:rsidP="00983696">
      <w:pPr>
        <w:pStyle w:val="Numberbullet0"/>
        <w:numPr>
          <w:ilvl w:val="0"/>
          <w:numId w:val="27"/>
        </w:numPr>
      </w:pPr>
      <w:r w:rsidRPr="00CB4BF9">
        <w:t xml:space="preserve">The </w:t>
      </w:r>
      <w:r w:rsidR="001470FB">
        <w:t>Kevzara</w:t>
      </w:r>
      <w:r w:rsidRPr="00CB4BF9">
        <w:t xml:space="preserve"> EU-Risk Management Plan (RMP) (version 1.2, dated 21 April 2017, data lock point 17 February 2016), with Australian Specific Annex (version 4.0, dated</w:t>
      </w:r>
      <w:r w:rsidR="00C220BB">
        <w:t> </w:t>
      </w:r>
      <w:r w:rsidRPr="00CB4BF9">
        <w:t>27</w:t>
      </w:r>
      <w:r w:rsidR="00C220BB">
        <w:t> </w:t>
      </w:r>
      <w:r w:rsidRPr="00CB4BF9">
        <w:t>April 2018), included with submission PM-2017003119-1-3, and any subsequent revisions, as agreed with the TGA will be implemented in Australia.</w:t>
      </w:r>
    </w:p>
    <w:p w:rsidR="00AA6B20" w:rsidRDefault="00572EFC" w:rsidP="00983696">
      <w:pPr>
        <w:pStyle w:val="Numberbullet0"/>
        <w:numPr>
          <w:ilvl w:val="0"/>
          <w:numId w:val="0"/>
        </w:numPr>
        <w:ind w:left="425"/>
      </w:pPr>
      <w:r w:rsidRPr="00CB4BF9">
        <w:t>An obligatory component of risk management plans is routine pharmacovigilance. Routine pharmacovigilance includes the submission of Periodic Safety Update Reports (PSURs).</w:t>
      </w:r>
    </w:p>
    <w:p w:rsidR="00AA6B20" w:rsidRDefault="00572EFC" w:rsidP="00983696">
      <w:pPr>
        <w:pStyle w:val="Numberbullet0"/>
        <w:numPr>
          <w:ilvl w:val="0"/>
          <w:numId w:val="0"/>
        </w:numPr>
        <w:ind w:left="425"/>
      </w:pPr>
      <w:r w:rsidRPr="00CB4BF9">
        <w:t>Reports are to be provided in line with the current published list of EU reference dates and frequency of submission of PSURs until the period covered by such reports is not less than three years from the date of this approval letter.</w:t>
      </w:r>
    </w:p>
    <w:p w:rsidR="00572EFC" w:rsidRPr="00CB4BF9" w:rsidRDefault="00572EFC" w:rsidP="00983696">
      <w:pPr>
        <w:pStyle w:val="Numberbullet0"/>
        <w:numPr>
          <w:ilvl w:val="0"/>
          <w:numId w:val="0"/>
        </w:numPr>
        <w:ind w:left="425"/>
      </w:pPr>
      <w:r w:rsidRPr="00CB4BF9">
        <w:t>The reports are to at least meet the requirements for PSURs as described in the European Medicines Agency’s Guideline on good pharmacovigilance practices (GVP) Module VII-Periodic Safety Update Report (Rev 1), Part VII.B Structures and processes. Note that submission of a PSUR does not constitute an application to vary the registration. Each report must have been prepared within ninety calendar days of the data lock point for that report.</w:t>
      </w:r>
    </w:p>
    <w:p w:rsidR="00572EFC" w:rsidRDefault="001470FB" w:rsidP="00983696">
      <w:pPr>
        <w:pStyle w:val="Numberbullet0"/>
        <w:numPr>
          <w:ilvl w:val="0"/>
          <w:numId w:val="27"/>
        </w:numPr>
      </w:pPr>
      <w:r>
        <w:t>Kevzara</w:t>
      </w:r>
      <w:r w:rsidR="00572EFC" w:rsidRPr="00CB4BF9">
        <w:t xml:space="preserve"> (sarilumab) is to be included in the Black Triangle Scheme. The PI and CMI for </w:t>
      </w:r>
      <w:r>
        <w:t>Kevzara</w:t>
      </w:r>
      <w:r w:rsidR="00572EFC" w:rsidRPr="00CB4BF9">
        <w:t xml:space="preserve"> must include the </w:t>
      </w:r>
      <w:r w:rsidR="0057307A" w:rsidRPr="00CB4BF9">
        <w:t xml:space="preserve">Black Triangle </w:t>
      </w:r>
      <w:r w:rsidR="00572EFC" w:rsidRPr="00CB4BF9">
        <w:t>symbol and mandatory accompanying text for five years, which starts from the date that the sponsor notifies the TGA of supply of the product</w:t>
      </w:r>
      <w:r w:rsidR="00572EFC">
        <w:t>.</w:t>
      </w:r>
    </w:p>
    <w:p w:rsidR="00572EFC" w:rsidRDefault="00572EFC" w:rsidP="00572EFC">
      <w:pPr>
        <w:pStyle w:val="Numberbullet0"/>
      </w:pPr>
      <w:r w:rsidRPr="00E63F2C">
        <w:t xml:space="preserve">The </w:t>
      </w:r>
      <w:r>
        <w:t>following study reports</w:t>
      </w:r>
      <w:r w:rsidRPr="00E63F2C">
        <w:t xml:space="preserve"> mu</w:t>
      </w:r>
      <w:r>
        <w:t xml:space="preserve">st be submitted to the TGA as </w:t>
      </w:r>
      <w:r w:rsidRPr="00E63F2C">
        <w:t xml:space="preserve">soon as possible after </w:t>
      </w:r>
      <w:r>
        <w:t>completion:</w:t>
      </w:r>
    </w:p>
    <w:p w:rsidR="00572EFC" w:rsidRPr="00B13868" w:rsidRDefault="00572EFC" w:rsidP="00983696">
      <w:pPr>
        <w:pStyle w:val="Numberbullet2"/>
      </w:pPr>
      <w:r>
        <w:t>T</w:t>
      </w:r>
      <w:r w:rsidRPr="00887447">
        <w:t>he proposed paediatric studies to the TGA at the same time as the studies are submitted to the EMA and/or the US FDA</w:t>
      </w:r>
      <w:r>
        <w:t>.</w:t>
      </w:r>
    </w:p>
    <w:p w:rsidR="00572EFC" w:rsidRDefault="00572EFC" w:rsidP="00572EFC">
      <w:pPr>
        <w:pStyle w:val="Numberbullet0"/>
      </w:pPr>
      <w:r>
        <w:t>Batch Release Testing</w:t>
      </w:r>
    </w:p>
    <w:p w:rsidR="00572EFC" w:rsidRPr="00197667" w:rsidRDefault="00572EFC" w:rsidP="00572EFC">
      <w:pPr>
        <w:pStyle w:val="Numberbullet2"/>
      </w:pPr>
      <w:r w:rsidRPr="00197667">
        <w:t xml:space="preserve">It is a condition of registration that all batches of </w:t>
      </w:r>
      <w:r>
        <w:rPr>
          <w:rFonts w:asciiTheme="minorHAnsi" w:hAnsiTheme="minorHAnsi"/>
        </w:rPr>
        <w:t xml:space="preserve">Kevzara </w:t>
      </w:r>
      <w:r w:rsidRPr="00197667">
        <w:t>imported into/manufactured in Australia must comply with the product details and specifications approved during evaluation and detailed in the Certified Product Details (CPD).</w:t>
      </w:r>
    </w:p>
    <w:p w:rsidR="00572EFC" w:rsidRDefault="00572EFC" w:rsidP="00572EFC">
      <w:pPr>
        <w:pStyle w:val="Numberbullet2"/>
      </w:pPr>
      <w:r>
        <w:t>It is a condition of registration that each batch of Kevzara imported into/manufactured in Australia is not released for sale until samples and/or the manufacturer’s release data have been assessed and endorsed for release by the TGA Laboratories Branch. Outcomes of laboratory testing are published biannually in the TGA Database of Laboratory Testing Results</w:t>
      </w:r>
      <w:r>
        <w:rPr>
          <w:rFonts w:asciiTheme="minorHAnsi" w:hAnsiTheme="minorHAnsi"/>
        </w:rPr>
        <w:t>.</w:t>
      </w:r>
    </w:p>
    <w:p w:rsidR="00572EFC" w:rsidRPr="00983696" w:rsidRDefault="00572EFC" w:rsidP="00572EFC">
      <w:pPr>
        <w:pStyle w:val="Numberbullet2"/>
      </w:pPr>
      <w:r>
        <w:t xml:space="preserve">The sponsor should be prepared to provide product samples, reference materials and documentary evidence as defined by the TGA Laboratories branch. This batch release condition will be reviewed and may be modified on the basis of actual batch quality and consistency. </w:t>
      </w:r>
      <w:r w:rsidRPr="00983696">
        <w:t>This condition remains in place until you are notified in writing of any variation.</w:t>
      </w:r>
    </w:p>
    <w:p w:rsidR="00456765" w:rsidRDefault="00572EFC" w:rsidP="00572EFC">
      <w:pPr>
        <w:pStyle w:val="Numberbullet0"/>
      </w:pPr>
      <w:r>
        <w:t xml:space="preserve">Certified Product Details: The Certified Product Details (CPD), as described in Guidance 7: Certified Product Details of the Australian Regulatory Guidelines for Prescription Medicines (ARGPM), in PDF format, for the above products should be </w:t>
      </w:r>
      <w:r>
        <w:lastRenderedPageBreak/>
        <w:t>provided upon registration of these therapeutic goods. In addition, an updated CPD should be provided when changes to finished product specifications and test methods are approved in a Category 3 application or notified through a self-assessable change.</w:t>
      </w:r>
    </w:p>
    <w:p w:rsidR="00572EFC" w:rsidRDefault="00572EFC" w:rsidP="00572EFC">
      <w:pPr>
        <w:pStyle w:val="Heading4"/>
      </w:pPr>
      <w:r w:rsidRPr="00057916">
        <w:t>Summary of Issues</w:t>
      </w:r>
    </w:p>
    <w:p w:rsidR="00572EFC" w:rsidRPr="00413B71" w:rsidRDefault="00572EFC" w:rsidP="00572EFC">
      <w:pPr>
        <w:rPr>
          <w:rFonts w:asciiTheme="minorHAnsi" w:hAnsiTheme="minorHAnsi"/>
        </w:rPr>
      </w:pPr>
      <w:r w:rsidRPr="00413B71">
        <w:rPr>
          <w:rFonts w:asciiTheme="minorHAnsi" w:hAnsiTheme="minorHAnsi"/>
        </w:rPr>
        <w:t>The primary issues with this submission are as follows with further information in the Discussion section</w:t>
      </w:r>
      <w:r w:rsidR="00983696">
        <w:rPr>
          <w:rFonts w:asciiTheme="minorHAnsi" w:hAnsiTheme="minorHAnsi"/>
        </w:rPr>
        <w:t xml:space="preserve"> above</w:t>
      </w:r>
      <w:r w:rsidRPr="00413B71">
        <w:rPr>
          <w:rFonts w:asciiTheme="minorHAnsi" w:hAnsiTheme="minorHAnsi"/>
        </w:rPr>
        <w:t>:</w:t>
      </w:r>
    </w:p>
    <w:p w:rsidR="00572EFC" w:rsidRDefault="00572EFC" w:rsidP="00572EFC">
      <w:pPr>
        <w:pStyle w:val="ListBullet"/>
      </w:pPr>
      <w:r>
        <w:t>The previous submission had concerns with the proposed starting dose for sarilumab.</w:t>
      </w:r>
      <w:r w:rsidR="003E7288">
        <w:t xml:space="preserve"> </w:t>
      </w:r>
      <w:r>
        <w:t>The sponsor’s proposed dose was 20</w:t>
      </w:r>
      <w:r w:rsidR="001470FB">
        <w:t>0 mg</w:t>
      </w:r>
      <w:r>
        <w:t xml:space="preserve"> fortnightly which could be decreased to 15</w:t>
      </w:r>
      <w:r w:rsidR="001470FB">
        <w:t>0</w:t>
      </w:r>
      <w:r w:rsidR="00C220BB">
        <w:t> </w:t>
      </w:r>
      <w:r w:rsidR="001470FB">
        <w:t>mg</w:t>
      </w:r>
      <w:r>
        <w:t xml:space="preserve"> fortnightly for patients with </w:t>
      </w:r>
      <w:r w:rsidRPr="00B842A2">
        <w:t>neutro</w:t>
      </w:r>
      <w:r w:rsidR="001E2D44">
        <w:t>paenia</w:t>
      </w:r>
      <w:r w:rsidRPr="00B842A2">
        <w:t>, thrombocyto</w:t>
      </w:r>
      <w:r w:rsidR="001E2D44">
        <w:t>paenia</w:t>
      </w:r>
      <w:r w:rsidRPr="00B842A2">
        <w:t xml:space="preserve"> and elevated liver enzymes</w:t>
      </w:r>
      <w:r>
        <w:t>.</w:t>
      </w:r>
      <w:r w:rsidR="003E7288">
        <w:t xml:space="preserve"> </w:t>
      </w:r>
      <w:r>
        <w:t>The clinical evaluator of the initial application supported 15</w:t>
      </w:r>
      <w:r w:rsidR="001470FB">
        <w:t>0 mg</w:t>
      </w:r>
      <w:r>
        <w:t xml:space="preserve"> fortnightly, and </w:t>
      </w:r>
      <w:r w:rsidR="00983696">
        <w:t>the TGA’s Advisory Committee</w:t>
      </w:r>
      <w:r>
        <w:t xml:space="preserve"> also supported it as an appropriate starting dose with an option to increase to 20</w:t>
      </w:r>
      <w:r w:rsidR="001470FB">
        <w:t>0 mg</w:t>
      </w:r>
      <w:r>
        <w:t xml:space="preserve"> fortnightly if clinically appropriate.</w:t>
      </w:r>
      <w:r w:rsidR="003E7288">
        <w:t xml:space="preserve"> </w:t>
      </w:r>
      <w:r>
        <w:t>During post-</w:t>
      </w:r>
      <w:r w:rsidR="00983696">
        <w:t>Advisory Committee</w:t>
      </w:r>
      <w:r>
        <w:t xml:space="preserve"> negotiations, the sponsor withdrew the application.</w:t>
      </w:r>
      <w:r w:rsidR="003E7288">
        <w:t xml:space="preserve"> </w:t>
      </w:r>
      <w:r>
        <w:t>In this application, the evaluator has supported a starting dose of 20</w:t>
      </w:r>
      <w:r w:rsidR="001470FB">
        <w:t>0 mg</w:t>
      </w:r>
      <w:r>
        <w:t xml:space="preserve"> fortnightly which can be decreased to 15</w:t>
      </w:r>
      <w:r w:rsidR="001470FB">
        <w:t>0 mg</w:t>
      </w:r>
      <w:r>
        <w:t xml:space="preserve"> fortnightly based on additional information provided by the sponsor including new data on use as monotherapy.</w:t>
      </w:r>
    </w:p>
    <w:p w:rsidR="00572EFC" w:rsidRPr="00456765" w:rsidRDefault="00572EFC" w:rsidP="00572EFC">
      <w:pPr>
        <w:pStyle w:val="ListBullet"/>
      </w:pPr>
      <w:r>
        <w:t>The sponsor has requested to broaden the indication from the initial submission to include monotherapy use in addition to combination use with non-biological DMARDs.</w:t>
      </w:r>
    </w:p>
    <w:p w:rsidR="00D23139" w:rsidRDefault="00D23139" w:rsidP="00D23139">
      <w:pPr>
        <w:pStyle w:val="Heading4"/>
      </w:pPr>
      <w:r w:rsidRPr="00D23139">
        <w:t>Proposed action</w:t>
      </w:r>
    </w:p>
    <w:p w:rsidR="00456765" w:rsidRPr="00456765" w:rsidRDefault="00983696" w:rsidP="00456765">
      <w:r>
        <w:rPr>
          <w:rFonts w:asciiTheme="minorHAnsi" w:hAnsiTheme="minorHAnsi"/>
          <w:bCs/>
        </w:rPr>
        <w:t>The Delegate</w:t>
      </w:r>
      <w:r w:rsidR="00572EFC" w:rsidRPr="007A66BC">
        <w:rPr>
          <w:rFonts w:asciiTheme="minorHAnsi" w:hAnsiTheme="minorHAnsi"/>
          <w:bCs/>
        </w:rPr>
        <w:t xml:space="preserve"> ha</w:t>
      </w:r>
      <w:r>
        <w:rPr>
          <w:rFonts w:asciiTheme="minorHAnsi" w:hAnsiTheme="minorHAnsi"/>
          <w:bCs/>
        </w:rPr>
        <w:t>d</w:t>
      </w:r>
      <w:r w:rsidR="00572EFC" w:rsidRPr="007A66BC">
        <w:rPr>
          <w:rFonts w:asciiTheme="minorHAnsi" w:hAnsiTheme="minorHAnsi"/>
          <w:bCs/>
        </w:rPr>
        <w:t xml:space="preserve"> no reason to say, at this time, that the application for </w:t>
      </w:r>
      <w:r w:rsidR="00572EFC">
        <w:rPr>
          <w:rFonts w:asciiTheme="minorHAnsi" w:hAnsiTheme="minorHAnsi"/>
          <w:bCs/>
        </w:rPr>
        <w:t xml:space="preserve">Kevzara </w:t>
      </w:r>
      <w:r w:rsidR="00572EFC" w:rsidRPr="007A66BC">
        <w:rPr>
          <w:rFonts w:asciiTheme="minorHAnsi" w:hAnsiTheme="minorHAnsi"/>
          <w:bCs/>
        </w:rPr>
        <w:t>should not be approved for registration</w:t>
      </w:r>
      <w:r w:rsidR="00572EFC">
        <w:rPr>
          <w:rFonts w:asciiTheme="minorHAnsi" w:hAnsiTheme="minorHAnsi"/>
          <w:bCs/>
        </w:rPr>
        <w:t>, pending further advice from ACM</w:t>
      </w:r>
      <w:r w:rsidR="00572EFC" w:rsidRPr="007A66BC">
        <w:rPr>
          <w:rFonts w:asciiTheme="minorHAnsi" w:hAnsiTheme="minorHAnsi"/>
          <w:bCs/>
        </w:rPr>
        <w:t>.</w:t>
      </w:r>
    </w:p>
    <w:p w:rsidR="00D23139" w:rsidRDefault="00A22D57" w:rsidP="00D23139">
      <w:pPr>
        <w:pStyle w:val="Heading4"/>
      </w:pPr>
      <w:r>
        <w:t>Request for AC</w:t>
      </w:r>
      <w:r w:rsidR="00D23139" w:rsidRPr="00D23139">
        <w:t>M advice</w:t>
      </w:r>
    </w:p>
    <w:p w:rsidR="00572EFC" w:rsidRPr="00413B71" w:rsidRDefault="00572EFC" w:rsidP="00572EFC">
      <w:r w:rsidRPr="00413B71">
        <w:t>The committee is requested to provide advice on the following specific issues:</w:t>
      </w:r>
    </w:p>
    <w:p w:rsidR="00AA6B20" w:rsidRDefault="00572EFC" w:rsidP="00F2151A">
      <w:pPr>
        <w:pStyle w:val="Numberbullet0"/>
        <w:numPr>
          <w:ilvl w:val="0"/>
          <w:numId w:val="11"/>
        </w:numPr>
      </w:pPr>
      <w:r w:rsidRPr="008C0306">
        <w:t xml:space="preserve">What are the committee’s views on the </w:t>
      </w:r>
      <w:r>
        <w:t>proposed</w:t>
      </w:r>
      <w:r w:rsidRPr="008C0306">
        <w:t xml:space="preserve"> dosing regimen for sarilumab?</w:t>
      </w:r>
    </w:p>
    <w:p w:rsidR="00572EFC" w:rsidRDefault="00572EFC" w:rsidP="00572EFC">
      <w:pPr>
        <w:pStyle w:val="Numberbullet0"/>
      </w:pPr>
      <w:r>
        <w:t>What are the committee’s views on the use of sarilumab as monotherapy?</w:t>
      </w:r>
    </w:p>
    <w:p w:rsidR="00E27AAF" w:rsidRDefault="00572EFC" w:rsidP="00572EFC">
      <w:pPr>
        <w:rPr>
          <w:sz w:val="23"/>
          <w:szCs w:val="23"/>
        </w:rPr>
      </w:pPr>
      <w:r w:rsidRPr="00413B71">
        <w:t>The committee is also requested to provide advice on any other issues that it thinks may be relevant to a decision on whether or not to approve this application.</w:t>
      </w:r>
    </w:p>
    <w:p w:rsidR="00572EFC" w:rsidRDefault="00572EFC" w:rsidP="00572EFC">
      <w:pPr>
        <w:spacing w:before="0" w:after="0" w:line="240" w:lineRule="auto"/>
        <w:jc w:val="both"/>
        <w:rPr>
          <w:b/>
        </w:rPr>
      </w:pPr>
      <w:r>
        <w:rPr>
          <w:b/>
        </w:rPr>
        <w:t xml:space="preserve">Questions for the </w:t>
      </w:r>
      <w:r w:rsidR="00983696">
        <w:rPr>
          <w:b/>
        </w:rPr>
        <w:t>s</w:t>
      </w:r>
      <w:r>
        <w:rPr>
          <w:b/>
        </w:rPr>
        <w:t>ponsor</w:t>
      </w:r>
    </w:p>
    <w:p w:rsidR="00572EFC" w:rsidRDefault="00572EFC" w:rsidP="00572EFC">
      <w:pPr>
        <w:spacing w:before="0" w:after="0" w:line="240" w:lineRule="auto"/>
        <w:jc w:val="both"/>
      </w:pPr>
      <w:r>
        <w:t>The sponsor is requested to address the following issues in the Pre-ACM Response:</w:t>
      </w:r>
    </w:p>
    <w:p w:rsidR="00AA6B20" w:rsidRDefault="00572EFC" w:rsidP="00F2151A">
      <w:pPr>
        <w:pStyle w:val="Numberbullet0"/>
        <w:numPr>
          <w:ilvl w:val="0"/>
          <w:numId w:val="10"/>
        </w:numPr>
      </w:pPr>
      <w:r w:rsidRPr="007F30F3">
        <w:t>Please address the outstanding RMP matter with the RMP evaluator and provide a summary of the sponsor’s response in the Pre-ACM Response.</w:t>
      </w:r>
    </w:p>
    <w:p w:rsidR="00572EFC" w:rsidRDefault="00572EFC" w:rsidP="00572EFC">
      <w:pPr>
        <w:pStyle w:val="Numberbullet0"/>
      </w:pPr>
      <w:r>
        <w:t xml:space="preserve">Please provide an analysis of potential </w:t>
      </w:r>
      <w:proofErr w:type="spellStart"/>
      <w:r>
        <w:t>Hy’s</w:t>
      </w:r>
      <w:proofErr w:type="spellEnd"/>
      <w:r>
        <w:t xml:space="preserve"> law cases from the entire dataset including any possible explanations.</w:t>
      </w:r>
    </w:p>
    <w:p w:rsidR="00572EFC" w:rsidRPr="007F30F3" w:rsidRDefault="00572EFC" w:rsidP="00572EFC">
      <w:pPr>
        <w:pStyle w:val="Numberbullet0"/>
      </w:pPr>
      <w:r>
        <w:t xml:space="preserve">Please provide an update, if available, from the ongoing </w:t>
      </w:r>
      <w:r w:rsidR="003D2290">
        <w:t>Study LTS</w:t>
      </w:r>
      <w:r w:rsidRPr="00C34DAF">
        <w:t>11210.</w:t>
      </w:r>
    </w:p>
    <w:p w:rsidR="00E27AAF" w:rsidRDefault="00E27AAF" w:rsidP="00E27AAF">
      <w:pPr>
        <w:pStyle w:val="Heading4"/>
      </w:pPr>
      <w:r>
        <w:t>Response from sponsor</w:t>
      </w:r>
    </w:p>
    <w:p w:rsidR="00AA6B20" w:rsidRDefault="00E27AAF" w:rsidP="00572EFC">
      <w:r>
        <w:t xml:space="preserve">The </w:t>
      </w:r>
      <w:r w:rsidR="001470FB">
        <w:t>s</w:t>
      </w:r>
      <w:r>
        <w:t xml:space="preserve">ponsor’s comments on the issues for which the advice of the ACM is sought, as outlined in the Delegate’s Overview are presented below. The </w:t>
      </w:r>
      <w:r w:rsidR="0092522D">
        <w:t>s</w:t>
      </w:r>
      <w:r>
        <w:t>ponsor agrees with the indication proposed by the Delegate for combination use with non-biological DMARDs and as monotherapy and the recommended starting dose of 20</w:t>
      </w:r>
      <w:r w:rsidR="001470FB">
        <w:t>0 mg</w:t>
      </w:r>
      <w:r>
        <w:t xml:space="preserve"> fortnightly with the option to decrease to 15</w:t>
      </w:r>
      <w:r w:rsidR="001470FB">
        <w:t>0 mg</w:t>
      </w:r>
      <w:r>
        <w:t xml:space="preserve"> fortnightly. The following information is provided to assist the </w:t>
      </w:r>
      <w:r w:rsidR="0092522D">
        <w:t>c</w:t>
      </w:r>
      <w:r>
        <w:t>ommittee in its discussions</w:t>
      </w:r>
      <w:r w:rsidR="00C220BB">
        <w:t>.</w:t>
      </w:r>
    </w:p>
    <w:p w:rsidR="00AA6B20" w:rsidRDefault="001470FB" w:rsidP="001470FB">
      <w:pPr>
        <w:pStyle w:val="Heading5"/>
      </w:pPr>
      <w:r>
        <w:lastRenderedPageBreak/>
        <w:t>Introduction</w:t>
      </w:r>
    </w:p>
    <w:p w:rsidR="00E27AAF" w:rsidRDefault="00E27AAF" w:rsidP="001470FB">
      <w:r>
        <w:t xml:space="preserve">Sarilumab, is a specific inhibitor of IL-6 </w:t>
      </w:r>
      <w:r w:rsidR="00F549B4">
        <w:t>signalling</w:t>
      </w:r>
      <w:r>
        <w:t>, and has been developed as a subcutaneous injection for the treatment of rheumatoid arthritis (RA). Overproduction of IL-6 has been found to play pathological roles in RA and it is well established that targeting the receptor with monoclonal antibodies confers therapeut</w:t>
      </w:r>
      <w:r w:rsidR="001470FB">
        <w:t>ic benefits in this indication.</w:t>
      </w:r>
    </w:p>
    <w:p w:rsidR="00AA6B20" w:rsidRDefault="001470FB" w:rsidP="001470FB">
      <w:pPr>
        <w:pStyle w:val="Heading5"/>
      </w:pPr>
      <w:r>
        <w:t>Safety</w:t>
      </w:r>
    </w:p>
    <w:p w:rsidR="00456765" w:rsidRDefault="00E27AAF" w:rsidP="001470FB">
      <w:r>
        <w:t>Consistent with current understanding of IL-6 pharmacology and observations from clinical studies with tocilizumab, several clinical findings potentially related to IL-6 inhibition were observed in the sarilumab clinical development program: higher rates of infection, decreases in ANC, and increases in ALT and lipids, in patients receiving sarilumab + DMARD relative to patients receiving placebo + DMARD. In clinical studies, serious infections occurred at rates that were similar to those observed in RA patients treated with other biologic DMARDs. Opportunistic infections were infrequently reported. No clinical consequences of the identified laboratory abnormalities were observed in clinical studies. In particular decreases in ANC did not appear to be associated with an increased risk of infection, including serious infection. Dose modification (delay or reduction) reduced the incidence of decreased in ANC and increased ALT.</w:t>
      </w:r>
    </w:p>
    <w:p w:rsidR="00AA6B20" w:rsidRDefault="00E27AAF" w:rsidP="001470FB">
      <w:r>
        <w:t>The safety profile of sarilumab administered as monotherapy was generally consistent with that of patients receiving sarilumab with concomitant DMARDs.</w:t>
      </w:r>
    </w:p>
    <w:p w:rsidR="00AA6B20" w:rsidRDefault="001470FB" w:rsidP="001470FB">
      <w:pPr>
        <w:pStyle w:val="Heading5"/>
      </w:pPr>
      <w:r>
        <w:t>Efficacy</w:t>
      </w:r>
    </w:p>
    <w:p w:rsidR="00AA6B20" w:rsidRDefault="00E27AAF" w:rsidP="0092522D">
      <w:r>
        <w:t xml:space="preserve">Reductions in signs and symptoms of RA are greater for patients starting with 200 mg q2w than with sarilumab 150 mg q2w, and improvements are evident earlier during treatment with the higher dose regimen. Inhibition of joint damage as measured by radiographs is evident earlier with sarilumab 200 mg q2w than with sarilumab 150 mg q2w. These data support a recommendation for a starting dose regimen of 200 mg q2w in combination with DMARDs or as monotherapy for the treatment of moderately to severely active RA in adult patients who responded inadequately to or were intolerant of DMARDs or TNF-α </w:t>
      </w:r>
      <w:proofErr w:type="gramStart"/>
      <w:r>
        <w:t>antagonists</w:t>
      </w:r>
      <w:proofErr w:type="gramEnd"/>
      <w:r>
        <w:t>. This starting dose regimen provides patients with a higher chance of inhibiting progression of structural damage as compared to the 150 mg q2w dose regimen.</w:t>
      </w:r>
    </w:p>
    <w:p w:rsidR="00E27AAF" w:rsidRDefault="00E27AAF" w:rsidP="0092522D">
      <w:r>
        <w:t>In the event of certain laboratory abnormalities, the dose may be reduced to 150 mg q2w to give these patients the possibility to continue treatment with a drug that has been proven highly effective in improving signs and symptoms as well as physical function at this dose. Further, when needed, patients can be effectively treated with sarilumab as monotherapy.</w:t>
      </w:r>
    </w:p>
    <w:p w:rsidR="00AA6B20" w:rsidRDefault="001470FB" w:rsidP="001470FB">
      <w:pPr>
        <w:pStyle w:val="Heading5"/>
        <w:rPr>
          <w:rFonts w:eastAsiaTheme="minorHAnsi"/>
        </w:rPr>
      </w:pPr>
      <w:r w:rsidRPr="001470FB">
        <w:rPr>
          <w:rFonts w:eastAsiaTheme="minorHAnsi"/>
        </w:rPr>
        <w:t>Proposed dosing regimen for sarilumab and use as monotherapy</w:t>
      </w:r>
    </w:p>
    <w:p w:rsidR="00AA6B20" w:rsidRDefault="00E27AAF" w:rsidP="001470FB">
      <w:r w:rsidRPr="00E27AAF">
        <w:t>As noted by the Delegate, previous TGA concerns relating to the proposed starting dose of 20</w:t>
      </w:r>
      <w:r w:rsidR="001470FB">
        <w:t>0 mg</w:t>
      </w:r>
      <w:r w:rsidRPr="00E27AAF">
        <w:t xml:space="preserve"> q2w for sarilumab have been addressed by the provision of new data including use as monotherapy. These data demonstrate the favourable benefit risk profile of sarilumab as follows:</w:t>
      </w:r>
    </w:p>
    <w:p w:rsidR="00AA6B20" w:rsidRDefault="00E27AAF" w:rsidP="001470FB">
      <w:pPr>
        <w:pStyle w:val="ListBullet"/>
      </w:pPr>
      <w:r w:rsidRPr="00E27AAF">
        <w:t xml:space="preserve">The use of sarilumab for the treatment of moderate to severe </w:t>
      </w:r>
      <w:r w:rsidR="00C220BB">
        <w:t>r</w:t>
      </w:r>
      <w:r w:rsidR="00C220BB" w:rsidRPr="00E27AAF">
        <w:t xml:space="preserve">heumatoid </w:t>
      </w:r>
      <w:r w:rsidR="00C220BB">
        <w:t>a</w:t>
      </w:r>
      <w:r w:rsidR="00C220BB" w:rsidRPr="00E27AAF">
        <w:t xml:space="preserve">rthritis </w:t>
      </w:r>
      <w:r w:rsidRPr="00E27AAF">
        <w:t>in adult patients who have had an inadequate response or intolerance to one or more DMARDs in both combination and monotherapy, is supported by the consistent and durable efficacy demonstrated by reduction in the signs and symptoms of RA, improvement in physical function, and the radiologic evidence of otherwise progressive and irreversible joint destruction.</w:t>
      </w:r>
    </w:p>
    <w:p w:rsidR="00AA6B20" w:rsidRDefault="00E27AAF" w:rsidP="001470FB">
      <w:pPr>
        <w:pStyle w:val="ListBullet"/>
      </w:pPr>
      <w:r w:rsidRPr="00E27AAF">
        <w:t>The superior efficacy of sarilumab to adalimumab monotherapy and generally similar safety profile provides reassurance on the favourable benefit/risk of the 20</w:t>
      </w:r>
      <w:r w:rsidR="001470FB">
        <w:t>0 mg</w:t>
      </w:r>
      <w:r w:rsidRPr="00E27AAF">
        <w:t xml:space="preserve"> q2w </w:t>
      </w:r>
      <w:r w:rsidRPr="00E27AAF">
        <w:lastRenderedPageBreak/>
        <w:t>dosing regimen compared to an existing approved therapy that is widely used in Australian clinical practice.</w:t>
      </w:r>
    </w:p>
    <w:p w:rsidR="00AA6B20" w:rsidRDefault="00E27AAF" w:rsidP="001470FB">
      <w:pPr>
        <w:pStyle w:val="ListBullet"/>
      </w:pPr>
      <w:r w:rsidRPr="00E27AAF">
        <w:t>To align with current standards of clinical practice that focus on prevention of irreversible structural damage to the joints, the clinical evidence demonstrates that patients should initiate treatment with 200 mg q2w to derive maximal benefit, and only down-titrate to 150 mg q2w to manage decreases in ANC or platelets or increases in transaminases. This approach supports Quality use of Medicine to achieve the best long term patient outcomes and has been endorsed by experts across Australia.</w:t>
      </w:r>
    </w:p>
    <w:p w:rsidR="00AA6B20" w:rsidRDefault="00E27AAF" w:rsidP="001470FB">
      <w:r>
        <w:t>Post-marketing experience in countries where the product is marketed including in the USA, EU, Japan and Canada provides further confirmation and reassurance that the proposed dosage regimen is safe and effective in clinical practice</w:t>
      </w:r>
      <w:r w:rsidR="0092522D">
        <w:t>:</w:t>
      </w:r>
    </w:p>
    <w:p w:rsidR="00AA6B20" w:rsidRDefault="00E27AAF" w:rsidP="001470FB">
      <w:pPr>
        <w:pStyle w:val="ListBullet"/>
      </w:pPr>
      <w:r>
        <w:t>The proposed monitoring schedule to detect reduced ANC (every 3 months) is conservative compared to that used in the ongoing long term extension study (every 6 months) and is supported by additional risk management tools with a Patient Alert card to support patient awareness of signs and symptoms that require immediate medical attention.</w:t>
      </w:r>
    </w:p>
    <w:p w:rsidR="00AA6B20" w:rsidRDefault="00E27AAF" w:rsidP="001470FB">
      <w:pPr>
        <w:pStyle w:val="ListBullet"/>
      </w:pPr>
      <w:r>
        <w:t>A well-established infrastructure across Australia for monitoring patients in remote areas is already in place, based on risks associated with existing RA therapies that require the same oversight and management as for sarilumab to ensure safe use.</w:t>
      </w:r>
    </w:p>
    <w:p w:rsidR="00AA6B20" w:rsidRDefault="00E27AAF" w:rsidP="001470FB">
      <w:pPr>
        <w:pStyle w:val="ListBullet"/>
      </w:pPr>
      <w:r>
        <w:t>The long-term benefit of inhibition of irreversible joint damage demonstrated by sarilumab 200 mg q2w outweighs the short-term risk for decreased ANC, which are transient and manageable with dose modification.</w:t>
      </w:r>
    </w:p>
    <w:p w:rsidR="00AA6B20" w:rsidRDefault="00E27AAF" w:rsidP="001470FB">
      <w:r>
        <w:t>Overall, the totality of data presented and the ongoing post marketing experience supports approval of Kevzara for use as both combination and monotherapy in Australian clinical practice.</w:t>
      </w:r>
    </w:p>
    <w:p w:rsidR="00AA6B20" w:rsidRDefault="001470FB" w:rsidP="001470FB">
      <w:pPr>
        <w:pStyle w:val="Heading5"/>
      </w:pPr>
      <w:r w:rsidRPr="001470FB">
        <w:t xml:space="preserve">Product </w:t>
      </w:r>
      <w:r>
        <w:t>I</w:t>
      </w:r>
      <w:r w:rsidRPr="001470FB">
        <w:t>nformation</w:t>
      </w:r>
    </w:p>
    <w:p w:rsidR="00AA6B20" w:rsidRDefault="00E27AAF" w:rsidP="001470FB">
      <w:r>
        <w:t xml:space="preserve">The </w:t>
      </w:r>
      <w:r w:rsidR="001470FB">
        <w:t>s</w:t>
      </w:r>
      <w:r>
        <w:t>ponsor has revised the PI to implement the majority of recommendations proposed by the Delegate or provided alternative wording with a supporting rationale.</w:t>
      </w:r>
    </w:p>
    <w:p w:rsidR="00AA6B20" w:rsidRPr="0033674E" w:rsidRDefault="00E27AAF" w:rsidP="001470FB">
      <w:r>
        <w:t xml:space="preserve">In </w:t>
      </w:r>
      <w:r w:rsidRPr="0033674E">
        <w:t xml:space="preserve">relation to the </w:t>
      </w:r>
      <w:r w:rsidR="00F33FE4" w:rsidRPr="0033674E">
        <w:t>D</w:t>
      </w:r>
      <w:r w:rsidRPr="0033674E">
        <w:t xml:space="preserve">osing and </w:t>
      </w:r>
      <w:r w:rsidR="00F33FE4" w:rsidRPr="0033674E">
        <w:t>A</w:t>
      </w:r>
      <w:r w:rsidRPr="0033674E">
        <w:t xml:space="preserve">dministration section </w:t>
      </w:r>
      <w:r w:rsidR="0027047D" w:rsidRPr="0033674E">
        <w:t xml:space="preserve">of the draft PI </w:t>
      </w:r>
      <w:r w:rsidRPr="0033674E">
        <w:t xml:space="preserve">the </w:t>
      </w:r>
      <w:r w:rsidR="00F33FE4" w:rsidRPr="0033674E">
        <w:t>s</w:t>
      </w:r>
      <w:r w:rsidRPr="0033674E">
        <w:t xml:space="preserve">ponsor has identified an unintentional error in the submission in relation to inclusion of the statement highlighted </w:t>
      </w:r>
      <w:r w:rsidR="0033674E" w:rsidRPr="0033674E">
        <w:t xml:space="preserve">with italics </w:t>
      </w:r>
      <w:r w:rsidRPr="0033674E">
        <w:t>below:</w:t>
      </w:r>
    </w:p>
    <w:p w:rsidR="00E27AAF" w:rsidRDefault="00E27AAF" w:rsidP="00DB5136">
      <w:pPr>
        <w:ind w:left="720"/>
      </w:pPr>
      <w:r>
        <w:t xml:space="preserve">Kevzara may be used as monotherapy or in combination with </w:t>
      </w:r>
      <w:r w:rsidR="00DD2390">
        <w:t>MTX</w:t>
      </w:r>
      <w:r>
        <w:t xml:space="preserve"> (MTX) or other non-biological DMARDs as a </w:t>
      </w:r>
      <w:r w:rsidR="00F33FE4">
        <w:t>SC</w:t>
      </w:r>
      <w:r>
        <w:t xml:space="preserve"> injection.</w:t>
      </w:r>
    </w:p>
    <w:p w:rsidR="00E27AAF" w:rsidRPr="0033674E" w:rsidRDefault="00E27AAF" w:rsidP="00DB5136">
      <w:pPr>
        <w:ind w:left="720"/>
        <w:rPr>
          <w:i/>
        </w:rPr>
      </w:pPr>
      <w:r w:rsidRPr="0033674E">
        <w:rPr>
          <w:i/>
        </w:rPr>
        <w:t>Choice of a starting dose should be based on an individual patient assessment, taking into consideration potential risks.</w:t>
      </w:r>
    </w:p>
    <w:p w:rsidR="00AA6B20" w:rsidRDefault="00E27AAF" w:rsidP="00DB5136">
      <w:pPr>
        <w:ind w:left="720"/>
      </w:pPr>
      <w:r>
        <w:t xml:space="preserve">The recommended dose of Kevzara is 200 mg once </w:t>
      </w:r>
      <w:r w:rsidR="00BA7426">
        <w:t>q2w</w:t>
      </w:r>
      <w:r>
        <w:t xml:space="preserve"> given as a </w:t>
      </w:r>
      <w:r w:rsidR="002D4760">
        <w:t>SC</w:t>
      </w:r>
      <w:r>
        <w:t xml:space="preserve"> injection.</w:t>
      </w:r>
    </w:p>
    <w:p w:rsidR="00AA6B20" w:rsidRDefault="00E27AAF" w:rsidP="00DB5136">
      <w:pPr>
        <w:ind w:left="720"/>
      </w:pPr>
      <w:proofErr w:type="gramStart"/>
      <w:r>
        <w:t xml:space="preserve">Reduction of dose from 200 mg once </w:t>
      </w:r>
      <w:r w:rsidR="00BA7426">
        <w:t>q2w</w:t>
      </w:r>
      <w:r>
        <w:t xml:space="preserve"> to 150 mg once </w:t>
      </w:r>
      <w:r w:rsidR="00BA7426">
        <w:t>q2w</w:t>
      </w:r>
      <w:r>
        <w:t xml:space="preserve"> is recommended for management of neutro</w:t>
      </w:r>
      <w:r w:rsidR="001E2D44">
        <w:t>paenia</w:t>
      </w:r>
      <w:r>
        <w:t>, thrombocyto</w:t>
      </w:r>
      <w:r w:rsidR="001E2D44">
        <w:t>paenia</w:t>
      </w:r>
      <w:r>
        <w:t xml:space="preserve"> and elevated liver enzymes.</w:t>
      </w:r>
      <w:proofErr w:type="gramEnd"/>
    </w:p>
    <w:p w:rsidR="002D4760" w:rsidRDefault="00E27AAF" w:rsidP="001470FB">
      <w:r>
        <w:t xml:space="preserve">The </w:t>
      </w:r>
      <w:r w:rsidR="00752746">
        <w:t xml:space="preserve">italicised </w:t>
      </w:r>
      <w:r>
        <w:t xml:space="preserve">statement had been added during the label negotiations for the previous submission as an additional risk mitigation approach to support inclusion of the option for a 200 mg fortnightly starting dose. It should be noted that the submission was subsequently withdrawn on the basis that the </w:t>
      </w:r>
      <w:r w:rsidR="002D4760">
        <w:t>s</w:t>
      </w:r>
      <w:r>
        <w:t>ponsor considered that a 20</w:t>
      </w:r>
      <w:r w:rsidR="001470FB">
        <w:t>0 mg</w:t>
      </w:r>
      <w:r>
        <w:t xml:space="preserve"> fortnightly starting dose was appropriate for all patients to ensure optimal clinical outcomes.</w:t>
      </w:r>
    </w:p>
    <w:p w:rsidR="00AA6B20" w:rsidRDefault="00E27AAF" w:rsidP="001470FB">
      <w:r>
        <w:t xml:space="preserve">As previously described, the current submission is based on the original </w:t>
      </w:r>
      <w:r w:rsidR="00752746">
        <w:t xml:space="preserve">plus </w:t>
      </w:r>
      <w:r>
        <w:t xml:space="preserve">additional data and post marketing experience that supports the favourable benefit risk of the </w:t>
      </w:r>
      <w:r>
        <w:lastRenderedPageBreak/>
        <w:t>20</w:t>
      </w:r>
      <w:r w:rsidR="001470FB">
        <w:t>0</w:t>
      </w:r>
      <w:r w:rsidR="00752746">
        <w:t> </w:t>
      </w:r>
      <w:r w:rsidR="001470FB">
        <w:t>mg</w:t>
      </w:r>
      <w:r>
        <w:t xml:space="preserve"> fortnightly starting dose, which has been endorsed by experienced Key Opinion Leaders across Australia.</w:t>
      </w:r>
    </w:p>
    <w:p w:rsidR="00AA6B20" w:rsidRDefault="00E27AAF" w:rsidP="001470FB">
      <w:r>
        <w:t xml:space="preserve">The highlighted statement was carried over </w:t>
      </w:r>
      <w:r w:rsidR="00F549B4">
        <w:t>inadvertently;</w:t>
      </w:r>
      <w:r>
        <w:t xml:space="preserve"> therefore the </w:t>
      </w:r>
      <w:r w:rsidR="002D4760">
        <w:t>s</w:t>
      </w:r>
      <w:r>
        <w:t xml:space="preserve">ponsor is proposing to delete it. This statement creates confusion and contradicts the recommended dose of 200 mg </w:t>
      </w:r>
      <w:r w:rsidR="00BA7426">
        <w:t>q2w</w:t>
      </w:r>
      <w:r>
        <w:t>. This statement implies that there is a choice of starting dose. For use as monotherapy there is no evidence for any other starting regimen other than 200 mg fortnightly. Additionally the body of evidence supports that the 20</w:t>
      </w:r>
      <w:r w:rsidR="001470FB">
        <w:t>0 mg</w:t>
      </w:r>
      <w:r>
        <w:t xml:space="preserve"> fortnightly starting dose provides maximal clinical benefit to prevent the irreversible structural damage to the joints.</w:t>
      </w:r>
    </w:p>
    <w:p w:rsidR="00E27AAF" w:rsidRDefault="00E27AAF" w:rsidP="001470FB">
      <w:r>
        <w:t>To further support the dosing recommendations extensive instructions are included in the proposed PI and HCP prescriber guide to manage temporary dosage modifications in case of neutro</w:t>
      </w:r>
      <w:r w:rsidR="001E2D44">
        <w:t>paenia</w:t>
      </w:r>
      <w:r>
        <w:t>, thrombocyto</w:t>
      </w:r>
      <w:r w:rsidR="001E2D44">
        <w:t>paenia</w:t>
      </w:r>
      <w:r>
        <w:t xml:space="preserve"> or liver enzyme elevations as outlined below</w:t>
      </w:r>
      <w:r w:rsidR="00472AC4">
        <w:t xml:space="preserve"> in Table 50</w:t>
      </w:r>
      <w:r>
        <w:t>. These are all based on a starting dose of 20</w:t>
      </w:r>
      <w:r w:rsidR="001470FB">
        <w:t>0 mg</w:t>
      </w:r>
      <w:r>
        <w:t xml:space="preserve"> fortnightly with advice on temporary interruption of treatment and restarting at a lower dose of 15</w:t>
      </w:r>
      <w:r w:rsidR="001470FB">
        <w:t>0 mg</w:t>
      </w:r>
      <w:r>
        <w:t xml:space="preserve"> fortnightly with subsequent resumption of the 20</w:t>
      </w:r>
      <w:r w:rsidR="001470FB">
        <w:t>0 mg</w:t>
      </w:r>
      <w:r>
        <w:t xml:space="preserve"> dosing regimen as clinically appropriate as shown below.</w:t>
      </w:r>
    </w:p>
    <w:p w:rsidR="001470FB" w:rsidRDefault="001470FB" w:rsidP="001470FB">
      <w:pPr>
        <w:pStyle w:val="Tabletitle0"/>
      </w:pPr>
      <w:r>
        <w:t xml:space="preserve">Table </w:t>
      </w:r>
      <w:r w:rsidR="000F5B2C">
        <w:t>50</w:t>
      </w:r>
      <w:r>
        <w:t xml:space="preserve">: </w:t>
      </w:r>
      <w:r w:rsidR="00472AC4">
        <w:t>Temporary dosage modifications (</w:t>
      </w:r>
      <w:r>
        <w:t>200 mg dosing regimen</w:t>
      </w:r>
      <w:r w:rsidR="00472AC4">
        <w:t>)</w:t>
      </w:r>
    </w:p>
    <w:p w:rsidR="00E27AAF" w:rsidRPr="00456765" w:rsidRDefault="001470FB" w:rsidP="00E27AAF">
      <w:r>
        <w:rPr>
          <w:noProof/>
          <w:lang w:eastAsia="en-AU"/>
        </w:rPr>
        <w:drawing>
          <wp:inline distT="0" distB="0" distL="0" distR="0" wp14:anchorId="6F3BA69B" wp14:editId="5E737960">
            <wp:extent cx="4603574" cy="4151086"/>
            <wp:effectExtent l="0" t="0" r="6985" b="1905"/>
            <wp:docPr id="450" name="Picture 450" descr="Temporary dosage modifications (200 mg dosing regi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extLst>
                        <a:ext uri="{BEBA8EAE-BF5A-486C-A8C5-ECC9F3942E4B}">
                          <a14:imgProps xmlns:a14="http://schemas.microsoft.com/office/drawing/2010/main">
                            <a14:imgLayer r:embed="rId95">
                              <a14:imgEffect>
                                <a14:sharpenSoften amount="50000"/>
                              </a14:imgEffect>
                            </a14:imgLayer>
                          </a14:imgProps>
                        </a:ext>
                      </a:extLst>
                    </a:blip>
                    <a:stretch>
                      <a:fillRect/>
                    </a:stretch>
                  </pic:blipFill>
                  <pic:spPr>
                    <a:xfrm>
                      <a:off x="0" y="0"/>
                      <a:ext cx="4604192" cy="4151643"/>
                    </a:xfrm>
                    <a:prstGeom prst="rect">
                      <a:avLst/>
                    </a:prstGeom>
                  </pic:spPr>
                </pic:pic>
              </a:graphicData>
            </a:graphic>
          </wp:inline>
        </w:drawing>
      </w:r>
    </w:p>
    <w:p w:rsidR="00AA6B20" w:rsidRDefault="00E27AAF" w:rsidP="001470FB">
      <w:r>
        <w:t xml:space="preserve">To ensure the information in the PI remains logical and provides clear guidance for </w:t>
      </w:r>
      <w:r w:rsidRPr="0033674E">
        <w:t xml:space="preserve">prescribers, the </w:t>
      </w:r>
      <w:r w:rsidR="002D4760" w:rsidRPr="0033674E">
        <w:t>s</w:t>
      </w:r>
      <w:r w:rsidRPr="0033674E">
        <w:t xml:space="preserve">ponsor is therefore proposing to remove the highlighted </w:t>
      </w:r>
      <w:r w:rsidR="0033674E" w:rsidRPr="0033674E">
        <w:t xml:space="preserve">(italicised) </w:t>
      </w:r>
      <w:r w:rsidRPr="0033674E">
        <w:t>text from the proposed PI.</w:t>
      </w:r>
    </w:p>
    <w:p w:rsidR="00AA6B20" w:rsidRDefault="001470FB" w:rsidP="001470FB">
      <w:pPr>
        <w:pStyle w:val="Heading5"/>
      </w:pPr>
      <w:r w:rsidRPr="001470FB">
        <w:t>Proposed condition of approval paediatric studies</w:t>
      </w:r>
    </w:p>
    <w:p w:rsidR="00AA6B20" w:rsidRDefault="001470FB" w:rsidP="001470FB">
      <w:r>
        <w:t>The s</w:t>
      </w:r>
      <w:r w:rsidR="00E27AAF">
        <w:t xml:space="preserve">ponsor notes the proposed condition of approval such that the </w:t>
      </w:r>
      <w:r w:rsidR="002D4760">
        <w:t>s</w:t>
      </w:r>
      <w:r w:rsidR="00E27AAF">
        <w:t xml:space="preserve">ponsor will be required to submit paediatric studies to the TGA at the same time as to the EMA and/or US FDA. The </w:t>
      </w:r>
      <w:r w:rsidR="002D4760">
        <w:t>s</w:t>
      </w:r>
      <w:r w:rsidR="00E27AAF">
        <w:t>ponsor commits to submitting the paediatric studies to TGA as soon as practicable after their submission to the EMA and/or FDA.</w:t>
      </w:r>
    </w:p>
    <w:p w:rsidR="00AA6B20" w:rsidRDefault="001470FB" w:rsidP="001470FB">
      <w:pPr>
        <w:pStyle w:val="Heading5"/>
      </w:pPr>
      <w:r w:rsidRPr="001470FB">
        <w:lastRenderedPageBreak/>
        <w:t>Closing remarks</w:t>
      </w:r>
    </w:p>
    <w:p w:rsidR="00E27AAF" w:rsidRDefault="00E27AAF" w:rsidP="0027047D">
      <w:r>
        <w:t xml:space="preserve">Given the irreversible nature of joint destruction, and taking into consideration the consistent and durable efficacy demonstrated by associated reduction in signs and symptoms of RA, improvement in physical function and radiologic evidence, the </w:t>
      </w:r>
      <w:r w:rsidR="002D4760">
        <w:t>s</w:t>
      </w:r>
      <w:r>
        <w:t xml:space="preserve">ponsor is requesting approval of initiation at a dose of 200 mg q2w. Dose reduction to 150 mg q2w remains an appropriate option only for management of IL-6 associated laboratory abnormalities (decrease in ANC or platelet count or increase in ALT). As evidenced by the regulatory approvals in a number of countries, the benefit/risk profile of sarilumab is supportive of the </w:t>
      </w:r>
      <w:r w:rsidR="002D4760">
        <w:t>s</w:t>
      </w:r>
      <w:r>
        <w:t>ponsor’s recommended 200 mg fortnightly starting dose.</w:t>
      </w:r>
    </w:p>
    <w:p w:rsidR="00E27AAF" w:rsidRPr="001470FB" w:rsidRDefault="001470FB" w:rsidP="001470FB">
      <w:pPr>
        <w:pStyle w:val="Heading5"/>
        <w:rPr>
          <w:rFonts w:eastAsiaTheme="minorHAnsi"/>
        </w:rPr>
      </w:pPr>
      <w:r w:rsidRPr="001470FB">
        <w:t xml:space="preserve">Responses to </w:t>
      </w:r>
      <w:r w:rsidR="00661497">
        <w:t>d</w:t>
      </w:r>
      <w:r w:rsidRPr="001470FB">
        <w:t xml:space="preserve">elegate questions </w:t>
      </w:r>
      <w:r>
        <w:t>for the sponsor</w:t>
      </w:r>
    </w:p>
    <w:p w:rsidR="00AA6B20" w:rsidRDefault="00E27AAF" w:rsidP="001470FB">
      <w:r w:rsidRPr="00E27AAF">
        <w:t>Response</w:t>
      </w:r>
      <w:r w:rsidR="00F549B4">
        <w:t>s</w:t>
      </w:r>
      <w:r w:rsidRPr="00E27AAF">
        <w:t xml:space="preserve"> to the questions raised </w:t>
      </w:r>
      <w:r w:rsidR="002D4760">
        <w:t xml:space="preserve">by the Delegate </w:t>
      </w:r>
      <w:r w:rsidRPr="00E27AAF">
        <w:t>are provided below.</w:t>
      </w:r>
    </w:p>
    <w:p w:rsidR="00472AC4" w:rsidRDefault="00472AC4" w:rsidP="001470FB">
      <w:pPr>
        <w:pStyle w:val="Heading6"/>
      </w:pPr>
      <w:r>
        <w:t>Question 1</w:t>
      </w:r>
    </w:p>
    <w:p w:rsidR="00AA6B20" w:rsidRPr="00F82342" w:rsidRDefault="001470FB" w:rsidP="00DB5136">
      <w:pPr>
        <w:ind w:left="720"/>
      </w:pPr>
      <w:r w:rsidRPr="00DB5136">
        <w:rPr>
          <w:i/>
        </w:rPr>
        <w:t xml:space="preserve">Please address the outstanding </w:t>
      </w:r>
      <w:r w:rsidR="00F549B4" w:rsidRPr="00DB5136">
        <w:rPr>
          <w:i/>
        </w:rPr>
        <w:t>RMP</w:t>
      </w:r>
      <w:r w:rsidRPr="00DB5136">
        <w:rPr>
          <w:i/>
        </w:rPr>
        <w:t xml:space="preserve"> matter with the </w:t>
      </w:r>
      <w:r w:rsidR="00F549B4" w:rsidRPr="00DB5136">
        <w:rPr>
          <w:i/>
        </w:rPr>
        <w:t>RMP</w:t>
      </w:r>
      <w:r w:rsidRPr="00DB5136">
        <w:rPr>
          <w:i/>
        </w:rPr>
        <w:t xml:space="preserve"> evaluator and provide a summary of the sponsor’s response in the pre-</w:t>
      </w:r>
      <w:r w:rsidR="00F549B4" w:rsidRPr="00DB5136">
        <w:rPr>
          <w:i/>
        </w:rPr>
        <w:t>ACM</w:t>
      </w:r>
      <w:r w:rsidRPr="00DB5136">
        <w:rPr>
          <w:i/>
        </w:rPr>
        <w:t xml:space="preserve"> response.</w:t>
      </w:r>
    </w:p>
    <w:p w:rsidR="00AA6B20" w:rsidRDefault="00E27AAF" w:rsidP="001470FB">
      <w:r w:rsidRPr="00E27AAF">
        <w:t xml:space="preserve">The </w:t>
      </w:r>
      <w:r w:rsidR="001470FB">
        <w:t>s</w:t>
      </w:r>
      <w:r w:rsidRPr="00E27AAF">
        <w:t xml:space="preserve">ponsor has implemented </w:t>
      </w:r>
      <w:r w:rsidR="00B2047B">
        <w:t>r</w:t>
      </w:r>
      <w:r w:rsidR="00B2047B" w:rsidRPr="00E27AAF">
        <w:t>ecommendation raised</w:t>
      </w:r>
      <w:r w:rsidRPr="00E27AAF">
        <w:t xml:space="preserve"> by the RMP evaluator and included the </w:t>
      </w:r>
      <w:r w:rsidR="0027047D">
        <w:t>B</w:t>
      </w:r>
      <w:r w:rsidRPr="00E27AAF">
        <w:t>lack triangle symbol and a statement relating to the product being under additional monitorin</w:t>
      </w:r>
      <w:r w:rsidR="0027047D">
        <w:t>g on the additional risk minimis</w:t>
      </w:r>
      <w:r w:rsidRPr="00E27AAF">
        <w:t xml:space="preserve">ation materials. A copy of the HCP guide including the PI statement and the patient alert card including an abridged version of the CMI statement </w:t>
      </w:r>
      <w:r w:rsidR="002D4760">
        <w:t>were</w:t>
      </w:r>
      <w:r w:rsidRPr="00E27AAF">
        <w:t xml:space="preserve"> provided in the </w:t>
      </w:r>
      <w:r w:rsidR="00AC5C9A">
        <w:t xml:space="preserve">proposed RMP accompanying this </w:t>
      </w:r>
      <w:r w:rsidRPr="00E27AAF">
        <w:t>response.</w:t>
      </w:r>
    </w:p>
    <w:p w:rsidR="00472AC4" w:rsidRPr="00DB5136" w:rsidRDefault="00472AC4" w:rsidP="00DB5136">
      <w:pPr>
        <w:pStyle w:val="Heading6"/>
        <w:rPr>
          <w:rStyle w:val="Heading6Char"/>
          <w:rFonts w:eastAsiaTheme="minorHAnsi"/>
          <w:bCs/>
          <w:i/>
        </w:rPr>
      </w:pPr>
      <w:r w:rsidRPr="00472AC4">
        <w:rPr>
          <w:rStyle w:val="Heading6Char"/>
          <w:rFonts w:eastAsiaTheme="minorHAnsi"/>
          <w:bCs/>
          <w:i/>
        </w:rPr>
        <w:t>Question 2</w:t>
      </w:r>
    </w:p>
    <w:p w:rsidR="00AA6B20" w:rsidRPr="00B2498D" w:rsidRDefault="001470FB" w:rsidP="00B2498D">
      <w:pPr>
        <w:ind w:left="720"/>
      </w:pPr>
      <w:r w:rsidRPr="001470FB">
        <w:rPr>
          <w:rStyle w:val="Heading6Char"/>
          <w:rFonts w:eastAsia="Cambria"/>
        </w:rPr>
        <w:t xml:space="preserve">Please provide an analysis of potential </w:t>
      </w:r>
      <w:proofErr w:type="spellStart"/>
      <w:r w:rsidR="00AC5C9A">
        <w:rPr>
          <w:rStyle w:val="Heading6Char"/>
          <w:rFonts w:eastAsia="Cambria"/>
        </w:rPr>
        <w:t>H</w:t>
      </w:r>
      <w:r w:rsidRPr="001470FB">
        <w:rPr>
          <w:rStyle w:val="Heading6Char"/>
          <w:rFonts w:eastAsia="Cambria"/>
        </w:rPr>
        <w:t>y’s</w:t>
      </w:r>
      <w:proofErr w:type="spellEnd"/>
      <w:r w:rsidRPr="001470FB">
        <w:rPr>
          <w:rStyle w:val="Heading6Char"/>
          <w:rFonts w:eastAsia="Cambria"/>
        </w:rPr>
        <w:t xml:space="preserve"> law cases from the entire dataset including any possible explanations</w:t>
      </w:r>
      <w:r w:rsidR="00E27AAF" w:rsidRPr="00B2047B">
        <w:rPr>
          <w:rFonts w:ascii="Arial" w:eastAsiaTheme="minorHAnsi" w:hAnsi="Arial" w:cs="Arial"/>
          <w:color w:val="000000"/>
        </w:rPr>
        <w:t>.</w:t>
      </w:r>
    </w:p>
    <w:p w:rsidR="00AA6B20" w:rsidRDefault="00E27AAF" w:rsidP="001470FB">
      <w:r w:rsidRPr="00E27AAF">
        <w:t xml:space="preserve">There were no cases that met the criteria of </w:t>
      </w:r>
      <w:proofErr w:type="spellStart"/>
      <w:r w:rsidRPr="00E27AAF">
        <w:t>Hy’s</w:t>
      </w:r>
      <w:proofErr w:type="spellEnd"/>
      <w:r w:rsidRPr="00E27AAF">
        <w:t xml:space="preserve"> Law since the lab parameters must be taken within the clinical context to determine </w:t>
      </w:r>
      <w:proofErr w:type="spellStart"/>
      <w:r w:rsidRPr="00E27AAF">
        <w:t>Hy’s</w:t>
      </w:r>
      <w:proofErr w:type="spellEnd"/>
      <w:r w:rsidRPr="00E27AAF">
        <w:t xml:space="preserve"> Law cases.</w:t>
      </w:r>
    </w:p>
    <w:p w:rsidR="00E27AAF" w:rsidRDefault="00E27AAF" w:rsidP="001470FB">
      <w:r w:rsidRPr="00E27AAF">
        <w:t xml:space="preserve">As noted in the summary of </w:t>
      </w:r>
      <w:r w:rsidR="00AC5C9A">
        <w:t>sponsor’s C</w:t>
      </w:r>
      <w:r w:rsidRPr="00E27AAF">
        <w:t xml:space="preserve">linical safety, in the </w:t>
      </w:r>
      <w:proofErr w:type="spellStart"/>
      <w:r w:rsidRPr="00E27AAF">
        <w:t>sarilumab+DMARD</w:t>
      </w:r>
      <w:proofErr w:type="spellEnd"/>
      <w:r w:rsidRPr="00E27AAF">
        <w:t xml:space="preserve"> long-term safety population, 8 patients on sarilumab had ALT </w:t>
      </w:r>
      <w:r w:rsidR="00DD5BCE">
        <w:t>&gt;</w:t>
      </w:r>
      <w:r w:rsidR="007C7C62">
        <w:t xml:space="preserve"> </w:t>
      </w:r>
      <w:r w:rsidRPr="00E27AAF">
        <w:t>3</w:t>
      </w:r>
      <w:r w:rsidR="00472AC4">
        <w:t xml:space="preserve"> </w:t>
      </w:r>
      <w:r w:rsidRPr="00E27AAF">
        <w:t>x</w:t>
      </w:r>
      <w:r w:rsidR="00472AC4">
        <w:t xml:space="preserve"> </w:t>
      </w:r>
      <w:r w:rsidRPr="00E27AAF">
        <w:t xml:space="preserve">ULN and total bilirubin </w:t>
      </w:r>
      <w:r w:rsidR="00DD5BCE">
        <w:t>&gt;</w:t>
      </w:r>
      <w:r w:rsidR="007C7C62">
        <w:t xml:space="preserve"> </w:t>
      </w:r>
      <w:r w:rsidRPr="00E27AAF">
        <w:t>2</w:t>
      </w:r>
      <w:r w:rsidR="00472AC4">
        <w:t> </w:t>
      </w:r>
      <w:r w:rsidRPr="00E27AAF">
        <w:t>x</w:t>
      </w:r>
      <w:r w:rsidR="00472AC4">
        <w:t> </w:t>
      </w:r>
      <w:r w:rsidRPr="00E27AAF">
        <w:t xml:space="preserve">ULN. These patients had other plausible explanations for the elevations: biliary pancreatitis, suspected bile duct stone, recent chemical exposure/hepatic abscess, </w:t>
      </w:r>
      <w:proofErr w:type="spellStart"/>
      <w:r w:rsidRPr="00E27AAF">
        <w:t>cholelithiasis</w:t>
      </w:r>
      <w:proofErr w:type="spellEnd"/>
      <w:r w:rsidRPr="00E27AAF">
        <w:t xml:space="preserve">/biliary pancreatitis, hepatic steatosis, fatty liver, </w:t>
      </w:r>
      <w:proofErr w:type="spellStart"/>
      <w:r w:rsidRPr="00E27AAF">
        <w:t>hepatorenal</w:t>
      </w:r>
      <w:proofErr w:type="spellEnd"/>
      <w:r w:rsidRPr="00E27AAF">
        <w:t xml:space="preserve"> syndrome, one patient was on </w:t>
      </w:r>
      <w:proofErr w:type="spellStart"/>
      <w:r w:rsidR="00472AC4">
        <w:t>l</w:t>
      </w:r>
      <w:r w:rsidR="00472AC4" w:rsidRPr="00E27AAF">
        <w:t>eflunomide</w:t>
      </w:r>
      <w:proofErr w:type="spellEnd"/>
      <w:r w:rsidR="00472AC4" w:rsidRPr="00E27AAF">
        <w:t xml:space="preserve"> </w:t>
      </w:r>
      <w:r w:rsidRPr="00E27AAF">
        <w:t xml:space="preserve">or the ALT </w:t>
      </w:r>
      <w:r w:rsidR="00DD5BCE">
        <w:t>&gt;</w:t>
      </w:r>
      <w:r w:rsidR="007C7C62">
        <w:t xml:space="preserve"> </w:t>
      </w:r>
      <w:r w:rsidRPr="00E27AAF">
        <w:t>3</w:t>
      </w:r>
      <w:r w:rsidR="00472AC4">
        <w:t> </w:t>
      </w:r>
      <w:r w:rsidRPr="00E27AAF">
        <w:t>x</w:t>
      </w:r>
      <w:r w:rsidR="00472AC4">
        <w:t> </w:t>
      </w:r>
      <w:r w:rsidRPr="00E27AAF">
        <w:t xml:space="preserve">ULN and total bilirubin </w:t>
      </w:r>
      <w:r w:rsidR="00DD5BCE">
        <w:t>&gt;</w:t>
      </w:r>
      <w:r w:rsidR="007C7C62">
        <w:t xml:space="preserve"> </w:t>
      </w:r>
      <w:r w:rsidRPr="00E27AAF">
        <w:t>2</w:t>
      </w:r>
      <w:r w:rsidR="00472AC4">
        <w:t> </w:t>
      </w:r>
      <w:r w:rsidRPr="00E27AAF">
        <w:t>x</w:t>
      </w:r>
      <w:r w:rsidR="00472AC4">
        <w:t> </w:t>
      </w:r>
      <w:r w:rsidRPr="00E27AAF">
        <w:t>ULN did not occur concomitantly. The majority of cases are confounded with the patients’ concurrent diseases and not related to sarilumab. Elevations in transaminases were not associated with meaningful increases in conjugated bilirubin or clinical evidence of hepatitis or hepatic insufficiency.</w:t>
      </w:r>
    </w:p>
    <w:p w:rsidR="00AA6B20" w:rsidRDefault="00E27AAF" w:rsidP="001470FB">
      <w:r>
        <w:t xml:space="preserve">Therefore, these cases did not meet criteria for </w:t>
      </w:r>
      <w:proofErr w:type="spellStart"/>
      <w:r>
        <w:t>Hy’s</w:t>
      </w:r>
      <w:proofErr w:type="spellEnd"/>
      <w:r>
        <w:t xml:space="preserve"> law.</w:t>
      </w:r>
    </w:p>
    <w:p w:rsidR="00472AC4" w:rsidRDefault="00472AC4" w:rsidP="001470FB">
      <w:pPr>
        <w:pStyle w:val="Heading6"/>
      </w:pPr>
      <w:r>
        <w:t>Question 3</w:t>
      </w:r>
    </w:p>
    <w:p w:rsidR="00AA6B20" w:rsidRPr="00F82342" w:rsidRDefault="001470FB" w:rsidP="00B2498D">
      <w:pPr>
        <w:ind w:left="720"/>
      </w:pPr>
      <w:r w:rsidRPr="00DB5136">
        <w:rPr>
          <w:i/>
        </w:rPr>
        <w:t xml:space="preserve">Please provide an update, if available, from the ongoing </w:t>
      </w:r>
      <w:r w:rsidRPr="00B2498D">
        <w:rPr>
          <w:i/>
        </w:rPr>
        <w:t xml:space="preserve">Study </w:t>
      </w:r>
      <w:r w:rsidR="00B2498D" w:rsidRPr="00B2498D">
        <w:rPr>
          <w:i/>
        </w:rPr>
        <w:t>LTS</w:t>
      </w:r>
      <w:r w:rsidR="00B2498D" w:rsidRPr="00B2498D" w:rsidDel="00B2498D">
        <w:rPr>
          <w:i/>
        </w:rPr>
        <w:t xml:space="preserve"> </w:t>
      </w:r>
      <w:r w:rsidRPr="00B2498D">
        <w:rPr>
          <w:i/>
        </w:rPr>
        <w:t>11210</w:t>
      </w:r>
      <w:r w:rsidRPr="00DB5136">
        <w:rPr>
          <w:i/>
        </w:rPr>
        <w:t>.</w:t>
      </w:r>
    </w:p>
    <w:p w:rsidR="00AA6B20" w:rsidRDefault="00E27AAF" w:rsidP="001470FB">
      <w:r>
        <w:t xml:space="preserve">The following updated data is available for </w:t>
      </w:r>
      <w:r w:rsidR="003D2290">
        <w:t>Study LTS</w:t>
      </w:r>
      <w:r>
        <w:t>11210</w:t>
      </w:r>
      <w:r w:rsidR="00472AC4">
        <w:t>.</w:t>
      </w:r>
    </w:p>
    <w:p w:rsidR="00E27AAF" w:rsidRDefault="001470FB" w:rsidP="001470FB">
      <w:r w:rsidRPr="00472AC4">
        <w:t xml:space="preserve">Long term </w:t>
      </w:r>
      <w:proofErr w:type="spellStart"/>
      <w:r w:rsidRPr="00472AC4">
        <w:t>efficacy</w:t>
      </w:r>
      <w:r w:rsidR="00E27AAF">
        <w:t>Long</w:t>
      </w:r>
      <w:proofErr w:type="spellEnd"/>
      <w:r w:rsidR="00E27AAF">
        <w:t xml:space="preserve"> term data out to 3 years (148 weeks) has been provided in this submission. Long-term efficacy data have been evaluated (data extracted on 30</w:t>
      </w:r>
      <w:r w:rsidR="00472AC4">
        <w:t xml:space="preserve"> </w:t>
      </w:r>
      <w:r w:rsidR="00E27AAF">
        <w:t xml:space="preserve">June 2017) for patients who entered </w:t>
      </w:r>
      <w:r w:rsidR="00AC5C9A">
        <w:t xml:space="preserve">Study </w:t>
      </w:r>
      <w:r w:rsidR="00E27AAF">
        <w:t xml:space="preserve">LTS11210, the long-term extension study, following treatment in </w:t>
      </w:r>
      <w:r w:rsidR="00AC5C9A">
        <w:t>Study</w:t>
      </w:r>
      <w:r w:rsidR="00472AC4">
        <w:t> </w:t>
      </w:r>
      <w:r w:rsidR="00E27AAF">
        <w:t xml:space="preserve">EFC11072 or </w:t>
      </w:r>
      <w:r w:rsidR="00AC5C9A">
        <w:t xml:space="preserve">Study </w:t>
      </w:r>
      <w:r w:rsidR="00E27AAF">
        <w:t>EFC10832. Patients were treated with sarilumab 200 mg q2w + DMARDs during the LTS11210 extension study, and were allowed to decrease the dose of DMARD at their discretion and to decrease the dose of sarilumab to 150 mg q2w for certain laboratory abnormalities. Data up to 5.6 and</w:t>
      </w:r>
      <w:r w:rsidR="00AC5C9A">
        <w:t xml:space="preserve"> 3.5 years from initial randomis</w:t>
      </w:r>
      <w:r w:rsidR="00E27AAF">
        <w:t xml:space="preserve">ation for these patients in </w:t>
      </w:r>
      <w:r w:rsidR="00AC5C9A">
        <w:t xml:space="preserve">Study </w:t>
      </w:r>
      <w:r w:rsidR="00E27AAF">
        <w:t xml:space="preserve">EFC11072 Part B and </w:t>
      </w:r>
      <w:r w:rsidR="00AC5C9A">
        <w:t xml:space="preserve">Study </w:t>
      </w:r>
      <w:r w:rsidR="00E27AAF">
        <w:t>EFC10832 respectively is discussed below.</w:t>
      </w:r>
    </w:p>
    <w:p w:rsidR="00AA6B20" w:rsidRDefault="00E27AAF" w:rsidP="00DB5136">
      <w:pPr>
        <w:pStyle w:val="ListBullet"/>
      </w:pPr>
      <w:r w:rsidRPr="00E27AAF">
        <w:lastRenderedPageBreak/>
        <w:t>Signs and symptoms</w:t>
      </w:r>
    </w:p>
    <w:p w:rsidR="00AA6B20" w:rsidRDefault="00E27AAF" w:rsidP="001470FB">
      <w:r w:rsidRPr="00E27AAF">
        <w:t>The efficacy of sarilumab 200 mg administered concomitantly with DMARDs on the signs and symptoms of RA seen in the placebo controlled studies was sustained during the extension study, as shown below with data up to 5.6 and</w:t>
      </w:r>
      <w:r w:rsidR="00AC5C9A">
        <w:t xml:space="preserve"> 3.5 years from initial randomis</w:t>
      </w:r>
      <w:r w:rsidRPr="00E27AAF">
        <w:t xml:space="preserve">ation in </w:t>
      </w:r>
      <w:r w:rsidR="00AC5C9A">
        <w:t xml:space="preserve">Study </w:t>
      </w:r>
      <w:r w:rsidRPr="00E27AAF">
        <w:t xml:space="preserve">EFC11072 Part B and </w:t>
      </w:r>
      <w:r w:rsidR="00AC5C9A">
        <w:t xml:space="preserve">Study </w:t>
      </w:r>
      <w:r w:rsidRPr="00E27AAF">
        <w:t>EFC10832, respectively.</w:t>
      </w:r>
    </w:p>
    <w:p w:rsidR="00AA6B20" w:rsidRDefault="00E27AAF" w:rsidP="00DB5136">
      <w:pPr>
        <w:pStyle w:val="ListBullet"/>
      </w:pPr>
      <w:r w:rsidRPr="00E27AAF">
        <w:t>ACR response rates</w:t>
      </w:r>
    </w:p>
    <w:p w:rsidR="00AA6B20" w:rsidRDefault="00E27AAF" w:rsidP="001470FB">
      <w:r w:rsidRPr="00E27AAF">
        <w:t>The effect of sarilumab in combination with DMARDs on ACR response rates was durabl</w:t>
      </w:r>
      <w:r w:rsidR="00AC5C9A">
        <w:t>e in patients initially randomis</w:t>
      </w:r>
      <w:r w:rsidRPr="00E27AAF">
        <w:t xml:space="preserve">ed in </w:t>
      </w:r>
      <w:r w:rsidR="00AC5C9A">
        <w:t xml:space="preserve">Study </w:t>
      </w:r>
      <w:r w:rsidRPr="00E27AAF">
        <w:t xml:space="preserve">EFC11072 and </w:t>
      </w:r>
      <w:r w:rsidR="00AC5C9A">
        <w:t xml:space="preserve">Study </w:t>
      </w:r>
      <w:r w:rsidRPr="00E27AAF">
        <w:t>EFC10832, respectively. Up to 92.1% of MTX-IR patients and 84.3% of TNF-IR patients maintained an ACR20 response after 5.6 (268 weeks) and 3.5 (168 weeks) years of treatment with sarilumab 200 mg q2w. Figure 1</w:t>
      </w:r>
      <w:r w:rsidR="008948C4">
        <w:t>4</w:t>
      </w:r>
      <w:r w:rsidRPr="00E27AAF">
        <w:t xml:space="preserve"> and Figure </w:t>
      </w:r>
      <w:r w:rsidR="00AC5C9A">
        <w:t>1</w:t>
      </w:r>
      <w:r w:rsidR="008948C4">
        <w:t>5</w:t>
      </w:r>
      <w:r w:rsidRPr="00E27AAF">
        <w:t xml:space="preserve"> show the ACR20 response in patients from </w:t>
      </w:r>
      <w:r w:rsidR="00472AC4">
        <w:t xml:space="preserve">Studies </w:t>
      </w:r>
      <w:r w:rsidRPr="00E27AAF">
        <w:t>EFC11072 and EFC10832, respectively.</w:t>
      </w:r>
    </w:p>
    <w:p w:rsidR="00E27AAF" w:rsidRDefault="00E27AAF" w:rsidP="001470FB">
      <w:r w:rsidRPr="00E27AAF">
        <w:t>The ACR50 and ACR70 responses over time are similarly durabl</w:t>
      </w:r>
      <w:r w:rsidR="00AC5C9A">
        <w:t>e in patients initially randomis</w:t>
      </w:r>
      <w:r w:rsidRPr="00E27AAF">
        <w:t xml:space="preserve">ed in </w:t>
      </w:r>
      <w:r w:rsidR="00472AC4">
        <w:t xml:space="preserve">Studies </w:t>
      </w:r>
      <w:r w:rsidRPr="00E27AAF">
        <w:t>EFC11072 and EFC10832.</w:t>
      </w:r>
    </w:p>
    <w:p w:rsidR="00E27AAF" w:rsidRDefault="00E27AAF" w:rsidP="001470FB">
      <w:pPr>
        <w:pStyle w:val="FigureTitle"/>
      </w:pPr>
      <w:r>
        <w:t xml:space="preserve">Figure </w:t>
      </w:r>
      <w:r w:rsidR="00AC5C9A">
        <w:t>1</w:t>
      </w:r>
      <w:r w:rsidR="008948C4">
        <w:t>4</w:t>
      </w:r>
      <w:r w:rsidR="00AC5C9A">
        <w:t>:</w:t>
      </w:r>
      <w:r>
        <w:t xml:space="preserve"> Incidence of ACR20 response for patients originally </w:t>
      </w:r>
      <w:r w:rsidR="00472AC4">
        <w:t xml:space="preserve">randomised </w:t>
      </w:r>
      <w:r>
        <w:t xml:space="preserve">into </w:t>
      </w:r>
      <w:r w:rsidR="00472AC4">
        <w:t xml:space="preserve">Study </w:t>
      </w:r>
      <w:r>
        <w:t xml:space="preserve">EFC11072 Part B, Cohort 2 and those who continued into </w:t>
      </w:r>
      <w:r w:rsidR="00472AC4">
        <w:t xml:space="preserve">Study </w:t>
      </w:r>
      <w:r>
        <w:t>LTS11210</w:t>
      </w:r>
    </w:p>
    <w:p w:rsidR="00E27AAF" w:rsidRDefault="00E27AAF" w:rsidP="00E27AAF">
      <w:r>
        <w:rPr>
          <w:noProof/>
          <w:lang w:eastAsia="en-AU"/>
        </w:rPr>
        <w:drawing>
          <wp:inline distT="0" distB="0" distL="0" distR="0" wp14:anchorId="0F043577" wp14:editId="2F83C4B0">
            <wp:extent cx="5211332" cy="2531059"/>
            <wp:effectExtent l="0" t="0" r="0" b="3175"/>
            <wp:docPr id="4" name="Picture 4" descr="Incidence of ACR20 response for patients originally randomized into EFC11072 Part B, Cohort 2 and those who continued into LTS1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224218" cy="2537317"/>
                    </a:xfrm>
                    <a:prstGeom prst="rect">
                      <a:avLst/>
                    </a:prstGeom>
                  </pic:spPr>
                </pic:pic>
              </a:graphicData>
            </a:graphic>
          </wp:inline>
        </w:drawing>
      </w:r>
    </w:p>
    <w:p w:rsidR="00E27AAF" w:rsidRDefault="00E27AAF" w:rsidP="0027047D">
      <w:pPr>
        <w:pStyle w:val="FigureTitle"/>
      </w:pPr>
      <w:r>
        <w:t xml:space="preserve">Figure </w:t>
      </w:r>
      <w:r w:rsidR="00AC5C9A">
        <w:t>1</w:t>
      </w:r>
      <w:r w:rsidR="008948C4">
        <w:t>5</w:t>
      </w:r>
      <w:r w:rsidR="00AC5C9A">
        <w:t>:</w:t>
      </w:r>
      <w:r>
        <w:t xml:space="preserve"> Incidence of ACR20 response for patients originally </w:t>
      </w:r>
      <w:r w:rsidR="00472AC4">
        <w:t xml:space="preserve">randomised </w:t>
      </w:r>
      <w:r>
        <w:t xml:space="preserve">into </w:t>
      </w:r>
      <w:r w:rsidR="00472AC4">
        <w:t xml:space="preserve">Study </w:t>
      </w:r>
      <w:r>
        <w:t xml:space="preserve">EFC10832 and those who continued into </w:t>
      </w:r>
      <w:r w:rsidR="00472AC4">
        <w:t xml:space="preserve">Study </w:t>
      </w:r>
      <w:r>
        <w:t>LTS11210</w:t>
      </w:r>
    </w:p>
    <w:p w:rsidR="00E27AAF" w:rsidRDefault="00E27AAF" w:rsidP="00E27AAF">
      <w:r>
        <w:rPr>
          <w:noProof/>
          <w:lang w:eastAsia="en-AU"/>
        </w:rPr>
        <w:drawing>
          <wp:inline distT="0" distB="0" distL="0" distR="0" wp14:anchorId="6D1D5F17" wp14:editId="1AD5D651">
            <wp:extent cx="4783342" cy="2684153"/>
            <wp:effectExtent l="0" t="0" r="0" b="1905"/>
            <wp:docPr id="5" name="Picture 5" descr="Incidence of ACR20 response for patients originally randomized into EFC10832 and those who continued into the LTS11210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lum bright="-20000" contrast="40000"/>
                      <a:extLst>
                        <a:ext uri="{28A0092B-C50C-407E-A947-70E740481C1C}">
                          <a14:useLocalDpi xmlns:a14="http://schemas.microsoft.com/office/drawing/2010/main" val="0"/>
                        </a:ext>
                      </a:extLst>
                    </a:blip>
                    <a:srcRect/>
                    <a:stretch>
                      <a:fillRect/>
                    </a:stretch>
                  </pic:blipFill>
                  <pic:spPr bwMode="auto">
                    <a:xfrm>
                      <a:off x="0" y="0"/>
                      <a:ext cx="4789638" cy="2687686"/>
                    </a:xfrm>
                    <a:prstGeom prst="rect">
                      <a:avLst/>
                    </a:prstGeom>
                    <a:noFill/>
                    <a:ln>
                      <a:noFill/>
                    </a:ln>
                  </pic:spPr>
                </pic:pic>
              </a:graphicData>
            </a:graphic>
          </wp:inline>
        </w:drawing>
      </w:r>
    </w:p>
    <w:p w:rsidR="00AA6B20" w:rsidRDefault="00E27AAF" w:rsidP="00DB5136">
      <w:pPr>
        <w:pStyle w:val="ListBullet"/>
      </w:pPr>
      <w:r w:rsidRPr="00E27AAF">
        <w:lastRenderedPageBreak/>
        <w:t>DAS28-CRP</w:t>
      </w:r>
    </w:p>
    <w:p w:rsidR="00AA6B20" w:rsidRDefault="00E27AAF" w:rsidP="001470FB">
      <w:r w:rsidRPr="00E27AAF">
        <w:t>Reduction in disease activities as measured by change from baseline in DAS28 CRP and percentage of patients with DAS28 CRP &lt;</w:t>
      </w:r>
      <w:r w:rsidR="00091017">
        <w:t xml:space="preserve"> </w:t>
      </w:r>
      <w:r w:rsidRPr="00E27AAF">
        <w:t xml:space="preserve">2.6 at each visit were similar to the analyses of ACR20, 50 and 70, confirming that the durable beneficial effect of sarilumab concomitantly with DMARDs on signs and symptoms of RA over time. Figure </w:t>
      </w:r>
      <w:r w:rsidR="00AC5C9A">
        <w:t>1</w:t>
      </w:r>
      <w:r w:rsidR="008948C4">
        <w:t>6</w:t>
      </w:r>
      <w:r w:rsidRPr="00E27AAF">
        <w:t xml:space="preserve"> and Figure </w:t>
      </w:r>
      <w:r w:rsidR="00AC5C9A">
        <w:t>1</w:t>
      </w:r>
      <w:r w:rsidR="008948C4">
        <w:t>7</w:t>
      </w:r>
      <w:r w:rsidRPr="00E27AAF">
        <w:t xml:space="preserve"> show DAS28-CRP over time in patients from EFC11072 and EFC10832.</w:t>
      </w:r>
    </w:p>
    <w:p w:rsidR="00E27AAF" w:rsidRDefault="00E27AAF" w:rsidP="001470FB">
      <w:r w:rsidRPr="00E27AAF">
        <w:t>Up to 69.3% of MTX-IR patients and 53.8% of TNF-IR patients maintained DAS28-CRP &lt;</w:t>
      </w:r>
      <w:r w:rsidR="00091017">
        <w:t> </w:t>
      </w:r>
      <w:r w:rsidRPr="00E27AAF">
        <w:t>2.6 after 5.6 and 3.5 years of treatment with sarilumab 200 mg q2w for patients init</w:t>
      </w:r>
      <w:r w:rsidR="00AC5C9A">
        <w:t>ially randomis</w:t>
      </w:r>
      <w:r w:rsidRPr="00E27AAF">
        <w:t>ed in EFC11072 and EFC10832 respectively.</w:t>
      </w:r>
    </w:p>
    <w:p w:rsidR="00AA6B20" w:rsidRDefault="00E27AAF" w:rsidP="001470FB">
      <w:pPr>
        <w:pStyle w:val="FigureTitle"/>
      </w:pPr>
      <w:r w:rsidRPr="00E27AAF">
        <w:t xml:space="preserve">Figure </w:t>
      </w:r>
      <w:r w:rsidR="00AC5C9A">
        <w:t>1</w:t>
      </w:r>
      <w:r w:rsidR="008948C4">
        <w:t>6</w:t>
      </w:r>
      <w:r w:rsidR="00AC5C9A">
        <w:t>:</w:t>
      </w:r>
      <w:r w:rsidRPr="00E27AAF">
        <w:t xml:space="preserve"> DAS28 CRP at each visit </w:t>
      </w:r>
      <w:r w:rsidR="00AC5C9A">
        <w:t xml:space="preserve">Study </w:t>
      </w:r>
      <w:r w:rsidRPr="00E27AAF">
        <w:t>EFC11072 Part B, Cohort 2</w:t>
      </w:r>
      <w:r w:rsidR="00472AC4">
        <w:t>, Study</w:t>
      </w:r>
      <w:r w:rsidRPr="00E27AAF">
        <w:t xml:space="preserve"> LTS11210 </w:t>
      </w:r>
      <w:r w:rsidRPr="001470FB">
        <w:t>combination</w:t>
      </w:r>
    </w:p>
    <w:p w:rsidR="00E27AAF" w:rsidRPr="00E27AAF" w:rsidRDefault="00E27AAF" w:rsidP="00E27AAF">
      <w:pPr>
        <w:autoSpaceDE w:val="0"/>
        <w:autoSpaceDN w:val="0"/>
        <w:adjustRightInd w:val="0"/>
        <w:spacing w:before="0" w:after="0" w:line="240" w:lineRule="auto"/>
        <w:rPr>
          <w:rFonts w:ascii="Arial" w:eastAsiaTheme="minorHAnsi" w:hAnsi="Arial" w:cs="Arial"/>
          <w:color w:val="000000"/>
          <w:sz w:val="20"/>
          <w:szCs w:val="20"/>
        </w:rPr>
      </w:pPr>
      <w:r>
        <w:rPr>
          <w:rFonts w:ascii="Arial" w:eastAsiaTheme="minorHAnsi" w:hAnsi="Arial" w:cs="Arial"/>
          <w:noProof/>
          <w:color w:val="000000"/>
          <w:sz w:val="20"/>
          <w:szCs w:val="20"/>
          <w:lang w:eastAsia="en-AU"/>
        </w:rPr>
        <w:drawing>
          <wp:inline distT="0" distB="0" distL="0" distR="0" wp14:anchorId="188B968D" wp14:editId="3E1B70BF">
            <wp:extent cx="4956044" cy="2282343"/>
            <wp:effectExtent l="0" t="0" r="0" b="3810"/>
            <wp:docPr id="6" name="Picture 6" descr="DAS28 CRP at each visit EFC11072 Part B, Cohort 2 LTS11210 combin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cstate="print">
                      <a:lum bright="-20000" contrast="40000"/>
                      <a:extLst>
                        <a:ext uri="{28A0092B-C50C-407E-A947-70E740481C1C}">
                          <a14:useLocalDpi xmlns:a14="http://schemas.microsoft.com/office/drawing/2010/main" val="0"/>
                        </a:ext>
                      </a:extLst>
                    </a:blip>
                    <a:srcRect/>
                    <a:stretch>
                      <a:fillRect/>
                    </a:stretch>
                  </pic:blipFill>
                  <pic:spPr bwMode="auto">
                    <a:xfrm>
                      <a:off x="0" y="0"/>
                      <a:ext cx="4953407" cy="2281129"/>
                    </a:xfrm>
                    <a:prstGeom prst="rect">
                      <a:avLst/>
                    </a:prstGeom>
                    <a:noFill/>
                    <a:ln>
                      <a:noFill/>
                    </a:ln>
                  </pic:spPr>
                </pic:pic>
              </a:graphicData>
            </a:graphic>
          </wp:inline>
        </w:drawing>
      </w:r>
    </w:p>
    <w:p w:rsidR="00AA6B20" w:rsidRDefault="00E27AAF" w:rsidP="001470FB">
      <w:pPr>
        <w:pStyle w:val="FigureTitle"/>
      </w:pPr>
      <w:r w:rsidRPr="00E27AAF">
        <w:t xml:space="preserve">Figure </w:t>
      </w:r>
      <w:r w:rsidR="00AC5C9A">
        <w:t>1</w:t>
      </w:r>
      <w:r w:rsidR="008948C4">
        <w:t>7</w:t>
      </w:r>
      <w:r w:rsidR="00AC5C9A">
        <w:t>:</w:t>
      </w:r>
      <w:r w:rsidRPr="00E27AAF">
        <w:t xml:space="preserve"> DAS28 CRP at each visit </w:t>
      </w:r>
      <w:r w:rsidR="00472AC4">
        <w:t xml:space="preserve">Study </w:t>
      </w:r>
      <w:r w:rsidRPr="00E27AAF">
        <w:t>EFC10832 LTS11210 combination</w:t>
      </w:r>
    </w:p>
    <w:p w:rsidR="00E27AAF" w:rsidRPr="00091017" w:rsidRDefault="00E27AAF" w:rsidP="00E27AAF">
      <w:pPr>
        <w:autoSpaceDE w:val="0"/>
        <w:autoSpaceDN w:val="0"/>
        <w:adjustRightInd w:val="0"/>
        <w:spacing w:before="0" w:after="0" w:line="240" w:lineRule="auto"/>
      </w:pPr>
      <w:r>
        <w:rPr>
          <w:rFonts w:ascii="Arial" w:eastAsiaTheme="minorHAnsi" w:hAnsi="Arial" w:cs="Arial"/>
          <w:noProof/>
          <w:sz w:val="24"/>
          <w:szCs w:val="24"/>
          <w:lang w:eastAsia="en-AU"/>
        </w:rPr>
        <w:drawing>
          <wp:inline distT="0" distB="0" distL="0" distR="0" wp14:anchorId="3DC11AD7" wp14:editId="342F8093">
            <wp:extent cx="4709721" cy="2646133"/>
            <wp:effectExtent l="0" t="0" r="0" b="1905"/>
            <wp:docPr id="7" name="Picture 7" descr="DAS28 CRP at each visit EFC10832 LTS11210 combin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cstate="print">
                      <a:lum bright="-20000" contrast="40000"/>
                      <a:extLst>
                        <a:ext uri="{28A0092B-C50C-407E-A947-70E740481C1C}">
                          <a14:useLocalDpi xmlns:a14="http://schemas.microsoft.com/office/drawing/2010/main" val="0"/>
                        </a:ext>
                      </a:extLst>
                    </a:blip>
                    <a:srcRect/>
                    <a:stretch>
                      <a:fillRect/>
                    </a:stretch>
                  </pic:blipFill>
                  <pic:spPr bwMode="auto">
                    <a:xfrm>
                      <a:off x="0" y="0"/>
                      <a:ext cx="4710497" cy="2646569"/>
                    </a:xfrm>
                    <a:prstGeom prst="rect">
                      <a:avLst/>
                    </a:prstGeom>
                    <a:noFill/>
                    <a:ln>
                      <a:noFill/>
                    </a:ln>
                  </pic:spPr>
                </pic:pic>
              </a:graphicData>
            </a:graphic>
          </wp:inline>
        </w:drawing>
      </w:r>
    </w:p>
    <w:p w:rsidR="00AA6B20" w:rsidRDefault="00E27AAF" w:rsidP="00DB5136">
      <w:pPr>
        <w:pStyle w:val="ListBullet"/>
      </w:pPr>
      <w:r w:rsidRPr="00E27AAF">
        <w:t>Physical function</w:t>
      </w:r>
    </w:p>
    <w:p w:rsidR="00AA6B20" w:rsidRDefault="00E27AAF" w:rsidP="001470FB">
      <w:r w:rsidRPr="00E27AAF">
        <w:t>The beneficial effect of sarilumab concomitantly with DMARDs for the improvement of physical function (change from baseline in HAQ DI and proportion of patients reaching a</w:t>
      </w:r>
      <w:r w:rsidR="00AC5C9A">
        <w:t>n</w:t>
      </w:r>
      <w:r w:rsidRPr="00E27AAF">
        <w:t xml:space="preserve"> HAQ DI </w:t>
      </w:r>
      <w:r w:rsidR="00AC5C9A" w:rsidRPr="00E27AAF">
        <w:t xml:space="preserve">improvement </w:t>
      </w:r>
      <w:r w:rsidR="00AC5C9A">
        <w:t xml:space="preserve">of </w:t>
      </w:r>
      <w:r w:rsidR="00DD5BCE">
        <w:t xml:space="preserve">≥ </w:t>
      </w:r>
      <w:r w:rsidRPr="00E27AAF">
        <w:t xml:space="preserve">0.3 units from baseline) was sustained over time, up to approximately 5.6 and 3.5 years treatment, in </w:t>
      </w:r>
      <w:r w:rsidR="00472AC4">
        <w:t xml:space="preserve">Study </w:t>
      </w:r>
      <w:r w:rsidRPr="00E27AAF">
        <w:t>LTS11210</w:t>
      </w:r>
      <w:r w:rsidR="00AC5C9A">
        <w:t xml:space="preserve"> for patients initially randomis</w:t>
      </w:r>
      <w:r w:rsidRPr="00E27AAF">
        <w:t xml:space="preserve">ed in </w:t>
      </w:r>
      <w:r w:rsidR="00472AC4">
        <w:t xml:space="preserve">Studies </w:t>
      </w:r>
      <w:r w:rsidRPr="00E27AAF">
        <w:t>EFC11072 and EFC10832, respectively.</w:t>
      </w:r>
    </w:p>
    <w:p w:rsidR="00AA6B20" w:rsidRDefault="00E27AAF" w:rsidP="001470FB">
      <w:r w:rsidRPr="00E27AAF">
        <w:t xml:space="preserve">Figure </w:t>
      </w:r>
      <w:r w:rsidR="00AC5C9A">
        <w:t>1</w:t>
      </w:r>
      <w:r w:rsidR="008948C4">
        <w:t>8</w:t>
      </w:r>
      <w:r w:rsidRPr="00E27AAF">
        <w:t xml:space="preserve"> and Figure </w:t>
      </w:r>
      <w:r w:rsidR="00AC5C9A">
        <w:t>1</w:t>
      </w:r>
      <w:r w:rsidR="008948C4">
        <w:t>9</w:t>
      </w:r>
      <w:r w:rsidRPr="00E27AAF">
        <w:t xml:space="preserve"> show HAQ DI over time in patients from </w:t>
      </w:r>
      <w:r w:rsidR="00AC5C9A">
        <w:t xml:space="preserve">Study </w:t>
      </w:r>
      <w:r w:rsidRPr="00E27AAF">
        <w:t xml:space="preserve">EFC11072 and from </w:t>
      </w:r>
      <w:r w:rsidR="00AC5C9A">
        <w:t xml:space="preserve">Study </w:t>
      </w:r>
      <w:r w:rsidRPr="00E27AAF">
        <w:t>EFC10832.</w:t>
      </w:r>
    </w:p>
    <w:p w:rsidR="00AA6B20" w:rsidRDefault="00E27AAF" w:rsidP="001470FB">
      <w:r w:rsidRPr="00E27AAF">
        <w:lastRenderedPageBreak/>
        <w:t xml:space="preserve">Up to 74.2% of patients from </w:t>
      </w:r>
      <w:r w:rsidR="00AC5C9A">
        <w:t xml:space="preserve">Study </w:t>
      </w:r>
      <w:r w:rsidRPr="00E27AAF">
        <w:t xml:space="preserve">EFC11072 and 69.8% of patients from </w:t>
      </w:r>
      <w:r w:rsidR="00AC5C9A">
        <w:t>Study</w:t>
      </w:r>
      <w:r w:rsidR="00472AC4">
        <w:t> </w:t>
      </w:r>
      <w:r w:rsidRPr="00E27AAF">
        <w:t>EFC10832 maintained a clinically meaningful level of improvement in HAQ-DI after 5.6 and 3.5 years, respectively, of treatment with sarilumab 200 mg q2w.</w:t>
      </w:r>
    </w:p>
    <w:p w:rsidR="00E27AAF" w:rsidRDefault="00E27AAF" w:rsidP="001470FB">
      <w:pPr>
        <w:pStyle w:val="FigureTitle"/>
      </w:pPr>
      <w:r w:rsidRPr="00E27AAF">
        <w:t xml:space="preserve">Figure </w:t>
      </w:r>
      <w:r w:rsidR="00AC5C9A">
        <w:t>1</w:t>
      </w:r>
      <w:r w:rsidR="008948C4">
        <w:t>8</w:t>
      </w:r>
      <w:r w:rsidR="00AC5C9A">
        <w:t>:</w:t>
      </w:r>
      <w:r w:rsidRPr="00E27AAF">
        <w:t xml:space="preserve"> HAQ-DI over time for patients originally </w:t>
      </w:r>
      <w:r w:rsidR="00472AC4" w:rsidRPr="00E27AAF">
        <w:t>randomi</w:t>
      </w:r>
      <w:r w:rsidR="00472AC4">
        <w:t>s</w:t>
      </w:r>
      <w:r w:rsidR="00472AC4" w:rsidRPr="00E27AAF">
        <w:t xml:space="preserve">ed </w:t>
      </w:r>
      <w:r w:rsidRPr="00E27AAF">
        <w:t xml:space="preserve">into </w:t>
      </w:r>
      <w:r w:rsidR="00472AC4">
        <w:t>Study</w:t>
      </w:r>
      <w:r w:rsidR="00091017">
        <w:t> </w:t>
      </w:r>
      <w:r w:rsidRPr="00E27AAF">
        <w:t xml:space="preserve">EFC11072 Part B, Cohort 2 and those who continued into </w:t>
      </w:r>
      <w:r w:rsidR="00472AC4">
        <w:t xml:space="preserve">Study </w:t>
      </w:r>
      <w:r w:rsidRPr="00E27AAF">
        <w:t>LTS11210</w:t>
      </w:r>
    </w:p>
    <w:p w:rsidR="00E27AAF" w:rsidRPr="00091017" w:rsidRDefault="00E27AAF" w:rsidP="00E27AAF">
      <w:pPr>
        <w:autoSpaceDE w:val="0"/>
        <w:autoSpaceDN w:val="0"/>
        <w:adjustRightInd w:val="0"/>
        <w:spacing w:before="0" w:after="0" w:line="240" w:lineRule="auto"/>
      </w:pPr>
      <w:r>
        <w:rPr>
          <w:rFonts w:ascii="Arial" w:eastAsiaTheme="minorHAnsi" w:hAnsi="Arial" w:cs="Arial"/>
          <w:noProof/>
          <w:sz w:val="24"/>
          <w:szCs w:val="24"/>
          <w:lang w:eastAsia="en-AU"/>
        </w:rPr>
        <w:drawing>
          <wp:inline distT="0" distB="0" distL="0" distR="0" wp14:anchorId="1D645268" wp14:editId="2CBA32CE">
            <wp:extent cx="5094245" cy="2399386"/>
            <wp:effectExtent l="0" t="0" r="0" b="1270"/>
            <wp:docPr id="8" name="Picture 8" descr="HAQ-DI over time for patients originally randomized into EFC11072 Part B, Cohort 2 and those who continued into the LTS11210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cstate="print">
                      <a:lum bright="-20000" contrast="40000"/>
                      <a:extLst>
                        <a:ext uri="{28A0092B-C50C-407E-A947-70E740481C1C}">
                          <a14:useLocalDpi xmlns:a14="http://schemas.microsoft.com/office/drawing/2010/main" val="0"/>
                        </a:ext>
                      </a:extLst>
                    </a:blip>
                    <a:srcRect/>
                    <a:stretch>
                      <a:fillRect/>
                    </a:stretch>
                  </pic:blipFill>
                  <pic:spPr bwMode="auto">
                    <a:xfrm>
                      <a:off x="0" y="0"/>
                      <a:ext cx="5095588" cy="2400018"/>
                    </a:xfrm>
                    <a:prstGeom prst="rect">
                      <a:avLst/>
                    </a:prstGeom>
                    <a:noFill/>
                    <a:ln>
                      <a:noFill/>
                    </a:ln>
                  </pic:spPr>
                </pic:pic>
              </a:graphicData>
            </a:graphic>
          </wp:inline>
        </w:drawing>
      </w:r>
    </w:p>
    <w:p w:rsidR="00E27AAF" w:rsidRDefault="001470FB" w:rsidP="001470FB">
      <w:pPr>
        <w:pStyle w:val="FigureTitle"/>
      </w:pPr>
      <w:r>
        <w:t xml:space="preserve">Figure </w:t>
      </w:r>
      <w:r w:rsidR="00AC5C9A">
        <w:t>1</w:t>
      </w:r>
      <w:r w:rsidR="008948C4">
        <w:t>9</w:t>
      </w:r>
      <w:r w:rsidR="00AC5C9A">
        <w:t>:</w:t>
      </w:r>
      <w:r>
        <w:t xml:space="preserve"> </w:t>
      </w:r>
      <w:r w:rsidR="00E27AAF">
        <w:t xml:space="preserve">HAQ-DI over time for patients originally </w:t>
      </w:r>
      <w:r w:rsidR="00472AC4">
        <w:t xml:space="preserve">randomised </w:t>
      </w:r>
      <w:r w:rsidR="00E27AAF">
        <w:t xml:space="preserve">into </w:t>
      </w:r>
      <w:r w:rsidR="00472AC4">
        <w:t xml:space="preserve">Study </w:t>
      </w:r>
      <w:r w:rsidR="00E27AAF">
        <w:t xml:space="preserve">EFC10832 and those who continued into </w:t>
      </w:r>
      <w:r w:rsidR="00472AC4">
        <w:t xml:space="preserve">Study </w:t>
      </w:r>
      <w:r w:rsidR="00E27AAF">
        <w:t>LTS11210</w:t>
      </w:r>
    </w:p>
    <w:p w:rsidR="00E27AAF" w:rsidRPr="00091017" w:rsidRDefault="00E27AAF" w:rsidP="00E27AAF">
      <w:pPr>
        <w:autoSpaceDE w:val="0"/>
        <w:autoSpaceDN w:val="0"/>
        <w:adjustRightInd w:val="0"/>
        <w:spacing w:before="0" w:after="0" w:line="240" w:lineRule="auto"/>
      </w:pPr>
      <w:r>
        <w:rPr>
          <w:rFonts w:ascii="Arial" w:eastAsiaTheme="minorHAnsi" w:hAnsi="Arial" w:cs="Arial"/>
          <w:noProof/>
          <w:sz w:val="24"/>
          <w:szCs w:val="24"/>
          <w:lang w:eastAsia="en-AU"/>
        </w:rPr>
        <w:drawing>
          <wp:inline distT="0" distB="0" distL="0" distR="0" wp14:anchorId="7E3BC633" wp14:editId="562F89AA">
            <wp:extent cx="5084064" cy="2856455"/>
            <wp:effectExtent l="0" t="0" r="2540" b="1270"/>
            <wp:docPr id="9" name="Picture 9" descr="HAQ-DI over time for patients originally randomized into EFC10832 and those who continued into the LTS11210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cstate="print">
                      <a:lum bright="-20000" contrast="40000"/>
                      <a:extLst>
                        <a:ext uri="{28A0092B-C50C-407E-A947-70E740481C1C}">
                          <a14:useLocalDpi xmlns:a14="http://schemas.microsoft.com/office/drawing/2010/main" val="0"/>
                        </a:ext>
                      </a:extLst>
                    </a:blip>
                    <a:srcRect/>
                    <a:stretch>
                      <a:fillRect/>
                    </a:stretch>
                  </pic:blipFill>
                  <pic:spPr bwMode="auto">
                    <a:xfrm>
                      <a:off x="0" y="0"/>
                      <a:ext cx="5083629" cy="2856210"/>
                    </a:xfrm>
                    <a:prstGeom prst="rect">
                      <a:avLst/>
                    </a:prstGeom>
                    <a:noFill/>
                    <a:ln>
                      <a:noFill/>
                    </a:ln>
                  </pic:spPr>
                </pic:pic>
              </a:graphicData>
            </a:graphic>
          </wp:inline>
        </w:drawing>
      </w:r>
    </w:p>
    <w:p w:rsidR="00AA6B20" w:rsidRDefault="00E27AAF" w:rsidP="00DB5136">
      <w:pPr>
        <w:pStyle w:val="ListBullet"/>
      </w:pPr>
      <w:r w:rsidRPr="00E27AAF">
        <w:t>Radiographic progression: 5-year radiographic data</w:t>
      </w:r>
    </w:p>
    <w:p w:rsidR="00AA6B20" w:rsidRDefault="00E27AAF" w:rsidP="001470FB">
      <w:r w:rsidRPr="00E27AAF">
        <w:t xml:space="preserve">The efficacy of sarilumab with concomitant MTX on inhibition of radiographic progression that was assessed using the van der </w:t>
      </w:r>
      <w:proofErr w:type="spellStart"/>
      <w:r w:rsidRPr="00E27AAF">
        <w:t>Heijde</w:t>
      </w:r>
      <w:proofErr w:type="spellEnd"/>
      <w:r w:rsidRPr="00E27AAF">
        <w:t xml:space="preserve"> </w:t>
      </w:r>
      <w:proofErr w:type="spellStart"/>
      <w:r w:rsidRPr="00E27AAF">
        <w:t>mTSS</w:t>
      </w:r>
      <w:proofErr w:type="spellEnd"/>
      <w:r w:rsidRPr="00E27AAF">
        <w:t xml:space="preserve"> as part of the primary endpoints at Week</w:t>
      </w:r>
      <w:r w:rsidR="00472AC4">
        <w:t> </w:t>
      </w:r>
      <w:r w:rsidRPr="00E27AAF">
        <w:t xml:space="preserve">52 (Year 1) in </w:t>
      </w:r>
      <w:r w:rsidR="00472AC4">
        <w:t xml:space="preserve">Study </w:t>
      </w:r>
      <w:r w:rsidRPr="00E27AAF">
        <w:t>EFC11072 Part B was sustained in analyses of 5</w:t>
      </w:r>
      <w:r w:rsidR="00AC5C9A">
        <w:t xml:space="preserve"> </w:t>
      </w:r>
      <w:r w:rsidRPr="00E27AAF">
        <w:t>year (Week</w:t>
      </w:r>
      <w:r w:rsidR="00472AC4">
        <w:t> </w:t>
      </w:r>
      <w:r w:rsidRPr="00E27AAF">
        <w:t xml:space="preserve">244), as shown in Figure </w:t>
      </w:r>
      <w:r w:rsidR="008948C4">
        <w:t>20</w:t>
      </w:r>
      <w:r w:rsidRPr="00E27AAF">
        <w:t xml:space="preserve"> below, consistent with the previously presented data following 2 years (Week</w:t>
      </w:r>
      <w:r w:rsidR="00472AC4">
        <w:t> </w:t>
      </w:r>
      <w:r w:rsidRPr="00E27AAF">
        <w:t>100) and 3 years (Week 148) of treatment. Inhibition of progression was most pronounced in patients</w:t>
      </w:r>
      <w:r w:rsidR="00AC5C9A">
        <w:t xml:space="preserve"> who had initially been randomis</w:t>
      </w:r>
      <w:r w:rsidRPr="00E27AAF">
        <w:t>ed to sarilumab 200 mg and was maintained during the extension study up to 5 years of treatment with sarilumab (Figure</w:t>
      </w:r>
      <w:r w:rsidR="00472AC4">
        <w:t> </w:t>
      </w:r>
      <w:r w:rsidR="008948C4">
        <w:t>20)</w:t>
      </w:r>
      <w:r w:rsidRPr="00E27AAF">
        <w:t>.</w:t>
      </w:r>
    </w:p>
    <w:p w:rsidR="00AA6B20" w:rsidRDefault="00E27AAF" w:rsidP="001470FB">
      <w:r w:rsidRPr="00E27AAF">
        <w:t xml:space="preserve">The rate of radiographic progression was lowest in patients who were initially treated in the sarilumab 200 mg q2w group in </w:t>
      </w:r>
      <w:r w:rsidR="009B00A9">
        <w:t xml:space="preserve">Study </w:t>
      </w:r>
      <w:r w:rsidRPr="00E27AAF">
        <w:t xml:space="preserve">EFC11072 throughout the analysis period, with a mean change from baseline in </w:t>
      </w:r>
      <w:proofErr w:type="spellStart"/>
      <w:r w:rsidRPr="00E27AAF">
        <w:t>mTSS</w:t>
      </w:r>
      <w:proofErr w:type="spellEnd"/>
      <w:r w:rsidRPr="00E27AAF">
        <w:t xml:space="preserve"> of 1.36 at</w:t>
      </w:r>
      <w:r w:rsidR="00AC5C9A">
        <w:t xml:space="preserve"> Week 244 (Year 5) from randomis</w:t>
      </w:r>
      <w:r w:rsidRPr="00E27AAF">
        <w:t xml:space="preserve">ation in </w:t>
      </w:r>
      <w:r w:rsidR="009B00A9">
        <w:lastRenderedPageBreak/>
        <w:t xml:space="preserve">Study </w:t>
      </w:r>
      <w:r w:rsidRPr="00E27AAF">
        <w:t xml:space="preserve">EFC11072 Part B (Table </w:t>
      </w:r>
      <w:r w:rsidR="000F5B2C">
        <w:t>51</w:t>
      </w:r>
      <w:r w:rsidRPr="00E27AAF">
        <w:t xml:space="preserve">). The rate of radiographic progression was highest in the patients who were initially treated in the placebo group in </w:t>
      </w:r>
      <w:r w:rsidR="009B00A9">
        <w:t xml:space="preserve">Study </w:t>
      </w:r>
      <w:r w:rsidRPr="00E27AAF">
        <w:t xml:space="preserve">EFC11072 (mean change from baseline in </w:t>
      </w:r>
      <w:proofErr w:type="spellStart"/>
      <w:r w:rsidRPr="00E27AAF">
        <w:t>mTSS</w:t>
      </w:r>
      <w:proofErr w:type="spellEnd"/>
      <w:r w:rsidRPr="00E27AAF">
        <w:t xml:space="preserve"> of 4.19 at Year 5). Patients initially treated with sarilumab 150 mg q2w in </w:t>
      </w:r>
      <w:r w:rsidR="009B00A9">
        <w:t xml:space="preserve">Study </w:t>
      </w:r>
      <w:r w:rsidRPr="00E27AAF">
        <w:t>EFC11072 had less radiographic progression at Week 244 (Year 5) than did patients initially treated with placebo, but the mean change from baseline (2.59) was larger than in the sarilumab 200 mg q2w group.</w:t>
      </w:r>
    </w:p>
    <w:p w:rsidR="00AA6B20" w:rsidRDefault="00E27AAF" w:rsidP="001470FB">
      <w:r w:rsidRPr="00E27AAF">
        <w:t xml:space="preserve">The proportion of patients with no progression in </w:t>
      </w:r>
      <w:proofErr w:type="spellStart"/>
      <w:r w:rsidRPr="00E27AAF">
        <w:t>mTSS</w:t>
      </w:r>
      <w:proofErr w:type="spellEnd"/>
      <w:r w:rsidRPr="00E27AAF">
        <w:t xml:space="preserve"> at Week 244 (Year 5) was greatest in patients who received sarilumab 200 mg q2w from the time of </w:t>
      </w:r>
      <w:r w:rsidR="009B00A9" w:rsidRPr="00E27AAF">
        <w:t>randomi</w:t>
      </w:r>
      <w:r w:rsidR="009B00A9">
        <w:t>s</w:t>
      </w:r>
      <w:r w:rsidR="009B00A9" w:rsidRPr="00E27AAF">
        <w:t xml:space="preserve">ation </w:t>
      </w:r>
      <w:r w:rsidRPr="00E27AAF">
        <w:t xml:space="preserve">in </w:t>
      </w:r>
      <w:r w:rsidR="009B00A9">
        <w:t xml:space="preserve">Study </w:t>
      </w:r>
      <w:r w:rsidRPr="00E27AAF">
        <w:t>EFC11072 , followed by those who were random</w:t>
      </w:r>
      <w:r w:rsidR="00C775D6">
        <w:t>ised</w:t>
      </w:r>
      <w:r w:rsidRPr="00E27AAF">
        <w:t xml:space="preserve"> to sarilumab 150 mg q2w and placebo in </w:t>
      </w:r>
      <w:r w:rsidR="009B00A9">
        <w:t xml:space="preserve">Study </w:t>
      </w:r>
      <w:r w:rsidRPr="00E27AAF">
        <w:t>EFC11072 (47.1%, 42.2% a</w:t>
      </w:r>
      <w:r w:rsidR="000F5B2C">
        <w:t>nd 37.2%, respectively) (Table 52</w:t>
      </w:r>
      <w:r w:rsidRPr="00E27AAF">
        <w:t>). The findings at Year 5 were consistent with the observed data for Year 2 and Year 3 previously presented.</w:t>
      </w:r>
    </w:p>
    <w:p w:rsidR="00E27AAF" w:rsidRDefault="00AC5C9A" w:rsidP="001470FB">
      <w:r>
        <w:t>Patients initially randomis</w:t>
      </w:r>
      <w:r w:rsidR="00E27AAF" w:rsidRPr="00E27AAF">
        <w:t>ed to the sarilumab 150 mg q2w group had less radiographic progression compared with those</w:t>
      </w:r>
      <w:r>
        <w:t xml:space="preserve"> who had initially been randomis</w:t>
      </w:r>
      <w:r w:rsidR="00E27AAF" w:rsidRPr="00E27AAF">
        <w:t>ed to placebo. However, the treatment difference between 150 mg and 200 mg persisted through Week 244 (Year</w:t>
      </w:r>
      <w:r w:rsidR="009B00A9">
        <w:t> </w:t>
      </w:r>
      <w:r w:rsidR="00E27AAF" w:rsidRPr="00E27AAF">
        <w:t>5); further demonstrating that initial therapy with sarilumab 200 mg produces better radiographic outcomes.</w:t>
      </w:r>
    </w:p>
    <w:p w:rsidR="00AA6B20" w:rsidRDefault="00E27AAF" w:rsidP="001470FB">
      <w:pPr>
        <w:pStyle w:val="FigureTitle"/>
      </w:pPr>
      <w:r w:rsidRPr="00E27AAF">
        <w:t xml:space="preserve">Figure </w:t>
      </w:r>
      <w:r w:rsidR="008948C4">
        <w:t>20</w:t>
      </w:r>
      <w:r w:rsidR="00AC5C9A">
        <w:t>:</w:t>
      </w:r>
      <w:r w:rsidRPr="00E27AAF">
        <w:t xml:space="preserve"> </w:t>
      </w:r>
      <w:r w:rsidR="009B00A9">
        <w:t>Study</w:t>
      </w:r>
      <w:r w:rsidR="009B00A9" w:rsidRPr="00E27AAF">
        <w:t xml:space="preserve"> LTS11210 </w:t>
      </w:r>
      <w:r w:rsidR="008948C4">
        <w:t>M</w:t>
      </w:r>
      <w:r w:rsidRPr="00E27AAF">
        <w:t xml:space="preserve">ean change from </w:t>
      </w:r>
      <w:r w:rsidR="009B00A9">
        <w:t>B</w:t>
      </w:r>
      <w:r w:rsidRPr="00E27AAF">
        <w:t>aseline in the modified total Sharp score (</w:t>
      </w:r>
      <w:proofErr w:type="spellStart"/>
      <w:r w:rsidRPr="00E27AAF">
        <w:t>mTSS</w:t>
      </w:r>
      <w:proofErr w:type="spellEnd"/>
      <w:r w:rsidRPr="00E27AAF">
        <w:t>) at each visit</w:t>
      </w:r>
      <w:r w:rsidR="009B00A9">
        <w:t xml:space="preserve">; </w:t>
      </w:r>
      <w:r w:rsidRPr="00E27AAF">
        <w:t>ITT population</w:t>
      </w:r>
    </w:p>
    <w:p w:rsidR="00E27AAF" w:rsidRPr="00091017" w:rsidRDefault="00E27AAF" w:rsidP="00E27AAF">
      <w:pPr>
        <w:autoSpaceDE w:val="0"/>
        <w:autoSpaceDN w:val="0"/>
        <w:adjustRightInd w:val="0"/>
        <w:spacing w:before="0" w:after="0" w:line="240" w:lineRule="auto"/>
      </w:pPr>
      <w:r>
        <w:rPr>
          <w:rFonts w:ascii="Arial" w:eastAsiaTheme="minorHAnsi" w:hAnsi="Arial" w:cs="Arial"/>
          <w:noProof/>
          <w:sz w:val="24"/>
          <w:szCs w:val="24"/>
          <w:lang w:eastAsia="en-AU"/>
        </w:rPr>
        <w:drawing>
          <wp:inline distT="0" distB="0" distL="0" distR="0" wp14:anchorId="78C11140" wp14:editId="21BFC3EE">
            <wp:extent cx="4433011" cy="2716807"/>
            <wp:effectExtent l="0" t="0" r="5715" b="7620"/>
            <wp:docPr id="10" name="Picture 10" descr="Figure of the mean change from baseline in the modified total Sharp score (mTSS) at each visit LTS11210 ITT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cstate="print">
                      <a:lum bright="-20000" contrast="40000"/>
                      <a:extLst>
                        <a:ext uri="{28A0092B-C50C-407E-A947-70E740481C1C}">
                          <a14:useLocalDpi xmlns:a14="http://schemas.microsoft.com/office/drawing/2010/main" val="0"/>
                        </a:ext>
                      </a:extLst>
                    </a:blip>
                    <a:srcRect/>
                    <a:stretch>
                      <a:fillRect/>
                    </a:stretch>
                  </pic:blipFill>
                  <pic:spPr bwMode="auto">
                    <a:xfrm>
                      <a:off x="0" y="0"/>
                      <a:ext cx="4446874" cy="2725303"/>
                    </a:xfrm>
                    <a:prstGeom prst="rect">
                      <a:avLst/>
                    </a:prstGeom>
                    <a:noFill/>
                    <a:ln>
                      <a:noFill/>
                    </a:ln>
                  </pic:spPr>
                </pic:pic>
              </a:graphicData>
            </a:graphic>
          </wp:inline>
        </w:drawing>
      </w:r>
    </w:p>
    <w:p w:rsidR="00E27AAF" w:rsidRDefault="00E27AAF" w:rsidP="00B41DE2">
      <w:pPr>
        <w:pStyle w:val="Tabletitle0"/>
      </w:pPr>
      <w:r>
        <w:lastRenderedPageBreak/>
        <w:t xml:space="preserve">Table </w:t>
      </w:r>
      <w:r w:rsidR="000F5B2C">
        <w:t>51</w:t>
      </w:r>
      <w:r w:rsidR="00AC5C9A">
        <w:t>:</w:t>
      </w:r>
      <w:r>
        <w:t xml:space="preserve"> Mean changes from </w:t>
      </w:r>
      <w:r w:rsidR="009B00A9">
        <w:t xml:space="preserve">Baseline </w:t>
      </w:r>
      <w:r>
        <w:t>in radiographic parameters at Week</w:t>
      </w:r>
      <w:r w:rsidR="009B00A9">
        <w:t> </w:t>
      </w:r>
      <w:r>
        <w:t>244 for patients originally randomi</w:t>
      </w:r>
      <w:r w:rsidR="009B00A9">
        <w:t>s</w:t>
      </w:r>
      <w:r>
        <w:t xml:space="preserve">ed into </w:t>
      </w:r>
      <w:r w:rsidR="009B00A9">
        <w:t xml:space="preserve">Study </w:t>
      </w:r>
      <w:r>
        <w:t xml:space="preserve">EFC11072 Part B, Cohort 2 who continued into </w:t>
      </w:r>
      <w:r w:rsidR="009B00A9">
        <w:t xml:space="preserve">Study </w:t>
      </w:r>
      <w:r>
        <w:t>LTS11210</w:t>
      </w:r>
    </w:p>
    <w:p w:rsidR="00AA6B20" w:rsidRPr="00091017" w:rsidRDefault="00E27AAF" w:rsidP="00E27AAF">
      <w:pPr>
        <w:pStyle w:val="Default"/>
        <w:rPr>
          <w:rFonts w:asciiTheme="minorHAnsi" w:hAnsiTheme="minorHAnsi"/>
          <w:sz w:val="22"/>
          <w:szCs w:val="22"/>
        </w:rPr>
      </w:pPr>
      <w:r>
        <w:rPr>
          <w:noProof/>
          <w:lang w:eastAsia="en-AU"/>
        </w:rPr>
        <w:drawing>
          <wp:inline distT="0" distB="0" distL="0" distR="0" wp14:anchorId="54CC48B8" wp14:editId="3C0E8AB8">
            <wp:extent cx="4276680" cy="2942455"/>
            <wp:effectExtent l="0" t="0" r="0" b="0"/>
            <wp:docPr id="11" name="Picture 11" descr="Mean changes from baseline in radiographic parameters at Week 244 for patients originally randomized into EFC11072 Part B, Cohort 2 who continued into the LTS11210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srcRect t="3320"/>
                    <a:stretch/>
                  </pic:blipFill>
                  <pic:spPr bwMode="auto">
                    <a:xfrm>
                      <a:off x="0" y="0"/>
                      <a:ext cx="4281708" cy="2945914"/>
                    </a:xfrm>
                    <a:prstGeom prst="rect">
                      <a:avLst/>
                    </a:prstGeom>
                    <a:ln>
                      <a:noFill/>
                    </a:ln>
                    <a:extLst>
                      <a:ext uri="{53640926-AAD7-44D8-BBD7-CCE9431645EC}">
                        <a14:shadowObscured xmlns:a14="http://schemas.microsoft.com/office/drawing/2010/main"/>
                      </a:ext>
                    </a:extLst>
                  </pic:spPr>
                </pic:pic>
              </a:graphicData>
            </a:graphic>
          </wp:inline>
        </w:drawing>
      </w:r>
    </w:p>
    <w:p w:rsidR="00AA6B20" w:rsidRDefault="00E27AAF" w:rsidP="00B41DE2">
      <w:pPr>
        <w:pStyle w:val="TableDescription"/>
      </w:pPr>
      <w:r w:rsidRPr="00E27AAF">
        <w:t>Rank ANCOVA model stratified by prior biologic use and region. Modified total Sharp score = the sum of bone erosion scores from 44 joints and joint space narrowing scores from 42 joints, with a maximum score 448. Data collected after treatment discontinuation or starting rescue medication are used as observed. Linear extrapolation is used to impute missing modified total Sharp scores. Note: Number = Number of patients with assessment at both baseline and the corresponding week.</w:t>
      </w:r>
    </w:p>
    <w:p w:rsidR="00E27AAF" w:rsidRDefault="00E27AAF" w:rsidP="00B41DE2">
      <w:pPr>
        <w:pStyle w:val="TableTitle"/>
      </w:pPr>
      <w:r>
        <w:t xml:space="preserve">Table </w:t>
      </w:r>
      <w:r w:rsidR="000F5B2C">
        <w:t>52</w:t>
      </w:r>
      <w:r w:rsidR="00AC5C9A">
        <w:t xml:space="preserve">: </w:t>
      </w:r>
      <w:r>
        <w:t xml:space="preserve">Number and proportion of patients with no radiographic progression at Week 244 for patients originally </w:t>
      </w:r>
      <w:r w:rsidR="00495AA5">
        <w:t xml:space="preserve">randomised </w:t>
      </w:r>
      <w:r>
        <w:t xml:space="preserve">into </w:t>
      </w:r>
      <w:r w:rsidR="00495AA5">
        <w:t xml:space="preserve">Study </w:t>
      </w:r>
      <w:r>
        <w:t>EFC11072 Part</w:t>
      </w:r>
      <w:r w:rsidR="00495AA5">
        <w:t> </w:t>
      </w:r>
      <w:r>
        <w:t xml:space="preserve">B, Cohort 2 who continued into </w:t>
      </w:r>
      <w:r w:rsidR="00495AA5">
        <w:t xml:space="preserve">Study </w:t>
      </w:r>
      <w:r>
        <w:t>LTS11210</w:t>
      </w:r>
    </w:p>
    <w:p w:rsidR="00720B5E" w:rsidRPr="00091017" w:rsidRDefault="00720B5E" w:rsidP="00091017">
      <w:r>
        <w:rPr>
          <w:noProof/>
          <w:lang w:eastAsia="en-AU"/>
        </w:rPr>
        <w:drawing>
          <wp:inline distT="0" distB="0" distL="0" distR="0" wp14:anchorId="14EC8073" wp14:editId="500879D1">
            <wp:extent cx="4826906" cy="3671799"/>
            <wp:effectExtent l="0" t="0" r="0" b="5080"/>
            <wp:docPr id="12" name="Picture 12" descr="Number and proportion of patients with no radiographic progression at Week 244 for patients originally randomized into EFC11072 Part B, Cohort 2 who continued into the LTS11210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a:srcRect t="876"/>
                    <a:stretch/>
                  </pic:blipFill>
                  <pic:spPr bwMode="auto">
                    <a:xfrm>
                      <a:off x="0" y="0"/>
                      <a:ext cx="4827554" cy="3672292"/>
                    </a:xfrm>
                    <a:prstGeom prst="rect">
                      <a:avLst/>
                    </a:prstGeom>
                    <a:ln>
                      <a:noFill/>
                    </a:ln>
                    <a:extLst>
                      <a:ext uri="{53640926-AAD7-44D8-BBD7-CCE9431645EC}">
                        <a14:shadowObscured xmlns:a14="http://schemas.microsoft.com/office/drawing/2010/main"/>
                      </a:ext>
                    </a:extLst>
                  </pic:spPr>
                </pic:pic>
              </a:graphicData>
            </a:graphic>
          </wp:inline>
        </w:drawing>
      </w:r>
    </w:p>
    <w:p w:rsidR="00AA6B20" w:rsidRDefault="00B41DE2" w:rsidP="00B41DE2">
      <w:pPr>
        <w:pStyle w:val="Heading6"/>
        <w:rPr>
          <w:rFonts w:eastAsiaTheme="minorHAnsi"/>
        </w:rPr>
      </w:pPr>
      <w:r>
        <w:rPr>
          <w:rFonts w:eastAsiaTheme="minorHAnsi"/>
        </w:rPr>
        <w:lastRenderedPageBreak/>
        <w:t>Conclusion</w:t>
      </w:r>
      <w:r w:rsidRPr="00720B5E">
        <w:rPr>
          <w:rFonts w:eastAsiaTheme="minorHAnsi"/>
        </w:rPr>
        <w:t xml:space="preserve"> long term efficacy</w:t>
      </w:r>
    </w:p>
    <w:p w:rsidR="00AA6B20" w:rsidRDefault="00720B5E" w:rsidP="00B41DE2">
      <w:r w:rsidRPr="00720B5E">
        <w:t xml:space="preserve">Sarilumab provided clinically meaningful and durable efficacy responses as demonstrated in the long-term follow-up of patients who initially were treated in </w:t>
      </w:r>
      <w:r w:rsidR="00AC5C9A">
        <w:t>S</w:t>
      </w:r>
      <w:r w:rsidRPr="00720B5E">
        <w:t xml:space="preserve">tudies EFC11072 and EFC10832, and continued open-label treatment with sarilumab 200 mg q2w in </w:t>
      </w:r>
      <w:r w:rsidR="00AC5C9A">
        <w:t>Study</w:t>
      </w:r>
      <w:r w:rsidR="00495AA5">
        <w:t> </w:t>
      </w:r>
      <w:r w:rsidRPr="00720B5E">
        <w:t>LTS11210 up to 5 and 3 years, respectively. Patients with moderate to severe RA experienced durable decrease in signs and symptoms and disease activity, and improvement of physical functions. Sarilumab effectively inhibited the radiographic progression of joint damage in patients with up to five years of follow-up, with the greatest benefit being achieved by patients who had been treated with sarilumab 200 m</w:t>
      </w:r>
      <w:r w:rsidR="00AC5C9A">
        <w:t>g q2w since the initial randomis</w:t>
      </w:r>
      <w:r w:rsidRPr="00720B5E">
        <w:t>ation in</w:t>
      </w:r>
      <w:r w:rsidR="00AC5C9A">
        <w:t xml:space="preserve"> Study</w:t>
      </w:r>
      <w:r w:rsidRPr="00720B5E">
        <w:t xml:space="preserve"> EFC11072 and who then continued this treatment in </w:t>
      </w:r>
      <w:r w:rsidR="00AC5C9A">
        <w:t xml:space="preserve">Study </w:t>
      </w:r>
      <w:r w:rsidRPr="00720B5E">
        <w:t>LTS11210.</w:t>
      </w:r>
    </w:p>
    <w:p w:rsidR="00AA6B20" w:rsidRDefault="00B41DE2" w:rsidP="00B41DE2">
      <w:pPr>
        <w:pStyle w:val="Heading6"/>
        <w:rPr>
          <w:rFonts w:eastAsiaTheme="minorHAnsi"/>
        </w:rPr>
      </w:pPr>
      <w:r w:rsidRPr="00720B5E">
        <w:rPr>
          <w:rFonts w:eastAsiaTheme="minorHAnsi"/>
        </w:rPr>
        <w:t>Long term safety</w:t>
      </w:r>
    </w:p>
    <w:p w:rsidR="00720B5E" w:rsidRDefault="00720B5E" w:rsidP="00B41DE2">
      <w:r w:rsidRPr="00720B5E">
        <w:t>Overal</w:t>
      </w:r>
      <w:r w:rsidR="00AC5C9A">
        <w:t xml:space="preserve">l, the safety findings from Study </w:t>
      </w:r>
      <w:r w:rsidRPr="00720B5E">
        <w:t xml:space="preserve">LTS11210 during the same reporting period are consistent with the expected safety profile of sarilumab in RA patients. Safety data were evaluated in all 2887 patients who received </w:t>
      </w:r>
      <w:r w:rsidR="00DD5BCE">
        <w:t xml:space="preserve">≥ </w:t>
      </w:r>
      <w:r w:rsidRPr="00720B5E">
        <w:t xml:space="preserve">1 dose of sarilumab in combination with </w:t>
      </w:r>
      <w:proofErr w:type="spellStart"/>
      <w:r w:rsidRPr="00720B5E">
        <w:t>csDMARDs</w:t>
      </w:r>
      <w:proofErr w:type="spellEnd"/>
      <w:r w:rsidRPr="00720B5E">
        <w:t>.</w:t>
      </w:r>
    </w:p>
    <w:p w:rsidR="00AA6B20" w:rsidRDefault="00720B5E" w:rsidP="00B41DE2">
      <w:r>
        <w:t>In the overall safety population (</w:t>
      </w:r>
      <w:r w:rsidR="007C7C62">
        <w:t xml:space="preserve">n = </w:t>
      </w:r>
      <w:r>
        <w:t xml:space="preserve">2887), mean age at baseline was 51.8 years (standard deviation </w:t>
      </w:r>
      <w:r w:rsidR="00495AA5">
        <w:t>(</w:t>
      </w:r>
      <w:r>
        <w:t>SD</w:t>
      </w:r>
      <w:r w:rsidR="00495AA5">
        <w:t>)</w:t>
      </w:r>
      <w:r>
        <w:t xml:space="preserve"> 12.2), mean RA duration was 9.4 years (SD 8.4), 81.3% of patients were female, and 38.7% of patients had prior exposure to biologic DMARDs. The total exposure in the sarilumab + DMARD long-term safety population to any dose of sarilumab was 2887 patients for 7412.2 PY. The focus of this review is uncommon AEs and events with longer latency periods: serious infections, GI perforation, major adverse cardiovascular events (MACEs), malignancy, and anaphylaxis.</w:t>
      </w:r>
    </w:p>
    <w:p w:rsidR="00720B5E" w:rsidRDefault="00720B5E" w:rsidP="00B41DE2">
      <w:pPr>
        <w:pStyle w:val="Tabletitle0"/>
      </w:pPr>
      <w:r>
        <w:lastRenderedPageBreak/>
        <w:t xml:space="preserve">Table </w:t>
      </w:r>
      <w:r w:rsidR="000F5B2C">
        <w:t>53</w:t>
      </w:r>
      <w:r w:rsidR="00AC5C9A">
        <w:t>:</w:t>
      </w:r>
      <w:r>
        <w:t xml:space="preserve"> </w:t>
      </w:r>
      <w:r w:rsidR="00B41DE2">
        <w:t>A</w:t>
      </w:r>
      <w:r>
        <w:t>dverse events</w:t>
      </w:r>
    </w:p>
    <w:p w:rsidR="00720B5E" w:rsidRPr="00091017" w:rsidRDefault="00AC5C9A" w:rsidP="00720B5E">
      <w:pPr>
        <w:autoSpaceDE w:val="0"/>
        <w:autoSpaceDN w:val="0"/>
        <w:adjustRightInd w:val="0"/>
        <w:spacing w:before="0" w:after="0" w:line="240" w:lineRule="auto"/>
        <w:rPr>
          <w:rFonts w:asciiTheme="minorHAnsi" w:eastAsiaTheme="minorHAnsi" w:hAnsiTheme="minorHAnsi" w:cs="Arial"/>
        </w:rPr>
      </w:pPr>
      <w:r>
        <w:rPr>
          <w:noProof/>
          <w:lang w:eastAsia="en-AU"/>
        </w:rPr>
        <w:drawing>
          <wp:inline distT="0" distB="0" distL="0" distR="0" wp14:anchorId="7036300C" wp14:editId="69DE367E">
            <wp:extent cx="4948081" cy="7117690"/>
            <wp:effectExtent l="0" t="0" r="5080" b="7620"/>
            <wp:docPr id="2" name="Picture 2" descr="Adverse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extLst>
                        <a:ext uri="{BEBA8EAE-BF5A-486C-A8C5-ECC9F3942E4B}">
                          <a14:imgProps xmlns:a14="http://schemas.microsoft.com/office/drawing/2010/main">
                            <a14:imgLayer r:embed="rId106">
                              <a14:imgEffect>
                                <a14:sharpenSoften amount="50000"/>
                              </a14:imgEffect>
                            </a14:imgLayer>
                          </a14:imgProps>
                        </a:ext>
                      </a:extLst>
                    </a:blip>
                    <a:stretch>
                      <a:fillRect/>
                    </a:stretch>
                  </pic:blipFill>
                  <pic:spPr>
                    <a:xfrm>
                      <a:off x="0" y="0"/>
                      <a:ext cx="4951768" cy="7122994"/>
                    </a:xfrm>
                    <a:prstGeom prst="rect">
                      <a:avLst/>
                    </a:prstGeom>
                  </pic:spPr>
                </pic:pic>
              </a:graphicData>
            </a:graphic>
          </wp:inline>
        </w:drawing>
      </w:r>
    </w:p>
    <w:p w:rsidR="00AA6B20" w:rsidRDefault="00B41DE2" w:rsidP="00B41DE2">
      <w:pPr>
        <w:pStyle w:val="Heading6"/>
        <w:rPr>
          <w:rFonts w:eastAsiaTheme="minorHAnsi"/>
        </w:rPr>
      </w:pPr>
      <w:r w:rsidRPr="00720B5E">
        <w:rPr>
          <w:rFonts w:eastAsiaTheme="minorHAnsi"/>
        </w:rPr>
        <w:t>Conclusion long term safety</w:t>
      </w:r>
    </w:p>
    <w:p w:rsidR="00AA6B20" w:rsidRDefault="00720B5E" w:rsidP="00B41DE2">
      <w:r w:rsidRPr="00720B5E">
        <w:t>No new safety findings with long-term administration were identified to date.</w:t>
      </w:r>
    </w:p>
    <w:p w:rsidR="00720B5E" w:rsidRPr="00091017" w:rsidRDefault="00720B5E" w:rsidP="00B41DE2">
      <w:r w:rsidRPr="00720B5E">
        <w:t xml:space="preserve">The safety profile of sarilumab plus DMARDs remained stable over </w:t>
      </w:r>
      <w:r w:rsidR="00DD5BCE">
        <w:t xml:space="preserve">&gt; </w:t>
      </w:r>
      <w:r w:rsidRPr="00720B5E">
        <w:t xml:space="preserve">5 years of treatment. The incidence rate of adverse events (AEs) was generally stable over </w:t>
      </w:r>
      <w:r w:rsidR="00DD5BCE">
        <w:t xml:space="preserve">&gt; </w:t>
      </w:r>
      <w:r w:rsidRPr="00720B5E">
        <w:t xml:space="preserve">5 years of treatment, with no signal for increased rate of any AEs of special interest (including serious AEs and serious infections) over time. The incidences of injection-site reactions, and elevated </w:t>
      </w:r>
      <w:r w:rsidR="00022192">
        <w:t>ALT</w:t>
      </w:r>
      <w:r w:rsidRPr="00720B5E">
        <w:t xml:space="preserve"> levels declined overtime.</w:t>
      </w:r>
    </w:p>
    <w:p w:rsidR="008E7846" w:rsidRDefault="008E7846" w:rsidP="008E7846">
      <w:pPr>
        <w:pStyle w:val="Heading4"/>
      </w:pPr>
      <w:r>
        <w:lastRenderedPageBreak/>
        <w:t xml:space="preserve">Advisory Committee </w:t>
      </w:r>
      <w:r w:rsidR="00495AA5">
        <w:t>considerations</w:t>
      </w:r>
      <w:r w:rsidR="00456765">
        <w:rPr>
          <w:rStyle w:val="FootnoteReference"/>
        </w:rPr>
        <w:footnoteReference w:id="25"/>
      </w:r>
    </w:p>
    <w:p w:rsidR="00617643" w:rsidRPr="00C12AE4" w:rsidRDefault="00617643" w:rsidP="00617643">
      <w:bookmarkStart w:id="254" w:name="_Toc247691532"/>
      <w:bookmarkStart w:id="255" w:name="_Toc314842516"/>
      <w:bookmarkEnd w:id="123"/>
      <w:bookmarkEnd w:id="251"/>
      <w:bookmarkEnd w:id="252"/>
      <w:r w:rsidRPr="00C12AE4">
        <w:t>The ACM taking into account the submitted evidence of efficacy, safety and quality, agreed with the</w:t>
      </w:r>
      <w:r w:rsidR="00022192">
        <w:t xml:space="preserve"> D</w:t>
      </w:r>
      <w:r w:rsidRPr="00C12AE4">
        <w:t xml:space="preserve">elegate and considered </w:t>
      </w:r>
      <w:r w:rsidR="001470FB">
        <w:rPr>
          <w:noProof/>
        </w:rPr>
        <w:t>Kevzara</w:t>
      </w:r>
      <w:r w:rsidRPr="00C12AE4">
        <w:t xml:space="preserve"> </w:t>
      </w:r>
      <w:r w:rsidRPr="007F0E37">
        <w:t>solution for injection (pre</w:t>
      </w:r>
      <w:r>
        <w:t>-</w:t>
      </w:r>
      <w:r w:rsidRPr="007F0E37">
        <w:t xml:space="preserve">filled syringes and </w:t>
      </w:r>
      <w:r>
        <w:t xml:space="preserve">pre-filled </w:t>
      </w:r>
      <w:r w:rsidRPr="007F0E37">
        <w:t>pens)</w:t>
      </w:r>
      <w:r>
        <w:t xml:space="preserve"> </w:t>
      </w:r>
      <w:r w:rsidRPr="00AF3BAF">
        <w:t xml:space="preserve">containing </w:t>
      </w:r>
      <w:r w:rsidRPr="007F0E37">
        <w:t>150 mg</w:t>
      </w:r>
      <w:r>
        <w:t xml:space="preserve"> in </w:t>
      </w:r>
      <w:r w:rsidRPr="007F0E37">
        <w:t>1.14 mL and 200 mg</w:t>
      </w:r>
      <w:r>
        <w:t xml:space="preserve"> in </w:t>
      </w:r>
      <w:r w:rsidRPr="007F0E37">
        <w:t xml:space="preserve">1.14 mL </w:t>
      </w:r>
      <w:r w:rsidRPr="00AF3BAF">
        <w:t xml:space="preserve">of </w:t>
      </w:r>
      <w:r w:rsidRPr="00AF3BAF">
        <w:rPr>
          <w:noProof/>
        </w:rPr>
        <w:t>sarilumab</w:t>
      </w:r>
      <w:r w:rsidRPr="00AF3BAF">
        <w:t xml:space="preserve"> to have an overall positive benefit-risk profile for the proposed indication:</w:t>
      </w:r>
    </w:p>
    <w:p w:rsidR="00617643" w:rsidRPr="007B1E5A" w:rsidRDefault="00617643" w:rsidP="007B1E5A">
      <w:pPr>
        <w:ind w:left="720"/>
        <w:rPr>
          <w:i/>
        </w:rPr>
      </w:pPr>
      <w:r w:rsidRPr="007B1E5A">
        <w:rPr>
          <w:i/>
        </w:rPr>
        <w:t>Kevzara in combination with non-biological Disease-Modifying Anti-Rheumatic Drugs (DMARDs) or as monotherapy is indicated for the treatment of moderate to severe active Rheumatoid Arthritis in adult patients who have had an inadequate response or intolerance to one or more DMARDs.</w:t>
      </w:r>
    </w:p>
    <w:p w:rsidR="00617643" w:rsidRDefault="00617643" w:rsidP="00617643">
      <w:r w:rsidRPr="00C12AE4">
        <w:t xml:space="preserve">In </w:t>
      </w:r>
      <w:r>
        <w:t>providing this advice</w:t>
      </w:r>
      <w:r w:rsidRPr="00C12AE4">
        <w:t xml:space="preserve"> the ACM </w:t>
      </w:r>
      <w:r>
        <w:t>noted the following:</w:t>
      </w:r>
    </w:p>
    <w:p w:rsidR="00617643" w:rsidRDefault="00617643" w:rsidP="007B1E5A">
      <w:pPr>
        <w:pStyle w:val="ListBullet"/>
      </w:pPr>
      <w:r>
        <w:t xml:space="preserve">This submission provided new clinical data from two Phase III studies: </w:t>
      </w:r>
      <w:r w:rsidR="005A2C47">
        <w:t>Study</w:t>
      </w:r>
      <w:r w:rsidR="00495AA5">
        <w:t> </w:t>
      </w:r>
      <w:r>
        <w:t>EFC14092</w:t>
      </w:r>
      <w:r w:rsidR="00495AA5">
        <w:t>/</w:t>
      </w:r>
      <w:r>
        <w:t>MONARCH</w:t>
      </w:r>
      <w:r w:rsidR="00495AA5">
        <w:t xml:space="preserve"> trial</w:t>
      </w:r>
      <w:r>
        <w:t>, assessing the efficacy and safety of sarilumab monotherapy</w:t>
      </w:r>
      <w:r w:rsidR="003D2290">
        <w:t xml:space="preserve"> versus </w:t>
      </w:r>
      <w:r>
        <w:t xml:space="preserve">adalimumab monotherapy for 24 weeks in the patients with rheumatoid arthritis (RA); and </w:t>
      </w:r>
      <w:r w:rsidR="005A2C47">
        <w:t xml:space="preserve">Study </w:t>
      </w:r>
      <w:r>
        <w:t>MSC12655 (EASY</w:t>
      </w:r>
      <w:r w:rsidR="00495AA5">
        <w:t xml:space="preserve"> trial</w:t>
      </w:r>
      <w:r>
        <w:t xml:space="preserve">), assessing the usability </w:t>
      </w:r>
      <w:r w:rsidRPr="00545174">
        <w:t>of the sarilumab autoinjector device and the pre-filled syringe in patients with moderate to severe RA.</w:t>
      </w:r>
    </w:p>
    <w:p w:rsidR="00617643" w:rsidRDefault="00617643" w:rsidP="007B1E5A">
      <w:pPr>
        <w:pStyle w:val="ListBullet"/>
      </w:pPr>
      <w:r>
        <w:t>Updated data up to 5 years (provided with the pre-ACM response) from Study</w:t>
      </w:r>
      <w:r w:rsidR="00495AA5">
        <w:t> </w:t>
      </w:r>
      <w:r>
        <w:t>LTS11210, an ongoing long-</w:t>
      </w:r>
      <w:r w:rsidRPr="00EF4C64">
        <w:t xml:space="preserve">term study </w:t>
      </w:r>
      <w:r>
        <w:t xml:space="preserve">to </w:t>
      </w:r>
      <w:r w:rsidRPr="00EF4C64">
        <w:t>evaluate the long-term safety of sarilumab in patients with RA</w:t>
      </w:r>
      <w:r>
        <w:t xml:space="preserve">, was provided in </w:t>
      </w:r>
      <w:r w:rsidRPr="00EF4C64">
        <w:t>relati</w:t>
      </w:r>
      <w:r>
        <w:t>on</w:t>
      </w:r>
      <w:r w:rsidRPr="00EF4C64">
        <w:t xml:space="preserve"> to radiological progression of joint damage</w:t>
      </w:r>
      <w:r>
        <w:t>.</w:t>
      </w:r>
      <w:r w:rsidRPr="00EF4C64">
        <w:t xml:space="preserve"> </w:t>
      </w:r>
      <w:r w:rsidRPr="00BD55C0">
        <w:t xml:space="preserve">Overall, the data showed that progression of radiological structural joint damage was less marked in patients initiating treatment with sarilumab 200 mg </w:t>
      </w:r>
      <w:r>
        <w:t>fortnightly</w:t>
      </w:r>
      <w:r w:rsidRPr="00BD55C0">
        <w:t xml:space="preserve"> and continuing at this dose than in patients initiating treatment with sarilumab 150 mg </w:t>
      </w:r>
      <w:r>
        <w:t>fortnightly</w:t>
      </w:r>
      <w:r w:rsidRPr="00BD55C0">
        <w:t xml:space="preserve"> and subsequently increasing the sarilumab dose to 200 mg </w:t>
      </w:r>
      <w:r>
        <w:t>fortnightly</w:t>
      </w:r>
      <w:r w:rsidRPr="00BD55C0">
        <w:t>.</w:t>
      </w:r>
    </w:p>
    <w:p w:rsidR="00617643" w:rsidRPr="00C12AE4" w:rsidRDefault="00617643" w:rsidP="007B1E5A">
      <w:pPr>
        <w:pStyle w:val="ListBullet"/>
      </w:pPr>
      <w:r>
        <w:t>In the USA, Canada and EU, sarilumab for RA has been approved at dosage of 200 mg fortnightly, with reduction to 150 mg fortnightly for management of neutro</w:t>
      </w:r>
      <w:r w:rsidR="001E2D44">
        <w:t>paenia</w:t>
      </w:r>
      <w:r>
        <w:t>, thrombocyto</w:t>
      </w:r>
      <w:r w:rsidR="001E2D44">
        <w:t>paenia</w:t>
      </w:r>
      <w:r>
        <w:t>, and liver enzyme elevation.</w:t>
      </w:r>
    </w:p>
    <w:p w:rsidR="00617643" w:rsidRPr="00C12AE4" w:rsidRDefault="00617643" w:rsidP="007B1E5A">
      <w:pPr>
        <w:pStyle w:val="Heading5"/>
      </w:pPr>
      <w:r w:rsidRPr="00C12AE4">
        <w:t>Proposed conditions of registration</w:t>
      </w:r>
    </w:p>
    <w:p w:rsidR="00617643" w:rsidRPr="00C12AE4" w:rsidRDefault="00022192" w:rsidP="00617643">
      <w:r>
        <w:t>The ACM agreed with the D</w:t>
      </w:r>
      <w:r w:rsidR="00617643" w:rsidRPr="00C12AE4">
        <w:t>elegate on the proposed conditions of registration</w:t>
      </w:r>
      <w:r w:rsidR="00617643">
        <w:t xml:space="preserve"> and advised that paediatric data should be presented when available.</w:t>
      </w:r>
    </w:p>
    <w:p w:rsidR="00617643" w:rsidRPr="00C12AE4" w:rsidRDefault="00617643" w:rsidP="007B1E5A">
      <w:pPr>
        <w:pStyle w:val="Heading5"/>
      </w:pPr>
      <w:r w:rsidRPr="00C12AE4">
        <w:t>Proposed Product Information (PI)/ Consumer Medicine Information (CMI) amendments</w:t>
      </w:r>
    </w:p>
    <w:p w:rsidR="00617643" w:rsidRPr="00C12AE4" w:rsidRDefault="00617643" w:rsidP="00617643">
      <w:r w:rsidRPr="00C12AE4">
        <w:t xml:space="preserve">The ACM agreed with the </w:t>
      </w:r>
      <w:r w:rsidR="00B2047B">
        <w:t>D</w:t>
      </w:r>
      <w:r w:rsidR="00B2047B" w:rsidRPr="00C12AE4">
        <w:t>elegate</w:t>
      </w:r>
      <w:r w:rsidRPr="00C12AE4">
        <w:t xml:space="preserve"> to the proposed amendments to the PI and CMI.</w:t>
      </w:r>
    </w:p>
    <w:p w:rsidR="00617643" w:rsidRPr="00C12AE4" w:rsidRDefault="00617643" w:rsidP="007B1E5A">
      <w:pPr>
        <w:pStyle w:val="Heading5"/>
      </w:pPr>
      <w:r w:rsidRPr="00C12AE4">
        <w:t>Specific Advice</w:t>
      </w:r>
    </w:p>
    <w:p w:rsidR="00617643" w:rsidRPr="00C12AE4" w:rsidRDefault="00617643" w:rsidP="00617643">
      <w:r w:rsidRPr="00C12AE4">
        <w:t xml:space="preserve">The ACM advised the following in response to the </w:t>
      </w:r>
      <w:r w:rsidR="007B1E5A">
        <w:t>D</w:t>
      </w:r>
      <w:r w:rsidRPr="00C12AE4">
        <w:t>elegate’s specific questions on the submission:</w:t>
      </w:r>
    </w:p>
    <w:p w:rsidR="00617643" w:rsidRPr="00022192" w:rsidRDefault="00617643" w:rsidP="00091017">
      <w:pPr>
        <w:pStyle w:val="Numberbullet0"/>
        <w:keepNext/>
        <w:numPr>
          <w:ilvl w:val="0"/>
          <w:numId w:val="28"/>
        </w:numPr>
        <w:rPr>
          <w:i/>
        </w:rPr>
      </w:pPr>
      <w:r w:rsidRPr="00022192">
        <w:rPr>
          <w:i/>
        </w:rPr>
        <w:lastRenderedPageBreak/>
        <w:t>What are the committee’s views on the proposed dosing regimen for sarilumab?</w:t>
      </w:r>
    </w:p>
    <w:p w:rsidR="00617643" w:rsidRDefault="00617643" w:rsidP="007B1E5A">
      <w:r>
        <w:t>The ACM considered that t</w:t>
      </w:r>
      <w:r w:rsidRPr="00012F5F">
        <w:t>he MONARCH study supports the efficacy of the 200</w:t>
      </w:r>
      <w:r>
        <w:t> </w:t>
      </w:r>
      <w:r w:rsidRPr="00012F5F">
        <w:t xml:space="preserve">mg </w:t>
      </w:r>
      <w:r>
        <w:t>fortnightly</w:t>
      </w:r>
      <w:r w:rsidRPr="00012F5F">
        <w:t xml:space="preserve"> dose of sarilumab</w:t>
      </w:r>
      <w:r>
        <w:t xml:space="preserve"> as monotherapy, noting that</w:t>
      </w:r>
      <w:r w:rsidRPr="00012F5F">
        <w:t xml:space="preserve"> </w:t>
      </w:r>
      <w:r>
        <w:t>a dose of</w:t>
      </w:r>
      <w:r w:rsidRPr="00012F5F">
        <w:t xml:space="preserve"> 150</w:t>
      </w:r>
      <w:r>
        <w:t> </w:t>
      </w:r>
      <w:r w:rsidRPr="00012F5F">
        <w:t xml:space="preserve">mg </w:t>
      </w:r>
      <w:r>
        <w:t>was not assessed in the study.</w:t>
      </w:r>
    </w:p>
    <w:p w:rsidR="00AA6B20" w:rsidRDefault="00617643" w:rsidP="007B1E5A">
      <w:r>
        <w:t xml:space="preserve">The ACM considered its previous advice on sarilumab (for use in combination with DMARDs): </w:t>
      </w:r>
      <w:r w:rsidR="001470FB">
        <w:t>‘</w:t>
      </w:r>
      <w:r w:rsidRPr="00022192">
        <w:rPr>
          <w:i/>
        </w:rPr>
        <w:t>that there was no statistical evidence that the 200 mg dose of sarilumab is superior to the 150 mg for the routine outcome measures such as ACR20 response – but both doses are effective and a trend was seen for greater efficacy with the 200 mg</w:t>
      </w:r>
      <w:r w:rsidRPr="00AC04B5">
        <w:t>.</w:t>
      </w:r>
      <w:r w:rsidR="001470FB">
        <w:t>’</w:t>
      </w:r>
      <w:r>
        <w:t xml:space="preserve"> The ACM considered that this was still the case, noting that efficacy endpoints in the EASY </w:t>
      </w:r>
      <w:r w:rsidR="00495AA5">
        <w:t xml:space="preserve">trial </w:t>
      </w:r>
      <w:r>
        <w:t>did not show considerable difference between the 200 mg and 150 mg doses.</w:t>
      </w:r>
    </w:p>
    <w:p w:rsidR="00617643" w:rsidRDefault="00617643" w:rsidP="007B1E5A">
      <w:r>
        <w:t>However, given overall consideration of the submission, including:</w:t>
      </w:r>
    </w:p>
    <w:p w:rsidR="00617643" w:rsidRPr="007B1E5A" w:rsidRDefault="0027047D" w:rsidP="007B1E5A">
      <w:pPr>
        <w:pStyle w:val="ListBullet"/>
      </w:pPr>
      <w:r>
        <w:t>E</w:t>
      </w:r>
      <w:r w:rsidR="00617643" w:rsidRPr="007B1E5A">
        <w:t xml:space="preserve">fficacy and safety data from the MONARCH </w:t>
      </w:r>
      <w:r w:rsidR="00495AA5">
        <w:t>trial</w:t>
      </w:r>
      <w:r w:rsidR="00495AA5" w:rsidRPr="007B1E5A">
        <w:t xml:space="preserve"> </w:t>
      </w:r>
      <w:r w:rsidR="00617643" w:rsidRPr="007B1E5A">
        <w:t>based on the 200 mg dose;</w:t>
      </w:r>
    </w:p>
    <w:p w:rsidR="00617643" w:rsidRPr="007B1E5A" w:rsidRDefault="0027047D" w:rsidP="007B1E5A">
      <w:pPr>
        <w:pStyle w:val="ListBullet"/>
      </w:pPr>
      <w:r>
        <w:t>T</w:t>
      </w:r>
      <w:r w:rsidR="00617643" w:rsidRPr="007B1E5A">
        <w:t>he trend in Study EFC11072 (MOBILITY</w:t>
      </w:r>
      <w:r w:rsidR="00495AA5">
        <w:t xml:space="preserve"> trial</w:t>
      </w:r>
      <w:r w:rsidR="00617643" w:rsidRPr="007B1E5A">
        <w:t xml:space="preserve">) and </w:t>
      </w:r>
      <w:r w:rsidR="00495AA5">
        <w:t xml:space="preserve">Study </w:t>
      </w:r>
      <w:r w:rsidR="00617643" w:rsidRPr="007B1E5A">
        <w:t>EFC10832 (TARGET</w:t>
      </w:r>
      <w:r w:rsidR="00495AA5">
        <w:t xml:space="preserve"> trial</w:t>
      </w:r>
      <w:r w:rsidR="00617643" w:rsidRPr="007B1E5A">
        <w:t>) towards an efficacy benefit with the 200 mg dose compared to the 150 mg dose;</w:t>
      </w:r>
    </w:p>
    <w:p w:rsidR="00617643" w:rsidRPr="007B1E5A" w:rsidRDefault="0027047D" w:rsidP="007B1E5A">
      <w:pPr>
        <w:pStyle w:val="ListBullet"/>
      </w:pPr>
      <w:r>
        <w:t>S</w:t>
      </w:r>
      <w:r w:rsidR="00617643" w:rsidRPr="007B1E5A">
        <w:t>imilar exposure-adjusted adverse event rates, except for those requiring a dose reduction, in the sarilumab + DMARD safety population, between patients in the 200</w:t>
      </w:r>
      <w:r w:rsidR="00495AA5">
        <w:t> </w:t>
      </w:r>
      <w:r w:rsidR="00617643" w:rsidRPr="007B1E5A">
        <w:t>mg fortnightly initial dose group and the 150 mg fortnightly initial dose group; and</w:t>
      </w:r>
    </w:p>
    <w:p w:rsidR="00617643" w:rsidRPr="007B1E5A" w:rsidRDefault="0027047D" w:rsidP="007B1E5A">
      <w:pPr>
        <w:pStyle w:val="ListBullet"/>
      </w:pPr>
      <w:r>
        <w:t>A</w:t>
      </w:r>
      <w:r w:rsidR="00617643" w:rsidRPr="007B1E5A">
        <w:t>pproval in other jurisdictions for initiating treatment at the 200 mg dose;</w:t>
      </w:r>
    </w:p>
    <w:p w:rsidR="00AA6B20" w:rsidRDefault="0027047D" w:rsidP="007B1E5A">
      <w:pPr>
        <w:pStyle w:val="ListBullet"/>
      </w:pPr>
      <w:r>
        <w:t>T</w:t>
      </w:r>
      <w:r w:rsidR="00617643" w:rsidRPr="007B1E5A">
        <w:t>he ACM was of the view that initiating dosage of sarilumab at 200 mg fortnightly (reducing to 150 mg fortnightly for management of neutro</w:t>
      </w:r>
      <w:r w:rsidR="001E2D44">
        <w:t>paenia</w:t>
      </w:r>
      <w:r w:rsidR="00617643" w:rsidRPr="007B1E5A">
        <w:t>, thrombocyto</w:t>
      </w:r>
      <w:r w:rsidR="001E2D44">
        <w:t>paenia</w:t>
      </w:r>
      <w:r w:rsidR="00617643" w:rsidRPr="007B1E5A">
        <w:t xml:space="preserve"> and elevated liver enzymes) would be acceptable.</w:t>
      </w:r>
    </w:p>
    <w:p w:rsidR="00617643" w:rsidRPr="007B1E5A" w:rsidRDefault="00617643" w:rsidP="007B1E5A">
      <w:pPr>
        <w:pStyle w:val="Numberbullet0"/>
        <w:rPr>
          <w:i/>
        </w:rPr>
      </w:pPr>
      <w:r w:rsidRPr="007B1E5A">
        <w:rPr>
          <w:i/>
        </w:rPr>
        <w:t>What are the committee’s views on the use of sarilumab as monotherapy?</w:t>
      </w:r>
    </w:p>
    <w:p w:rsidR="00617643" w:rsidRPr="00012F5F" w:rsidRDefault="00617643" w:rsidP="007B1E5A">
      <w:r>
        <w:t xml:space="preserve">The ACM noted that the MONARCH </w:t>
      </w:r>
      <w:r w:rsidR="00495AA5">
        <w:t>trial</w:t>
      </w:r>
      <w:r>
        <w:t>, a direct comparison</w:t>
      </w:r>
      <w:r w:rsidRPr="00012F5F">
        <w:t xml:space="preserve"> of sarilumab and adalimumab monotherapy in patients with RA</w:t>
      </w:r>
      <w:r>
        <w:t xml:space="preserve"> </w:t>
      </w:r>
      <w:r w:rsidRPr="00012F5F">
        <w:t>demonstrat</w:t>
      </w:r>
      <w:r>
        <w:t>ing</w:t>
      </w:r>
      <w:r w:rsidRPr="00012F5F">
        <w:t xml:space="preserve"> </w:t>
      </w:r>
      <w:r>
        <w:t xml:space="preserve">superior efficacy of sarilumab to </w:t>
      </w:r>
      <w:r w:rsidRPr="00012F5F">
        <w:t>adalimumab</w:t>
      </w:r>
      <w:r>
        <w:t xml:space="preserve"> for the primary endpoint, sufficiently supports safety and efficacy of</w:t>
      </w:r>
      <w:r w:rsidRPr="00012F5F">
        <w:t xml:space="preserve"> sarilumab to be prescribed as monotherapy</w:t>
      </w:r>
      <w:r>
        <w:t xml:space="preserve"> at a dose of 20</w:t>
      </w:r>
      <w:r w:rsidR="001470FB">
        <w:t>0 mg</w:t>
      </w:r>
      <w:r>
        <w:t xml:space="preserve"> fortnightly.</w:t>
      </w:r>
    </w:p>
    <w:p w:rsidR="007B1E5A" w:rsidRDefault="00617643" w:rsidP="007B1E5A">
      <w:r w:rsidRPr="00C12AE4">
        <w:t>The ACM advised that implementation by the sponsor o</w:t>
      </w:r>
      <w:r w:rsidRPr="007B1E5A">
        <w:t xml:space="preserve">f the recommendations outlined above to the satisfaction of the TGA, in addition to the evidence </w:t>
      </w:r>
      <w:r w:rsidRPr="007F04C6">
        <w:t>of efficacy and safety provided would support the safe and effective use of these products.</w:t>
      </w:r>
    </w:p>
    <w:p w:rsidR="008E7846" w:rsidRPr="002E238E" w:rsidRDefault="008E7846" w:rsidP="00617643">
      <w:pPr>
        <w:pStyle w:val="Heading3"/>
      </w:pPr>
      <w:bookmarkStart w:id="256" w:name="_Toc12272171"/>
      <w:r>
        <w:t>Outcome</w:t>
      </w:r>
      <w:bookmarkEnd w:id="254"/>
      <w:bookmarkEnd w:id="255"/>
      <w:bookmarkEnd w:id="256"/>
    </w:p>
    <w:p w:rsidR="00495AA5" w:rsidRDefault="00D23139" w:rsidP="007B1E5A">
      <w:bookmarkStart w:id="257" w:name="_Toc247691533"/>
      <w:bookmarkStart w:id="258" w:name="_Toc314842517"/>
      <w:r w:rsidRPr="00D23139">
        <w:t>Based on a review of quality, safety and efficacy, TGA approved the registration of</w:t>
      </w:r>
      <w:r w:rsidR="00495AA5">
        <w:t>:</w:t>
      </w:r>
    </w:p>
    <w:p w:rsidR="00495AA5" w:rsidRDefault="007B1E5A" w:rsidP="00DB5136">
      <w:pPr>
        <w:pStyle w:val="ListBullet"/>
      </w:pPr>
      <w:r>
        <w:t>AUST</w:t>
      </w:r>
      <w:r w:rsidR="00495AA5">
        <w:t> </w:t>
      </w:r>
      <w:r>
        <w:t>R</w:t>
      </w:r>
      <w:r w:rsidR="00495AA5">
        <w:t> </w:t>
      </w:r>
      <w:r>
        <w:t xml:space="preserve">293333 </w:t>
      </w:r>
      <w:r w:rsidR="001470FB">
        <w:t>Kevzara</w:t>
      </w:r>
      <w:r>
        <w:t xml:space="preserve"> sarilumab (rch) 200 mg (175 mg/mL) solution for injection prefilled syringe;</w:t>
      </w:r>
    </w:p>
    <w:p w:rsidR="00495AA5" w:rsidRDefault="007B1E5A" w:rsidP="00DB5136">
      <w:pPr>
        <w:pStyle w:val="ListBullet"/>
      </w:pPr>
      <w:r>
        <w:t xml:space="preserve">AUST R 293334 </w:t>
      </w:r>
      <w:r w:rsidR="001470FB">
        <w:t>Kevzara</w:t>
      </w:r>
      <w:r>
        <w:t xml:space="preserve"> sarilumab (rch)150 mg (131.6 mg/mL) solution for injection pre-filled syringe;</w:t>
      </w:r>
    </w:p>
    <w:p w:rsidR="00495AA5" w:rsidRDefault="007B1E5A" w:rsidP="00DB5136">
      <w:pPr>
        <w:pStyle w:val="ListBullet"/>
      </w:pPr>
      <w:r>
        <w:t xml:space="preserve">AUST R 293335 </w:t>
      </w:r>
      <w:r w:rsidR="001470FB">
        <w:t>Kevzara</w:t>
      </w:r>
      <w:r>
        <w:t xml:space="preserve"> sarilumab (rch) 200 mg (175 mg/mL) solution for injection prefilled pen;</w:t>
      </w:r>
      <w:r w:rsidR="00495AA5">
        <w:t xml:space="preserve"> and</w:t>
      </w:r>
    </w:p>
    <w:p w:rsidR="00D23139" w:rsidRPr="00D23139" w:rsidRDefault="007B1E5A" w:rsidP="00DB5136">
      <w:pPr>
        <w:pStyle w:val="ListBullet"/>
      </w:pPr>
      <w:r>
        <w:t xml:space="preserve">AUST R 293336 </w:t>
      </w:r>
      <w:r w:rsidR="001470FB">
        <w:t>Kevzara</w:t>
      </w:r>
      <w:r>
        <w:t xml:space="preserve"> sarilumab (rch) 150 mg (131.6 mg/mL) solution for injection pre-filled pen</w:t>
      </w:r>
      <w:r w:rsidR="00D23139" w:rsidRPr="00D23139">
        <w:t xml:space="preserve">, </w:t>
      </w:r>
      <w:r>
        <w:t>for subcutaneous injection</w:t>
      </w:r>
      <w:r w:rsidR="00495AA5">
        <w:t>;</w:t>
      </w:r>
      <w:r>
        <w:t xml:space="preserve"> </w:t>
      </w:r>
      <w:r w:rsidR="00D23139" w:rsidRPr="00D23139">
        <w:t>indicated for:</w:t>
      </w:r>
    </w:p>
    <w:p w:rsidR="007B1E5A" w:rsidRPr="007B1E5A" w:rsidRDefault="007B1E5A" w:rsidP="007B1E5A">
      <w:pPr>
        <w:ind w:left="720"/>
        <w:rPr>
          <w:i/>
        </w:rPr>
      </w:pPr>
      <w:r w:rsidRPr="007B1E5A">
        <w:rPr>
          <w:i/>
        </w:rPr>
        <w:t>Kevzara in combination with non-biological Disease-Modifying Anti-Rheumatic Drugs (DMARDs) or as monotherapy is indicated for the treatment of moderate to severe active Rheumatoid Arthritis in adult patients who have had an inadequate response or intolerance to one or more DMARDs.</w:t>
      </w:r>
    </w:p>
    <w:p w:rsidR="00D23139" w:rsidRDefault="00D23139" w:rsidP="00D23139">
      <w:pPr>
        <w:pStyle w:val="Heading4"/>
      </w:pPr>
      <w:r w:rsidRPr="00D23139">
        <w:lastRenderedPageBreak/>
        <w:t>Specific conditions of registration applying to these goods</w:t>
      </w:r>
    </w:p>
    <w:p w:rsidR="007B1E5A" w:rsidRDefault="001470FB" w:rsidP="007B1E5A">
      <w:pPr>
        <w:pStyle w:val="ListBullet"/>
      </w:pPr>
      <w:r>
        <w:t>Kevzara</w:t>
      </w:r>
      <w:r w:rsidR="007B1E5A">
        <w:t xml:space="preserve"> sarilumab (rch) is to be included in the Black Triangle Scheme. The PI and CMI for </w:t>
      </w:r>
      <w:r>
        <w:t>Kevzara</w:t>
      </w:r>
      <w:r w:rsidR="007B1E5A">
        <w:t xml:space="preserve"> must include the </w:t>
      </w:r>
      <w:r w:rsidR="0057307A">
        <w:t>Black T</w:t>
      </w:r>
      <w:r w:rsidR="007B1E5A">
        <w:t>riangle symbol and mandatory accompanying text for five years, which starts from the date that the sponsor notifies the TGA of supply of the product.</w:t>
      </w:r>
    </w:p>
    <w:p w:rsidR="007B1E5A" w:rsidRDefault="007B1E5A" w:rsidP="007B1E5A">
      <w:pPr>
        <w:pStyle w:val="ListBullet"/>
      </w:pPr>
      <w:r>
        <w:t xml:space="preserve">The </w:t>
      </w:r>
      <w:r w:rsidR="001470FB">
        <w:t>Kevzara</w:t>
      </w:r>
      <w:r>
        <w:t xml:space="preserve"> EU-Risk Management Plan (RMP) (version 1.2, dated 21 April 2017, data lock point 17 February 2016), with Australian Specific Annex (version 4.1, dated 17</w:t>
      </w:r>
      <w:r w:rsidR="00495AA5">
        <w:t> </w:t>
      </w:r>
      <w:r>
        <w:t>July 2018), included with submission PM-2017-03119-1-3, and any subsequent revisions, as agreed with the TGA will be implemented in Australia.</w:t>
      </w:r>
    </w:p>
    <w:p w:rsidR="007B1E5A" w:rsidRDefault="007B1E5A" w:rsidP="007B1E5A">
      <w:pPr>
        <w:pStyle w:val="ListBullet"/>
      </w:pPr>
      <w:r>
        <w:t>The following study reports must be submitted to the TGA as soon as possible after completion, for evaluation as Category 1 application(s):</w:t>
      </w:r>
    </w:p>
    <w:p w:rsidR="007B1E5A" w:rsidRDefault="007B1E5A" w:rsidP="007B1E5A">
      <w:pPr>
        <w:pStyle w:val="Numberbullet2"/>
      </w:pPr>
      <w:r>
        <w:t>The proposed paediatric studies to the TGA at the same time as the studies are submitted to the EMA and/or the US FDA.</w:t>
      </w:r>
    </w:p>
    <w:p w:rsidR="007B1E5A" w:rsidRDefault="007B1E5A" w:rsidP="007B1E5A">
      <w:pPr>
        <w:pStyle w:val="ListBullet"/>
      </w:pPr>
      <w:r>
        <w:t>Batch Release Testing</w:t>
      </w:r>
    </w:p>
    <w:p w:rsidR="007B1E5A" w:rsidRDefault="007B1E5A" w:rsidP="00022192">
      <w:pPr>
        <w:pStyle w:val="Numberbullet2"/>
        <w:numPr>
          <w:ilvl w:val="1"/>
          <w:numId w:val="29"/>
        </w:numPr>
      </w:pPr>
      <w:r>
        <w:t>It is a condition of registration that all batches of Kevzara imported into/manufactured in Australia must comply with the product details and specifications approved during evaluation and detailed in the Certified Product Details (CPD).</w:t>
      </w:r>
    </w:p>
    <w:p w:rsidR="007B1E5A" w:rsidRDefault="007B1E5A" w:rsidP="007B1E5A">
      <w:pPr>
        <w:pStyle w:val="Numberbullet2"/>
      </w:pPr>
      <w:r>
        <w:t xml:space="preserve">It is a condition of registration that each batch of Kevzara imported into/manufactured in Australia is not released for sale until samples and/or the manufacturer’s release data have been assessed and endorsed for release by the TGA Laboratories Branch. Outcomes of laboratory testing are published biannually in the TGA Database of Laboratory Testing Results </w:t>
      </w:r>
      <w:hyperlink r:id="rId107" w:history="1">
        <w:r w:rsidRPr="00D87397">
          <w:rPr>
            <w:rStyle w:val="Hyperlink"/>
          </w:rPr>
          <w:t>http://www.tga.gov.au/ws-labs-index</w:t>
        </w:r>
      </w:hyperlink>
      <w:r>
        <w:t>.</w:t>
      </w:r>
    </w:p>
    <w:p w:rsidR="007B1E5A" w:rsidRPr="007B1E5A" w:rsidRDefault="007B1E5A" w:rsidP="007B1E5A">
      <w:pPr>
        <w:pStyle w:val="ListBullet"/>
      </w:pPr>
      <w:r>
        <w:t>Certified Product Details: The Certified Product Details (CPD), as described in Guidance 7: Certified Product Details of the Australian Regulatory Guidelines for Prescription Medicines (ARGPM) [http://www.tga.gov.au/industry/pm-argpmguidance-7.htm], in PDF format, for the above products should be provided upon registration of these therapeutic goods. In addition, an updated CPD should be provided when changes to finished product specifications and test methods are approved in a Category 3 application or notified through a self-assessable change.</w:t>
      </w:r>
    </w:p>
    <w:p w:rsidR="008E7846" w:rsidRDefault="00A80B5B" w:rsidP="00D23139">
      <w:pPr>
        <w:pStyle w:val="Heading2"/>
      </w:pPr>
      <w:bookmarkStart w:id="259" w:name="_Toc12272172"/>
      <w:proofErr w:type="gramStart"/>
      <w:r>
        <w:t>Attachment 1.</w:t>
      </w:r>
      <w:proofErr w:type="gramEnd"/>
      <w:r>
        <w:t xml:space="preserve"> </w:t>
      </w:r>
      <w:r w:rsidR="008E7846">
        <w:t xml:space="preserve">Product </w:t>
      </w:r>
      <w:r w:rsidR="00AA0ED0">
        <w:t>I</w:t>
      </w:r>
      <w:r w:rsidR="008E7846">
        <w:t>nformation</w:t>
      </w:r>
      <w:bookmarkEnd w:id="257"/>
      <w:bookmarkEnd w:id="258"/>
      <w:bookmarkEnd w:id="259"/>
    </w:p>
    <w:p w:rsidR="00AA6B20" w:rsidRDefault="006136D7" w:rsidP="00617643">
      <w:r w:rsidRPr="002B3624">
        <w:t xml:space="preserve">The </w:t>
      </w:r>
      <w:r>
        <w:t>PI</w:t>
      </w:r>
      <w:r w:rsidRPr="002B3624">
        <w:t xml:space="preserve"> for </w:t>
      </w:r>
      <w:r w:rsidR="00617643">
        <w:t>Kevzara</w:t>
      </w:r>
      <w:r w:rsidRPr="002B3624">
        <w:t xml:space="preserve"> </w:t>
      </w:r>
      <w:r>
        <w:t xml:space="preserve">approved with the submission which is described in </w:t>
      </w:r>
      <w:r w:rsidRPr="002B3624">
        <w:t xml:space="preserve">this AusPAR is at Attachment 1. For the most recent </w:t>
      </w:r>
      <w:r>
        <w:t>PI,</w:t>
      </w:r>
      <w:r w:rsidRPr="002B3624">
        <w:t xml:space="preserve"> please refer to the </w:t>
      </w:r>
      <w:r w:rsidRPr="007C6B9B">
        <w:t xml:space="preserve">TGA website at </w:t>
      </w:r>
      <w:r w:rsidR="007C6B9B" w:rsidRPr="007C6B9B">
        <w:t>&lt;</w:t>
      </w:r>
      <w:hyperlink r:id="rId108" w:history="1">
        <w:r w:rsidR="007C6B9B" w:rsidRPr="007C6B9B">
          <w:rPr>
            <w:rStyle w:val="Hyperlink"/>
          </w:rPr>
          <w:t>https://www.tga.gov.au/product-information-pi</w:t>
        </w:r>
      </w:hyperlink>
      <w:proofErr w:type="gramStart"/>
      <w:r w:rsidR="00DD5BCE">
        <w:t xml:space="preserve">&gt; </w:t>
      </w:r>
      <w:r w:rsidR="007C6B9B" w:rsidRPr="007C6B9B">
        <w:t>.</w:t>
      </w:r>
      <w:proofErr w:type="gramEnd"/>
    </w:p>
    <w:p w:rsidR="00C80137" w:rsidRPr="001D043B" w:rsidRDefault="00C80137" w:rsidP="003A7F6C">
      <w:pPr>
        <w:pStyle w:val="TableTitle"/>
        <w:sectPr w:rsidR="00C80137" w:rsidRPr="001D043B" w:rsidSect="00B452CE">
          <w:headerReference w:type="even" r:id="rId109"/>
          <w:headerReference w:type="default" r:id="rId110"/>
          <w:headerReference w:type="first" r:id="rId111"/>
          <w:footerReference w:type="first" r:id="rId112"/>
          <w:pgSz w:w="11906" w:h="16838" w:code="9"/>
          <w:pgMar w:top="834" w:right="1701" w:bottom="1191" w:left="1701" w:header="907" w:footer="216" w:gutter="0"/>
          <w:cols w:space="708"/>
          <w:docGrid w:linePitch="360"/>
        </w:sectPr>
      </w:pPr>
    </w:p>
    <w:tbl>
      <w:tblPr>
        <w:tblW w:w="9175" w:type="dxa"/>
        <w:tblInd w:w="-284" w:type="dxa"/>
        <w:tblLayout w:type="fixed"/>
        <w:tblCellMar>
          <w:left w:w="0" w:type="dxa"/>
          <w:right w:w="0" w:type="dxa"/>
        </w:tblCellMar>
        <w:tblLook w:val="04A0" w:firstRow="1" w:lastRow="0" w:firstColumn="1" w:lastColumn="0" w:noHBand="0" w:noVBand="1"/>
      </w:tblPr>
      <w:tblGrid>
        <w:gridCol w:w="9175"/>
      </w:tblGrid>
      <w:tr w:rsidR="001C32CD" w:rsidRPr="00487162" w:rsidTr="00A05FA4">
        <w:trPr>
          <w:trHeight w:hRule="exact" w:val="704"/>
        </w:trPr>
        <w:tc>
          <w:tcPr>
            <w:tcW w:w="9175" w:type="dxa"/>
          </w:tcPr>
          <w:p w:rsidR="001C32CD" w:rsidRPr="00487162" w:rsidRDefault="001C32CD" w:rsidP="00A05FA4">
            <w:pPr>
              <w:pStyle w:val="TGASignoff"/>
            </w:pPr>
            <w:r w:rsidRPr="00487162">
              <w:lastRenderedPageBreak/>
              <w:t>Therapeutic Goods Administration</w:t>
            </w:r>
          </w:p>
        </w:tc>
      </w:tr>
      <w:tr w:rsidR="001C32CD" w:rsidRPr="004C239D" w:rsidTr="00A05FA4">
        <w:trPr>
          <w:trHeight w:val="1221"/>
        </w:trPr>
        <w:tc>
          <w:tcPr>
            <w:tcW w:w="9175" w:type="dxa"/>
            <w:tcMar>
              <w:top w:w="28" w:type="dxa"/>
            </w:tcMar>
          </w:tcPr>
          <w:p w:rsidR="001C32CD" w:rsidRPr="00487162" w:rsidRDefault="001C32CD" w:rsidP="00A05FA4">
            <w:pPr>
              <w:pStyle w:val="Address"/>
            </w:pPr>
            <w:r w:rsidRPr="00487162">
              <w:t>PO Box 100 Woden ACT 2606 Australia</w:t>
            </w:r>
          </w:p>
          <w:p w:rsidR="001C32CD" w:rsidRPr="00487162" w:rsidRDefault="001C32CD" w:rsidP="00A05FA4">
            <w:pPr>
              <w:pStyle w:val="Address"/>
            </w:pPr>
            <w:r w:rsidRPr="00487162">
              <w:t xml:space="preserve">Email: </w:t>
            </w:r>
            <w:hyperlink r:id="rId113" w:history="1">
              <w:r w:rsidRPr="004C239D">
                <w:rPr>
                  <w:rStyle w:val="Hyperlink"/>
                </w:rPr>
                <w:t>info@tga.gov.au</w:t>
              </w:r>
            </w:hyperlink>
            <w:r w:rsidR="003E7288">
              <w:t xml:space="preserve"> </w:t>
            </w:r>
            <w:r w:rsidRPr="00487162">
              <w:t>Phone: 1800 020 653</w:t>
            </w:r>
            <w:r w:rsidR="003E7288">
              <w:t xml:space="preserve"> </w:t>
            </w:r>
            <w:r w:rsidRPr="00487162">
              <w:t>Fax: 02 6232 8605</w:t>
            </w:r>
          </w:p>
          <w:p w:rsidR="001C32CD" w:rsidRPr="004C239D" w:rsidRDefault="00B954B9" w:rsidP="00A05FA4">
            <w:pPr>
              <w:pStyle w:val="Address"/>
              <w:spacing w:line="260" w:lineRule="atLeast"/>
              <w:rPr>
                <w:b/>
                <w:color w:val="0000FF"/>
                <w:u w:val="single"/>
              </w:rPr>
            </w:pPr>
            <w:hyperlink r:id="rId114" w:history="1">
              <w:r w:rsidR="007C6B9B" w:rsidRPr="007C6B9B">
                <w:rPr>
                  <w:rStyle w:val="Hyperlink"/>
                  <w:b/>
                </w:rPr>
                <w:t>https://www.tga.gov.au</w:t>
              </w:r>
            </w:hyperlink>
          </w:p>
        </w:tc>
      </w:tr>
    </w:tbl>
    <w:p w:rsidR="00774E1D" w:rsidRPr="008A5E0B" w:rsidRDefault="00774E1D" w:rsidP="004C239D"/>
    <w:sectPr w:rsidR="00774E1D" w:rsidRPr="008A5E0B" w:rsidSect="001C32CD">
      <w:headerReference w:type="even" r:id="rId115"/>
      <w:headerReference w:type="default" r:id="rId116"/>
      <w:footerReference w:type="default" r:id="rId117"/>
      <w:headerReference w:type="first" r:id="rId118"/>
      <w:footerReference w:type="first" r:id="rId119"/>
      <w:pgSz w:w="11906" w:h="16838" w:code="9"/>
      <w:pgMar w:top="13467" w:right="1701" w:bottom="426" w:left="1701" w:header="907"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954B9" w:rsidRDefault="00B954B9" w:rsidP="00C40A36">
      <w:pPr>
        <w:spacing w:after="0"/>
      </w:pPr>
      <w:r>
        <w:separator/>
      </w:r>
    </w:p>
  </w:endnote>
  <w:endnote w:type="continuationSeparator" w:id="0">
    <w:p w:rsidR="00B954B9" w:rsidRDefault="00B954B9" w:rsidP="00C40A3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ingLiU">
    <w:altName w:val="細明體"/>
    <w:panose1 w:val="02020509000000000000"/>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MS Mincho">
    <w:altName w:val="ＭＳ 明朝"/>
    <w:panose1 w:val="02020609040205080304"/>
    <w:charset w:val="80"/>
    <w:family w:val="modern"/>
    <w:pitch w:val="fixed"/>
    <w:sig w:usb0="E00002FF" w:usb1="6AC7FDFB" w:usb2="00000012" w:usb3="00000000" w:csb0="0002009F" w:csb1="00000000"/>
  </w:font>
  <w:font w:name="Wingdings 3">
    <w:panose1 w:val="05040102010807070707"/>
    <w:charset w:val="02"/>
    <w:family w:val="roman"/>
    <w:pitch w:val="variable"/>
    <w:sig w:usb0="00000000" w:usb1="10000000" w:usb2="00000000" w:usb3="00000000" w:csb0="80000000" w:csb1="00000000"/>
  </w:font>
  <w:font w:name="TimesNewRoman">
    <w:altName w:val="MS Mincho"/>
    <w:panose1 w:val="00000000000000000000"/>
    <w:charset w:val="80"/>
    <w:family w:val="auto"/>
    <w:notTrueType/>
    <w:pitch w:val="default"/>
    <w:sig w:usb0="00000003" w:usb1="08070000" w:usb2="00000010" w:usb3="00000000" w:csb0="00020001" w:csb1="00000000"/>
  </w:font>
  <w:font w:name="TimesNewRomanPSMT">
    <w:charset w:val="00"/>
    <w:family w:val="auto"/>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ArialNarrow">
    <w:panose1 w:val="00000000000000000000"/>
    <w:charset w:val="00"/>
    <w:family w:val="swiss"/>
    <w:notTrueType/>
    <w:pitch w:val="default"/>
    <w:sig w:usb0="00000003" w:usb1="00000000" w:usb2="00000000" w:usb3="00000000" w:csb0="00000001" w:csb1="00000000"/>
  </w:font>
  <w:font w:name="Arial Narrow">
    <w:altName w:val="Arial Narrow"/>
    <w:panose1 w:val="020B0606020202030204"/>
    <w:charset w:val="00"/>
    <w:family w:val="swiss"/>
    <w:pitch w:val="variable"/>
    <w:sig w:usb0="00000287" w:usb1="00000800" w:usb2="00000000" w:usb3="00000000" w:csb0="0000009F" w:csb1="00000000"/>
  </w:font>
  <w:font w:name="SymbolMT">
    <w:altName w:val="MS Mincho"/>
    <w:panose1 w:val="00000000000000000000"/>
    <w:charset w:val="80"/>
    <w:family w:val="auto"/>
    <w:notTrueType/>
    <w:pitch w:val="default"/>
    <w:sig w:usb0="00000001" w:usb1="080F0000" w:usb2="00000010" w:usb3="00000000" w:csb0="00120000" w:csb1="00000000"/>
  </w:font>
  <w:font w:name="‡?¯ø◊óÂ">
    <w:altName w:val="Times New Roman"/>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371"/>
      <w:gridCol w:w="1490"/>
    </w:tblGrid>
    <w:tr w:rsidR="00B954B9" w:rsidRPr="00487162" w:rsidTr="00DB750B">
      <w:trPr>
        <w:trHeight w:val="269"/>
      </w:trPr>
      <w:tc>
        <w:tcPr>
          <w:tcW w:w="7371" w:type="dxa"/>
          <w:tcMar>
            <w:top w:w="142" w:type="dxa"/>
            <w:bottom w:w="0" w:type="dxa"/>
          </w:tcMar>
        </w:tcPr>
        <w:p w:rsidR="00B954B9" w:rsidRPr="00720B5E" w:rsidRDefault="00B954B9" w:rsidP="001D4F25">
          <w:pPr>
            <w:autoSpaceDE w:val="0"/>
            <w:autoSpaceDN w:val="0"/>
            <w:adjustRightInd w:val="0"/>
            <w:spacing w:before="0" w:after="0" w:line="240" w:lineRule="auto"/>
            <w:rPr>
              <w:sz w:val="18"/>
              <w:szCs w:val="18"/>
            </w:rPr>
          </w:pPr>
          <w:r w:rsidRPr="00720B5E">
            <w:rPr>
              <w:sz w:val="18"/>
              <w:szCs w:val="18"/>
            </w:rPr>
            <w:t xml:space="preserve">AusPAR Kevzara </w:t>
          </w:r>
          <w:r>
            <w:rPr>
              <w:sz w:val="18"/>
              <w:szCs w:val="18"/>
            </w:rPr>
            <w:t>S</w:t>
          </w:r>
          <w:r w:rsidRPr="00720B5E">
            <w:rPr>
              <w:rFonts w:eastAsiaTheme="minorHAnsi" w:cs="Cambria"/>
              <w:sz w:val="18"/>
              <w:szCs w:val="18"/>
            </w:rPr>
            <w:t>arilumab (rch)</w:t>
          </w:r>
          <w:r w:rsidRPr="00720B5E">
            <w:rPr>
              <w:sz w:val="18"/>
              <w:szCs w:val="18"/>
            </w:rPr>
            <w:t xml:space="preserve"> </w:t>
          </w:r>
          <w:r w:rsidRPr="00720B5E">
            <w:rPr>
              <w:rFonts w:eastAsiaTheme="minorHAnsi" w:cs="Cambria"/>
              <w:sz w:val="18"/>
              <w:szCs w:val="18"/>
            </w:rPr>
            <w:t xml:space="preserve">Sanofi-Aventis Australia Pty Ltd </w:t>
          </w:r>
          <w:r w:rsidRPr="00720B5E">
            <w:rPr>
              <w:sz w:val="18"/>
              <w:szCs w:val="18"/>
            </w:rPr>
            <w:t xml:space="preserve">PM-2017-03119-1-3 </w:t>
          </w:r>
          <w:r>
            <w:rPr>
              <w:sz w:val="18"/>
              <w:szCs w:val="18"/>
            </w:rPr>
            <w:t>Final 8 April 2019</w:t>
          </w:r>
        </w:p>
      </w:tc>
      <w:tc>
        <w:tcPr>
          <w:tcW w:w="1490" w:type="dxa"/>
          <w:tcMar>
            <w:top w:w="142" w:type="dxa"/>
            <w:bottom w:w="0" w:type="dxa"/>
          </w:tcMar>
        </w:tcPr>
        <w:p w:rsidR="00B954B9" w:rsidRPr="00487162" w:rsidRDefault="00B954B9" w:rsidP="00DB750B">
          <w:pPr>
            <w:pStyle w:val="Footer"/>
            <w:jc w:val="right"/>
          </w:pPr>
          <w:r w:rsidRPr="00487162">
            <w:t xml:space="preserve">Page </w:t>
          </w:r>
          <w:r>
            <w:fldChar w:fldCharType="begin"/>
          </w:r>
          <w:r>
            <w:instrText xml:space="preserve"> PAGE  \* Arabic </w:instrText>
          </w:r>
          <w:r>
            <w:fldChar w:fldCharType="separate"/>
          </w:r>
          <w:r w:rsidR="00661497">
            <w:rPr>
              <w:noProof/>
            </w:rPr>
            <w:t>3</w:t>
          </w:r>
          <w:r>
            <w:fldChar w:fldCharType="end"/>
          </w:r>
          <w:r w:rsidRPr="00487162">
            <w:t xml:space="preserve"> of </w:t>
          </w:r>
          <w:r>
            <w:fldChar w:fldCharType="begin"/>
          </w:r>
          <w:r>
            <w:instrText xml:space="preserve"> NUMPAGES  \* Arabic </w:instrText>
          </w:r>
          <w:r>
            <w:fldChar w:fldCharType="separate"/>
          </w:r>
          <w:r w:rsidR="00661497">
            <w:rPr>
              <w:noProof/>
            </w:rPr>
            <w:t>142</w:t>
          </w:r>
          <w:r>
            <w:rPr>
              <w:noProof/>
            </w:rPr>
            <w:fldChar w:fldCharType="end"/>
          </w:r>
        </w:p>
      </w:tc>
    </w:tr>
  </w:tbl>
  <w:p w:rsidR="00B954B9" w:rsidRDefault="00B954B9" w:rsidP="003D1E6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Layout w:type="fixed"/>
      <w:tblCellMar>
        <w:top w:w="170" w:type="dxa"/>
        <w:left w:w="0" w:type="dxa"/>
        <w:bottom w:w="227" w:type="dxa"/>
        <w:right w:w="0" w:type="dxa"/>
      </w:tblCellMar>
      <w:tblLook w:val="04A0" w:firstRow="1" w:lastRow="0" w:firstColumn="1" w:lastColumn="0" w:noHBand="0" w:noVBand="1"/>
    </w:tblPr>
    <w:tblGrid>
      <w:gridCol w:w="4519"/>
      <w:gridCol w:w="4342"/>
    </w:tblGrid>
    <w:tr w:rsidR="00B954B9" w:rsidRPr="00487162" w:rsidTr="00E45619">
      <w:trPr>
        <w:trHeight w:val="269"/>
      </w:trPr>
      <w:tc>
        <w:tcPr>
          <w:tcW w:w="4519" w:type="dxa"/>
          <w:tcBorders>
            <w:top w:val="single" w:sz="4" w:space="0" w:color="auto"/>
          </w:tcBorders>
          <w:tcMar>
            <w:top w:w="142" w:type="dxa"/>
            <w:bottom w:w="0" w:type="dxa"/>
          </w:tcMar>
        </w:tcPr>
        <w:p w:rsidR="00B954B9" w:rsidRPr="00487162" w:rsidRDefault="00B954B9" w:rsidP="00FE1DEE">
          <w:pPr>
            <w:pStyle w:val="Footer"/>
          </w:pPr>
          <w:r w:rsidRPr="00487162">
            <w:t>Document title, Part #, Section # - Section title</w:t>
          </w:r>
        </w:p>
        <w:p w:rsidR="00B954B9" w:rsidRPr="00487162" w:rsidRDefault="00B954B9" w:rsidP="00FE1DEE">
          <w:pPr>
            <w:pStyle w:val="Footer"/>
          </w:pPr>
          <w:r w:rsidRPr="00487162">
            <w:t>V1.0 October 2010</w:t>
          </w:r>
        </w:p>
      </w:tc>
      <w:tc>
        <w:tcPr>
          <w:tcW w:w="4342" w:type="dxa"/>
          <w:tcBorders>
            <w:top w:val="single" w:sz="4" w:space="0" w:color="auto"/>
          </w:tcBorders>
          <w:tcMar>
            <w:top w:w="142" w:type="dxa"/>
            <w:bottom w:w="0" w:type="dxa"/>
          </w:tcMar>
        </w:tcPr>
        <w:p w:rsidR="00B954B9" w:rsidRPr="00487162" w:rsidRDefault="00B954B9" w:rsidP="00E45619">
          <w:pPr>
            <w:pStyle w:val="Footer"/>
            <w:jc w:val="right"/>
          </w:pPr>
          <w:r w:rsidRPr="00487162">
            <w:t xml:space="preserve">Page </w:t>
          </w:r>
          <w:r>
            <w:fldChar w:fldCharType="begin"/>
          </w:r>
          <w:r>
            <w:instrText xml:space="preserve"> PAGE   \* MERGEFORMAT </w:instrText>
          </w:r>
          <w:r>
            <w:fldChar w:fldCharType="separate"/>
          </w:r>
          <w:r w:rsidRPr="00487162">
            <w:rPr>
              <w:noProof/>
            </w:rPr>
            <w:t>3</w:t>
          </w:r>
          <w:r>
            <w:rPr>
              <w:noProof/>
            </w:rPr>
            <w:fldChar w:fldCharType="end"/>
          </w:r>
          <w:r w:rsidRPr="00487162">
            <w:t xml:space="preserve"> of </w:t>
          </w:r>
          <w:r>
            <w:fldChar w:fldCharType="begin"/>
          </w:r>
          <w:r>
            <w:instrText xml:space="preserve"> NUMPAGES  </w:instrText>
          </w:r>
          <w:r>
            <w:fldChar w:fldCharType="separate"/>
          </w:r>
          <w:r>
            <w:rPr>
              <w:noProof/>
            </w:rPr>
            <w:t>141</w:t>
          </w:r>
          <w:r>
            <w:rPr>
              <w:noProof/>
            </w:rPr>
            <w:fldChar w:fldCharType="end"/>
          </w:r>
        </w:p>
      </w:tc>
    </w:tr>
  </w:tbl>
  <w:p w:rsidR="00B954B9" w:rsidRDefault="00B954B9">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954B9" w:rsidRPr="001C32CD" w:rsidRDefault="00B954B9" w:rsidP="001C32CD">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75" w:type="dxa"/>
      <w:tblLayout w:type="fixed"/>
      <w:tblCellMar>
        <w:top w:w="170" w:type="dxa"/>
        <w:left w:w="0" w:type="dxa"/>
        <w:bottom w:w="227" w:type="dxa"/>
        <w:right w:w="0" w:type="dxa"/>
      </w:tblCellMar>
      <w:tblLook w:val="04A0" w:firstRow="1" w:lastRow="0" w:firstColumn="1" w:lastColumn="0" w:noHBand="0" w:noVBand="1"/>
    </w:tblPr>
    <w:tblGrid>
      <w:gridCol w:w="4519"/>
      <w:gridCol w:w="4356"/>
    </w:tblGrid>
    <w:tr w:rsidR="00B954B9" w:rsidTr="0010601F">
      <w:trPr>
        <w:trHeight w:val="108"/>
      </w:trPr>
      <w:tc>
        <w:tcPr>
          <w:tcW w:w="8875" w:type="dxa"/>
          <w:gridSpan w:val="2"/>
          <w:tcBorders>
            <w:bottom w:val="single" w:sz="4" w:space="0" w:color="auto"/>
          </w:tcBorders>
          <w:tcMar>
            <w:right w:w="284" w:type="dxa"/>
          </w:tcMar>
        </w:tcPr>
        <w:p w:rsidR="00B954B9" w:rsidRDefault="00B954B9" w:rsidP="006E08B3">
          <w:pPr>
            <w:pStyle w:val="Heading3"/>
          </w:pPr>
          <w:r>
            <w:t>Copyright</w:t>
          </w:r>
        </w:p>
        <w:p w:rsidR="00B954B9" w:rsidRDefault="00B954B9" w:rsidP="006E08B3">
          <w:r>
            <w:rPr>
              <w:rFonts w:cs="Arial"/>
            </w:rPr>
            <w:t>©</w:t>
          </w:r>
          <w:r>
            <w:t xml:space="preserve"> Commonwealth of Australia [add year]</w:t>
          </w:r>
        </w:p>
        <w:p w:rsidR="00B954B9" w:rsidRDefault="00B954B9" w:rsidP="006E08B3"/>
        <w:p w:rsidR="00B954B9" w:rsidRDefault="00B954B9" w:rsidP="006E08B3">
          <w:r>
            <w:t xml:space="preserve">This work is copyright. Apart from any use as permitted under the Copyright Act 1968, no part may be reproduced by any process without prior written permission from the Commonwealth Copyright Administration, Attorney General’s Department, National Circuit, Barton ACT 2600 or posted at </w:t>
          </w:r>
          <w:r w:rsidRPr="006E08B3">
            <w:t>http://www.ag.gov.au/cca</w:t>
          </w:r>
        </w:p>
        <w:p w:rsidR="00B954B9" w:rsidRDefault="00B954B9" w:rsidP="006E08B3"/>
        <w:p w:rsidR="00B954B9" w:rsidRDefault="00B954B9" w:rsidP="006E08B3">
          <w:pPr>
            <w:pStyle w:val="Heading3"/>
          </w:pPr>
          <w:r>
            <w:t>Confidentiality</w:t>
          </w:r>
        </w:p>
        <w:p w:rsidR="00B954B9" w:rsidRDefault="00B954B9"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rsidR="00B954B9" w:rsidRDefault="00B954B9" w:rsidP="006E08B3"/>
        <w:p w:rsidR="00B954B9" w:rsidRDefault="00B954B9" w:rsidP="006E08B3">
          <w:r>
            <w:t>For submission made by individuals, all personal details, other than your name, will be removed from your submission before it is published on the TGA’s Internet site.</w:t>
          </w:r>
        </w:p>
        <w:p w:rsidR="00B954B9" w:rsidRDefault="00B954B9" w:rsidP="006E08B3"/>
        <w:p w:rsidR="00B954B9" w:rsidRDefault="00B954B9" w:rsidP="006E08B3">
          <w:r>
            <w:t>In addition, a list of parties making submissions will be published. If you do not wish to be identified with your submission you must specifically request this in the space provided ib the submission coversheet.</w:t>
          </w:r>
        </w:p>
      </w:tc>
    </w:tr>
    <w:tr w:rsidR="00B954B9" w:rsidTr="0010601F">
      <w:trPr>
        <w:trHeight w:val="417"/>
      </w:trPr>
      <w:tc>
        <w:tcPr>
          <w:tcW w:w="4519" w:type="dxa"/>
          <w:tcBorders>
            <w:top w:val="single" w:sz="4" w:space="0" w:color="auto"/>
          </w:tcBorders>
          <w:tcMar>
            <w:top w:w="142" w:type="dxa"/>
            <w:bottom w:w="0" w:type="dxa"/>
          </w:tcMar>
        </w:tcPr>
        <w:p w:rsidR="00B954B9" w:rsidRDefault="00B954B9" w:rsidP="006E08B3">
          <w:r>
            <w:t>Document title, Part #, Section # - Section title</w:t>
          </w:r>
        </w:p>
        <w:p w:rsidR="00B954B9" w:rsidRDefault="00B954B9" w:rsidP="006E08B3">
          <w:r>
            <w:t>V1.0 October 2010</w:t>
          </w:r>
        </w:p>
      </w:tc>
      <w:tc>
        <w:tcPr>
          <w:tcW w:w="4356" w:type="dxa"/>
          <w:tcBorders>
            <w:top w:val="single" w:sz="4" w:space="0" w:color="auto"/>
          </w:tcBorders>
          <w:tcMar>
            <w:top w:w="142" w:type="dxa"/>
            <w:bottom w:w="0" w:type="dxa"/>
          </w:tcMar>
        </w:tcPr>
        <w:p w:rsidR="00B954B9" w:rsidRDefault="00B954B9" w:rsidP="006E08B3">
          <w:pPr>
            <w:jc w:val="right"/>
          </w:pPr>
          <w:r>
            <w:t xml:space="preserve">Page </w:t>
          </w:r>
          <w:r>
            <w:fldChar w:fldCharType="begin"/>
          </w:r>
          <w:r>
            <w:instrText xml:space="preserve"> PAGE   \* MERGEFORMAT </w:instrText>
          </w:r>
          <w:r>
            <w:fldChar w:fldCharType="separate"/>
          </w:r>
          <w:r>
            <w:rPr>
              <w:noProof/>
            </w:rPr>
            <w:t>1</w:t>
          </w:r>
          <w:r>
            <w:rPr>
              <w:noProof/>
            </w:rPr>
            <w:fldChar w:fldCharType="end"/>
          </w:r>
          <w:r>
            <w:t xml:space="preserve"> of </w:t>
          </w:r>
          <w:r>
            <w:fldChar w:fldCharType="begin"/>
          </w:r>
          <w:r>
            <w:instrText xml:space="preserve"> NUMPAGES  \* Arabic </w:instrText>
          </w:r>
          <w:r>
            <w:fldChar w:fldCharType="separate"/>
          </w:r>
          <w:r>
            <w:rPr>
              <w:noProof/>
            </w:rPr>
            <w:t>141</w:t>
          </w:r>
          <w:r>
            <w:rPr>
              <w:noProof/>
            </w:rPr>
            <w:fldChar w:fldCharType="end"/>
          </w:r>
          <w:r>
            <w:t xml:space="preserve"> </w:t>
          </w:r>
        </w:p>
      </w:tc>
    </w:tr>
  </w:tbl>
  <w:p w:rsidR="00B954B9" w:rsidRDefault="00B954B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954B9" w:rsidRDefault="00B954B9" w:rsidP="00C40A36">
      <w:pPr>
        <w:spacing w:after="0"/>
      </w:pPr>
      <w:r>
        <w:separator/>
      </w:r>
    </w:p>
  </w:footnote>
  <w:footnote w:type="continuationSeparator" w:id="0">
    <w:p w:rsidR="00B954B9" w:rsidRDefault="00B954B9" w:rsidP="00C40A36">
      <w:pPr>
        <w:spacing w:after="0"/>
      </w:pPr>
      <w:r>
        <w:continuationSeparator/>
      </w:r>
    </w:p>
  </w:footnote>
  <w:footnote w:id="1">
    <w:p w:rsidR="00B954B9" w:rsidRDefault="00B954B9">
      <w:pPr>
        <w:pStyle w:val="FootnoteText"/>
      </w:pPr>
      <w:r>
        <w:rPr>
          <w:rStyle w:val="FootnoteReference"/>
        </w:rPr>
        <w:footnoteRef/>
      </w:r>
      <w:r w:rsidRPr="00D34A35">
        <w:t>ICH S6: Preclinical Safety Evaluation of Biotechnology-Derived. Pharmaceuticals.</w:t>
      </w:r>
    </w:p>
  </w:footnote>
  <w:footnote w:id="2">
    <w:p w:rsidR="00B954B9" w:rsidRPr="00E761BC" w:rsidRDefault="00B954B9" w:rsidP="00EE1913">
      <w:pPr>
        <w:spacing w:before="0" w:after="0" w:line="240" w:lineRule="auto"/>
        <w:rPr>
          <w:rFonts w:eastAsia="Times New Roman"/>
          <w:sz w:val="18"/>
          <w:szCs w:val="18"/>
          <w:lang w:val="en-US"/>
        </w:rPr>
      </w:pPr>
      <w:r w:rsidRPr="00E761BC">
        <w:rPr>
          <w:rStyle w:val="FootnoteReference"/>
          <w:sz w:val="18"/>
          <w:szCs w:val="18"/>
        </w:rPr>
        <w:footnoteRef/>
      </w:r>
      <w:r w:rsidRPr="00E761BC">
        <w:rPr>
          <w:sz w:val="18"/>
          <w:szCs w:val="18"/>
        </w:rPr>
        <w:t xml:space="preserve"> </w:t>
      </w:r>
      <w:r w:rsidRPr="00E761BC">
        <w:rPr>
          <w:rFonts w:eastAsia="Times New Roman"/>
          <w:snapToGrid w:val="0"/>
          <w:kern w:val="16"/>
          <w:sz w:val="18"/>
          <w:szCs w:val="18"/>
        </w:rPr>
        <w:t xml:space="preserve">Mihara M, et al (2002). </w:t>
      </w:r>
      <w:proofErr w:type="gramStart"/>
      <w:r w:rsidRPr="00E761BC">
        <w:rPr>
          <w:rFonts w:eastAsia="Times New Roman"/>
          <w:snapToGrid w:val="0"/>
          <w:kern w:val="16"/>
          <w:sz w:val="18"/>
          <w:szCs w:val="18"/>
        </w:rPr>
        <w:t>Influences of anti-mouse interleukin-6 receptor antibody on immune responses in mice.</w:t>
      </w:r>
      <w:proofErr w:type="gramEnd"/>
      <w:r w:rsidRPr="00E761BC">
        <w:rPr>
          <w:rFonts w:eastAsia="Times New Roman"/>
          <w:snapToGrid w:val="0"/>
          <w:kern w:val="16"/>
          <w:sz w:val="18"/>
          <w:szCs w:val="18"/>
        </w:rPr>
        <w:t xml:space="preserve"> </w:t>
      </w:r>
      <w:r w:rsidRPr="003F112F">
        <w:rPr>
          <w:rFonts w:eastAsia="Times New Roman"/>
          <w:i/>
          <w:snapToGrid w:val="0"/>
          <w:kern w:val="16"/>
          <w:sz w:val="18"/>
          <w:szCs w:val="18"/>
        </w:rPr>
        <w:t>Immunol Lett</w:t>
      </w:r>
      <w:r w:rsidRPr="00E761BC">
        <w:rPr>
          <w:rFonts w:eastAsia="Times New Roman"/>
          <w:snapToGrid w:val="0"/>
          <w:kern w:val="16"/>
          <w:sz w:val="18"/>
          <w:szCs w:val="18"/>
        </w:rPr>
        <w:t xml:space="preserve">. </w:t>
      </w:r>
      <w:proofErr w:type="gramStart"/>
      <w:r>
        <w:rPr>
          <w:rFonts w:eastAsia="Times New Roman"/>
          <w:snapToGrid w:val="0"/>
          <w:kern w:val="16"/>
          <w:sz w:val="18"/>
          <w:szCs w:val="18"/>
        </w:rPr>
        <w:t xml:space="preserve">2002; </w:t>
      </w:r>
      <w:r w:rsidRPr="00E761BC">
        <w:rPr>
          <w:rFonts w:eastAsia="Times New Roman"/>
          <w:snapToGrid w:val="0"/>
          <w:kern w:val="16"/>
          <w:sz w:val="18"/>
          <w:szCs w:val="18"/>
        </w:rPr>
        <w:t>84:</w:t>
      </w:r>
      <w:r>
        <w:rPr>
          <w:rFonts w:eastAsia="Times New Roman"/>
          <w:snapToGrid w:val="0"/>
          <w:kern w:val="16"/>
          <w:sz w:val="18"/>
          <w:szCs w:val="18"/>
        </w:rPr>
        <w:t xml:space="preserve"> </w:t>
      </w:r>
      <w:r w:rsidRPr="00E761BC">
        <w:rPr>
          <w:rFonts w:eastAsia="Times New Roman"/>
          <w:snapToGrid w:val="0"/>
          <w:kern w:val="16"/>
          <w:sz w:val="18"/>
          <w:szCs w:val="18"/>
        </w:rPr>
        <w:t>223-229.</w:t>
      </w:r>
      <w:proofErr w:type="gramEnd"/>
    </w:p>
  </w:footnote>
  <w:footnote w:id="3">
    <w:p w:rsidR="00B954B9" w:rsidRPr="003F112F" w:rsidRDefault="00B954B9">
      <w:pPr>
        <w:pStyle w:val="FootnoteText"/>
      </w:pPr>
      <w:r w:rsidRPr="00E761BC">
        <w:rPr>
          <w:rStyle w:val="FootnoteReference"/>
          <w:szCs w:val="18"/>
        </w:rPr>
        <w:footnoteRef/>
      </w:r>
      <w:r w:rsidRPr="00E761BC">
        <w:rPr>
          <w:szCs w:val="18"/>
        </w:rPr>
        <w:t xml:space="preserve"> </w:t>
      </w:r>
      <w:r w:rsidRPr="003F112F">
        <w:t xml:space="preserve">Wong PKK, et al (2003). </w:t>
      </w:r>
      <w:proofErr w:type="gramStart"/>
      <w:r w:rsidRPr="00DD5BCE">
        <w:t>The role of the interleukin‐6 family of cytokines in inflammatory arthritis and bone turnover.</w:t>
      </w:r>
      <w:proofErr w:type="gramEnd"/>
      <w:r w:rsidRPr="00DD5BCE">
        <w:t xml:space="preserve"> </w:t>
      </w:r>
      <w:r w:rsidRPr="00DD5BCE">
        <w:rPr>
          <w:i/>
        </w:rPr>
        <w:t>ACR Open Rheumatology</w:t>
      </w:r>
      <w:r w:rsidRPr="00DD5BCE">
        <w:t xml:space="preserve"> </w:t>
      </w:r>
      <w:r>
        <w:t xml:space="preserve">2003; </w:t>
      </w:r>
      <w:r w:rsidRPr="00DD5BCE">
        <w:t>48:</w:t>
      </w:r>
      <w:r>
        <w:t xml:space="preserve"> </w:t>
      </w:r>
      <w:r w:rsidRPr="00DD5BCE">
        <w:t>1177-1189</w:t>
      </w:r>
    </w:p>
  </w:footnote>
  <w:footnote w:id="4">
    <w:p w:rsidR="00B954B9" w:rsidRPr="00E761BC" w:rsidRDefault="00B954B9" w:rsidP="00EE1913">
      <w:pPr>
        <w:pStyle w:val="FootnoteText"/>
        <w:rPr>
          <w:szCs w:val="18"/>
        </w:rPr>
      </w:pPr>
      <w:r w:rsidRPr="00E761BC">
        <w:rPr>
          <w:rStyle w:val="FootnoteReference"/>
          <w:szCs w:val="18"/>
        </w:rPr>
        <w:footnoteRef/>
      </w:r>
      <w:r w:rsidRPr="00E761BC">
        <w:rPr>
          <w:szCs w:val="18"/>
        </w:rPr>
        <w:t xml:space="preserve"> </w:t>
      </w:r>
      <w:hyperlink r:id="rId1" w:history="1">
        <w:proofErr w:type="spellStart"/>
        <w:r w:rsidRPr="00E761BC">
          <w:rPr>
            <w:szCs w:val="18"/>
            <w:lang w:val="en"/>
          </w:rPr>
          <w:t>Alonzi</w:t>
        </w:r>
        <w:proofErr w:type="spellEnd"/>
        <w:r w:rsidRPr="00E761BC">
          <w:rPr>
            <w:szCs w:val="18"/>
            <w:lang w:val="en"/>
          </w:rPr>
          <w:t xml:space="preserve"> T</w:t>
        </w:r>
      </w:hyperlink>
      <w:r w:rsidRPr="00E761BC">
        <w:rPr>
          <w:szCs w:val="18"/>
          <w:lang w:val="en"/>
        </w:rPr>
        <w:t>, et al (1998). Interleukin 6 is required for the development of collagen-induced arthritis</w:t>
      </w:r>
      <w:r w:rsidRPr="00DD5BCE">
        <w:rPr>
          <w:i/>
          <w:szCs w:val="18"/>
          <w:lang w:val="en"/>
        </w:rPr>
        <w:t xml:space="preserve">. </w:t>
      </w:r>
      <w:hyperlink r:id="rId2" w:tooltip="The Journal of experimental medicine." w:history="1">
        <w:proofErr w:type="gramStart"/>
        <w:r w:rsidRPr="00DD5BCE">
          <w:rPr>
            <w:i/>
            <w:szCs w:val="18"/>
            <w:lang w:val="en"/>
          </w:rPr>
          <w:t>J Exp Med.</w:t>
        </w:r>
      </w:hyperlink>
      <w:r w:rsidRPr="00DD5BCE">
        <w:rPr>
          <w:i/>
          <w:szCs w:val="18"/>
          <w:lang w:val="en"/>
        </w:rPr>
        <w:t xml:space="preserve"> </w:t>
      </w:r>
      <w:r w:rsidRPr="00E761BC">
        <w:rPr>
          <w:szCs w:val="18"/>
          <w:lang w:val="en"/>
        </w:rPr>
        <w:t>1998;</w:t>
      </w:r>
      <w:r>
        <w:rPr>
          <w:szCs w:val="18"/>
          <w:lang w:val="en"/>
        </w:rPr>
        <w:t xml:space="preserve"> </w:t>
      </w:r>
      <w:r w:rsidRPr="00E761BC">
        <w:rPr>
          <w:szCs w:val="18"/>
          <w:lang w:val="en"/>
        </w:rPr>
        <w:t>18</w:t>
      </w:r>
      <w:r>
        <w:rPr>
          <w:szCs w:val="18"/>
          <w:lang w:val="en"/>
        </w:rPr>
        <w:t>7</w:t>
      </w:r>
      <w:r w:rsidRPr="00E761BC">
        <w:rPr>
          <w:szCs w:val="18"/>
          <w:lang w:val="en"/>
        </w:rPr>
        <w:t>:</w:t>
      </w:r>
      <w:r>
        <w:rPr>
          <w:szCs w:val="18"/>
          <w:lang w:val="en"/>
        </w:rPr>
        <w:t xml:space="preserve"> </w:t>
      </w:r>
      <w:r w:rsidRPr="00E761BC">
        <w:rPr>
          <w:szCs w:val="18"/>
          <w:lang w:val="en"/>
        </w:rPr>
        <w:t>461-</w:t>
      </w:r>
      <w:r>
        <w:rPr>
          <w:szCs w:val="18"/>
          <w:lang w:val="en"/>
        </w:rPr>
        <w:t>46</w:t>
      </w:r>
      <w:r w:rsidRPr="00E761BC">
        <w:rPr>
          <w:szCs w:val="18"/>
          <w:lang w:val="en"/>
        </w:rPr>
        <w:t>8.</w:t>
      </w:r>
      <w:proofErr w:type="gramEnd"/>
    </w:p>
  </w:footnote>
  <w:footnote w:id="5">
    <w:p w:rsidR="00B954B9" w:rsidRPr="00E761BC" w:rsidRDefault="00B954B9" w:rsidP="00EE1913">
      <w:pPr>
        <w:pStyle w:val="FootnoteText"/>
        <w:rPr>
          <w:szCs w:val="18"/>
        </w:rPr>
      </w:pPr>
      <w:r w:rsidRPr="00DD5BCE">
        <w:rPr>
          <w:szCs w:val="18"/>
          <w:vertAlign w:val="superscript"/>
        </w:rPr>
        <w:footnoteRef/>
      </w:r>
      <w:r w:rsidRPr="00E761BC">
        <w:rPr>
          <w:szCs w:val="18"/>
        </w:rPr>
        <w:t xml:space="preserve"> </w:t>
      </w:r>
      <w:proofErr w:type="gramStart"/>
      <w:r w:rsidRPr="00E761BC">
        <w:rPr>
          <w:szCs w:val="18"/>
        </w:rPr>
        <w:t>de</w:t>
      </w:r>
      <w:proofErr w:type="gramEnd"/>
      <w:r w:rsidRPr="00E761BC">
        <w:rPr>
          <w:szCs w:val="18"/>
        </w:rPr>
        <w:t xml:space="preserve"> </w:t>
      </w:r>
      <w:proofErr w:type="spellStart"/>
      <w:r w:rsidRPr="00E761BC">
        <w:rPr>
          <w:szCs w:val="18"/>
        </w:rPr>
        <w:t>Hooge</w:t>
      </w:r>
      <w:proofErr w:type="spellEnd"/>
      <w:r w:rsidRPr="00E761BC">
        <w:rPr>
          <w:szCs w:val="18"/>
        </w:rPr>
        <w:t xml:space="preserve">, A.S.K., </w:t>
      </w:r>
      <w:r>
        <w:rPr>
          <w:szCs w:val="18"/>
        </w:rPr>
        <w:t>et al</w:t>
      </w:r>
      <w:r w:rsidRPr="00E761BC">
        <w:rPr>
          <w:szCs w:val="18"/>
        </w:rPr>
        <w:t xml:space="preserve"> Involvement of IL-6, apart from its role in immunity, in mediating a chronic response during experimental arthritis. </w:t>
      </w:r>
      <w:proofErr w:type="gramStart"/>
      <w:r w:rsidRPr="00DD5BCE">
        <w:rPr>
          <w:i/>
          <w:szCs w:val="18"/>
        </w:rPr>
        <w:t>Am J Pathol</w:t>
      </w:r>
      <w:r w:rsidRPr="00E761BC">
        <w:rPr>
          <w:szCs w:val="18"/>
        </w:rPr>
        <w:t>.</w:t>
      </w:r>
      <w:proofErr w:type="gramEnd"/>
      <w:r w:rsidRPr="00E761BC">
        <w:rPr>
          <w:szCs w:val="18"/>
        </w:rPr>
        <w:t xml:space="preserve"> 2000; 157: 2081–2091</w:t>
      </w:r>
    </w:p>
  </w:footnote>
  <w:footnote w:id="6">
    <w:p w:rsidR="00B954B9" w:rsidRPr="00DD5BCE" w:rsidRDefault="00B954B9" w:rsidP="00004579">
      <w:pPr>
        <w:rPr>
          <w:rStyle w:val="FootnoteTextChar"/>
        </w:rPr>
      </w:pPr>
      <w:r w:rsidRPr="00E761BC">
        <w:rPr>
          <w:sz w:val="18"/>
          <w:szCs w:val="18"/>
          <w:vertAlign w:val="superscript"/>
        </w:rPr>
        <w:footnoteRef/>
      </w:r>
      <w:r w:rsidRPr="00E761BC">
        <w:rPr>
          <w:sz w:val="18"/>
          <w:szCs w:val="18"/>
        </w:rPr>
        <w:t xml:space="preserve"> </w:t>
      </w:r>
      <w:hyperlink r:id="rId3" w:history="1">
        <w:proofErr w:type="gramStart"/>
        <w:r w:rsidRPr="00DD5BCE">
          <w:rPr>
            <w:rStyle w:val="FootnoteTextChar"/>
          </w:rPr>
          <w:t>Israel EJ</w:t>
        </w:r>
      </w:hyperlink>
      <w:r w:rsidRPr="00DD5BCE">
        <w:rPr>
          <w:rStyle w:val="FootnoteTextChar"/>
        </w:rPr>
        <w:t>1, et al (1997).</w:t>
      </w:r>
      <w:proofErr w:type="gramEnd"/>
      <w:r w:rsidRPr="00DD5BCE">
        <w:rPr>
          <w:rStyle w:val="FootnoteTextChar"/>
        </w:rPr>
        <w:t xml:space="preserve"> </w:t>
      </w:r>
      <w:proofErr w:type="gramStart"/>
      <w:r w:rsidRPr="00DD5BCE">
        <w:rPr>
          <w:rStyle w:val="FootnoteTextChar"/>
        </w:rPr>
        <w:t xml:space="preserve">Expression of the neonatal Fc receptor, </w:t>
      </w:r>
      <w:proofErr w:type="spellStart"/>
      <w:r w:rsidRPr="00DD5BCE">
        <w:rPr>
          <w:rStyle w:val="FootnoteTextChar"/>
        </w:rPr>
        <w:t>FcRn</w:t>
      </w:r>
      <w:proofErr w:type="spellEnd"/>
      <w:r w:rsidRPr="00DD5BCE">
        <w:rPr>
          <w:rStyle w:val="FootnoteTextChar"/>
        </w:rPr>
        <w:t>, on human intestinal epithelial cells.</w:t>
      </w:r>
      <w:proofErr w:type="gramEnd"/>
      <w:r>
        <w:rPr>
          <w:rStyle w:val="FootnoteTextChar"/>
        </w:rPr>
        <w:t xml:space="preserve"> </w:t>
      </w:r>
      <w:hyperlink r:id="rId4" w:tooltip="Immunology." w:history="1">
        <w:proofErr w:type="gramStart"/>
        <w:r w:rsidRPr="00DD5BCE">
          <w:rPr>
            <w:rStyle w:val="FootnoteTextChar"/>
            <w:i/>
          </w:rPr>
          <w:t>Immunology</w:t>
        </w:r>
      </w:hyperlink>
      <w:r w:rsidRPr="00DD5BCE">
        <w:rPr>
          <w:rStyle w:val="FootnoteTextChar"/>
        </w:rPr>
        <w:t xml:space="preserve"> </w:t>
      </w:r>
      <w:r>
        <w:rPr>
          <w:rStyle w:val="FootnoteTextChar"/>
        </w:rPr>
        <w:t>1997</w:t>
      </w:r>
      <w:r w:rsidRPr="00DD5BCE">
        <w:rPr>
          <w:rStyle w:val="FootnoteTextChar"/>
        </w:rPr>
        <w:t>;</w:t>
      </w:r>
      <w:r>
        <w:rPr>
          <w:rStyle w:val="FootnoteTextChar"/>
        </w:rPr>
        <w:t xml:space="preserve"> </w:t>
      </w:r>
      <w:r w:rsidRPr="00DD5BCE">
        <w:rPr>
          <w:rStyle w:val="FootnoteTextChar"/>
        </w:rPr>
        <w:t>92:</w:t>
      </w:r>
      <w:r>
        <w:rPr>
          <w:rStyle w:val="FootnoteTextChar"/>
        </w:rPr>
        <w:t xml:space="preserve"> </w:t>
      </w:r>
      <w:r w:rsidRPr="00DD5BCE">
        <w:rPr>
          <w:rStyle w:val="FootnoteTextChar"/>
        </w:rPr>
        <w:t>69-74.</w:t>
      </w:r>
      <w:proofErr w:type="gramEnd"/>
    </w:p>
  </w:footnote>
  <w:footnote w:id="7">
    <w:p w:rsidR="00B954B9" w:rsidRPr="00B2047B" w:rsidRDefault="00B954B9">
      <w:pPr>
        <w:pStyle w:val="FootnoteText"/>
        <w:rPr>
          <w:szCs w:val="18"/>
        </w:rPr>
      </w:pPr>
      <w:r>
        <w:rPr>
          <w:rStyle w:val="FootnoteReference"/>
        </w:rPr>
        <w:footnoteRef/>
      </w:r>
      <w:r>
        <w:t xml:space="preserve"> </w:t>
      </w:r>
      <w:proofErr w:type="spellStart"/>
      <w:r w:rsidRPr="00B2047B">
        <w:rPr>
          <w:szCs w:val="18"/>
        </w:rPr>
        <w:t>Prins</w:t>
      </w:r>
      <w:proofErr w:type="spellEnd"/>
      <w:r w:rsidRPr="00B2047B">
        <w:rPr>
          <w:szCs w:val="18"/>
        </w:rPr>
        <w:t xml:space="preserve"> JR, </w:t>
      </w:r>
      <w:r>
        <w:rPr>
          <w:szCs w:val="18"/>
        </w:rPr>
        <w:t>et al</w:t>
      </w:r>
      <w:r w:rsidRPr="00B2047B">
        <w:rPr>
          <w:szCs w:val="18"/>
        </w:rPr>
        <w:t xml:space="preserve">. Interleukin-6 in pregnancy and gestational disorders. </w:t>
      </w:r>
      <w:proofErr w:type="gramStart"/>
      <w:r w:rsidRPr="00DD5BCE">
        <w:rPr>
          <w:i/>
          <w:szCs w:val="18"/>
        </w:rPr>
        <w:t>J Reprod Immunol.</w:t>
      </w:r>
      <w:proofErr w:type="gramEnd"/>
      <w:r w:rsidRPr="00B2047B">
        <w:rPr>
          <w:szCs w:val="18"/>
        </w:rPr>
        <w:t xml:space="preserve"> </w:t>
      </w:r>
      <w:proofErr w:type="gramStart"/>
      <w:r w:rsidRPr="00B2047B">
        <w:rPr>
          <w:szCs w:val="18"/>
        </w:rPr>
        <w:t>2012;</w:t>
      </w:r>
      <w:r>
        <w:rPr>
          <w:szCs w:val="18"/>
        </w:rPr>
        <w:t xml:space="preserve"> </w:t>
      </w:r>
      <w:r w:rsidRPr="00B2047B">
        <w:rPr>
          <w:szCs w:val="18"/>
        </w:rPr>
        <w:t>95:</w:t>
      </w:r>
      <w:r>
        <w:rPr>
          <w:szCs w:val="18"/>
        </w:rPr>
        <w:t xml:space="preserve"> </w:t>
      </w:r>
      <w:r w:rsidRPr="00B2047B">
        <w:rPr>
          <w:szCs w:val="18"/>
        </w:rPr>
        <w:t>1–14.</w:t>
      </w:r>
      <w:proofErr w:type="gramEnd"/>
    </w:p>
  </w:footnote>
  <w:footnote w:id="8">
    <w:p w:rsidR="00B954B9" w:rsidRPr="00B2047B" w:rsidRDefault="00B954B9">
      <w:pPr>
        <w:pStyle w:val="FootnoteText"/>
        <w:rPr>
          <w:szCs w:val="18"/>
        </w:rPr>
      </w:pPr>
      <w:r w:rsidRPr="00B2047B">
        <w:rPr>
          <w:rStyle w:val="FootnoteReference"/>
          <w:szCs w:val="18"/>
        </w:rPr>
        <w:footnoteRef/>
      </w:r>
      <w:r w:rsidRPr="00B2047B">
        <w:rPr>
          <w:szCs w:val="18"/>
        </w:rPr>
        <w:t xml:space="preserve"> Lim KJ et al (2000). The role of T-helper cytokines in human reproduction. </w:t>
      </w:r>
      <w:r w:rsidRPr="00DD5BCE">
        <w:rPr>
          <w:i/>
          <w:szCs w:val="18"/>
        </w:rPr>
        <w:t>Fertil Steril.</w:t>
      </w:r>
      <w:r w:rsidRPr="00B2047B">
        <w:rPr>
          <w:szCs w:val="18"/>
        </w:rPr>
        <w:t xml:space="preserve"> </w:t>
      </w:r>
      <w:proofErr w:type="gramStart"/>
      <w:r>
        <w:rPr>
          <w:szCs w:val="18"/>
        </w:rPr>
        <w:t xml:space="preserve">2000; </w:t>
      </w:r>
      <w:r w:rsidRPr="00B2047B">
        <w:rPr>
          <w:szCs w:val="18"/>
        </w:rPr>
        <w:t>73:</w:t>
      </w:r>
      <w:r>
        <w:rPr>
          <w:szCs w:val="18"/>
        </w:rPr>
        <w:t xml:space="preserve"> </w:t>
      </w:r>
      <w:r w:rsidRPr="00B2047B">
        <w:rPr>
          <w:szCs w:val="18"/>
        </w:rPr>
        <w:t>136–142.</w:t>
      </w:r>
      <w:proofErr w:type="gramEnd"/>
    </w:p>
  </w:footnote>
  <w:footnote w:id="9">
    <w:p w:rsidR="00B954B9" w:rsidRPr="00B2047B" w:rsidRDefault="00B954B9">
      <w:pPr>
        <w:pStyle w:val="FootnoteText"/>
        <w:rPr>
          <w:szCs w:val="18"/>
        </w:rPr>
      </w:pPr>
      <w:r w:rsidRPr="00B2047B">
        <w:rPr>
          <w:rStyle w:val="FootnoteReference"/>
          <w:szCs w:val="18"/>
        </w:rPr>
        <w:footnoteRef/>
      </w:r>
      <w:r w:rsidRPr="00B2047B">
        <w:rPr>
          <w:szCs w:val="18"/>
        </w:rPr>
        <w:t xml:space="preserve"> Jasper MJ et al (2006). Reduced expression of IL-6 and IL-1a mRNAs in secretory phase endometrium of women with recurrent miscarriage. </w:t>
      </w:r>
      <w:proofErr w:type="gramStart"/>
      <w:r w:rsidRPr="00DD5BCE">
        <w:rPr>
          <w:i/>
          <w:szCs w:val="18"/>
        </w:rPr>
        <w:t>J Reprod Immunol.</w:t>
      </w:r>
      <w:proofErr w:type="gramEnd"/>
      <w:r w:rsidRPr="00DD5BCE">
        <w:rPr>
          <w:i/>
          <w:szCs w:val="18"/>
        </w:rPr>
        <w:t xml:space="preserve"> </w:t>
      </w:r>
      <w:proofErr w:type="gramStart"/>
      <w:r>
        <w:rPr>
          <w:szCs w:val="18"/>
        </w:rPr>
        <w:t xml:space="preserve">2006; </w:t>
      </w:r>
      <w:r w:rsidRPr="00B2047B">
        <w:rPr>
          <w:szCs w:val="18"/>
        </w:rPr>
        <w:t>73:</w:t>
      </w:r>
      <w:r>
        <w:rPr>
          <w:szCs w:val="18"/>
        </w:rPr>
        <w:t xml:space="preserve"> </w:t>
      </w:r>
      <w:r w:rsidRPr="00B2047B">
        <w:rPr>
          <w:szCs w:val="18"/>
        </w:rPr>
        <w:t>74–84.</w:t>
      </w:r>
      <w:proofErr w:type="gramEnd"/>
    </w:p>
  </w:footnote>
  <w:footnote w:id="10">
    <w:p w:rsidR="00B954B9" w:rsidRPr="00B2047B" w:rsidRDefault="00B954B9">
      <w:pPr>
        <w:pStyle w:val="FootnoteText"/>
        <w:rPr>
          <w:szCs w:val="18"/>
        </w:rPr>
      </w:pPr>
      <w:r w:rsidRPr="00B2047B">
        <w:rPr>
          <w:rStyle w:val="FootnoteReference"/>
          <w:szCs w:val="18"/>
        </w:rPr>
        <w:footnoteRef/>
      </w:r>
      <w:r w:rsidRPr="00B2047B">
        <w:rPr>
          <w:szCs w:val="18"/>
        </w:rPr>
        <w:t xml:space="preserve"> Sharkey DJ et al (2007). Seminal plasma differentially regulates inflammatory cytokine gene expression in human cervical and vaginal epithelial cells. </w:t>
      </w:r>
      <w:proofErr w:type="gramStart"/>
      <w:r w:rsidRPr="00DD5BCE">
        <w:rPr>
          <w:i/>
          <w:szCs w:val="18"/>
        </w:rPr>
        <w:t>Molecular Human Reproduction.</w:t>
      </w:r>
      <w:proofErr w:type="gramEnd"/>
      <w:r w:rsidRPr="00DD5BCE">
        <w:rPr>
          <w:i/>
          <w:szCs w:val="18"/>
        </w:rPr>
        <w:t xml:space="preserve"> </w:t>
      </w:r>
      <w:r w:rsidRPr="00DD5BCE">
        <w:rPr>
          <w:szCs w:val="18"/>
        </w:rPr>
        <w:t>2007; 13</w:t>
      </w:r>
      <w:r w:rsidRPr="00B2047B">
        <w:rPr>
          <w:szCs w:val="18"/>
        </w:rPr>
        <w:t>:</w:t>
      </w:r>
      <w:r>
        <w:rPr>
          <w:szCs w:val="18"/>
        </w:rPr>
        <w:t xml:space="preserve"> </w:t>
      </w:r>
      <w:r w:rsidRPr="00B2047B">
        <w:rPr>
          <w:szCs w:val="18"/>
        </w:rPr>
        <w:t>491–501</w:t>
      </w:r>
    </w:p>
  </w:footnote>
  <w:footnote w:id="11">
    <w:p w:rsidR="00B954B9" w:rsidRPr="00B2047B" w:rsidRDefault="00B954B9">
      <w:pPr>
        <w:pStyle w:val="FootnoteText"/>
        <w:rPr>
          <w:szCs w:val="18"/>
        </w:rPr>
      </w:pPr>
      <w:r w:rsidRPr="00B2047B">
        <w:rPr>
          <w:rStyle w:val="FootnoteReference"/>
          <w:szCs w:val="18"/>
        </w:rPr>
        <w:footnoteRef/>
      </w:r>
      <w:r w:rsidRPr="00B2047B">
        <w:rPr>
          <w:szCs w:val="18"/>
        </w:rPr>
        <w:t xml:space="preserve"> Smith SK et al (1998). The role of leukaemia inhibitory factor and interleukin-6 in human reproduction. </w:t>
      </w:r>
      <w:r w:rsidRPr="00DD5BCE">
        <w:rPr>
          <w:i/>
          <w:szCs w:val="18"/>
        </w:rPr>
        <w:t>Hum. Reprod.</w:t>
      </w:r>
      <w:r w:rsidRPr="00B2047B">
        <w:rPr>
          <w:szCs w:val="18"/>
        </w:rPr>
        <w:t xml:space="preserve"> </w:t>
      </w:r>
      <w:r>
        <w:rPr>
          <w:szCs w:val="18"/>
        </w:rPr>
        <w:t xml:space="preserve">1998; </w:t>
      </w:r>
      <w:r w:rsidRPr="00B2047B">
        <w:rPr>
          <w:szCs w:val="18"/>
        </w:rPr>
        <w:t>13(Suppl. 3):237.</w:t>
      </w:r>
    </w:p>
  </w:footnote>
  <w:footnote w:id="12">
    <w:p w:rsidR="00B954B9" w:rsidRPr="00B2047B" w:rsidRDefault="00B954B9">
      <w:pPr>
        <w:pStyle w:val="FootnoteText"/>
        <w:rPr>
          <w:szCs w:val="18"/>
        </w:rPr>
      </w:pPr>
      <w:r w:rsidRPr="00B2047B">
        <w:rPr>
          <w:rStyle w:val="FootnoteReference"/>
          <w:szCs w:val="18"/>
        </w:rPr>
        <w:footnoteRef/>
      </w:r>
      <w:r w:rsidRPr="00B2047B">
        <w:rPr>
          <w:szCs w:val="18"/>
        </w:rPr>
        <w:t xml:space="preserve"> Iwabe T et al (2002). Role of cytokines in endometriosis-associated infertility. </w:t>
      </w:r>
      <w:proofErr w:type="gramStart"/>
      <w:r w:rsidRPr="00DD5BCE">
        <w:rPr>
          <w:i/>
          <w:szCs w:val="18"/>
        </w:rPr>
        <w:t>Gynecologic and Obstetric Investigation.</w:t>
      </w:r>
      <w:proofErr w:type="gramEnd"/>
      <w:r w:rsidRPr="00B2047B">
        <w:rPr>
          <w:szCs w:val="18"/>
        </w:rPr>
        <w:t xml:space="preserve"> </w:t>
      </w:r>
      <w:r>
        <w:rPr>
          <w:szCs w:val="18"/>
        </w:rPr>
        <w:t xml:space="preserve">2002; </w:t>
      </w:r>
      <w:r w:rsidRPr="00B2047B">
        <w:rPr>
          <w:szCs w:val="18"/>
        </w:rPr>
        <w:t>53:</w:t>
      </w:r>
      <w:r>
        <w:rPr>
          <w:szCs w:val="18"/>
        </w:rPr>
        <w:t xml:space="preserve"> </w:t>
      </w:r>
      <w:r w:rsidRPr="00B2047B">
        <w:rPr>
          <w:szCs w:val="18"/>
        </w:rPr>
        <w:t>19-25</w:t>
      </w:r>
    </w:p>
  </w:footnote>
  <w:footnote w:id="13">
    <w:p w:rsidR="00B954B9" w:rsidRPr="00B2047B" w:rsidRDefault="00B954B9">
      <w:pPr>
        <w:pStyle w:val="FootnoteText"/>
        <w:rPr>
          <w:szCs w:val="18"/>
        </w:rPr>
      </w:pPr>
      <w:r w:rsidRPr="00B2047B">
        <w:rPr>
          <w:rStyle w:val="FootnoteReference"/>
          <w:szCs w:val="18"/>
        </w:rPr>
        <w:footnoteRef/>
      </w:r>
      <w:r w:rsidRPr="00B2047B">
        <w:rPr>
          <w:szCs w:val="18"/>
        </w:rPr>
        <w:t xml:space="preserve"> Papathanasiou A et al (2008). The effect of IL-6 on ciliary beat frequency in the human Fallopian tube. </w:t>
      </w:r>
      <w:r w:rsidRPr="00DD5BCE">
        <w:rPr>
          <w:i/>
          <w:szCs w:val="18"/>
        </w:rPr>
        <w:t>Am Soc Reprod Med.</w:t>
      </w:r>
      <w:r w:rsidRPr="00B2047B">
        <w:rPr>
          <w:szCs w:val="18"/>
        </w:rPr>
        <w:t xml:space="preserve"> </w:t>
      </w:r>
      <w:r>
        <w:rPr>
          <w:szCs w:val="18"/>
        </w:rPr>
        <w:t xml:space="preserve">2008; </w:t>
      </w:r>
      <w:r w:rsidRPr="00B2047B">
        <w:rPr>
          <w:szCs w:val="18"/>
        </w:rPr>
        <w:t>90:</w:t>
      </w:r>
      <w:r>
        <w:rPr>
          <w:szCs w:val="18"/>
        </w:rPr>
        <w:t xml:space="preserve"> </w:t>
      </w:r>
      <w:r w:rsidRPr="00B2047B">
        <w:rPr>
          <w:szCs w:val="18"/>
        </w:rPr>
        <w:t>391-394</w:t>
      </w:r>
    </w:p>
  </w:footnote>
  <w:footnote w:id="14">
    <w:p w:rsidR="00B954B9" w:rsidRPr="00B2047B" w:rsidRDefault="00B954B9">
      <w:pPr>
        <w:pStyle w:val="FootnoteText"/>
        <w:rPr>
          <w:szCs w:val="18"/>
        </w:rPr>
      </w:pPr>
      <w:r w:rsidRPr="00B2047B">
        <w:rPr>
          <w:rStyle w:val="FootnoteReference"/>
          <w:szCs w:val="18"/>
        </w:rPr>
        <w:footnoteRef/>
      </w:r>
      <w:r w:rsidRPr="00B2047B">
        <w:rPr>
          <w:szCs w:val="18"/>
        </w:rPr>
        <w:t xml:space="preserve"> Rival C et al (2006). IL-6 and IL-6 receptor cell expression in testis of rats with autoimmune orchitis. </w:t>
      </w:r>
      <w:r w:rsidRPr="00DD5BCE">
        <w:rPr>
          <w:i/>
          <w:szCs w:val="18"/>
        </w:rPr>
        <w:t>Reprod Immunol.</w:t>
      </w:r>
      <w:r w:rsidRPr="00B2047B">
        <w:rPr>
          <w:szCs w:val="18"/>
        </w:rPr>
        <w:t xml:space="preserve"> </w:t>
      </w:r>
      <w:r>
        <w:rPr>
          <w:szCs w:val="18"/>
        </w:rPr>
        <w:t xml:space="preserve">2006; </w:t>
      </w:r>
      <w:r w:rsidRPr="00B2047B">
        <w:rPr>
          <w:szCs w:val="18"/>
        </w:rPr>
        <w:t>164</w:t>
      </w:r>
    </w:p>
  </w:footnote>
  <w:footnote w:id="15">
    <w:p w:rsidR="00B954B9" w:rsidRDefault="00B954B9" w:rsidP="00091017">
      <w:pPr>
        <w:pStyle w:val="FootnoteText"/>
      </w:pPr>
      <w:r>
        <w:rPr>
          <w:rStyle w:val="FootnoteReference"/>
        </w:rPr>
        <w:footnoteRef/>
      </w:r>
      <w:r>
        <w:rPr>
          <w:rStyle w:val="FootnoteTextChar"/>
          <w:lang w:val="en" w:eastAsia="en-AU"/>
        </w:rPr>
        <w:t xml:space="preserve"> Australian Pregnancy </w:t>
      </w:r>
      <w:r w:rsidRPr="006609CA">
        <w:rPr>
          <w:rStyle w:val="FootnoteTextChar"/>
          <w:lang w:val="en" w:eastAsia="en-AU"/>
        </w:rPr>
        <w:t>Category C</w:t>
      </w:r>
      <w:r w:rsidRPr="006609CA">
        <w:rPr>
          <w:rStyle w:val="FootnoteTextChar"/>
        </w:rPr>
        <w:t xml:space="preserve">: </w:t>
      </w:r>
      <w:r w:rsidRPr="006609CA">
        <w:rPr>
          <w:rStyle w:val="FootnoteTextChar"/>
          <w:lang w:val="en" w:eastAsia="en-AU"/>
        </w:rPr>
        <w:t>Drugs which, owing to their pharmacological effects, have caused or may be suspected of causing, harmful effects on the human fetus or neonate without causing malformations. These effects may be reversible. Accompanying texts should be consulted for further details.</w:t>
      </w:r>
    </w:p>
  </w:footnote>
  <w:footnote w:id="16">
    <w:p w:rsidR="00B954B9" w:rsidRDefault="00B954B9">
      <w:pPr>
        <w:pStyle w:val="FootnoteText"/>
      </w:pPr>
      <w:r w:rsidRPr="00622898">
        <w:rPr>
          <w:rStyle w:val="FootnoteReference"/>
        </w:rPr>
        <w:footnoteRef/>
      </w:r>
      <w:r w:rsidRPr="00622898">
        <w:t xml:space="preserve"> TGA guidance at pre-submission meetings is nonbinding and without prejudice.</w:t>
      </w:r>
    </w:p>
  </w:footnote>
  <w:footnote w:id="17">
    <w:p w:rsidR="00B954B9" w:rsidRDefault="00B954B9">
      <w:pPr>
        <w:pStyle w:val="FootnoteText"/>
      </w:pPr>
      <w:r>
        <w:rPr>
          <w:rStyle w:val="FootnoteReference"/>
        </w:rPr>
        <w:footnoteRef/>
      </w:r>
      <w:r>
        <w:t xml:space="preserve"> </w:t>
      </w:r>
      <w:proofErr w:type="spellStart"/>
      <w:r>
        <w:rPr>
          <w:lang w:eastAsia="ja-JP"/>
        </w:rPr>
        <w:t>Burmester</w:t>
      </w:r>
      <w:proofErr w:type="spellEnd"/>
      <w:r>
        <w:rPr>
          <w:lang w:eastAsia="ja-JP"/>
        </w:rPr>
        <w:t xml:space="preserve"> GR, et al. Efficacy and safety of sarilumab monotherapy versus adalimumab monotherapy for the treatment of patients with active rheumatoid arthritis (MONARCH): a randomised, double-blind, parallel-group phase III trial. </w:t>
      </w:r>
      <w:r w:rsidRPr="007C7C62">
        <w:rPr>
          <w:i/>
          <w:lang w:eastAsia="ja-JP"/>
        </w:rPr>
        <w:t>Ann Rheum Dis</w:t>
      </w:r>
      <w:r>
        <w:rPr>
          <w:lang w:eastAsia="ja-JP"/>
        </w:rPr>
        <w:t xml:space="preserve"> 2016; Published Online First: November 17, 2016 doi:10.1136/annrheumdis-2016-210310</w:t>
      </w:r>
    </w:p>
  </w:footnote>
  <w:footnote w:id="18">
    <w:p w:rsidR="00B954B9" w:rsidRPr="003D2290" w:rsidRDefault="00B954B9" w:rsidP="003D2290">
      <w:pPr>
        <w:pStyle w:val="FootnoteText"/>
      </w:pPr>
      <w:r w:rsidRPr="007C7C62">
        <w:rPr>
          <w:rStyle w:val="FootnoteReference"/>
        </w:rPr>
        <w:footnoteRef/>
      </w:r>
      <w:r w:rsidRPr="007C7C62">
        <w:rPr>
          <w:vertAlign w:val="superscript"/>
        </w:rPr>
        <w:t xml:space="preserve"> </w:t>
      </w:r>
      <w:r w:rsidRPr="003D2290">
        <w:rPr>
          <w:rStyle w:val="st1"/>
        </w:rPr>
        <w:t>Disease Activity Score-28 for Rheumatoid Arthritis with ESR (</w:t>
      </w:r>
      <w:r w:rsidRPr="003D2290">
        <w:rPr>
          <w:rStyle w:val="Emphasis"/>
          <w:b w:val="0"/>
          <w:bCs w:val="0"/>
        </w:rPr>
        <w:t>DAS28</w:t>
      </w:r>
      <w:r w:rsidRPr="003D2290">
        <w:rPr>
          <w:rStyle w:val="st1"/>
        </w:rPr>
        <w:t>-</w:t>
      </w:r>
      <w:r w:rsidRPr="003D2290">
        <w:rPr>
          <w:rStyle w:val="Emphasis"/>
          <w:b w:val="0"/>
          <w:bCs w:val="0"/>
        </w:rPr>
        <w:t>ESR</w:t>
      </w:r>
      <w:r w:rsidRPr="003D2290">
        <w:rPr>
          <w:rStyle w:val="st1"/>
        </w:rPr>
        <w:t>) describes severity of rheumatoid arthritis using clinical and laboratory data.</w:t>
      </w:r>
      <w:r>
        <w:rPr>
          <w:rStyle w:val="st1"/>
        </w:rPr>
        <w:t xml:space="preserve"> </w:t>
      </w:r>
      <w:r>
        <w:rPr>
          <w:lang w:eastAsia="ja-JP"/>
        </w:rPr>
        <w:t>The DAS is based upon treatment decisions of rheumatologists in daily clinical practice</w:t>
      </w:r>
    </w:p>
  </w:footnote>
  <w:footnote w:id="19">
    <w:p w:rsidR="00B954B9" w:rsidRDefault="00B954B9">
      <w:pPr>
        <w:pStyle w:val="FootnoteText"/>
      </w:pPr>
      <w:r>
        <w:rPr>
          <w:rStyle w:val="FootnoteReference"/>
        </w:rPr>
        <w:footnoteRef/>
      </w:r>
      <w:r>
        <w:t xml:space="preserve"> ACR score: Consists of 7 disease activity measurements. </w:t>
      </w:r>
      <w:r w:rsidRPr="00FC3594">
        <w:t>A patien</w:t>
      </w:r>
      <w:r>
        <w:t xml:space="preserve">t who had at least 20%/50%/70% </w:t>
      </w:r>
      <w:r w:rsidRPr="00FC3594">
        <w:t>improvement in both tender and swollen joint counts and at least 20%/50%/70% improvement in a minimum of 3 of the 5 specified criteria.</w:t>
      </w:r>
    </w:p>
  </w:footnote>
  <w:footnote w:id="20">
    <w:p w:rsidR="00B954B9" w:rsidRDefault="00B954B9">
      <w:pPr>
        <w:pStyle w:val="FootnoteText"/>
      </w:pPr>
      <w:r>
        <w:rPr>
          <w:rStyle w:val="FootnoteReference"/>
        </w:rPr>
        <w:footnoteRef/>
      </w:r>
      <w:r>
        <w:t xml:space="preserve"> </w:t>
      </w:r>
      <w:r w:rsidRPr="00DD2390">
        <w:rPr>
          <w:lang w:eastAsia="ja-JP"/>
        </w:rPr>
        <w:t>The SF-36</w:t>
      </w:r>
      <w:r>
        <w:rPr>
          <w:lang w:eastAsia="ja-JP"/>
        </w:rPr>
        <w:t xml:space="preserve"> is a multi-purpose, short-form health survey with only 36 questions. It yields an 8-scale profile of functional health and well-being scores as well as psychometrically-based physical and mental health summary measures and a preference-based health utility index. It measures eight domains of health: physical functioning, role limitations due to physical health, bodily pain, general health perceptions, vitality, social functioning, role limitations due to emotional problems, and mental health. It yields scale scores for each of these eight health domains, and two summary measures of physical and mental health. It is a generic measure, as opposed to one that targets a specific age, disease, or treatment group. The SF-36 is available for two recall periods: standard (4-week recall) and acute (1-week recall).</w:t>
      </w:r>
    </w:p>
  </w:footnote>
  <w:footnote w:id="21">
    <w:p w:rsidR="00B954B9" w:rsidRDefault="00B954B9">
      <w:pPr>
        <w:pStyle w:val="FootnoteText"/>
      </w:pPr>
      <w:r>
        <w:rPr>
          <w:rStyle w:val="FootnoteReference"/>
        </w:rPr>
        <w:footnoteRef/>
      </w:r>
      <w:r>
        <w:t xml:space="preserve"> </w:t>
      </w:r>
      <w:r w:rsidRPr="00A6301B">
        <w:rPr>
          <w:lang w:eastAsia="ja-JP"/>
        </w:rPr>
        <w:t>The QT interval</w:t>
      </w:r>
      <w:r>
        <w:rPr>
          <w:lang w:eastAsia="ja-JP"/>
        </w:rPr>
        <w:t xml:space="preserve"> is the time from the start of the Q wave to the end of the T wave. It represents the time taken for ventricular depolarisation and repolarisation, effectively the period of ventricular systole from ventricular isovolumetric contraction to isovolumetric relaxation.The QT shortens at faster heart rates. An abnormally prolonged QT is associated with an increased risk of ventricular arrhythmias, especially Torsades de Pointes. The recently described congenital short QT syndrome has been found to be associated with an increased risk of paroxysmal atrial and ventricular fibrillation and sudden cardiac death.</w:t>
      </w:r>
    </w:p>
  </w:footnote>
  <w:footnote w:id="22">
    <w:p w:rsidR="00B954B9" w:rsidRDefault="00B954B9">
      <w:pPr>
        <w:pStyle w:val="FootnoteText"/>
      </w:pPr>
      <w:r>
        <w:rPr>
          <w:rStyle w:val="FootnoteReference"/>
        </w:rPr>
        <w:footnoteRef/>
      </w:r>
      <w:r>
        <w:t xml:space="preserve"> Royal College of Pathologists of Australasia (</w:t>
      </w:r>
      <w:r w:rsidRPr="00A72FC8">
        <w:rPr>
          <w:lang w:val="en-US"/>
        </w:rPr>
        <w:t>RCPA</w:t>
      </w:r>
      <w:r>
        <w:rPr>
          <w:lang w:val="en-US"/>
        </w:rPr>
        <w:t>)</w:t>
      </w:r>
      <w:r w:rsidRPr="00A72FC8">
        <w:rPr>
          <w:lang w:val="en-US"/>
        </w:rPr>
        <w:t xml:space="preserve"> Manual of Use and Interpretation of Pathology Tests, 7th edition, 2015</w:t>
      </w:r>
    </w:p>
  </w:footnote>
  <w:footnote w:id="23">
    <w:p w:rsidR="00B954B9" w:rsidRDefault="00B954B9">
      <w:pPr>
        <w:pStyle w:val="FootnoteText"/>
      </w:pPr>
      <w:r>
        <w:rPr>
          <w:rStyle w:val="FootnoteReference"/>
        </w:rPr>
        <w:footnoteRef/>
      </w:r>
      <w:r>
        <w:t xml:space="preserve"> </w:t>
      </w:r>
      <w:proofErr w:type="gramStart"/>
      <w:r w:rsidRPr="00306971">
        <w:rPr>
          <w:lang w:eastAsia="ja-JP"/>
        </w:rPr>
        <w:t xml:space="preserve">Kovalenko eta al. </w:t>
      </w:r>
      <w:r w:rsidRPr="00306971">
        <w:rPr>
          <w:rFonts w:eastAsiaTheme="minorHAnsi"/>
          <w:bCs/>
        </w:rPr>
        <w:t>Pharmacodynamic (PD) Model of Neutrophil Margination to Describe</w:t>
      </w:r>
      <w:r w:rsidRPr="00306971">
        <w:rPr>
          <w:lang w:eastAsia="ja-JP"/>
        </w:rPr>
        <w:t xml:space="preserve"> </w:t>
      </w:r>
      <w:r w:rsidRPr="00306971">
        <w:rPr>
          <w:rFonts w:eastAsiaTheme="minorHAnsi"/>
          <w:bCs/>
        </w:rPr>
        <w:t>Transient Effect of Sarilumab on Absolute Neutrophil Count (ANC) in Patients</w:t>
      </w:r>
      <w:r w:rsidRPr="00306971">
        <w:rPr>
          <w:lang w:eastAsia="ja-JP"/>
        </w:rPr>
        <w:t xml:space="preserve"> </w:t>
      </w:r>
      <w:r>
        <w:rPr>
          <w:rFonts w:eastAsiaTheme="minorHAnsi"/>
          <w:bCs/>
        </w:rPr>
        <w:t>w</w:t>
      </w:r>
      <w:r w:rsidRPr="00306971">
        <w:rPr>
          <w:rFonts w:eastAsiaTheme="minorHAnsi"/>
          <w:bCs/>
        </w:rPr>
        <w:t>ith Rheumatoid Arthritis (RA) After Single-Dose Administration</w:t>
      </w:r>
      <w:r>
        <w:rPr>
          <w:rFonts w:eastAsiaTheme="minorHAnsi"/>
          <w:bCs/>
        </w:rPr>
        <w:t>.</w:t>
      </w:r>
      <w:proofErr w:type="gramEnd"/>
      <w:r>
        <w:rPr>
          <w:rFonts w:eastAsiaTheme="minorHAnsi"/>
          <w:bCs/>
        </w:rPr>
        <w:t xml:space="preserve"> </w:t>
      </w:r>
      <w:r>
        <w:rPr>
          <w:lang w:eastAsia="ja-JP"/>
        </w:rPr>
        <w:t xml:space="preserve">Poster Number III-58 </w:t>
      </w:r>
      <w:r w:rsidRPr="00306971">
        <w:rPr>
          <w:lang w:eastAsia="ja-JP"/>
        </w:rPr>
        <w:t>from the 26</w:t>
      </w:r>
      <w:r w:rsidRPr="00306971">
        <w:rPr>
          <w:vertAlign w:val="superscript"/>
          <w:lang w:eastAsia="ja-JP"/>
        </w:rPr>
        <w:t>th</w:t>
      </w:r>
      <w:r w:rsidRPr="00306971">
        <w:rPr>
          <w:lang w:eastAsia="ja-JP"/>
        </w:rPr>
        <w:t xml:space="preserve"> Population Approach Group in Europe Meeting, June 6-9, 2017, Budapest Hungary</w:t>
      </w:r>
    </w:p>
  </w:footnote>
  <w:footnote w:id="24">
    <w:p w:rsidR="00B954B9" w:rsidRDefault="00B954B9">
      <w:pPr>
        <w:pStyle w:val="FootnoteText"/>
      </w:pPr>
      <w:r>
        <w:rPr>
          <w:rStyle w:val="FootnoteReference"/>
        </w:rPr>
        <w:footnoteRef/>
      </w:r>
      <w:r>
        <w:t xml:space="preserve"> See AusPAR for Kevzara PM-2015-04024-1-3 published 20 July 2018. </w:t>
      </w:r>
      <w:r w:rsidRPr="00A11AA6">
        <w:t>http://www.tga.gov.au/auspar/auspar-sarilumab-rch</w:t>
      </w:r>
    </w:p>
  </w:footnote>
  <w:footnote w:id="25">
    <w:p w:rsidR="00B954B9" w:rsidRDefault="00B954B9" w:rsidP="00456765">
      <w:pPr>
        <w:pStyle w:val="FootnoteText"/>
      </w:pPr>
      <w:r>
        <w:rPr>
          <w:rStyle w:val="FootnoteReference"/>
        </w:rPr>
        <w:footnoteRef/>
      </w:r>
      <w:r>
        <w:t xml:space="preserve"> The ACM provides independent medical and scientific advice to the Minister for Health and the Therapeutic Goods Administration (TGA) on issues relating to the safety, quality and efficacy of medicines supplied in Australia including issues relating to pre-market and post-market functions for medicines.</w:t>
      </w:r>
    </w:p>
    <w:p w:rsidR="00B954B9" w:rsidRPr="00456765" w:rsidRDefault="00B954B9" w:rsidP="00456765">
      <w:pPr>
        <w:pStyle w:val="FootnoteText"/>
        <w:rPr>
          <w:lang w:val="en-US"/>
        </w:rPr>
      </w:pPr>
      <w:r>
        <w:t xml:space="preserve">The Committee is established under Regulation 35 of the Therapeutic Goods Regulations 1990. Members are appointed by the Minister. The ACM was established in January 2017 replacing </w:t>
      </w:r>
      <w:r w:rsidRPr="009E0C19">
        <w:t xml:space="preserve">Advisory Committee on Prescription Medicines (ACPM) </w:t>
      </w:r>
      <w:r>
        <w:t xml:space="preserve">which </w:t>
      </w:r>
      <w:r w:rsidRPr="009E0C19">
        <w:t>was formed in January 2010</w:t>
      </w:r>
      <w:r>
        <w:t>. ACM encompass pre and post-market advice for medicines, following the consolidation of the previous functions of the Advisory Committee on Prescription Medicines (ACPM), the Advisory Committee on the Safety of Medicines (ACSOM) and the Advisory Committee on Non-Prescription Medicines (ACNM). Membership comprises of professionals with specific scientific, medical or clinical expertise, as well as appropriate consumer health issues relating to medicines.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954B9" w:rsidRDefault="00B954B9" w:rsidP="00E45619">
    <w:pPr>
      <w:pStyle w:val="Header"/>
    </w:pPr>
    <w:r>
      <w:t>Therapeutic Goods Administration</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954B9" w:rsidRDefault="00B954B9">
    <w:pPr>
      <w:rPr>
        <w:noProof/>
        <w:lang w:eastAsia="en-AU"/>
      </w:rPr>
    </w:pPr>
    <w:r w:rsidRPr="00347824">
      <w:rPr>
        <w:noProof/>
        <w:lang w:eastAsia="en-AU"/>
      </w:rPr>
      <w:drawing>
        <wp:anchor distT="0" distB="0" distL="114300" distR="114300" simplePos="0" relativeHeight="251659264" behindDoc="1" locked="0" layoutInCell="1" allowOverlap="1" wp14:anchorId="02400CF1" wp14:editId="6E3D2874">
          <wp:simplePos x="0" y="0"/>
          <wp:positionH relativeFrom="column">
            <wp:posOffset>-1089660</wp:posOffset>
          </wp:positionH>
          <wp:positionV relativeFrom="paragraph">
            <wp:posOffset>-585470</wp:posOffset>
          </wp:positionV>
          <wp:extent cx="7572375" cy="10706100"/>
          <wp:effectExtent l="19050" t="0" r="0" b="0"/>
          <wp:wrapNone/>
          <wp:docPr id="21" name="Picture 0"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PAR-BG-HQ03.gif"/>
                  <pic:cNvPicPr/>
                </pic:nvPicPr>
                <pic:blipFill>
                  <a:blip r:embed="rId1"/>
                  <a:stretch>
                    <a:fillRect/>
                  </a:stretch>
                </pic:blipFill>
                <pic:spPr>
                  <a:xfrm>
                    <a:off x="0" y="0"/>
                    <a:ext cx="7568736" cy="10706100"/>
                  </a:xfrm>
                  <a:prstGeom prst="rect">
                    <a:avLst/>
                  </a:prstGeom>
                </pic:spPr>
              </pic:pic>
            </a:graphicData>
          </a:graphic>
        </wp:anchor>
      </w:drawing>
    </w:r>
  </w:p>
  <w:p w:rsidR="00B954B9" w:rsidRDefault="00B954B9" w:rsidP="00593AD1">
    <w:pPr>
      <w:pStyle w:val="HeaderNoLine"/>
    </w:pPr>
    <w:r>
      <w:rPr>
        <w:noProof/>
        <w:lang w:eastAsia="en-AU"/>
      </w:rPr>
      <w:drawing>
        <wp:inline distT="0" distB="0" distL="0" distR="0" wp14:anchorId="3B45DF1B" wp14:editId="028CEE0C">
          <wp:extent cx="5400675" cy="7639050"/>
          <wp:effectExtent l="0" t="0" r="9525" b="0"/>
          <wp:docPr id="22" name="Picture 22" descr="Light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ghtblue.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954B9" w:rsidRDefault="00B954B9">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954B9" w:rsidRDefault="00B954B9">
    <w:pPr>
      <w:pStyle w:val="Header"/>
    </w:pPr>
    <w:r>
      <w:t>Therapeutic Goods Administration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954B9" w:rsidRDefault="00B954B9">
    <w:pPr>
      <w:pStyle w:val="Header"/>
    </w:pPr>
    <w:r>
      <w:t>Therapeutic Goods Administration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954B9" w:rsidRDefault="00B954B9">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954B9" w:rsidRDefault="00B954B9" w:rsidP="004C239D">
    <w:pPr>
      <w:pStyle w:val="HeaderNoLin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954B9" w:rsidRDefault="00B954B9" w:rsidP="006E08B3">
    <w:r>
      <w:t>Therapeutic Goods Administration</w:t>
    </w:r>
  </w:p>
  <w:p w:rsidR="00B954B9" w:rsidRDefault="00B954B9" w:rsidP="006D03E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236A1B58"/>
    <w:lvl w:ilvl="0">
      <w:start w:val="1"/>
      <w:numFmt w:val="lowerRoman"/>
      <w:pStyle w:val="ListNumber2"/>
      <w:lvlText w:val="(%1)"/>
      <w:lvlJc w:val="left"/>
      <w:pPr>
        <w:ind w:left="720" w:hanging="360"/>
      </w:pPr>
    </w:lvl>
  </w:abstractNum>
  <w:abstractNum w:abstractNumId="1">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8794615"/>
    <w:multiLevelType w:val="hybridMultilevel"/>
    <w:tmpl w:val="A7561688"/>
    <w:lvl w:ilvl="0" w:tplc="75BE7E8A">
      <w:start w:val="1"/>
      <w:numFmt w:val="bullet"/>
      <w:pStyle w:val="CommentDot"/>
      <w:lvlText w:val="▪"/>
      <w:lvlJc w:val="left"/>
      <w:pPr>
        <w:ind w:left="1854" w:hanging="360"/>
      </w:pPr>
      <w:rPr>
        <w:rFonts w:ascii="Arial" w:hAnsi="Arial" w:hint="default"/>
      </w:rPr>
    </w:lvl>
    <w:lvl w:ilvl="1" w:tplc="0C090003" w:tentative="1">
      <w:start w:val="1"/>
      <w:numFmt w:val="bullet"/>
      <w:lvlText w:val="o"/>
      <w:lvlJc w:val="left"/>
      <w:pPr>
        <w:ind w:left="2574" w:hanging="360"/>
      </w:pPr>
      <w:rPr>
        <w:rFonts w:ascii="Courier New" w:hAnsi="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3">
    <w:nsid w:val="0E9108CD"/>
    <w:multiLevelType w:val="hybridMultilevel"/>
    <w:tmpl w:val="F07C7BCA"/>
    <w:lvl w:ilvl="0" w:tplc="7E7496A6">
      <w:start w:val="1"/>
      <w:numFmt w:val="bullet"/>
      <w:pStyle w:val="Bulletlis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10053F11"/>
    <w:multiLevelType w:val="multilevel"/>
    <w:tmpl w:val="575CEDBE"/>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5">
    <w:nsid w:val="168F13E9"/>
    <w:multiLevelType w:val="multilevel"/>
    <w:tmpl w:val="F7A4D19E"/>
    <w:styleLink w:val="ListBullets"/>
    <w:lvl w:ilvl="0">
      <w:start w:val="1"/>
      <w:numFmt w:val="bullet"/>
      <w:pStyle w:val="ListBullet"/>
      <w:lvlText w:val="•"/>
      <w:lvlJc w:val="left"/>
      <w:pPr>
        <w:ind w:left="360" w:hanging="360"/>
      </w:pPr>
      <w:rPr>
        <w:rFonts w:ascii="Arial" w:hAnsi="Arial"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6">
    <w:nsid w:val="29567255"/>
    <w:multiLevelType w:val="hybridMultilevel"/>
    <w:tmpl w:val="A93CF09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nsid w:val="3066740A"/>
    <w:multiLevelType w:val="hybridMultilevel"/>
    <w:tmpl w:val="4AC4A154"/>
    <w:lvl w:ilvl="0" w:tplc="AAAE3F22">
      <w:start w:val="1"/>
      <w:numFmt w:val="bullet"/>
      <w:pStyle w:val="Bullet1"/>
      <w:lvlText w:val="•"/>
      <w:lvlJc w:val="left"/>
      <w:pPr>
        <w:tabs>
          <w:tab w:val="num" w:pos="284"/>
        </w:tabs>
        <w:ind w:left="284" w:hanging="284"/>
      </w:pPr>
      <w:rPr>
        <w:rFonts w:ascii="Times New Roman" w:hAnsi="Times New Roman" w:cs="Times New Roman" w:hint="default"/>
      </w:rPr>
    </w:lvl>
    <w:lvl w:ilvl="1" w:tplc="0C090003" w:tentative="1">
      <w:start w:val="1"/>
      <w:numFmt w:val="bullet"/>
      <w:lvlText w:val="o"/>
      <w:lvlJc w:val="left"/>
      <w:pPr>
        <w:tabs>
          <w:tab w:val="num" w:pos="1724"/>
        </w:tabs>
        <w:ind w:left="1724" w:hanging="360"/>
      </w:pPr>
      <w:rPr>
        <w:rFonts w:ascii="Courier New" w:hAnsi="Courier New" w:cs="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cs="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cs="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8">
    <w:nsid w:val="3AC02909"/>
    <w:multiLevelType w:val="hybridMultilevel"/>
    <w:tmpl w:val="0BF2B618"/>
    <w:lvl w:ilvl="0" w:tplc="3B76980A">
      <w:start w:val="1"/>
      <w:numFmt w:val="bullet"/>
      <w:pStyle w:val="Bullet2"/>
      <w:lvlText w:val="-"/>
      <w:lvlJc w:val="left"/>
      <w:pPr>
        <w:tabs>
          <w:tab w:val="num" w:pos="567"/>
        </w:tabs>
        <w:ind w:left="567" w:hanging="283"/>
      </w:pPr>
      <w:rPr>
        <w:rFonts w:ascii="Arial" w:hAnsi="Arial" w:hint="default"/>
      </w:rPr>
    </w:lvl>
    <w:lvl w:ilvl="1" w:tplc="0C090003" w:tentative="1">
      <w:start w:val="1"/>
      <w:numFmt w:val="bullet"/>
      <w:lvlText w:val="o"/>
      <w:lvlJc w:val="left"/>
      <w:pPr>
        <w:tabs>
          <w:tab w:val="num" w:pos="1724"/>
        </w:tabs>
        <w:ind w:left="1724" w:hanging="360"/>
      </w:pPr>
      <w:rPr>
        <w:rFonts w:ascii="Courier New" w:hAnsi="Courier New" w:cs="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cs="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cs="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9">
    <w:nsid w:val="489B15D7"/>
    <w:multiLevelType w:val="hybridMultilevel"/>
    <w:tmpl w:val="DBA60820"/>
    <w:lvl w:ilvl="0" w:tplc="04CEB5FC">
      <w:start w:val="1"/>
      <w:numFmt w:val="bullet"/>
      <w:pStyle w:val="Bulletpoint"/>
      <w:lvlText w:val=""/>
      <w:lvlJc w:val="left"/>
      <w:pPr>
        <w:tabs>
          <w:tab w:val="num" w:pos="511"/>
        </w:tabs>
        <w:ind w:left="511" w:hanging="227"/>
      </w:pPr>
      <w:rPr>
        <w:rFonts w:ascii="Symbol" w:hAnsi="Symbol" w:hint="default"/>
        <w:position w:val="0"/>
        <w:sz w:val="22"/>
        <w:szCs w:val="22"/>
      </w:rPr>
    </w:lvl>
    <w:lvl w:ilvl="1" w:tplc="0C090003">
      <w:start w:val="1"/>
      <w:numFmt w:val="bullet"/>
      <w:lvlText w:val="o"/>
      <w:lvlJc w:val="left"/>
      <w:pPr>
        <w:tabs>
          <w:tab w:val="num" w:pos="1440"/>
        </w:tabs>
        <w:ind w:left="1440" w:hanging="360"/>
      </w:pPr>
      <w:rPr>
        <w:rFonts w:ascii="Courier New" w:hAnsi="Courier New" w:cs="Symbol" w:hint="default"/>
      </w:rPr>
    </w:lvl>
    <w:lvl w:ilvl="2" w:tplc="0C090005">
      <w:start w:val="1"/>
      <w:numFmt w:val="bullet"/>
      <w:lvlText w:val=""/>
      <w:lvlJc w:val="left"/>
      <w:pPr>
        <w:tabs>
          <w:tab w:val="num" w:pos="2160"/>
        </w:tabs>
        <w:ind w:left="2160" w:hanging="360"/>
      </w:pPr>
      <w:rPr>
        <w:rFonts w:ascii="Wingdings" w:hAnsi="Wingdings" w:hint="default"/>
      </w:rPr>
    </w:lvl>
    <w:lvl w:ilvl="3" w:tplc="0C090001">
      <w:start w:val="1"/>
      <w:numFmt w:val="bullet"/>
      <w:lvlText w:val=""/>
      <w:lvlJc w:val="left"/>
      <w:pPr>
        <w:tabs>
          <w:tab w:val="num" w:pos="2880"/>
        </w:tabs>
        <w:ind w:left="2880" w:hanging="360"/>
      </w:pPr>
      <w:rPr>
        <w:rFonts w:ascii="Symbol" w:hAnsi="Symbol" w:hint="default"/>
      </w:rPr>
    </w:lvl>
    <w:lvl w:ilvl="4" w:tplc="0C090003">
      <w:start w:val="1"/>
      <w:numFmt w:val="bullet"/>
      <w:lvlText w:val="o"/>
      <w:lvlJc w:val="left"/>
      <w:pPr>
        <w:tabs>
          <w:tab w:val="num" w:pos="3600"/>
        </w:tabs>
        <w:ind w:left="3600" w:hanging="360"/>
      </w:pPr>
      <w:rPr>
        <w:rFonts w:ascii="Courier New" w:hAnsi="Courier New" w:cs="Symbol" w:hint="default"/>
      </w:rPr>
    </w:lvl>
    <w:lvl w:ilvl="5" w:tplc="0C090005">
      <w:start w:val="1"/>
      <w:numFmt w:val="bullet"/>
      <w:lvlText w:val=""/>
      <w:lvlJc w:val="left"/>
      <w:pPr>
        <w:tabs>
          <w:tab w:val="num" w:pos="4320"/>
        </w:tabs>
        <w:ind w:left="4320" w:hanging="360"/>
      </w:pPr>
      <w:rPr>
        <w:rFonts w:ascii="Wingdings" w:hAnsi="Wingdings" w:hint="default"/>
      </w:rPr>
    </w:lvl>
    <w:lvl w:ilvl="6" w:tplc="0C090001">
      <w:start w:val="1"/>
      <w:numFmt w:val="bullet"/>
      <w:lvlText w:val=""/>
      <w:lvlJc w:val="left"/>
      <w:pPr>
        <w:tabs>
          <w:tab w:val="num" w:pos="5040"/>
        </w:tabs>
        <w:ind w:left="5040" w:hanging="360"/>
      </w:pPr>
      <w:rPr>
        <w:rFonts w:ascii="Symbol" w:hAnsi="Symbol" w:hint="default"/>
      </w:rPr>
    </w:lvl>
    <w:lvl w:ilvl="7" w:tplc="0C090003">
      <w:start w:val="1"/>
      <w:numFmt w:val="bullet"/>
      <w:lvlText w:val="o"/>
      <w:lvlJc w:val="left"/>
      <w:pPr>
        <w:tabs>
          <w:tab w:val="num" w:pos="5760"/>
        </w:tabs>
        <w:ind w:left="5760" w:hanging="360"/>
      </w:pPr>
      <w:rPr>
        <w:rFonts w:ascii="Courier New" w:hAnsi="Courier New" w:cs="Symbol" w:hint="default"/>
      </w:rPr>
    </w:lvl>
    <w:lvl w:ilvl="8" w:tplc="0C090005">
      <w:start w:val="1"/>
      <w:numFmt w:val="bullet"/>
      <w:lvlText w:val=""/>
      <w:lvlJc w:val="left"/>
      <w:pPr>
        <w:tabs>
          <w:tab w:val="num" w:pos="6480"/>
        </w:tabs>
        <w:ind w:left="6480" w:hanging="360"/>
      </w:pPr>
      <w:rPr>
        <w:rFonts w:ascii="Wingdings" w:hAnsi="Wingdings" w:hint="default"/>
      </w:rPr>
    </w:lvl>
  </w:abstractNum>
  <w:abstractNum w:abstractNumId="10">
    <w:nsid w:val="67381F4D"/>
    <w:multiLevelType w:val="hybridMultilevel"/>
    <w:tmpl w:val="6AB4E120"/>
    <w:lvl w:ilvl="0" w:tplc="4BC8A140">
      <w:start w:val="1"/>
      <w:numFmt w:val="decimal"/>
      <w:pStyle w:val="ListNumber"/>
      <w:lvlText w:val="%1."/>
      <w:lvlJc w:val="left"/>
      <w:pPr>
        <w:ind w:left="720" w:hanging="360"/>
      </w:pPr>
      <w:rPr>
        <w:rFonts w:cs="Times New Roman"/>
        <w:b w:val="0"/>
        <w:bCs w:val="0"/>
        <w:i w:val="0"/>
        <w:iCs w:val="0"/>
        <w:caps w:val="0"/>
        <w:smallCaps w:val="0"/>
        <w:strike w:val="0"/>
        <w:dstrike w:val="0"/>
        <w:outline w:val="0"/>
        <w:shadow w:val="0"/>
        <w:emboss w:val="0"/>
        <w:imprint w:val="0"/>
        <w:noProof w:val="0"/>
        <w:vanish w:val="0"/>
        <w:webHidden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1">
    <w:nsid w:val="6D214E8B"/>
    <w:multiLevelType w:val="hybridMultilevel"/>
    <w:tmpl w:val="4426C4F8"/>
    <w:lvl w:ilvl="0" w:tplc="D910F5CC">
      <w:start w:val="1"/>
      <w:numFmt w:val="bullet"/>
      <w:pStyle w:val="TableBullet"/>
      <w:lvlText w:val="•"/>
      <w:lvlJc w:val="left"/>
      <w:pPr>
        <w:tabs>
          <w:tab w:val="num" w:pos="85"/>
        </w:tabs>
        <w:ind w:left="113" w:hanging="113"/>
      </w:pPr>
      <w:rPr>
        <w:rFonts w:ascii="Times New Roman" w:hAnsi="Times New Roman" w:cs="Times New Roman" w:hint="default"/>
        <w:sz w:val="20"/>
        <w:szCs w:val="20"/>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2">
    <w:nsid w:val="6F1706B4"/>
    <w:multiLevelType w:val="hybridMultilevel"/>
    <w:tmpl w:val="37565764"/>
    <w:lvl w:ilvl="0" w:tplc="CDE693DE">
      <w:start w:val="1"/>
      <w:numFmt w:val="bullet"/>
      <w:pStyle w:val="ListParagraph"/>
      <w:lvlText w:val=""/>
      <w:lvlJc w:val="left"/>
      <w:pPr>
        <w:ind w:left="870" w:hanging="360"/>
      </w:pPr>
      <w:rPr>
        <w:rFonts w:ascii="Wingdings" w:hAnsi="Wingdings" w:hint="default"/>
      </w:rPr>
    </w:lvl>
    <w:lvl w:ilvl="1" w:tplc="DE84EDB8" w:tentative="1">
      <w:start w:val="1"/>
      <w:numFmt w:val="bullet"/>
      <w:lvlText w:val="o"/>
      <w:lvlJc w:val="left"/>
      <w:pPr>
        <w:ind w:left="2160" w:hanging="360"/>
      </w:pPr>
    </w:lvl>
    <w:lvl w:ilvl="2" w:tplc="E56604CC" w:tentative="1">
      <w:start w:val="1"/>
      <w:numFmt w:val="bullet"/>
      <w:lvlText w:val=""/>
      <w:lvlJc w:val="left"/>
      <w:pPr>
        <w:ind w:left="2880" w:hanging="360"/>
      </w:pPr>
    </w:lvl>
    <w:lvl w:ilvl="3" w:tplc="3F6EE208" w:tentative="1">
      <w:start w:val="1"/>
      <w:numFmt w:val="bullet"/>
      <w:lvlText w:val=""/>
      <w:lvlJc w:val="left"/>
      <w:pPr>
        <w:ind w:left="3600" w:hanging="360"/>
      </w:pPr>
    </w:lvl>
    <w:lvl w:ilvl="4" w:tplc="669002BA" w:tentative="1">
      <w:start w:val="1"/>
      <w:numFmt w:val="bullet"/>
      <w:lvlText w:val="o"/>
      <w:lvlJc w:val="left"/>
      <w:pPr>
        <w:ind w:left="4320" w:hanging="360"/>
      </w:pPr>
    </w:lvl>
    <w:lvl w:ilvl="5" w:tplc="80FCAB6A" w:tentative="1">
      <w:start w:val="1"/>
      <w:numFmt w:val="bullet"/>
      <w:lvlText w:val=""/>
      <w:lvlJc w:val="left"/>
      <w:pPr>
        <w:ind w:left="5040" w:hanging="360"/>
      </w:pPr>
    </w:lvl>
    <w:lvl w:ilvl="6" w:tplc="1D407C0E" w:tentative="1">
      <w:start w:val="1"/>
      <w:numFmt w:val="bullet"/>
      <w:lvlText w:val=""/>
      <w:lvlJc w:val="left"/>
      <w:pPr>
        <w:ind w:left="5760" w:hanging="360"/>
      </w:pPr>
    </w:lvl>
    <w:lvl w:ilvl="7" w:tplc="48A2D9F0" w:tentative="1">
      <w:start w:val="1"/>
      <w:numFmt w:val="bullet"/>
      <w:lvlText w:val="o"/>
      <w:lvlJc w:val="left"/>
      <w:pPr>
        <w:ind w:left="6480" w:hanging="360"/>
      </w:pPr>
    </w:lvl>
    <w:lvl w:ilvl="8" w:tplc="22B60ABA" w:tentative="1">
      <w:start w:val="1"/>
      <w:numFmt w:val="bullet"/>
      <w:lvlText w:val=""/>
      <w:lvlJc w:val="left"/>
      <w:pPr>
        <w:ind w:left="7200" w:hanging="360"/>
      </w:pPr>
    </w:lvl>
  </w:abstractNum>
  <w:num w:numId="1">
    <w:abstractNumId w:val="5"/>
  </w:num>
  <w:num w:numId="2">
    <w:abstractNumId w:val="4"/>
  </w:num>
  <w:num w:numId="3">
    <w:abstractNumId w:val="5"/>
  </w:num>
  <w:num w:numId="4">
    <w:abstractNumId w:val="4"/>
  </w:num>
  <w:num w:numId="5">
    <w:abstractNumId w:val="12"/>
  </w:num>
  <w:num w:numId="6">
    <w:abstractNumId w:val="3"/>
  </w:num>
  <w:num w:numId="7">
    <w:abstractNumId w:val="9"/>
  </w:num>
  <w:num w:numId="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lvlOverride w:ilvl="0">
      <w:startOverride w:val="1"/>
    </w:lvlOverride>
  </w:num>
  <w:num w:numId="1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8"/>
  </w:num>
  <w:num w:numId="14">
    <w:abstractNumId w:val="11"/>
  </w:num>
  <w:num w:numId="15">
    <w:abstractNumId w:val="7"/>
  </w:num>
  <w:num w:numId="16">
    <w:abstractNumId w:val="2"/>
  </w:num>
  <w:num w:numId="1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6"/>
  </w:num>
  <w:num w:numId="2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isplayBackgroundShape/>
  <w:proofState w:spelling="clean" w:grammar="clean"/>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474F1"/>
    <w:rsid w:val="00002031"/>
    <w:rsid w:val="00004579"/>
    <w:rsid w:val="00004734"/>
    <w:rsid w:val="00006B22"/>
    <w:rsid w:val="0001276A"/>
    <w:rsid w:val="00022192"/>
    <w:rsid w:val="000246AE"/>
    <w:rsid w:val="00025C67"/>
    <w:rsid w:val="00026F8C"/>
    <w:rsid w:val="00027A8C"/>
    <w:rsid w:val="00044772"/>
    <w:rsid w:val="0005559E"/>
    <w:rsid w:val="000604D6"/>
    <w:rsid w:val="00070260"/>
    <w:rsid w:val="000734D8"/>
    <w:rsid w:val="00077775"/>
    <w:rsid w:val="00090471"/>
    <w:rsid w:val="00091017"/>
    <w:rsid w:val="00096AA7"/>
    <w:rsid w:val="000A0A15"/>
    <w:rsid w:val="000A3AED"/>
    <w:rsid w:val="000B3532"/>
    <w:rsid w:val="000B3A75"/>
    <w:rsid w:val="000C00C2"/>
    <w:rsid w:val="000C690F"/>
    <w:rsid w:val="000D1295"/>
    <w:rsid w:val="000D391B"/>
    <w:rsid w:val="000D3D6D"/>
    <w:rsid w:val="000D4FC7"/>
    <w:rsid w:val="000E6196"/>
    <w:rsid w:val="000F4869"/>
    <w:rsid w:val="000F5B2C"/>
    <w:rsid w:val="000F5B42"/>
    <w:rsid w:val="000F6E6F"/>
    <w:rsid w:val="00101060"/>
    <w:rsid w:val="00103B86"/>
    <w:rsid w:val="0010601F"/>
    <w:rsid w:val="0010788A"/>
    <w:rsid w:val="00107A31"/>
    <w:rsid w:val="00110EA5"/>
    <w:rsid w:val="00112F56"/>
    <w:rsid w:val="00124ACD"/>
    <w:rsid w:val="00125318"/>
    <w:rsid w:val="00125CC4"/>
    <w:rsid w:val="001305A2"/>
    <w:rsid w:val="00133238"/>
    <w:rsid w:val="00133A1B"/>
    <w:rsid w:val="0014197B"/>
    <w:rsid w:val="001447CD"/>
    <w:rsid w:val="0014526F"/>
    <w:rsid w:val="001470FB"/>
    <w:rsid w:val="001516B1"/>
    <w:rsid w:val="00154EBB"/>
    <w:rsid w:val="00156316"/>
    <w:rsid w:val="001569B7"/>
    <w:rsid w:val="00160672"/>
    <w:rsid w:val="00161181"/>
    <w:rsid w:val="00162D14"/>
    <w:rsid w:val="00163780"/>
    <w:rsid w:val="00165389"/>
    <w:rsid w:val="00175F9B"/>
    <w:rsid w:val="0017693F"/>
    <w:rsid w:val="0018110E"/>
    <w:rsid w:val="00181684"/>
    <w:rsid w:val="001843C6"/>
    <w:rsid w:val="001850E0"/>
    <w:rsid w:val="001A2158"/>
    <w:rsid w:val="001A525F"/>
    <w:rsid w:val="001A7C72"/>
    <w:rsid w:val="001B09F9"/>
    <w:rsid w:val="001B5C90"/>
    <w:rsid w:val="001B6448"/>
    <w:rsid w:val="001C32CD"/>
    <w:rsid w:val="001D2984"/>
    <w:rsid w:val="001D4F25"/>
    <w:rsid w:val="001E038C"/>
    <w:rsid w:val="001E07CF"/>
    <w:rsid w:val="001E2D44"/>
    <w:rsid w:val="001E59F1"/>
    <w:rsid w:val="001F2CEE"/>
    <w:rsid w:val="001F3EAD"/>
    <w:rsid w:val="001F49EB"/>
    <w:rsid w:val="001F6CBA"/>
    <w:rsid w:val="00201D4E"/>
    <w:rsid w:val="002076C9"/>
    <w:rsid w:val="00220B8A"/>
    <w:rsid w:val="002257F3"/>
    <w:rsid w:val="00233456"/>
    <w:rsid w:val="002339A5"/>
    <w:rsid w:val="00257848"/>
    <w:rsid w:val="0027047D"/>
    <w:rsid w:val="0027084A"/>
    <w:rsid w:val="00286434"/>
    <w:rsid w:val="00286C59"/>
    <w:rsid w:val="00291957"/>
    <w:rsid w:val="002928AB"/>
    <w:rsid w:val="002942D1"/>
    <w:rsid w:val="0029501A"/>
    <w:rsid w:val="00296769"/>
    <w:rsid w:val="002A0433"/>
    <w:rsid w:val="002A3721"/>
    <w:rsid w:val="002B1638"/>
    <w:rsid w:val="002B3624"/>
    <w:rsid w:val="002D0952"/>
    <w:rsid w:val="002D4760"/>
    <w:rsid w:val="002D53B7"/>
    <w:rsid w:val="002D6B88"/>
    <w:rsid w:val="002E40B3"/>
    <w:rsid w:val="002E4C9A"/>
    <w:rsid w:val="002F11F8"/>
    <w:rsid w:val="002F3F56"/>
    <w:rsid w:val="002F44B5"/>
    <w:rsid w:val="002F5122"/>
    <w:rsid w:val="00311AC0"/>
    <w:rsid w:val="003176FC"/>
    <w:rsid w:val="0032450F"/>
    <w:rsid w:val="0032583B"/>
    <w:rsid w:val="00325F5F"/>
    <w:rsid w:val="00327883"/>
    <w:rsid w:val="00335504"/>
    <w:rsid w:val="0033674E"/>
    <w:rsid w:val="00340C18"/>
    <w:rsid w:val="003417C0"/>
    <w:rsid w:val="003442FD"/>
    <w:rsid w:val="00347824"/>
    <w:rsid w:val="00350567"/>
    <w:rsid w:val="003521E8"/>
    <w:rsid w:val="00370CE3"/>
    <w:rsid w:val="003728F3"/>
    <w:rsid w:val="003735BC"/>
    <w:rsid w:val="0037496E"/>
    <w:rsid w:val="00383221"/>
    <w:rsid w:val="00386150"/>
    <w:rsid w:val="003874CE"/>
    <w:rsid w:val="00390900"/>
    <w:rsid w:val="003A337A"/>
    <w:rsid w:val="003A36D9"/>
    <w:rsid w:val="003A59CB"/>
    <w:rsid w:val="003A7F6C"/>
    <w:rsid w:val="003B4D60"/>
    <w:rsid w:val="003B7E39"/>
    <w:rsid w:val="003C58DC"/>
    <w:rsid w:val="003D1E62"/>
    <w:rsid w:val="003D2290"/>
    <w:rsid w:val="003D46BB"/>
    <w:rsid w:val="003E0B99"/>
    <w:rsid w:val="003E2486"/>
    <w:rsid w:val="003E3208"/>
    <w:rsid w:val="003E7288"/>
    <w:rsid w:val="003F0B04"/>
    <w:rsid w:val="003F112F"/>
    <w:rsid w:val="0040134E"/>
    <w:rsid w:val="004334C7"/>
    <w:rsid w:val="00440A2D"/>
    <w:rsid w:val="00441C3F"/>
    <w:rsid w:val="004472E2"/>
    <w:rsid w:val="004564A7"/>
    <w:rsid w:val="00456765"/>
    <w:rsid w:val="004617BF"/>
    <w:rsid w:val="00463658"/>
    <w:rsid w:val="004637A0"/>
    <w:rsid w:val="004722CC"/>
    <w:rsid w:val="00472AC4"/>
    <w:rsid w:val="00484992"/>
    <w:rsid w:val="00485E22"/>
    <w:rsid w:val="004936E4"/>
    <w:rsid w:val="00494E60"/>
    <w:rsid w:val="00495AA5"/>
    <w:rsid w:val="00497487"/>
    <w:rsid w:val="004A1A01"/>
    <w:rsid w:val="004A6189"/>
    <w:rsid w:val="004A7390"/>
    <w:rsid w:val="004B7B76"/>
    <w:rsid w:val="004C239D"/>
    <w:rsid w:val="004C2DCA"/>
    <w:rsid w:val="004C61D2"/>
    <w:rsid w:val="004E48E2"/>
    <w:rsid w:val="004F0C4A"/>
    <w:rsid w:val="004F0F38"/>
    <w:rsid w:val="004F47D6"/>
    <w:rsid w:val="00500337"/>
    <w:rsid w:val="00501921"/>
    <w:rsid w:val="00525478"/>
    <w:rsid w:val="00530354"/>
    <w:rsid w:val="0053625B"/>
    <w:rsid w:val="005434C6"/>
    <w:rsid w:val="00543B39"/>
    <w:rsid w:val="00544547"/>
    <w:rsid w:val="00546154"/>
    <w:rsid w:val="005474F1"/>
    <w:rsid w:val="00550096"/>
    <w:rsid w:val="00555280"/>
    <w:rsid w:val="00557FF9"/>
    <w:rsid w:val="00562327"/>
    <w:rsid w:val="005711D5"/>
    <w:rsid w:val="00572EFC"/>
    <w:rsid w:val="0057307A"/>
    <w:rsid w:val="00576378"/>
    <w:rsid w:val="00577130"/>
    <w:rsid w:val="00577945"/>
    <w:rsid w:val="00577E38"/>
    <w:rsid w:val="00585322"/>
    <w:rsid w:val="005857C6"/>
    <w:rsid w:val="00592F6E"/>
    <w:rsid w:val="00593AD1"/>
    <w:rsid w:val="0059662C"/>
    <w:rsid w:val="005A2C47"/>
    <w:rsid w:val="005A68B6"/>
    <w:rsid w:val="005C5570"/>
    <w:rsid w:val="005C79A4"/>
    <w:rsid w:val="005D5442"/>
    <w:rsid w:val="00603F32"/>
    <w:rsid w:val="00605AD4"/>
    <w:rsid w:val="006136D7"/>
    <w:rsid w:val="00617643"/>
    <w:rsid w:val="00622898"/>
    <w:rsid w:val="00624646"/>
    <w:rsid w:val="00625A6E"/>
    <w:rsid w:val="00632398"/>
    <w:rsid w:val="00637490"/>
    <w:rsid w:val="00640FC3"/>
    <w:rsid w:val="00642020"/>
    <w:rsid w:val="0065337B"/>
    <w:rsid w:val="0065419D"/>
    <w:rsid w:val="006603BC"/>
    <w:rsid w:val="006604D8"/>
    <w:rsid w:val="006609CA"/>
    <w:rsid w:val="00661497"/>
    <w:rsid w:val="00664A5B"/>
    <w:rsid w:val="0066735C"/>
    <w:rsid w:val="006711A8"/>
    <w:rsid w:val="006763D2"/>
    <w:rsid w:val="00680C08"/>
    <w:rsid w:val="00684391"/>
    <w:rsid w:val="006916A0"/>
    <w:rsid w:val="006931B1"/>
    <w:rsid w:val="006A009A"/>
    <w:rsid w:val="006A15C0"/>
    <w:rsid w:val="006C3E2A"/>
    <w:rsid w:val="006C5D08"/>
    <w:rsid w:val="006C642F"/>
    <w:rsid w:val="006D03E5"/>
    <w:rsid w:val="006D5D3E"/>
    <w:rsid w:val="006E08B3"/>
    <w:rsid w:val="006F17AC"/>
    <w:rsid w:val="006F25B8"/>
    <w:rsid w:val="006F572E"/>
    <w:rsid w:val="0070288F"/>
    <w:rsid w:val="007046D6"/>
    <w:rsid w:val="00705DB0"/>
    <w:rsid w:val="00720B5E"/>
    <w:rsid w:val="00722B57"/>
    <w:rsid w:val="00730F8A"/>
    <w:rsid w:val="00731143"/>
    <w:rsid w:val="00735A8C"/>
    <w:rsid w:val="00741181"/>
    <w:rsid w:val="0074253D"/>
    <w:rsid w:val="0074429B"/>
    <w:rsid w:val="00752746"/>
    <w:rsid w:val="007615BC"/>
    <w:rsid w:val="00762F05"/>
    <w:rsid w:val="007652FF"/>
    <w:rsid w:val="00770CAC"/>
    <w:rsid w:val="00770EF1"/>
    <w:rsid w:val="00773EF7"/>
    <w:rsid w:val="00774E1D"/>
    <w:rsid w:val="007765D8"/>
    <w:rsid w:val="0077675A"/>
    <w:rsid w:val="00780355"/>
    <w:rsid w:val="007819FD"/>
    <w:rsid w:val="00783B19"/>
    <w:rsid w:val="00785717"/>
    <w:rsid w:val="00785721"/>
    <w:rsid w:val="00793A59"/>
    <w:rsid w:val="00794CFB"/>
    <w:rsid w:val="007A2295"/>
    <w:rsid w:val="007A46F5"/>
    <w:rsid w:val="007A4EEA"/>
    <w:rsid w:val="007B1E5A"/>
    <w:rsid w:val="007B6132"/>
    <w:rsid w:val="007B6E9F"/>
    <w:rsid w:val="007C1216"/>
    <w:rsid w:val="007C1AF7"/>
    <w:rsid w:val="007C6B9B"/>
    <w:rsid w:val="007C7C62"/>
    <w:rsid w:val="007F1BEB"/>
    <w:rsid w:val="00805BFC"/>
    <w:rsid w:val="00805D27"/>
    <w:rsid w:val="00806DCB"/>
    <w:rsid w:val="00821776"/>
    <w:rsid w:val="008321F5"/>
    <w:rsid w:val="00832369"/>
    <w:rsid w:val="00834660"/>
    <w:rsid w:val="00836BC2"/>
    <w:rsid w:val="00845119"/>
    <w:rsid w:val="0084607A"/>
    <w:rsid w:val="0085156D"/>
    <w:rsid w:val="00852B28"/>
    <w:rsid w:val="0085641B"/>
    <w:rsid w:val="00857136"/>
    <w:rsid w:val="00861186"/>
    <w:rsid w:val="00862D66"/>
    <w:rsid w:val="00875A6B"/>
    <w:rsid w:val="00885729"/>
    <w:rsid w:val="00885B11"/>
    <w:rsid w:val="00886D15"/>
    <w:rsid w:val="00887DD8"/>
    <w:rsid w:val="00891BA9"/>
    <w:rsid w:val="00894642"/>
    <w:rsid w:val="008948C4"/>
    <w:rsid w:val="00896018"/>
    <w:rsid w:val="008960DD"/>
    <w:rsid w:val="0089635C"/>
    <w:rsid w:val="008A2B9D"/>
    <w:rsid w:val="008A3D9F"/>
    <w:rsid w:val="008A3EE5"/>
    <w:rsid w:val="008A5E0B"/>
    <w:rsid w:val="008A6D59"/>
    <w:rsid w:val="008B4B03"/>
    <w:rsid w:val="008B596F"/>
    <w:rsid w:val="008C159F"/>
    <w:rsid w:val="008C1623"/>
    <w:rsid w:val="008C1850"/>
    <w:rsid w:val="008C51A9"/>
    <w:rsid w:val="008E50DA"/>
    <w:rsid w:val="008E7846"/>
    <w:rsid w:val="008F02E5"/>
    <w:rsid w:val="008F1CCC"/>
    <w:rsid w:val="008F2967"/>
    <w:rsid w:val="008F5FCD"/>
    <w:rsid w:val="008F6943"/>
    <w:rsid w:val="00902A21"/>
    <w:rsid w:val="00912D65"/>
    <w:rsid w:val="0091523F"/>
    <w:rsid w:val="00920330"/>
    <w:rsid w:val="009219D7"/>
    <w:rsid w:val="00922D53"/>
    <w:rsid w:val="00923B70"/>
    <w:rsid w:val="00924482"/>
    <w:rsid w:val="0092522D"/>
    <w:rsid w:val="0092547B"/>
    <w:rsid w:val="00930237"/>
    <w:rsid w:val="00937C17"/>
    <w:rsid w:val="00940A89"/>
    <w:rsid w:val="00946EA5"/>
    <w:rsid w:val="0095541E"/>
    <w:rsid w:val="00956323"/>
    <w:rsid w:val="00963C08"/>
    <w:rsid w:val="009752A5"/>
    <w:rsid w:val="00983696"/>
    <w:rsid w:val="0098585A"/>
    <w:rsid w:val="009A4CED"/>
    <w:rsid w:val="009A690D"/>
    <w:rsid w:val="009B00A9"/>
    <w:rsid w:val="009B1D12"/>
    <w:rsid w:val="009B416B"/>
    <w:rsid w:val="009C4BD5"/>
    <w:rsid w:val="009D7B77"/>
    <w:rsid w:val="009E0BB0"/>
    <w:rsid w:val="009E3FBB"/>
    <w:rsid w:val="009E4CF7"/>
    <w:rsid w:val="009F1D5D"/>
    <w:rsid w:val="009F7353"/>
    <w:rsid w:val="00A04F85"/>
    <w:rsid w:val="00A05FA4"/>
    <w:rsid w:val="00A102E4"/>
    <w:rsid w:val="00A11AA6"/>
    <w:rsid w:val="00A12C42"/>
    <w:rsid w:val="00A14DF7"/>
    <w:rsid w:val="00A22D57"/>
    <w:rsid w:val="00A26678"/>
    <w:rsid w:val="00A3246D"/>
    <w:rsid w:val="00A36FA7"/>
    <w:rsid w:val="00A44DDB"/>
    <w:rsid w:val="00A475B7"/>
    <w:rsid w:val="00A47AF7"/>
    <w:rsid w:val="00A47C3E"/>
    <w:rsid w:val="00A50226"/>
    <w:rsid w:val="00A55048"/>
    <w:rsid w:val="00A60BAD"/>
    <w:rsid w:val="00A6301B"/>
    <w:rsid w:val="00A6756D"/>
    <w:rsid w:val="00A77F87"/>
    <w:rsid w:val="00A80B5B"/>
    <w:rsid w:val="00A81730"/>
    <w:rsid w:val="00A84E36"/>
    <w:rsid w:val="00A91CCE"/>
    <w:rsid w:val="00A964D1"/>
    <w:rsid w:val="00AA0ED0"/>
    <w:rsid w:val="00AA6B20"/>
    <w:rsid w:val="00AB6393"/>
    <w:rsid w:val="00AC2B40"/>
    <w:rsid w:val="00AC2BB2"/>
    <w:rsid w:val="00AC2C3C"/>
    <w:rsid w:val="00AC512D"/>
    <w:rsid w:val="00AC5C9A"/>
    <w:rsid w:val="00AD0083"/>
    <w:rsid w:val="00AD3935"/>
    <w:rsid w:val="00AE65EB"/>
    <w:rsid w:val="00AE67A7"/>
    <w:rsid w:val="00AF1D94"/>
    <w:rsid w:val="00AF60C5"/>
    <w:rsid w:val="00B009C6"/>
    <w:rsid w:val="00B01548"/>
    <w:rsid w:val="00B06B30"/>
    <w:rsid w:val="00B13EBD"/>
    <w:rsid w:val="00B2047B"/>
    <w:rsid w:val="00B21308"/>
    <w:rsid w:val="00B21D29"/>
    <w:rsid w:val="00B2498D"/>
    <w:rsid w:val="00B25034"/>
    <w:rsid w:val="00B26408"/>
    <w:rsid w:val="00B33588"/>
    <w:rsid w:val="00B33863"/>
    <w:rsid w:val="00B35865"/>
    <w:rsid w:val="00B375FD"/>
    <w:rsid w:val="00B37D17"/>
    <w:rsid w:val="00B4175E"/>
    <w:rsid w:val="00B41C85"/>
    <w:rsid w:val="00B41DE2"/>
    <w:rsid w:val="00B452CE"/>
    <w:rsid w:val="00B54C25"/>
    <w:rsid w:val="00B55A4D"/>
    <w:rsid w:val="00B7063E"/>
    <w:rsid w:val="00B76B91"/>
    <w:rsid w:val="00B77EB1"/>
    <w:rsid w:val="00B811C6"/>
    <w:rsid w:val="00B817F6"/>
    <w:rsid w:val="00B84DC4"/>
    <w:rsid w:val="00B855B0"/>
    <w:rsid w:val="00B92E08"/>
    <w:rsid w:val="00B954B9"/>
    <w:rsid w:val="00BA7426"/>
    <w:rsid w:val="00BC622A"/>
    <w:rsid w:val="00BD3AD9"/>
    <w:rsid w:val="00BE0A78"/>
    <w:rsid w:val="00BE79F0"/>
    <w:rsid w:val="00BF046D"/>
    <w:rsid w:val="00BF1190"/>
    <w:rsid w:val="00BF3774"/>
    <w:rsid w:val="00BF5020"/>
    <w:rsid w:val="00BF5D04"/>
    <w:rsid w:val="00C009AA"/>
    <w:rsid w:val="00C1164D"/>
    <w:rsid w:val="00C16861"/>
    <w:rsid w:val="00C220BB"/>
    <w:rsid w:val="00C32B54"/>
    <w:rsid w:val="00C341E7"/>
    <w:rsid w:val="00C346AB"/>
    <w:rsid w:val="00C404A6"/>
    <w:rsid w:val="00C40A36"/>
    <w:rsid w:val="00C44419"/>
    <w:rsid w:val="00C45E7B"/>
    <w:rsid w:val="00C471B1"/>
    <w:rsid w:val="00C6316B"/>
    <w:rsid w:val="00C634A9"/>
    <w:rsid w:val="00C64586"/>
    <w:rsid w:val="00C67F9D"/>
    <w:rsid w:val="00C70D53"/>
    <w:rsid w:val="00C73D0B"/>
    <w:rsid w:val="00C7607D"/>
    <w:rsid w:val="00C772FF"/>
    <w:rsid w:val="00C775D6"/>
    <w:rsid w:val="00C80137"/>
    <w:rsid w:val="00C801AF"/>
    <w:rsid w:val="00C80256"/>
    <w:rsid w:val="00C94CD4"/>
    <w:rsid w:val="00C97347"/>
    <w:rsid w:val="00C9747E"/>
    <w:rsid w:val="00CB6BC0"/>
    <w:rsid w:val="00CC1B7C"/>
    <w:rsid w:val="00CC63CB"/>
    <w:rsid w:val="00CC727F"/>
    <w:rsid w:val="00CF15C3"/>
    <w:rsid w:val="00CF2B6F"/>
    <w:rsid w:val="00CF2F3E"/>
    <w:rsid w:val="00CF58B6"/>
    <w:rsid w:val="00D0062D"/>
    <w:rsid w:val="00D017ED"/>
    <w:rsid w:val="00D040D3"/>
    <w:rsid w:val="00D04501"/>
    <w:rsid w:val="00D04C65"/>
    <w:rsid w:val="00D201D2"/>
    <w:rsid w:val="00D224FE"/>
    <w:rsid w:val="00D23139"/>
    <w:rsid w:val="00D34A35"/>
    <w:rsid w:val="00D425BB"/>
    <w:rsid w:val="00D453FA"/>
    <w:rsid w:val="00D6493E"/>
    <w:rsid w:val="00D7195D"/>
    <w:rsid w:val="00D7301E"/>
    <w:rsid w:val="00D75C1B"/>
    <w:rsid w:val="00D83AE1"/>
    <w:rsid w:val="00D855D4"/>
    <w:rsid w:val="00D902C9"/>
    <w:rsid w:val="00D93466"/>
    <w:rsid w:val="00DA1124"/>
    <w:rsid w:val="00DB06B8"/>
    <w:rsid w:val="00DB5136"/>
    <w:rsid w:val="00DB6124"/>
    <w:rsid w:val="00DB750B"/>
    <w:rsid w:val="00DB75B7"/>
    <w:rsid w:val="00DC6E02"/>
    <w:rsid w:val="00DD2390"/>
    <w:rsid w:val="00DD28CD"/>
    <w:rsid w:val="00DD5BCE"/>
    <w:rsid w:val="00DE02AE"/>
    <w:rsid w:val="00DE3146"/>
    <w:rsid w:val="00DE39D1"/>
    <w:rsid w:val="00DF1D7F"/>
    <w:rsid w:val="00DF4BE4"/>
    <w:rsid w:val="00E02382"/>
    <w:rsid w:val="00E02FB4"/>
    <w:rsid w:val="00E13FC7"/>
    <w:rsid w:val="00E20571"/>
    <w:rsid w:val="00E235F7"/>
    <w:rsid w:val="00E23659"/>
    <w:rsid w:val="00E239D4"/>
    <w:rsid w:val="00E246F9"/>
    <w:rsid w:val="00E26130"/>
    <w:rsid w:val="00E27AAF"/>
    <w:rsid w:val="00E40B22"/>
    <w:rsid w:val="00E44ED1"/>
    <w:rsid w:val="00E45619"/>
    <w:rsid w:val="00E4588F"/>
    <w:rsid w:val="00E46DA3"/>
    <w:rsid w:val="00E51BB1"/>
    <w:rsid w:val="00E624A5"/>
    <w:rsid w:val="00E64BA4"/>
    <w:rsid w:val="00E7344E"/>
    <w:rsid w:val="00E761BC"/>
    <w:rsid w:val="00E82665"/>
    <w:rsid w:val="00E85FE7"/>
    <w:rsid w:val="00E86CFA"/>
    <w:rsid w:val="00E870E6"/>
    <w:rsid w:val="00EB0798"/>
    <w:rsid w:val="00EB40AD"/>
    <w:rsid w:val="00EB4B8A"/>
    <w:rsid w:val="00EB586E"/>
    <w:rsid w:val="00EB5FC8"/>
    <w:rsid w:val="00EC463D"/>
    <w:rsid w:val="00EC7A85"/>
    <w:rsid w:val="00ED2922"/>
    <w:rsid w:val="00ED3CAD"/>
    <w:rsid w:val="00ED5A41"/>
    <w:rsid w:val="00EE1913"/>
    <w:rsid w:val="00EE1DE8"/>
    <w:rsid w:val="00EE22BF"/>
    <w:rsid w:val="00EE27C2"/>
    <w:rsid w:val="00EF4BAD"/>
    <w:rsid w:val="00EF59DC"/>
    <w:rsid w:val="00F033EC"/>
    <w:rsid w:val="00F04F68"/>
    <w:rsid w:val="00F12670"/>
    <w:rsid w:val="00F147C9"/>
    <w:rsid w:val="00F14B27"/>
    <w:rsid w:val="00F2151A"/>
    <w:rsid w:val="00F3148D"/>
    <w:rsid w:val="00F325C5"/>
    <w:rsid w:val="00F32FE0"/>
    <w:rsid w:val="00F3393B"/>
    <w:rsid w:val="00F33FE4"/>
    <w:rsid w:val="00F35298"/>
    <w:rsid w:val="00F47333"/>
    <w:rsid w:val="00F47E37"/>
    <w:rsid w:val="00F53C07"/>
    <w:rsid w:val="00F549B4"/>
    <w:rsid w:val="00F54B65"/>
    <w:rsid w:val="00F640B6"/>
    <w:rsid w:val="00F66DF2"/>
    <w:rsid w:val="00F80E40"/>
    <w:rsid w:val="00F82342"/>
    <w:rsid w:val="00F848D9"/>
    <w:rsid w:val="00FA0825"/>
    <w:rsid w:val="00FA5069"/>
    <w:rsid w:val="00FA5B82"/>
    <w:rsid w:val="00FA639E"/>
    <w:rsid w:val="00FC1FCA"/>
    <w:rsid w:val="00FC25E4"/>
    <w:rsid w:val="00FC4EF7"/>
    <w:rsid w:val="00FD0824"/>
    <w:rsid w:val="00FD119B"/>
    <w:rsid w:val="00FD15F9"/>
    <w:rsid w:val="00FD1EDC"/>
    <w:rsid w:val="00FE1DEE"/>
    <w:rsid w:val="00FE1DF9"/>
    <w:rsid w:val="00FE6E98"/>
    <w:rsid w:val="00FF2126"/>
    <w:rsid w:val="00FF5755"/>
    <w:rsid w:val="00FF69BE"/>
    <w:rsid w:val="00FF7B93"/>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semiHidden="0" w:unhideWhenUsed="0"/>
    <w:lsdException w:name="footer" w:semiHidden="0" w:unhideWhenUsed="0"/>
    <w:lsdException w:name="caption" w:semiHidden="0" w:uiPriority="0" w:unhideWhenUsed="0" w:qFormat="1"/>
    <w:lsdException w:name="footnote reference" w:uiPriority="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Body Text" w:uiPriority="1" w:qFormat="1"/>
    <w:lsdException w:name="Subtitle" w:semiHidden="0" w:uiPriority="11" w:unhideWhenUsed="0"/>
    <w:lsdException w:name="Date" w:semiHidden="0" w:unhideWhenUsed="0"/>
    <w:lsdException w:name="Strong" w:semiHidden="0" w:uiPriority="22" w:unhideWhenUsed="0"/>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uiPriority w:val="1"/>
    <w:qFormat/>
    <w:rsid w:val="00AD3935"/>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4722CC"/>
    <w:pPr>
      <w:keepNext/>
      <w:keepLines/>
      <w:spacing w:before="480"/>
      <w:outlineLvl w:val="1"/>
    </w:pPr>
    <w:rPr>
      <w:rFonts w:ascii="Arial" w:eastAsia="Times New Roman" w:hAnsi="Arial"/>
      <w:b/>
      <w:bCs/>
      <w:sz w:val="32"/>
      <w:szCs w:val="26"/>
    </w:rPr>
  </w:style>
  <w:style w:type="paragraph" w:styleId="Heading3">
    <w:name w:val="heading 3"/>
    <w:basedOn w:val="Normal"/>
    <w:next w:val="Normal"/>
    <w:link w:val="Heading3Char"/>
    <w:qFormat/>
    <w:rsid w:val="00EF59DC"/>
    <w:pPr>
      <w:keepNext/>
      <w:keepLines/>
      <w:spacing w:before="480" w:after="0" w:line="220" w:lineRule="atLeast"/>
      <w:outlineLvl w:val="2"/>
    </w:pPr>
    <w:rPr>
      <w:rFonts w:ascii="Arial" w:eastAsia="Times New Roman" w:hAnsi="Arial"/>
      <w:b/>
      <w:bCs/>
      <w:sz w:val="26"/>
      <w:szCs w:val="21"/>
    </w:rPr>
  </w:style>
  <w:style w:type="paragraph" w:styleId="Heading4">
    <w:name w:val="heading 4"/>
    <w:basedOn w:val="Normal"/>
    <w:next w:val="Normal"/>
    <w:link w:val="Heading4Char"/>
    <w:qFormat/>
    <w:rsid w:val="00AD0083"/>
    <w:pPr>
      <w:keepNext/>
      <w:spacing w:before="360" w:after="0" w:line="220" w:lineRule="atLeast"/>
      <w:outlineLvl w:val="3"/>
    </w:pPr>
    <w:rPr>
      <w:b/>
      <w:bCs/>
      <w:szCs w:val="21"/>
    </w:rPr>
  </w:style>
  <w:style w:type="paragraph" w:styleId="Heading5">
    <w:name w:val="heading 5"/>
    <w:basedOn w:val="Normal"/>
    <w:next w:val="Normal"/>
    <w:link w:val="Heading5Char"/>
    <w:qFormat/>
    <w:rsid w:val="004722CC"/>
    <w:pPr>
      <w:keepNext/>
      <w:keepLines/>
      <w:spacing w:line="220" w:lineRule="atLeast"/>
      <w:outlineLvl w:val="4"/>
    </w:pPr>
    <w:rPr>
      <w:rFonts w:eastAsia="Times New Roman"/>
      <w:b/>
      <w:bCs/>
      <w:i/>
      <w:color w:val="001523"/>
      <w:szCs w:val="21"/>
    </w:rPr>
  </w:style>
  <w:style w:type="paragraph" w:styleId="Heading6">
    <w:name w:val="heading 6"/>
    <w:basedOn w:val="Normal"/>
    <w:next w:val="Normal"/>
    <w:link w:val="Heading6Char"/>
    <w:qFormat/>
    <w:rsid w:val="00577130"/>
    <w:pPr>
      <w:keepNext/>
      <w:spacing w:line="220" w:lineRule="atLeast"/>
      <w:outlineLvl w:val="5"/>
    </w:pPr>
    <w:rPr>
      <w:rFonts w:eastAsia="Times New Roman"/>
      <w:bCs/>
      <w:i/>
      <w:szCs w:val="21"/>
    </w:rPr>
  </w:style>
  <w:style w:type="paragraph" w:styleId="Heading7">
    <w:name w:val="heading 7"/>
    <w:basedOn w:val="Normal"/>
    <w:next w:val="Normal"/>
    <w:link w:val="Heading7Char"/>
    <w:qFormat/>
    <w:rsid w:val="00770CAC"/>
    <w:pPr>
      <w:keepNext/>
      <w:spacing w:after="60" w:line="180" w:lineRule="atLeast"/>
      <w:outlineLvl w:val="6"/>
    </w:pPr>
    <w:rPr>
      <w:rFonts w:eastAsia="Times New Roman"/>
      <w:bCs/>
      <w:sz w:val="20"/>
      <w:szCs w:val="24"/>
    </w:rPr>
  </w:style>
  <w:style w:type="paragraph" w:styleId="Heading8">
    <w:name w:val="heading 8"/>
    <w:basedOn w:val="Normal"/>
    <w:next w:val="Normal"/>
    <w:link w:val="Heading8Char"/>
    <w:unhideWhenUsed/>
    <w:rsid w:val="002928AB"/>
    <w:pPr>
      <w:keepNext/>
      <w:keepLines/>
      <w:spacing w:before="200" w:after="0" w:line="276" w:lineRule="auto"/>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2928AB"/>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rPr>
  </w:style>
  <w:style w:type="character" w:customStyle="1" w:styleId="Heading2Char">
    <w:name w:val="Heading 2 Char"/>
    <w:basedOn w:val="DefaultParagraphFont"/>
    <w:link w:val="Heading2"/>
    <w:rsid w:val="00AD3935"/>
    <w:rPr>
      <w:rFonts w:ascii="Arial" w:eastAsia="Times New Roman" w:hAnsi="Arial" w:cs="Times New Roman"/>
      <w:b/>
      <w:bCs/>
      <w:sz w:val="32"/>
      <w:szCs w:val="26"/>
    </w:rPr>
  </w:style>
  <w:style w:type="character" w:customStyle="1" w:styleId="Heading3Char">
    <w:name w:val="Heading 3 Char"/>
    <w:basedOn w:val="DefaultParagraphFont"/>
    <w:link w:val="Heading3"/>
    <w:rsid w:val="00EF59DC"/>
    <w:rPr>
      <w:rFonts w:ascii="Arial" w:eastAsia="Times New Roman" w:hAnsi="Arial" w:cs="Times New Roman"/>
      <w:b/>
      <w:bCs/>
      <w:sz w:val="26"/>
      <w:szCs w:val="21"/>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qFormat/>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1B5C90"/>
    <w:pPr>
      <w:keepNext/>
      <w:spacing w:line="220" w:lineRule="atLeast"/>
    </w:pPr>
    <w:rPr>
      <w:b/>
    </w:rPr>
  </w:style>
  <w:style w:type="character" w:customStyle="1" w:styleId="Heading4Char">
    <w:name w:val="Heading 4 Char"/>
    <w:basedOn w:val="DefaultParagraphFont"/>
    <w:link w:val="Heading4"/>
    <w:rsid w:val="00AD3935"/>
    <w:rPr>
      <w:rFonts w:ascii="Cambria" w:eastAsia="Cambria" w:hAnsi="Cambria" w:cs="Times New Roman"/>
      <w:b/>
      <w:bCs/>
      <w:szCs w:val="21"/>
    </w:r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AD3935"/>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577130"/>
    <w:rPr>
      <w:rFonts w:ascii="Cambria" w:eastAsia="Times New Roman" w:hAnsi="Cambria" w:cs="Times New Roman"/>
      <w:bCs/>
      <w:i/>
      <w:szCs w:val="21"/>
    </w:rPr>
  </w:style>
  <w:style w:type="character" w:customStyle="1" w:styleId="Heading7Char">
    <w:name w:val="Heading 7 Char"/>
    <w:basedOn w:val="DefaultParagraphFont"/>
    <w:link w:val="Heading7"/>
    <w:rsid w:val="00770CAC"/>
    <w:rPr>
      <w:rFonts w:ascii="Cambria" w:eastAsia="Times New Roman" w:hAnsi="Cambria" w:cs="Times New Roman"/>
      <w:bCs/>
      <w:sz w:val="20"/>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B954B9"/>
    <w:pPr>
      <w:numPr>
        <w:numId w:val="3"/>
      </w:numPr>
    </w:pPr>
  </w:style>
  <w:style w:type="paragraph" w:styleId="ListBullet2">
    <w:name w:val="List Bullet 2"/>
    <w:basedOn w:val="Normal"/>
    <w:uiPriority w:val="99"/>
    <w:qFormat/>
    <w:rsid w:val="004C2DCA"/>
    <w:pPr>
      <w:numPr>
        <w:ilvl w:val="1"/>
        <w:numId w:val="3"/>
      </w:numPr>
    </w:pPr>
  </w:style>
  <w:style w:type="paragraph" w:styleId="ListBullet3">
    <w:name w:val="List Bullet 3"/>
    <w:basedOn w:val="Normal"/>
    <w:uiPriority w:val="99"/>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500337"/>
    <w:pPr>
      <w:spacing w:line="240" w:lineRule="auto"/>
    </w:pPr>
    <w:rPr>
      <w:szCs w:val="19"/>
    </w:rPr>
  </w:style>
  <w:style w:type="table" w:styleId="TableGrid">
    <w:name w:val="Table Grid"/>
    <w:basedOn w:val="TableNormal"/>
    <w:uiPriority w:val="59"/>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
    <w:name w:val="Table text"/>
    <w:basedOn w:val="Normal"/>
    <w:link w:val="TabletextChar"/>
    <w:qFormat/>
    <w:rsid w:val="00F3148D"/>
    <w:rPr>
      <w:sz w:val="19"/>
    </w:rPr>
  </w:style>
  <w:style w:type="table" w:customStyle="1" w:styleId="TableTGAblue">
    <w:name w:val="Table TGA blue"/>
    <w:basedOn w:val="TableNormal"/>
    <w:uiPriority w:val="99"/>
    <w:qFormat/>
    <w:rsid w:val="00FD119B"/>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keepNext/>
        <w:wordWrap/>
      </w:pPr>
      <w:rPr>
        <w:rFonts w:ascii="Cambria" w:hAnsi="Cambria"/>
        <w:b/>
        <w:color w:val="FFFFFF" w:themeColor="background1"/>
        <w:sz w:val="22"/>
      </w:rPr>
      <w:tblPr/>
      <w:trPr>
        <w:tblHeader/>
      </w:tr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style>
  <w:style w:type="table" w:customStyle="1" w:styleId="TableTGAblack">
    <w:name w:val="Table TGA black"/>
    <w:basedOn w:val="TableNormal"/>
    <w:uiPriority w:val="99"/>
    <w:rsid w:val="00EE1DE8"/>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neCell">
      <w:rPr>
        <w:b w:val="0"/>
        <w:i w:val="0"/>
      </w:rPr>
    </w:tblStylePr>
    <w:tblStylePr w:type="nwCell">
      <w:rPr>
        <w:rFonts w:ascii="Cambria" w:hAnsi="Cambria"/>
        <w:b/>
        <w:i w:val="0"/>
        <w:color w:val="FFFFFF"/>
        <w:sz w:val="22"/>
      </w:rPr>
    </w:tblStylePr>
  </w:style>
  <w:style w:type="paragraph" w:customStyle="1" w:styleId="TableTitle">
    <w:name w:val="Table Title"/>
    <w:basedOn w:val="Normal"/>
    <w:link w:val="TableTitleChar"/>
    <w:rsid w:val="002E40B3"/>
    <w:pPr>
      <w:keepNext/>
    </w:pPr>
    <w:rPr>
      <w:b/>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rsid w:val="00F3148D"/>
    <w:pPr>
      <w:tabs>
        <w:tab w:val="right" w:pos="8505"/>
      </w:tabs>
      <w:spacing w:after="200"/>
    </w:pPr>
    <w:rPr>
      <w:rFonts w:ascii="Arial" w:hAnsi="Arial"/>
      <w:b/>
      <w:sz w:val="32"/>
    </w:rPr>
  </w:style>
  <w:style w:type="paragraph" w:styleId="TOC2">
    <w:name w:val="toc 2"/>
    <w:basedOn w:val="Normal"/>
    <w:next w:val="Normal"/>
    <w:uiPriority w:val="39"/>
    <w:rsid w:val="00F3148D"/>
    <w:pPr>
      <w:tabs>
        <w:tab w:val="right" w:leader="underscore" w:pos="8505"/>
      </w:tabs>
      <w:spacing w:after="100"/>
      <w:ind w:left="624"/>
    </w:pPr>
    <w:rPr>
      <w:b/>
      <w:sz w:val="25"/>
    </w:rPr>
  </w:style>
  <w:style w:type="paragraph" w:styleId="TOC3">
    <w:name w:val="toc 3"/>
    <w:basedOn w:val="Normal"/>
    <w:next w:val="Normal"/>
    <w:uiPriority w:val="39"/>
    <w:rsid w:val="00F3148D"/>
    <w:pPr>
      <w:tabs>
        <w:tab w:val="right" w:leader="underscore" w:pos="8505"/>
      </w:tabs>
      <w:spacing w:after="100"/>
      <w:ind w:left="1021"/>
    </w:pPr>
  </w:style>
  <w:style w:type="paragraph" w:styleId="TOCHeading">
    <w:name w:val="TOC Heading"/>
    <w:basedOn w:val="Heading1"/>
    <w:next w:val="Normal"/>
    <w:uiPriority w:val="39"/>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styleId="FootnoteText">
    <w:name w:val="footnote text"/>
    <w:basedOn w:val="Normal"/>
    <w:link w:val="FootnoteTextChar"/>
    <w:unhideWhenUsed/>
    <w:rsid w:val="001B5C90"/>
    <w:pPr>
      <w:spacing w:before="0" w:after="0" w:line="240" w:lineRule="auto"/>
    </w:pPr>
    <w:rPr>
      <w:sz w:val="18"/>
      <w:szCs w:val="20"/>
    </w:rPr>
  </w:style>
  <w:style w:type="character" w:customStyle="1" w:styleId="FootnoteTextChar">
    <w:name w:val="Footnote Text Char"/>
    <w:basedOn w:val="DefaultParagraphFont"/>
    <w:link w:val="FootnoteText"/>
    <w:rsid w:val="001B5C90"/>
    <w:rPr>
      <w:rFonts w:ascii="Cambria" w:eastAsia="Cambria" w:hAnsi="Cambria" w:cs="Times New Roman"/>
      <w:sz w:val="18"/>
      <w:szCs w:val="20"/>
    </w:rPr>
  </w:style>
  <w:style w:type="character" w:styleId="FootnoteReference">
    <w:name w:val="footnote reference"/>
    <w:basedOn w:val="DefaultParagraphFont"/>
    <w:semiHidden/>
    <w:unhideWhenUsed/>
    <w:rsid w:val="001B5C90"/>
    <w:rPr>
      <w:vertAlign w:val="superscript"/>
    </w:rPr>
  </w:style>
  <w:style w:type="paragraph" w:customStyle="1" w:styleId="Quotation">
    <w:name w:val="Quotation"/>
    <w:basedOn w:val="Normal"/>
    <w:next w:val="Normal"/>
    <w:uiPriority w:val="4"/>
    <w:qFormat/>
    <w:rsid w:val="00E13FC7"/>
    <w:pPr>
      <w:spacing w:after="180"/>
      <w:ind w:left="425"/>
    </w:pPr>
    <w:rPr>
      <w:rFonts w:eastAsiaTheme="minorEastAsia" w:cstheme="minorBidi"/>
      <w:sz w:val="20"/>
      <w:lang w:eastAsia="zh-TW"/>
    </w:rPr>
  </w:style>
  <w:style w:type="paragraph" w:customStyle="1" w:styleId="Comment">
    <w:name w:val="Comment"/>
    <w:basedOn w:val="Normal"/>
    <w:next w:val="Normal"/>
    <w:uiPriority w:val="1"/>
    <w:qFormat/>
    <w:rsid w:val="00DD28CD"/>
    <w:pPr>
      <w:ind w:left="992" w:hanging="992"/>
    </w:pPr>
  </w:style>
  <w:style w:type="paragraph" w:styleId="EndnoteText">
    <w:name w:val="endnote text"/>
    <w:basedOn w:val="Normal"/>
    <w:link w:val="EndnoteTextChar"/>
    <w:uiPriority w:val="99"/>
    <w:semiHidden/>
    <w:unhideWhenUsed/>
    <w:rsid w:val="000E6196"/>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0E6196"/>
    <w:rPr>
      <w:rFonts w:ascii="Cambria" w:eastAsia="Cambria" w:hAnsi="Cambria" w:cs="Times New Roman"/>
      <w:sz w:val="20"/>
      <w:szCs w:val="20"/>
    </w:rPr>
  </w:style>
  <w:style w:type="character" w:styleId="EndnoteReference">
    <w:name w:val="endnote reference"/>
    <w:basedOn w:val="DefaultParagraphFont"/>
    <w:uiPriority w:val="99"/>
    <w:semiHidden/>
    <w:unhideWhenUsed/>
    <w:rsid w:val="000E6196"/>
    <w:rPr>
      <w:vertAlign w:val="superscript"/>
    </w:rPr>
  </w:style>
  <w:style w:type="character" w:styleId="CommentReference">
    <w:name w:val="annotation reference"/>
    <w:basedOn w:val="DefaultParagraphFont"/>
    <w:uiPriority w:val="99"/>
    <w:semiHidden/>
    <w:unhideWhenUsed/>
    <w:rsid w:val="00EC463D"/>
    <w:rPr>
      <w:sz w:val="16"/>
      <w:szCs w:val="16"/>
    </w:rPr>
  </w:style>
  <w:style w:type="paragraph" w:styleId="CommentText">
    <w:name w:val="annotation text"/>
    <w:basedOn w:val="Normal"/>
    <w:link w:val="CommentTextChar"/>
    <w:uiPriority w:val="99"/>
    <w:semiHidden/>
    <w:unhideWhenUsed/>
    <w:rsid w:val="00EC463D"/>
    <w:pPr>
      <w:spacing w:line="240" w:lineRule="auto"/>
    </w:pPr>
    <w:rPr>
      <w:sz w:val="20"/>
      <w:szCs w:val="20"/>
    </w:rPr>
  </w:style>
  <w:style w:type="character" w:customStyle="1" w:styleId="CommentTextChar">
    <w:name w:val="Comment Text Char"/>
    <w:basedOn w:val="DefaultParagraphFont"/>
    <w:link w:val="CommentText"/>
    <w:uiPriority w:val="99"/>
    <w:semiHidden/>
    <w:rsid w:val="00EC463D"/>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EC463D"/>
    <w:rPr>
      <w:b/>
      <w:bCs/>
    </w:rPr>
  </w:style>
  <w:style w:type="character" w:customStyle="1" w:styleId="CommentSubjectChar">
    <w:name w:val="Comment Subject Char"/>
    <w:basedOn w:val="CommentTextChar"/>
    <w:link w:val="CommentSubject"/>
    <w:uiPriority w:val="99"/>
    <w:semiHidden/>
    <w:rsid w:val="00EC463D"/>
    <w:rPr>
      <w:rFonts w:ascii="Cambria" w:eastAsia="Cambria" w:hAnsi="Cambria" w:cs="Times New Roman"/>
      <w:b/>
      <w:bCs/>
      <w:sz w:val="20"/>
      <w:szCs w:val="20"/>
    </w:rPr>
  </w:style>
  <w:style w:type="paragraph" w:styleId="Revision">
    <w:name w:val="Revision"/>
    <w:hidden/>
    <w:uiPriority w:val="99"/>
    <w:semiHidden/>
    <w:rsid w:val="003442FD"/>
    <w:pPr>
      <w:spacing w:after="0" w:line="240" w:lineRule="auto"/>
    </w:pPr>
    <w:rPr>
      <w:rFonts w:ascii="Cambria" w:eastAsia="Cambria" w:hAnsi="Cambria" w:cs="Times New Roman"/>
    </w:rPr>
  </w:style>
  <w:style w:type="paragraph" w:customStyle="1" w:styleId="Instructions">
    <w:name w:val="Instructions"/>
    <w:basedOn w:val="Normal"/>
    <w:next w:val="Normal"/>
    <w:uiPriority w:val="1"/>
    <w:qFormat/>
    <w:rsid w:val="00EE27C2"/>
    <w:rPr>
      <w:i/>
      <w:color w:val="007099"/>
    </w:rPr>
  </w:style>
  <w:style w:type="paragraph" w:styleId="ListParagraph">
    <w:name w:val="List Paragraph"/>
    <w:basedOn w:val="Normal"/>
    <w:uiPriority w:val="1"/>
    <w:qFormat/>
    <w:rsid w:val="00617643"/>
    <w:pPr>
      <w:numPr>
        <w:numId w:val="5"/>
      </w:numPr>
      <w:contextualSpacing/>
    </w:pPr>
    <w:rPr>
      <w:szCs w:val="20"/>
    </w:rPr>
  </w:style>
  <w:style w:type="paragraph" w:customStyle="1" w:styleId="Indication">
    <w:name w:val="Indication"/>
    <w:basedOn w:val="Normal"/>
    <w:uiPriority w:val="1"/>
    <w:qFormat/>
    <w:rsid w:val="00617643"/>
    <w:pPr>
      <w:spacing w:line="300" w:lineRule="atLeast"/>
      <w:ind w:left="284"/>
    </w:pPr>
    <w:rPr>
      <w:i/>
      <w:noProof/>
      <w:szCs w:val="20"/>
    </w:rPr>
  </w:style>
  <w:style w:type="paragraph" w:customStyle="1" w:styleId="subheading1">
    <w:name w:val="subheading1"/>
    <w:basedOn w:val="Heading5"/>
    <w:uiPriority w:val="1"/>
    <w:qFormat/>
    <w:rsid w:val="00617643"/>
    <w:pPr>
      <w:spacing w:before="240" w:line="240" w:lineRule="atLeast"/>
    </w:pPr>
    <w:rPr>
      <w:i w:val="0"/>
      <w:color w:val="auto"/>
      <w:szCs w:val="26"/>
    </w:rPr>
  </w:style>
  <w:style w:type="paragraph" w:customStyle="1" w:styleId="Default">
    <w:name w:val="Default"/>
    <w:rsid w:val="00E27AAF"/>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Standard">
    <w:name w:val="Standard"/>
    <w:basedOn w:val="Normal"/>
    <w:link w:val="StandardChar"/>
    <w:qFormat/>
    <w:rsid w:val="00720B5E"/>
    <w:pPr>
      <w:spacing w:before="0" w:after="220" w:line="252" w:lineRule="auto"/>
    </w:pPr>
    <w:rPr>
      <w:rFonts w:eastAsia="Times New Roman"/>
      <w:snapToGrid w:val="0"/>
      <w:kern w:val="16"/>
      <w:sz w:val="23"/>
      <w:szCs w:val="24"/>
    </w:rPr>
  </w:style>
  <w:style w:type="character" w:customStyle="1" w:styleId="StandardChar">
    <w:name w:val="Standard Char"/>
    <w:basedOn w:val="DefaultParagraphFont"/>
    <w:link w:val="Standard"/>
    <w:rsid w:val="00720B5E"/>
    <w:rPr>
      <w:rFonts w:ascii="Cambria" w:eastAsia="Times New Roman" w:hAnsi="Cambria" w:cs="Times New Roman"/>
      <w:snapToGrid w:val="0"/>
      <w:kern w:val="16"/>
      <w:sz w:val="23"/>
      <w:szCs w:val="24"/>
    </w:rPr>
  </w:style>
  <w:style w:type="paragraph" w:customStyle="1" w:styleId="Bulletlist">
    <w:name w:val="Bullet list"/>
    <w:basedOn w:val="Standard"/>
    <w:link w:val="BulletlistChar"/>
    <w:qFormat/>
    <w:rsid w:val="00720B5E"/>
    <w:pPr>
      <w:numPr>
        <w:numId w:val="6"/>
      </w:numPr>
      <w:spacing w:after="180"/>
      <w:ind w:left="426" w:hanging="284"/>
    </w:pPr>
    <w:rPr>
      <w:kern w:val="2"/>
    </w:rPr>
  </w:style>
  <w:style w:type="character" w:customStyle="1" w:styleId="TabletextChar">
    <w:name w:val="Table text Char"/>
    <w:basedOn w:val="StandardChar"/>
    <w:link w:val="Tabletext"/>
    <w:rsid w:val="00720B5E"/>
    <w:rPr>
      <w:rFonts w:ascii="Cambria" w:eastAsia="Cambria" w:hAnsi="Cambria" w:cs="Times New Roman"/>
      <w:snapToGrid/>
      <w:kern w:val="16"/>
      <w:sz w:val="19"/>
      <w:szCs w:val="24"/>
    </w:rPr>
  </w:style>
  <w:style w:type="character" w:customStyle="1" w:styleId="BulletlistChar">
    <w:name w:val="Bullet list Char"/>
    <w:basedOn w:val="StandardChar"/>
    <w:link w:val="Bulletlist"/>
    <w:rsid w:val="00720B5E"/>
    <w:rPr>
      <w:rFonts w:ascii="Cambria" w:eastAsia="Times New Roman" w:hAnsi="Cambria" w:cs="Times New Roman"/>
      <w:snapToGrid w:val="0"/>
      <w:kern w:val="2"/>
      <w:sz w:val="23"/>
      <w:szCs w:val="24"/>
    </w:rPr>
  </w:style>
  <w:style w:type="character" w:customStyle="1" w:styleId="SectionHeadingCharChar">
    <w:name w:val="Section Heading Char Char"/>
    <w:basedOn w:val="DefaultParagraphFont"/>
    <w:link w:val="SectionHeading"/>
    <w:locked/>
    <w:rsid w:val="00720B5E"/>
    <w:rPr>
      <w:rFonts w:ascii="Cambria" w:eastAsia="Times New Roman" w:hAnsi="Cambria" w:cs="Times New Roman"/>
      <w:b/>
      <w:caps/>
      <w:kern w:val="16"/>
      <w:sz w:val="24"/>
      <w:szCs w:val="24"/>
    </w:rPr>
  </w:style>
  <w:style w:type="paragraph" w:customStyle="1" w:styleId="SectionHeading">
    <w:name w:val="Section Heading"/>
    <w:basedOn w:val="Normal"/>
    <w:next w:val="Normal"/>
    <w:link w:val="SectionHeadingCharChar"/>
    <w:rsid w:val="00720B5E"/>
    <w:pPr>
      <w:keepNext/>
      <w:snapToGrid w:val="0"/>
      <w:spacing w:before="0" w:after="220" w:line="252" w:lineRule="auto"/>
      <w:outlineLvl w:val="0"/>
    </w:pPr>
    <w:rPr>
      <w:rFonts w:eastAsia="Times New Roman"/>
      <w:b/>
      <w:caps/>
      <w:kern w:val="16"/>
      <w:sz w:val="24"/>
      <w:szCs w:val="24"/>
    </w:rPr>
  </w:style>
  <w:style w:type="paragraph" w:customStyle="1" w:styleId="Bulletpoint">
    <w:name w:val="Bullet point"/>
    <w:basedOn w:val="Normal"/>
    <w:rsid w:val="00720B5E"/>
    <w:pPr>
      <w:numPr>
        <w:numId w:val="7"/>
      </w:numPr>
      <w:tabs>
        <w:tab w:val="num" w:pos="369"/>
        <w:tab w:val="left" w:pos="397"/>
      </w:tabs>
      <w:snapToGrid w:val="0"/>
      <w:spacing w:before="0" w:after="180" w:line="252" w:lineRule="auto"/>
      <w:ind w:left="369"/>
    </w:pPr>
    <w:rPr>
      <w:rFonts w:eastAsia="Times New Roman"/>
      <w:kern w:val="16"/>
      <w:szCs w:val="24"/>
    </w:rPr>
  </w:style>
  <w:style w:type="paragraph" w:customStyle="1" w:styleId="AssessmentSection">
    <w:name w:val="Assessment Section"/>
    <w:basedOn w:val="Normal"/>
    <w:next w:val="Standard"/>
    <w:rsid w:val="00720B5E"/>
    <w:pPr>
      <w:keepNext/>
      <w:snapToGrid w:val="0"/>
      <w:spacing w:before="0" w:after="110" w:line="252" w:lineRule="auto"/>
      <w:outlineLvl w:val="1"/>
    </w:pPr>
    <w:rPr>
      <w:rFonts w:eastAsia="Times New Roman"/>
      <w:b/>
      <w:kern w:val="16"/>
      <w:szCs w:val="24"/>
    </w:rPr>
  </w:style>
  <w:style w:type="character" w:customStyle="1" w:styleId="WhiteSpaceChar">
    <w:name w:val="White Space Char"/>
    <w:basedOn w:val="DefaultParagraphFont"/>
    <w:link w:val="WhiteSpace"/>
    <w:locked/>
    <w:rsid w:val="00720B5E"/>
    <w:rPr>
      <w:rFonts w:ascii="Cambria" w:eastAsia="Times New Roman" w:hAnsi="Cambria" w:cs="Times New Roman"/>
      <w:kern w:val="16"/>
      <w:sz w:val="16"/>
      <w:szCs w:val="16"/>
    </w:rPr>
  </w:style>
  <w:style w:type="paragraph" w:customStyle="1" w:styleId="WhiteSpace">
    <w:name w:val="White Space"/>
    <w:basedOn w:val="Standard"/>
    <w:next w:val="Standard"/>
    <w:link w:val="WhiteSpaceChar"/>
    <w:rsid w:val="00720B5E"/>
    <w:pPr>
      <w:snapToGrid w:val="0"/>
      <w:spacing w:after="0"/>
    </w:pPr>
    <w:rPr>
      <w:snapToGrid/>
      <w:sz w:val="16"/>
      <w:szCs w:val="16"/>
    </w:rPr>
  </w:style>
  <w:style w:type="paragraph" w:customStyle="1" w:styleId="AssessmentSubsection">
    <w:name w:val="Assessment Subsection"/>
    <w:basedOn w:val="Standard"/>
    <w:next w:val="Standard"/>
    <w:rsid w:val="00720B5E"/>
    <w:pPr>
      <w:keepNext/>
      <w:snapToGrid w:val="0"/>
      <w:spacing w:after="110"/>
      <w:outlineLvl w:val="2"/>
    </w:pPr>
    <w:rPr>
      <w:b/>
      <w:i/>
      <w:snapToGrid/>
      <w:sz w:val="22"/>
    </w:rPr>
  </w:style>
  <w:style w:type="paragraph" w:customStyle="1" w:styleId="AssessmentSubsection2">
    <w:name w:val="Assessment Subsection 2"/>
    <w:basedOn w:val="AssessmentSubsection"/>
    <w:next w:val="Standard"/>
    <w:rsid w:val="00720B5E"/>
    <w:pPr>
      <w:outlineLvl w:val="3"/>
    </w:pPr>
    <w:rPr>
      <w:b w:val="0"/>
    </w:rPr>
  </w:style>
  <w:style w:type="paragraph" w:customStyle="1" w:styleId="TableHeader">
    <w:name w:val="Table Header"/>
    <w:basedOn w:val="Normal"/>
    <w:rsid w:val="00720B5E"/>
    <w:pPr>
      <w:keepNext/>
      <w:keepLines/>
      <w:widowControl w:val="0"/>
      <w:spacing w:before="60" w:after="60" w:line="200" w:lineRule="exact"/>
      <w:jc w:val="center"/>
    </w:pPr>
    <w:rPr>
      <w:rFonts w:eastAsia="MS Mincho" w:cstheme="minorBidi"/>
      <w:b/>
      <w:kern w:val="2"/>
      <w:sz w:val="19"/>
      <w:szCs w:val="19"/>
    </w:rPr>
  </w:style>
  <w:style w:type="character" w:customStyle="1" w:styleId="TableTitleChar">
    <w:name w:val="Table Title Char"/>
    <w:basedOn w:val="StandardChar"/>
    <w:link w:val="TableTitle"/>
    <w:locked/>
    <w:rsid w:val="00720B5E"/>
    <w:rPr>
      <w:rFonts w:ascii="Cambria" w:eastAsia="Cambria" w:hAnsi="Cambria" w:cs="Times New Roman"/>
      <w:b/>
      <w:snapToGrid/>
      <w:kern w:val="16"/>
      <w:sz w:val="23"/>
      <w:szCs w:val="24"/>
    </w:rPr>
  </w:style>
  <w:style w:type="paragraph" w:styleId="NoSpacing">
    <w:name w:val="No Spacing"/>
    <w:uiPriority w:val="1"/>
    <w:qFormat/>
    <w:rsid w:val="00885729"/>
    <w:pPr>
      <w:adjustRightInd w:val="0"/>
      <w:snapToGrid w:val="0"/>
      <w:spacing w:after="0" w:line="240" w:lineRule="auto"/>
    </w:pPr>
    <w:rPr>
      <w:rFonts w:ascii="Cambria" w:eastAsia="MS Mincho" w:hAnsi="Cambria" w:cs="Times New Roman"/>
      <w:szCs w:val="20"/>
      <w:lang w:eastAsia="ja-JP"/>
    </w:rPr>
  </w:style>
  <w:style w:type="table" w:customStyle="1" w:styleId="TableTGA21">
    <w:name w:val="Table TGA 21"/>
    <w:basedOn w:val="TableNormal"/>
    <w:uiPriority w:val="99"/>
    <w:rsid w:val="00885729"/>
    <w:pPr>
      <w:spacing w:before="60" w:after="0" w:line="240" w:lineRule="auto"/>
    </w:pPr>
    <w:rPr>
      <w:rFonts w:ascii="Cambria" w:eastAsiaTheme="minorEastAsia" w:hAnsi="Cambria" w:cs="Times New Roman"/>
      <w:color w:val="00000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blStylePr w:type="firstRow">
      <w:pPr>
        <w:wordWrap/>
      </w:pPr>
      <w:rPr>
        <w:rFonts w:ascii="Cambria" w:hAnsi="Cambria" w:hint="default"/>
        <w:b/>
        <w:color w:val="FFFFFF"/>
        <w:sz w:val="22"/>
        <w:szCs w:val="22"/>
      </w:rPr>
      <w:tblPr/>
      <w:tcPr>
        <w:shd w:val="clear" w:color="auto" w:fill="000000"/>
      </w:tcPr>
    </w:tblStylePr>
    <w:tblStylePr w:type="lastRow">
      <w:rPr>
        <w:b w:val="0"/>
      </w:rPr>
    </w:tblStylePr>
    <w:tblStylePr w:type="neCell">
      <w:rPr>
        <w:b w:val="0"/>
        <w:i w:val="0"/>
      </w:rPr>
    </w:tblStylePr>
    <w:tblStylePr w:type="nwCell">
      <w:rPr>
        <w:rFonts w:ascii="Cambria" w:hAnsi="Cambria" w:hint="default"/>
        <w:b/>
        <w:i w:val="0"/>
        <w:color w:val="FFFFFF"/>
        <w:sz w:val="22"/>
        <w:szCs w:val="22"/>
      </w:rPr>
    </w:tblStylePr>
  </w:style>
  <w:style w:type="paragraph" w:styleId="ListNumber">
    <w:name w:val="List Number"/>
    <w:basedOn w:val="ListParagraph"/>
    <w:uiPriority w:val="99"/>
    <w:semiHidden/>
    <w:unhideWhenUsed/>
    <w:rsid w:val="00885729"/>
    <w:pPr>
      <w:numPr>
        <w:numId w:val="8"/>
      </w:numPr>
      <w:spacing w:before="0" w:line="240" w:lineRule="auto"/>
      <w:ind w:left="426" w:hanging="426"/>
    </w:pPr>
    <w:rPr>
      <w:rFonts w:asciiTheme="minorHAnsi" w:eastAsia="Times New Roman" w:hAnsiTheme="minorHAnsi"/>
      <w:b/>
      <w:szCs w:val="22"/>
      <w:lang w:eastAsia="en-AU"/>
    </w:rPr>
  </w:style>
  <w:style w:type="paragraph" w:styleId="ListNumber2">
    <w:name w:val="List Number 2"/>
    <w:basedOn w:val="Normal"/>
    <w:uiPriority w:val="99"/>
    <w:semiHidden/>
    <w:unhideWhenUsed/>
    <w:rsid w:val="00885729"/>
    <w:pPr>
      <w:numPr>
        <w:numId w:val="9"/>
      </w:numPr>
      <w:adjustRightInd w:val="0"/>
      <w:snapToGrid w:val="0"/>
      <w:spacing w:before="0"/>
      <w:ind w:left="0" w:firstLine="0"/>
      <w:contextualSpacing/>
    </w:pPr>
    <w:rPr>
      <w:rFonts w:eastAsia="MS Mincho"/>
      <w:szCs w:val="20"/>
      <w:lang w:eastAsia="ja-JP"/>
    </w:rPr>
  </w:style>
  <w:style w:type="paragraph" w:customStyle="1" w:styleId="Tabletextleft">
    <w:name w:val="Table text (left)"/>
    <w:basedOn w:val="Normal"/>
    <w:rsid w:val="00885729"/>
    <w:pPr>
      <w:spacing w:before="20" w:after="20" w:line="200" w:lineRule="atLeast"/>
      <w:ind w:left="57" w:right="57"/>
    </w:pPr>
    <w:rPr>
      <w:rFonts w:eastAsia="MS Mincho" w:cstheme="minorBidi"/>
      <w:sz w:val="19"/>
      <w:szCs w:val="18"/>
      <w:lang w:val="en-GB"/>
    </w:rPr>
  </w:style>
  <w:style w:type="character" w:customStyle="1" w:styleId="Heading8Char">
    <w:name w:val="Heading 8 Char"/>
    <w:basedOn w:val="DefaultParagraphFont"/>
    <w:link w:val="Heading8"/>
    <w:rsid w:val="002928AB"/>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2928AB"/>
    <w:rPr>
      <w:rFonts w:asciiTheme="majorHAnsi" w:eastAsiaTheme="majorEastAsia" w:hAnsiTheme="majorHAnsi" w:cstheme="majorBidi"/>
      <w:i/>
      <w:iCs/>
      <w:color w:val="404040" w:themeColor="text1" w:themeTint="BF"/>
      <w:sz w:val="20"/>
      <w:szCs w:val="20"/>
    </w:rPr>
  </w:style>
  <w:style w:type="paragraph" w:customStyle="1" w:styleId="TableHeading">
    <w:name w:val="Table Heading"/>
    <w:basedOn w:val="Normal"/>
    <w:rsid w:val="002928AB"/>
    <w:rPr>
      <w:rFonts w:ascii="Calibri" w:eastAsia="Calibri" w:hAnsi="Calibri"/>
      <w:b/>
      <w:color w:val="FFFFFF"/>
      <w:sz w:val="20"/>
    </w:rPr>
  </w:style>
  <w:style w:type="paragraph" w:customStyle="1" w:styleId="Tabletitle0">
    <w:name w:val="Table title"/>
    <w:basedOn w:val="Normal"/>
    <w:next w:val="Normal"/>
    <w:rsid w:val="002928AB"/>
    <w:pPr>
      <w:keepNext/>
      <w:spacing w:after="180"/>
      <w:outlineLvl w:val="4"/>
    </w:pPr>
    <w:rPr>
      <w:rFonts w:cstheme="minorBidi"/>
      <w:b/>
    </w:rPr>
  </w:style>
  <w:style w:type="paragraph" w:customStyle="1" w:styleId="Bullet2">
    <w:name w:val="Bullet 2"/>
    <w:basedOn w:val="Normal"/>
    <w:rsid w:val="002928AB"/>
    <w:pPr>
      <w:numPr>
        <w:numId w:val="13"/>
      </w:numPr>
      <w:spacing w:after="0" w:line="240" w:lineRule="auto"/>
    </w:pPr>
    <w:rPr>
      <w:rFonts w:eastAsia="Times New Roman"/>
      <w:kern w:val="24"/>
      <w:szCs w:val="24"/>
      <w:lang w:eastAsia="en-AU"/>
    </w:rPr>
  </w:style>
  <w:style w:type="paragraph" w:customStyle="1" w:styleId="TableBullet">
    <w:name w:val="Table Bullet"/>
    <w:basedOn w:val="Normal"/>
    <w:rsid w:val="002928AB"/>
    <w:pPr>
      <w:numPr>
        <w:numId w:val="14"/>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paragraph" w:customStyle="1" w:styleId="Comment1">
    <w:name w:val="Comment 1"/>
    <w:basedOn w:val="Normal"/>
    <w:next w:val="Normal"/>
    <w:qFormat/>
    <w:rsid w:val="002928AB"/>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paragraph" w:customStyle="1" w:styleId="Bullet1">
    <w:name w:val="Bullet 1"/>
    <w:basedOn w:val="Normal"/>
    <w:rsid w:val="002928AB"/>
    <w:pPr>
      <w:numPr>
        <w:numId w:val="15"/>
      </w:numPr>
      <w:spacing w:after="0" w:line="240" w:lineRule="auto"/>
    </w:pPr>
    <w:rPr>
      <w:rFonts w:eastAsia="Times New Roman"/>
      <w:kern w:val="24"/>
      <w:szCs w:val="24"/>
      <w:lang w:eastAsia="en-AU"/>
    </w:rPr>
  </w:style>
  <w:style w:type="character" w:styleId="Emphasis">
    <w:name w:val="Emphasis"/>
    <w:basedOn w:val="DefaultParagraphFont"/>
    <w:uiPriority w:val="20"/>
    <w:qFormat/>
    <w:rsid w:val="002928AB"/>
    <w:rPr>
      <w:b/>
      <w:bCs/>
      <w:i w:val="0"/>
      <w:iCs w:val="0"/>
    </w:rPr>
  </w:style>
  <w:style w:type="character" w:customStyle="1" w:styleId="st">
    <w:name w:val="st"/>
    <w:basedOn w:val="DefaultParagraphFont"/>
    <w:rsid w:val="002928AB"/>
  </w:style>
  <w:style w:type="paragraph" w:customStyle="1" w:styleId="mdInstructions">
    <w:name w:val="md_Instructions"/>
    <w:basedOn w:val="Normal"/>
    <w:link w:val="mdInstructionsChar"/>
    <w:uiPriority w:val="99"/>
    <w:qFormat/>
    <w:rsid w:val="002928AB"/>
    <w:pPr>
      <w:spacing w:before="0"/>
    </w:pPr>
    <w:rPr>
      <w:rFonts w:ascii="Times New Roman" w:eastAsia="Times New Roman" w:hAnsi="Times New Roman"/>
      <w:color w:val="FF0000"/>
      <w:sz w:val="20"/>
      <w:szCs w:val="20"/>
      <w:lang w:val="en-US"/>
    </w:rPr>
  </w:style>
  <w:style w:type="character" w:customStyle="1" w:styleId="mdInstructionsChar">
    <w:name w:val="md_Instructions Char"/>
    <w:link w:val="mdInstructions"/>
    <w:uiPriority w:val="99"/>
    <w:rsid w:val="002928AB"/>
    <w:rPr>
      <w:rFonts w:ascii="Times New Roman" w:eastAsia="Times New Roman" w:hAnsi="Times New Roman" w:cs="Times New Roman"/>
      <w:color w:val="FF0000"/>
      <w:sz w:val="20"/>
      <w:szCs w:val="20"/>
      <w:lang w:val="en-US"/>
    </w:rPr>
  </w:style>
  <w:style w:type="paragraph" w:styleId="TOC4">
    <w:name w:val="toc 4"/>
    <w:basedOn w:val="Normal"/>
    <w:next w:val="Normal"/>
    <w:autoRedefine/>
    <w:uiPriority w:val="39"/>
    <w:unhideWhenUsed/>
    <w:rsid w:val="002928AB"/>
    <w:pPr>
      <w:spacing w:before="0" w:after="100" w:line="276" w:lineRule="auto"/>
      <w:ind w:left="660"/>
    </w:pPr>
    <w:rPr>
      <w:rFonts w:asciiTheme="minorHAnsi" w:eastAsiaTheme="minorEastAsia" w:hAnsiTheme="minorHAnsi" w:cstheme="minorBidi"/>
      <w:lang w:eastAsia="en-AU"/>
    </w:rPr>
  </w:style>
  <w:style w:type="paragraph" w:styleId="TOC5">
    <w:name w:val="toc 5"/>
    <w:basedOn w:val="Normal"/>
    <w:next w:val="Normal"/>
    <w:autoRedefine/>
    <w:uiPriority w:val="39"/>
    <w:unhideWhenUsed/>
    <w:rsid w:val="002928AB"/>
    <w:pPr>
      <w:spacing w:before="0" w:after="100" w:line="276" w:lineRule="auto"/>
      <w:ind w:left="880"/>
    </w:pPr>
    <w:rPr>
      <w:rFonts w:asciiTheme="minorHAnsi" w:eastAsiaTheme="minorEastAsia" w:hAnsiTheme="minorHAnsi" w:cstheme="minorBidi"/>
      <w:lang w:eastAsia="en-AU"/>
    </w:rPr>
  </w:style>
  <w:style w:type="paragraph" w:styleId="TOC6">
    <w:name w:val="toc 6"/>
    <w:basedOn w:val="Normal"/>
    <w:next w:val="Normal"/>
    <w:autoRedefine/>
    <w:uiPriority w:val="39"/>
    <w:unhideWhenUsed/>
    <w:rsid w:val="002928AB"/>
    <w:pPr>
      <w:spacing w:before="0" w:after="100" w:line="276" w:lineRule="auto"/>
      <w:ind w:left="1100"/>
    </w:pPr>
    <w:rPr>
      <w:rFonts w:asciiTheme="minorHAnsi" w:eastAsiaTheme="minorEastAsia" w:hAnsiTheme="minorHAnsi" w:cstheme="minorBidi"/>
      <w:lang w:eastAsia="en-AU"/>
    </w:rPr>
  </w:style>
  <w:style w:type="paragraph" w:styleId="TOC7">
    <w:name w:val="toc 7"/>
    <w:basedOn w:val="Normal"/>
    <w:next w:val="Normal"/>
    <w:autoRedefine/>
    <w:uiPriority w:val="39"/>
    <w:unhideWhenUsed/>
    <w:rsid w:val="002928AB"/>
    <w:pPr>
      <w:spacing w:before="0" w:after="100" w:line="276" w:lineRule="auto"/>
      <w:ind w:left="1320"/>
    </w:pPr>
    <w:rPr>
      <w:rFonts w:asciiTheme="minorHAnsi" w:eastAsiaTheme="minorEastAsia" w:hAnsiTheme="minorHAnsi" w:cstheme="minorBidi"/>
      <w:lang w:eastAsia="en-AU"/>
    </w:rPr>
  </w:style>
  <w:style w:type="paragraph" w:styleId="TOC8">
    <w:name w:val="toc 8"/>
    <w:basedOn w:val="Normal"/>
    <w:next w:val="Normal"/>
    <w:autoRedefine/>
    <w:uiPriority w:val="39"/>
    <w:unhideWhenUsed/>
    <w:rsid w:val="002928AB"/>
    <w:pPr>
      <w:spacing w:before="0" w:after="100" w:line="276" w:lineRule="auto"/>
      <w:ind w:left="1540"/>
    </w:pPr>
    <w:rPr>
      <w:rFonts w:asciiTheme="minorHAnsi" w:eastAsiaTheme="minorEastAsia" w:hAnsiTheme="minorHAnsi" w:cstheme="minorBidi"/>
      <w:lang w:eastAsia="en-AU"/>
    </w:rPr>
  </w:style>
  <w:style w:type="paragraph" w:styleId="TOC9">
    <w:name w:val="toc 9"/>
    <w:basedOn w:val="Normal"/>
    <w:next w:val="Normal"/>
    <w:autoRedefine/>
    <w:uiPriority w:val="39"/>
    <w:unhideWhenUsed/>
    <w:rsid w:val="002928AB"/>
    <w:pPr>
      <w:spacing w:before="0" w:after="100" w:line="276" w:lineRule="auto"/>
      <w:ind w:left="1760"/>
    </w:pPr>
    <w:rPr>
      <w:rFonts w:asciiTheme="minorHAnsi" w:eastAsiaTheme="minorEastAsia" w:hAnsiTheme="minorHAnsi" w:cstheme="minorBidi"/>
      <w:lang w:eastAsia="en-AU"/>
    </w:rPr>
  </w:style>
  <w:style w:type="paragraph" w:styleId="TableofFigures">
    <w:name w:val="table of figures"/>
    <w:basedOn w:val="Normal"/>
    <w:next w:val="Normal"/>
    <w:uiPriority w:val="99"/>
    <w:unhideWhenUsed/>
    <w:rsid w:val="002928AB"/>
    <w:pPr>
      <w:spacing w:after="0"/>
    </w:pPr>
  </w:style>
  <w:style w:type="paragraph" w:customStyle="1" w:styleId="TableParagraph">
    <w:name w:val="Table Paragraph"/>
    <w:basedOn w:val="Normal"/>
    <w:uiPriority w:val="1"/>
    <w:qFormat/>
    <w:rsid w:val="002928AB"/>
    <w:pPr>
      <w:autoSpaceDE w:val="0"/>
      <w:autoSpaceDN w:val="0"/>
      <w:adjustRightInd w:val="0"/>
      <w:spacing w:before="0" w:after="0" w:line="240" w:lineRule="auto"/>
      <w:ind w:left="101"/>
    </w:pPr>
    <w:rPr>
      <w:rFonts w:ascii="Calibri" w:eastAsiaTheme="minorHAnsi" w:hAnsi="Calibri" w:cs="Calibri"/>
      <w:sz w:val="24"/>
      <w:szCs w:val="24"/>
    </w:rPr>
  </w:style>
  <w:style w:type="paragraph" w:styleId="BodyText">
    <w:name w:val="Body Text"/>
    <w:basedOn w:val="Normal"/>
    <w:link w:val="BodyTextChar"/>
    <w:uiPriority w:val="1"/>
    <w:qFormat/>
    <w:rsid w:val="002928AB"/>
    <w:pPr>
      <w:autoSpaceDE w:val="0"/>
      <w:autoSpaceDN w:val="0"/>
      <w:adjustRightInd w:val="0"/>
      <w:spacing w:before="0" w:after="0" w:line="240" w:lineRule="auto"/>
      <w:ind w:left="499" w:hanging="259"/>
    </w:pPr>
    <w:rPr>
      <w:rFonts w:ascii="Times New Roman" w:eastAsiaTheme="minorHAnsi" w:hAnsi="Times New Roman"/>
      <w:sz w:val="20"/>
      <w:szCs w:val="20"/>
    </w:rPr>
  </w:style>
  <w:style w:type="character" w:customStyle="1" w:styleId="BodyTextChar">
    <w:name w:val="Body Text Char"/>
    <w:basedOn w:val="DefaultParagraphFont"/>
    <w:link w:val="BodyText"/>
    <w:uiPriority w:val="1"/>
    <w:rsid w:val="002928AB"/>
    <w:rPr>
      <w:rFonts w:ascii="Times New Roman" w:hAnsi="Times New Roman" w:cs="Times New Roman"/>
      <w:sz w:val="20"/>
      <w:szCs w:val="20"/>
    </w:rPr>
  </w:style>
  <w:style w:type="paragraph" w:customStyle="1" w:styleId="CommentDot">
    <w:name w:val="Comment Dot"/>
    <w:basedOn w:val="Normal"/>
    <w:uiPriority w:val="99"/>
    <w:rsid w:val="002928AB"/>
    <w:pPr>
      <w:numPr>
        <w:numId w:val="16"/>
      </w:numPr>
      <w:tabs>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ind w:left="1418" w:hanging="284"/>
    </w:pPr>
    <w:rPr>
      <w:rFonts w:ascii="Calibri" w:eastAsia="Times New Roman" w:hAnsi="Calibri" w:cs="Arial"/>
      <w:kern w:val="16"/>
      <w:lang w:eastAsia="en-AU"/>
    </w:rPr>
  </w:style>
  <w:style w:type="character" w:customStyle="1" w:styleId="st1">
    <w:name w:val="st1"/>
    <w:basedOn w:val="DefaultParagraphFont"/>
    <w:rsid w:val="00B21308"/>
  </w:style>
  <w:style w:type="character" w:customStyle="1" w:styleId="ilfuvd">
    <w:name w:val="ilfuvd"/>
    <w:basedOn w:val="DefaultParagraphFont"/>
    <w:rsid w:val="00AA6B20"/>
  </w:style>
  <w:style w:type="character" w:customStyle="1" w:styleId="cit">
    <w:name w:val="cit"/>
    <w:basedOn w:val="DefaultParagraphFont"/>
    <w:rsid w:val="00EE1913"/>
  </w:style>
  <w:style w:type="character" w:customStyle="1" w:styleId="doi1">
    <w:name w:val="doi1"/>
    <w:basedOn w:val="DefaultParagraphFont"/>
    <w:rsid w:val="00EE1913"/>
  </w:style>
  <w:style w:type="character" w:customStyle="1" w:styleId="fm-citation-ids-label">
    <w:name w:val="fm-citation-ids-label"/>
    <w:basedOn w:val="DefaultParagraphFont"/>
    <w:rsid w:val="00EE191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semiHidden="0" w:unhideWhenUsed="0"/>
    <w:lsdException w:name="footer" w:semiHidden="0" w:unhideWhenUsed="0"/>
    <w:lsdException w:name="caption" w:semiHidden="0" w:uiPriority="0" w:unhideWhenUsed="0" w:qFormat="1"/>
    <w:lsdException w:name="footnote reference" w:uiPriority="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Body Text" w:uiPriority="1" w:qFormat="1"/>
    <w:lsdException w:name="Subtitle" w:semiHidden="0" w:uiPriority="11" w:unhideWhenUsed="0"/>
    <w:lsdException w:name="Date" w:semiHidden="0" w:unhideWhenUsed="0"/>
    <w:lsdException w:name="Strong" w:semiHidden="0" w:uiPriority="22" w:unhideWhenUsed="0"/>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uiPriority w:val="1"/>
    <w:qFormat/>
    <w:rsid w:val="00AD3935"/>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4722CC"/>
    <w:pPr>
      <w:keepNext/>
      <w:keepLines/>
      <w:spacing w:before="480"/>
      <w:outlineLvl w:val="1"/>
    </w:pPr>
    <w:rPr>
      <w:rFonts w:ascii="Arial" w:eastAsia="Times New Roman" w:hAnsi="Arial"/>
      <w:b/>
      <w:bCs/>
      <w:sz w:val="32"/>
      <w:szCs w:val="26"/>
    </w:rPr>
  </w:style>
  <w:style w:type="paragraph" w:styleId="Heading3">
    <w:name w:val="heading 3"/>
    <w:basedOn w:val="Normal"/>
    <w:next w:val="Normal"/>
    <w:link w:val="Heading3Char"/>
    <w:qFormat/>
    <w:rsid w:val="00EF59DC"/>
    <w:pPr>
      <w:keepNext/>
      <w:keepLines/>
      <w:spacing w:before="480" w:after="0" w:line="220" w:lineRule="atLeast"/>
      <w:outlineLvl w:val="2"/>
    </w:pPr>
    <w:rPr>
      <w:rFonts w:ascii="Arial" w:eastAsia="Times New Roman" w:hAnsi="Arial"/>
      <w:b/>
      <w:bCs/>
      <w:sz w:val="26"/>
      <w:szCs w:val="21"/>
    </w:rPr>
  </w:style>
  <w:style w:type="paragraph" w:styleId="Heading4">
    <w:name w:val="heading 4"/>
    <w:basedOn w:val="Normal"/>
    <w:next w:val="Normal"/>
    <w:link w:val="Heading4Char"/>
    <w:qFormat/>
    <w:rsid w:val="00AD0083"/>
    <w:pPr>
      <w:keepNext/>
      <w:spacing w:before="360" w:after="0" w:line="220" w:lineRule="atLeast"/>
      <w:outlineLvl w:val="3"/>
    </w:pPr>
    <w:rPr>
      <w:b/>
      <w:bCs/>
      <w:szCs w:val="21"/>
    </w:rPr>
  </w:style>
  <w:style w:type="paragraph" w:styleId="Heading5">
    <w:name w:val="heading 5"/>
    <w:basedOn w:val="Normal"/>
    <w:next w:val="Normal"/>
    <w:link w:val="Heading5Char"/>
    <w:qFormat/>
    <w:rsid w:val="004722CC"/>
    <w:pPr>
      <w:keepNext/>
      <w:keepLines/>
      <w:spacing w:line="220" w:lineRule="atLeast"/>
      <w:outlineLvl w:val="4"/>
    </w:pPr>
    <w:rPr>
      <w:rFonts w:eastAsia="Times New Roman"/>
      <w:b/>
      <w:bCs/>
      <w:i/>
      <w:color w:val="001523"/>
      <w:szCs w:val="21"/>
    </w:rPr>
  </w:style>
  <w:style w:type="paragraph" w:styleId="Heading6">
    <w:name w:val="heading 6"/>
    <w:basedOn w:val="Normal"/>
    <w:next w:val="Normal"/>
    <w:link w:val="Heading6Char"/>
    <w:qFormat/>
    <w:rsid w:val="00577130"/>
    <w:pPr>
      <w:keepNext/>
      <w:spacing w:line="220" w:lineRule="atLeast"/>
      <w:outlineLvl w:val="5"/>
    </w:pPr>
    <w:rPr>
      <w:rFonts w:eastAsia="Times New Roman"/>
      <w:bCs/>
      <w:i/>
      <w:szCs w:val="21"/>
    </w:rPr>
  </w:style>
  <w:style w:type="paragraph" w:styleId="Heading7">
    <w:name w:val="heading 7"/>
    <w:basedOn w:val="Normal"/>
    <w:next w:val="Normal"/>
    <w:link w:val="Heading7Char"/>
    <w:qFormat/>
    <w:rsid w:val="00770CAC"/>
    <w:pPr>
      <w:keepNext/>
      <w:spacing w:after="60" w:line="180" w:lineRule="atLeast"/>
      <w:outlineLvl w:val="6"/>
    </w:pPr>
    <w:rPr>
      <w:rFonts w:eastAsia="Times New Roman"/>
      <w:bCs/>
      <w:sz w:val="20"/>
      <w:szCs w:val="24"/>
    </w:rPr>
  </w:style>
  <w:style w:type="paragraph" w:styleId="Heading8">
    <w:name w:val="heading 8"/>
    <w:basedOn w:val="Normal"/>
    <w:next w:val="Normal"/>
    <w:link w:val="Heading8Char"/>
    <w:unhideWhenUsed/>
    <w:rsid w:val="002928AB"/>
    <w:pPr>
      <w:keepNext/>
      <w:keepLines/>
      <w:spacing w:before="200" w:after="0" w:line="276" w:lineRule="auto"/>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2928AB"/>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rPr>
  </w:style>
  <w:style w:type="character" w:customStyle="1" w:styleId="Heading2Char">
    <w:name w:val="Heading 2 Char"/>
    <w:basedOn w:val="DefaultParagraphFont"/>
    <w:link w:val="Heading2"/>
    <w:rsid w:val="00AD3935"/>
    <w:rPr>
      <w:rFonts w:ascii="Arial" w:eastAsia="Times New Roman" w:hAnsi="Arial" w:cs="Times New Roman"/>
      <w:b/>
      <w:bCs/>
      <w:sz w:val="32"/>
      <w:szCs w:val="26"/>
    </w:rPr>
  </w:style>
  <w:style w:type="character" w:customStyle="1" w:styleId="Heading3Char">
    <w:name w:val="Heading 3 Char"/>
    <w:basedOn w:val="DefaultParagraphFont"/>
    <w:link w:val="Heading3"/>
    <w:rsid w:val="00EF59DC"/>
    <w:rPr>
      <w:rFonts w:ascii="Arial" w:eastAsia="Times New Roman" w:hAnsi="Arial" w:cs="Times New Roman"/>
      <w:b/>
      <w:bCs/>
      <w:sz w:val="26"/>
      <w:szCs w:val="21"/>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qFormat/>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1B5C90"/>
    <w:pPr>
      <w:keepNext/>
      <w:spacing w:line="220" w:lineRule="atLeast"/>
    </w:pPr>
    <w:rPr>
      <w:b/>
    </w:rPr>
  </w:style>
  <w:style w:type="character" w:customStyle="1" w:styleId="Heading4Char">
    <w:name w:val="Heading 4 Char"/>
    <w:basedOn w:val="DefaultParagraphFont"/>
    <w:link w:val="Heading4"/>
    <w:rsid w:val="00AD3935"/>
    <w:rPr>
      <w:rFonts w:ascii="Cambria" w:eastAsia="Cambria" w:hAnsi="Cambria" w:cs="Times New Roman"/>
      <w:b/>
      <w:bCs/>
      <w:szCs w:val="21"/>
    </w:r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AD3935"/>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577130"/>
    <w:rPr>
      <w:rFonts w:ascii="Cambria" w:eastAsia="Times New Roman" w:hAnsi="Cambria" w:cs="Times New Roman"/>
      <w:bCs/>
      <w:i/>
      <w:szCs w:val="21"/>
    </w:rPr>
  </w:style>
  <w:style w:type="character" w:customStyle="1" w:styleId="Heading7Char">
    <w:name w:val="Heading 7 Char"/>
    <w:basedOn w:val="DefaultParagraphFont"/>
    <w:link w:val="Heading7"/>
    <w:rsid w:val="00770CAC"/>
    <w:rPr>
      <w:rFonts w:ascii="Cambria" w:eastAsia="Times New Roman" w:hAnsi="Cambria" w:cs="Times New Roman"/>
      <w:bCs/>
      <w:sz w:val="20"/>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B954B9"/>
    <w:pPr>
      <w:numPr>
        <w:numId w:val="3"/>
      </w:numPr>
    </w:pPr>
  </w:style>
  <w:style w:type="paragraph" w:styleId="ListBullet2">
    <w:name w:val="List Bullet 2"/>
    <w:basedOn w:val="Normal"/>
    <w:uiPriority w:val="99"/>
    <w:qFormat/>
    <w:rsid w:val="004C2DCA"/>
    <w:pPr>
      <w:numPr>
        <w:ilvl w:val="1"/>
        <w:numId w:val="3"/>
      </w:numPr>
    </w:pPr>
  </w:style>
  <w:style w:type="paragraph" w:styleId="ListBullet3">
    <w:name w:val="List Bullet 3"/>
    <w:basedOn w:val="Normal"/>
    <w:uiPriority w:val="99"/>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500337"/>
    <w:pPr>
      <w:spacing w:line="240" w:lineRule="auto"/>
    </w:pPr>
    <w:rPr>
      <w:szCs w:val="19"/>
    </w:rPr>
  </w:style>
  <w:style w:type="table" w:styleId="TableGrid">
    <w:name w:val="Table Grid"/>
    <w:basedOn w:val="TableNormal"/>
    <w:uiPriority w:val="59"/>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
    <w:name w:val="Table text"/>
    <w:basedOn w:val="Normal"/>
    <w:link w:val="TabletextChar"/>
    <w:qFormat/>
    <w:rsid w:val="00F3148D"/>
    <w:rPr>
      <w:sz w:val="19"/>
    </w:rPr>
  </w:style>
  <w:style w:type="table" w:customStyle="1" w:styleId="TableTGAblue">
    <w:name w:val="Table TGA blue"/>
    <w:basedOn w:val="TableNormal"/>
    <w:uiPriority w:val="99"/>
    <w:qFormat/>
    <w:rsid w:val="00FD119B"/>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keepNext/>
        <w:wordWrap/>
      </w:pPr>
      <w:rPr>
        <w:rFonts w:ascii="Cambria" w:hAnsi="Cambria"/>
        <w:b/>
        <w:color w:val="FFFFFF" w:themeColor="background1"/>
        <w:sz w:val="22"/>
      </w:rPr>
      <w:tblPr/>
      <w:trPr>
        <w:tblHeader/>
      </w:tr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style>
  <w:style w:type="table" w:customStyle="1" w:styleId="TableTGAblack">
    <w:name w:val="Table TGA black"/>
    <w:basedOn w:val="TableNormal"/>
    <w:uiPriority w:val="99"/>
    <w:rsid w:val="00EE1DE8"/>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neCell">
      <w:rPr>
        <w:b w:val="0"/>
        <w:i w:val="0"/>
      </w:rPr>
    </w:tblStylePr>
    <w:tblStylePr w:type="nwCell">
      <w:rPr>
        <w:rFonts w:ascii="Cambria" w:hAnsi="Cambria"/>
        <w:b/>
        <w:i w:val="0"/>
        <w:color w:val="FFFFFF"/>
        <w:sz w:val="22"/>
      </w:rPr>
    </w:tblStylePr>
  </w:style>
  <w:style w:type="paragraph" w:customStyle="1" w:styleId="TableTitle">
    <w:name w:val="Table Title"/>
    <w:basedOn w:val="Normal"/>
    <w:link w:val="TableTitleChar"/>
    <w:rsid w:val="002E40B3"/>
    <w:pPr>
      <w:keepNext/>
    </w:pPr>
    <w:rPr>
      <w:b/>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rsid w:val="00F3148D"/>
    <w:pPr>
      <w:tabs>
        <w:tab w:val="right" w:pos="8505"/>
      </w:tabs>
      <w:spacing w:after="200"/>
    </w:pPr>
    <w:rPr>
      <w:rFonts w:ascii="Arial" w:hAnsi="Arial"/>
      <w:b/>
      <w:sz w:val="32"/>
    </w:rPr>
  </w:style>
  <w:style w:type="paragraph" w:styleId="TOC2">
    <w:name w:val="toc 2"/>
    <w:basedOn w:val="Normal"/>
    <w:next w:val="Normal"/>
    <w:uiPriority w:val="39"/>
    <w:rsid w:val="00F3148D"/>
    <w:pPr>
      <w:tabs>
        <w:tab w:val="right" w:leader="underscore" w:pos="8505"/>
      </w:tabs>
      <w:spacing w:after="100"/>
      <w:ind w:left="624"/>
    </w:pPr>
    <w:rPr>
      <w:b/>
      <w:sz w:val="25"/>
    </w:rPr>
  </w:style>
  <w:style w:type="paragraph" w:styleId="TOC3">
    <w:name w:val="toc 3"/>
    <w:basedOn w:val="Normal"/>
    <w:next w:val="Normal"/>
    <w:uiPriority w:val="39"/>
    <w:rsid w:val="00F3148D"/>
    <w:pPr>
      <w:tabs>
        <w:tab w:val="right" w:leader="underscore" w:pos="8505"/>
      </w:tabs>
      <w:spacing w:after="100"/>
      <w:ind w:left="1021"/>
    </w:pPr>
  </w:style>
  <w:style w:type="paragraph" w:styleId="TOCHeading">
    <w:name w:val="TOC Heading"/>
    <w:basedOn w:val="Heading1"/>
    <w:next w:val="Normal"/>
    <w:uiPriority w:val="39"/>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styleId="FootnoteText">
    <w:name w:val="footnote text"/>
    <w:basedOn w:val="Normal"/>
    <w:link w:val="FootnoteTextChar"/>
    <w:unhideWhenUsed/>
    <w:rsid w:val="001B5C90"/>
    <w:pPr>
      <w:spacing w:before="0" w:after="0" w:line="240" w:lineRule="auto"/>
    </w:pPr>
    <w:rPr>
      <w:sz w:val="18"/>
      <w:szCs w:val="20"/>
    </w:rPr>
  </w:style>
  <w:style w:type="character" w:customStyle="1" w:styleId="FootnoteTextChar">
    <w:name w:val="Footnote Text Char"/>
    <w:basedOn w:val="DefaultParagraphFont"/>
    <w:link w:val="FootnoteText"/>
    <w:rsid w:val="001B5C90"/>
    <w:rPr>
      <w:rFonts w:ascii="Cambria" w:eastAsia="Cambria" w:hAnsi="Cambria" w:cs="Times New Roman"/>
      <w:sz w:val="18"/>
      <w:szCs w:val="20"/>
    </w:rPr>
  </w:style>
  <w:style w:type="character" w:styleId="FootnoteReference">
    <w:name w:val="footnote reference"/>
    <w:basedOn w:val="DefaultParagraphFont"/>
    <w:semiHidden/>
    <w:unhideWhenUsed/>
    <w:rsid w:val="001B5C90"/>
    <w:rPr>
      <w:vertAlign w:val="superscript"/>
    </w:rPr>
  </w:style>
  <w:style w:type="paragraph" w:customStyle="1" w:styleId="Quotation">
    <w:name w:val="Quotation"/>
    <w:basedOn w:val="Normal"/>
    <w:next w:val="Normal"/>
    <w:uiPriority w:val="4"/>
    <w:qFormat/>
    <w:rsid w:val="00E13FC7"/>
    <w:pPr>
      <w:spacing w:after="180"/>
      <w:ind w:left="425"/>
    </w:pPr>
    <w:rPr>
      <w:rFonts w:eastAsiaTheme="minorEastAsia" w:cstheme="minorBidi"/>
      <w:sz w:val="20"/>
      <w:lang w:eastAsia="zh-TW"/>
    </w:rPr>
  </w:style>
  <w:style w:type="paragraph" w:customStyle="1" w:styleId="Comment">
    <w:name w:val="Comment"/>
    <w:basedOn w:val="Normal"/>
    <w:next w:val="Normal"/>
    <w:uiPriority w:val="1"/>
    <w:qFormat/>
    <w:rsid w:val="00DD28CD"/>
    <w:pPr>
      <w:ind w:left="992" w:hanging="992"/>
    </w:pPr>
  </w:style>
  <w:style w:type="paragraph" w:styleId="EndnoteText">
    <w:name w:val="endnote text"/>
    <w:basedOn w:val="Normal"/>
    <w:link w:val="EndnoteTextChar"/>
    <w:uiPriority w:val="99"/>
    <w:semiHidden/>
    <w:unhideWhenUsed/>
    <w:rsid w:val="000E6196"/>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0E6196"/>
    <w:rPr>
      <w:rFonts w:ascii="Cambria" w:eastAsia="Cambria" w:hAnsi="Cambria" w:cs="Times New Roman"/>
      <w:sz w:val="20"/>
      <w:szCs w:val="20"/>
    </w:rPr>
  </w:style>
  <w:style w:type="character" w:styleId="EndnoteReference">
    <w:name w:val="endnote reference"/>
    <w:basedOn w:val="DefaultParagraphFont"/>
    <w:uiPriority w:val="99"/>
    <w:semiHidden/>
    <w:unhideWhenUsed/>
    <w:rsid w:val="000E6196"/>
    <w:rPr>
      <w:vertAlign w:val="superscript"/>
    </w:rPr>
  </w:style>
  <w:style w:type="character" w:styleId="CommentReference">
    <w:name w:val="annotation reference"/>
    <w:basedOn w:val="DefaultParagraphFont"/>
    <w:uiPriority w:val="99"/>
    <w:semiHidden/>
    <w:unhideWhenUsed/>
    <w:rsid w:val="00EC463D"/>
    <w:rPr>
      <w:sz w:val="16"/>
      <w:szCs w:val="16"/>
    </w:rPr>
  </w:style>
  <w:style w:type="paragraph" w:styleId="CommentText">
    <w:name w:val="annotation text"/>
    <w:basedOn w:val="Normal"/>
    <w:link w:val="CommentTextChar"/>
    <w:uiPriority w:val="99"/>
    <w:semiHidden/>
    <w:unhideWhenUsed/>
    <w:rsid w:val="00EC463D"/>
    <w:pPr>
      <w:spacing w:line="240" w:lineRule="auto"/>
    </w:pPr>
    <w:rPr>
      <w:sz w:val="20"/>
      <w:szCs w:val="20"/>
    </w:rPr>
  </w:style>
  <w:style w:type="character" w:customStyle="1" w:styleId="CommentTextChar">
    <w:name w:val="Comment Text Char"/>
    <w:basedOn w:val="DefaultParagraphFont"/>
    <w:link w:val="CommentText"/>
    <w:uiPriority w:val="99"/>
    <w:semiHidden/>
    <w:rsid w:val="00EC463D"/>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EC463D"/>
    <w:rPr>
      <w:b/>
      <w:bCs/>
    </w:rPr>
  </w:style>
  <w:style w:type="character" w:customStyle="1" w:styleId="CommentSubjectChar">
    <w:name w:val="Comment Subject Char"/>
    <w:basedOn w:val="CommentTextChar"/>
    <w:link w:val="CommentSubject"/>
    <w:uiPriority w:val="99"/>
    <w:semiHidden/>
    <w:rsid w:val="00EC463D"/>
    <w:rPr>
      <w:rFonts w:ascii="Cambria" w:eastAsia="Cambria" w:hAnsi="Cambria" w:cs="Times New Roman"/>
      <w:b/>
      <w:bCs/>
      <w:sz w:val="20"/>
      <w:szCs w:val="20"/>
    </w:rPr>
  </w:style>
  <w:style w:type="paragraph" w:styleId="Revision">
    <w:name w:val="Revision"/>
    <w:hidden/>
    <w:uiPriority w:val="99"/>
    <w:semiHidden/>
    <w:rsid w:val="003442FD"/>
    <w:pPr>
      <w:spacing w:after="0" w:line="240" w:lineRule="auto"/>
    </w:pPr>
    <w:rPr>
      <w:rFonts w:ascii="Cambria" w:eastAsia="Cambria" w:hAnsi="Cambria" w:cs="Times New Roman"/>
    </w:rPr>
  </w:style>
  <w:style w:type="paragraph" w:customStyle="1" w:styleId="Instructions">
    <w:name w:val="Instructions"/>
    <w:basedOn w:val="Normal"/>
    <w:next w:val="Normal"/>
    <w:uiPriority w:val="1"/>
    <w:qFormat/>
    <w:rsid w:val="00EE27C2"/>
    <w:rPr>
      <w:i/>
      <w:color w:val="007099"/>
    </w:rPr>
  </w:style>
  <w:style w:type="paragraph" w:styleId="ListParagraph">
    <w:name w:val="List Paragraph"/>
    <w:basedOn w:val="Normal"/>
    <w:uiPriority w:val="1"/>
    <w:qFormat/>
    <w:rsid w:val="00617643"/>
    <w:pPr>
      <w:numPr>
        <w:numId w:val="5"/>
      </w:numPr>
      <w:contextualSpacing/>
    </w:pPr>
    <w:rPr>
      <w:szCs w:val="20"/>
    </w:rPr>
  </w:style>
  <w:style w:type="paragraph" w:customStyle="1" w:styleId="Indication">
    <w:name w:val="Indication"/>
    <w:basedOn w:val="Normal"/>
    <w:uiPriority w:val="1"/>
    <w:qFormat/>
    <w:rsid w:val="00617643"/>
    <w:pPr>
      <w:spacing w:line="300" w:lineRule="atLeast"/>
      <w:ind w:left="284"/>
    </w:pPr>
    <w:rPr>
      <w:i/>
      <w:noProof/>
      <w:szCs w:val="20"/>
    </w:rPr>
  </w:style>
  <w:style w:type="paragraph" w:customStyle="1" w:styleId="subheading1">
    <w:name w:val="subheading1"/>
    <w:basedOn w:val="Heading5"/>
    <w:uiPriority w:val="1"/>
    <w:qFormat/>
    <w:rsid w:val="00617643"/>
    <w:pPr>
      <w:spacing w:before="240" w:line="240" w:lineRule="atLeast"/>
    </w:pPr>
    <w:rPr>
      <w:i w:val="0"/>
      <w:color w:val="auto"/>
      <w:szCs w:val="26"/>
    </w:rPr>
  </w:style>
  <w:style w:type="paragraph" w:customStyle="1" w:styleId="Default">
    <w:name w:val="Default"/>
    <w:rsid w:val="00E27AAF"/>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Standard">
    <w:name w:val="Standard"/>
    <w:basedOn w:val="Normal"/>
    <w:link w:val="StandardChar"/>
    <w:qFormat/>
    <w:rsid w:val="00720B5E"/>
    <w:pPr>
      <w:spacing w:before="0" w:after="220" w:line="252" w:lineRule="auto"/>
    </w:pPr>
    <w:rPr>
      <w:rFonts w:eastAsia="Times New Roman"/>
      <w:snapToGrid w:val="0"/>
      <w:kern w:val="16"/>
      <w:sz w:val="23"/>
      <w:szCs w:val="24"/>
    </w:rPr>
  </w:style>
  <w:style w:type="character" w:customStyle="1" w:styleId="StandardChar">
    <w:name w:val="Standard Char"/>
    <w:basedOn w:val="DefaultParagraphFont"/>
    <w:link w:val="Standard"/>
    <w:rsid w:val="00720B5E"/>
    <w:rPr>
      <w:rFonts w:ascii="Cambria" w:eastAsia="Times New Roman" w:hAnsi="Cambria" w:cs="Times New Roman"/>
      <w:snapToGrid w:val="0"/>
      <w:kern w:val="16"/>
      <w:sz w:val="23"/>
      <w:szCs w:val="24"/>
    </w:rPr>
  </w:style>
  <w:style w:type="paragraph" w:customStyle="1" w:styleId="Bulletlist">
    <w:name w:val="Bullet list"/>
    <w:basedOn w:val="Standard"/>
    <w:link w:val="BulletlistChar"/>
    <w:qFormat/>
    <w:rsid w:val="00720B5E"/>
    <w:pPr>
      <w:numPr>
        <w:numId w:val="6"/>
      </w:numPr>
      <w:spacing w:after="180"/>
      <w:ind w:left="426" w:hanging="284"/>
    </w:pPr>
    <w:rPr>
      <w:kern w:val="2"/>
    </w:rPr>
  </w:style>
  <w:style w:type="character" w:customStyle="1" w:styleId="TabletextChar">
    <w:name w:val="Table text Char"/>
    <w:basedOn w:val="StandardChar"/>
    <w:link w:val="Tabletext"/>
    <w:rsid w:val="00720B5E"/>
    <w:rPr>
      <w:rFonts w:ascii="Cambria" w:eastAsia="Cambria" w:hAnsi="Cambria" w:cs="Times New Roman"/>
      <w:snapToGrid/>
      <w:kern w:val="16"/>
      <w:sz w:val="19"/>
      <w:szCs w:val="24"/>
    </w:rPr>
  </w:style>
  <w:style w:type="character" w:customStyle="1" w:styleId="BulletlistChar">
    <w:name w:val="Bullet list Char"/>
    <w:basedOn w:val="StandardChar"/>
    <w:link w:val="Bulletlist"/>
    <w:rsid w:val="00720B5E"/>
    <w:rPr>
      <w:rFonts w:ascii="Cambria" w:eastAsia="Times New Roman" w:hAnsi="Cambria" w:cs="Times New Roman"/>
      <w:snapToGrid w:val="0"/>
      <w:kern w:val="2"/>
      <w:sz w:val="23"/>
      <w:szCs w:val="24"/>
    </w:rPr>
  </w:style>
  <w:style w:type="character" w:customStyle="1" w:styleId="SectionHeadingCharChar">
    <w:name w:val="Section Heading Char Char"/>
    <w:basedOn w:val="DefaultParagraphFont"/>
    <w:link w:val="SectionHeading"/>
    <w:locked/>
    <w:rsid w:val="00720B5E"/>
    <w:rPr>
      <w:rFonts w:ascii="Cambria" w:eastAsia="Times New Roman" w:hAnsi="Cambria" w:cs="Times New Roman"/>
      <w:b/>
      <w:caps/>
      <w:kern w:val="16"/>
      <w:sz w:val="24"/>
      <w:szCs w:val="24"/>
    </w:rPr>
  </w:style>
  <w:style w:type="paragraph" w:customStyle="1" w:styleId="SectionHeading">
    <w:name w:val="Section Heading"/>
    <w:basedOn w:val="Normal"/>
    <w:next w:val="Normal"/>
    <w:link w:val="SectionHeadingCharChar"/>
    <w:rsid w:val="00720B5E"/>
    <w:pPr>
      <w:keepNext/>
      <w:snapToGrid w:val="0"/>
      <w:spacing w:before="0" w:after="220" w:line="252" w:lineRule="auto"/>
      <w:outlineLvl w:val="0"/>
    </w:pPr>
    <w:rPr>
      <w:rFonts w:eastAsia="Times New Roman"/>
      <w:b/>
      <w:caps/>
      <w:kern w:val="16"/>
      <w:sz w:val="24"/>
      <w:szCs w:val="24"/>
    </w:rPr>
  </w:style>
  <w:style w:type="paragraph" w:customStyle="1" w:styleId="Bulletpoint">
    <w:name w:val="Bullet point"/>
    <w:basedOn w:val="Normal"/>
    <w:rsid w:val="00720B5E"/>
    <w:pPr>
      <w:numPr>
        <w:numId w:val="7"/>
      </w:numPr>
      <w:tabs>
        <w:tab w:val="num" w:pos="369"/>
        <w:tab w:val="left" w:pos="397"/>
      </w:tabs>
      <w:snapToGrid w:val="0"/>
      <w:spacing w:before="0" w:after="180" w:line="252" w:lineRule="auto"/>
      <w:ind w:left="369"/>
    </w:pPr>
    <w:rPr>
      <w:rFonts w:eastAsia="Times New Roman"/>
      <w:kern w:val="16"/>
      <w:szCs w:val="24"/>
    </w:rPr>
  </w:style>
  <w:style w:type="paragraph" w:customStyle="1" w:styleId="AssessmentSection">
    <w:name w:val="Assessment Section"/>
    <w:basedOn w:val="Normal"/>
    <w:next w:val="Standard"/>
    <w:rsid w:val="00720B5E"/>
    <w:pPr>
      <w:keepNext/>
      <w:snapToGrid w:val="0"/>
      <w:spacing w:before="0" w:after="110" w:line="252" w:lineRule="auto"/>
      <w:outlineLvl w:val="1"/>
    </w:pPr>
    <w:rPr>
      <w:rFonts w:eastAsia="Times New Roman"/>
      <w:b/>
      <w:kern w:val="16"/>
      <w:szCs w:val="24"/>
    </w:rPr>
  </w:style>
  <w:style w:type="character" w:customStyle="1" w:styleId="WhiteSpaceChar">
    <w:name w:val="White Space Char"/>
    <w:basedOn w:val="DefaultParagraphFont"/>
    <w:link w:val="WhiteSpace"/>
    <w:locked/>
    <w:rsid w:val="00720B5E"/>
    <w:rPr>
      <w:rFonts w:ascii="Cambria" w:eastAsia="Times New Roman" w:hAnsi="Cambria" w:cs="Times New Roman"/>
      <w:kern w:val="16"/>
      <w:sz w:val="16"/>
      <w:szCs w:val="16"/>
    </w:rPr>
  </w:style>
  <w:style w:type="paragraph" w:customStyle="1" w:styleId="WhiteSpace">
    <w:name w:val="White Space"/>
    <w:basedOn w:val="Standard"/>
    <w:next w:val="Standard"/>
    <w:link w:val="WhiteSpaceChar"/>
    <w:rsid w:val="00720B5E"/>
    <w:pPr>
      <w:snapToGrid w:val="0"/>
      <w:spacing w:after="0"/>
    </w:pPr>
    <w:rPr>
      <w:snapToGrid/>
      <w:sz w:val="16"/>
      <w:szCs w:val="16"/>
    </w:rPr>
  </w:style>
  <w:style w:type="paragraph" w:customStyle="1" w:styleId="AssessmentSubsection">
    <w:name w:val="Assessment Subsection"/>
    <w:basedOn w:val="Standard"/>
    <w:next w:val="Standard"/>
    <w:rsid w:val="00720B5E"/>
    <w:pPr>
      <w:keepNext/>
      <w:snapToGrid w:val="0"/>
      <w:spacing w:after="110"/>
      <w:outlineLvl w:val="2"/>
    </w:pPr>
    <w:rPr>
      <w:b/>
      <w:i/>
      <w:snapToGrid/>
      <w:sz w:val="22"/>
    </w:rPr>
  </w:style>
  <w:style w:type="paragraph" w:customStyle="1" w:styleId="AssessmentSubsection2">
    <w:name w:val="Assessment Subsection 2"/>
    <w:basedOn w:val="AssessmentSubsection"/>
    <w:next w:val="Standard"/>
    <w:rsid w:val="00720B5E"/>
    <w:pPr>
      <w:outlineLvl w:val="3"/>
    </w:pPr>
    <w:rPr>
      <w:b w:val="0"/>
    </w:rPr>
  </w:style>
  <w:style w:type="paragraph" w:customStyle="1" w:styleId="TableHeader">
    <w:name w:val="Table Header"/>
    <w:basedOn w:val="Normal"/>
    <w:rsid w:val="00720B5E"/>
    <w:pPr>
      <w:keepNext/>
      <w:keepLines/>
      <w:widowControl w:val="0"/>
      <w:spacing w:before="60" w:after="60" w:line="200" w:lineRule="exact"/>
      <w:jc w:val="center"/>
    </w:pPr>
    <w:rPr>
      <w:rFonts w:eastAsia="MS Mincho" w:cstheme="minorBidi"/>
      <w:b/>
      <w:kern w:val="2"/>
      <w:sz w:val="19"/>
      <w:szCs w:val="19"/>
    </w:rPr>
  </w:style>
  <w:style w:type="character" w:customStyle="1" w:styleId="TableTitleChar">
    <w:name w:val="Table Title Char"/>
    <w:basedOn w:val="StandardChar"/>
    <w:link w:val="TableTitle"/>
    <w:locked/>
    <w:rsid w:val="00720B5E"/>
    <w:rPr>
      <w:rFonts w:ascii="Cambria" w:eastAsia="Cambria" w:hAnsi="Cambria" w:cs="Times New Roman"/>
      <w:b/>
      <w:snapToGrid/>
      <w:kern w:val="16"/>
      <w:sz w:val="23"/>
      <w:szCs w:val="24"/>
    </w:rPr>
  </w:style>
  <w:style w:type="paragraph" w:styleId="NoSpacing">
    <w:name w:val="No Spacing"/>
    <w:uiPriority w:val="1"/>
    <w:qFormat/>
    <w:rsid w:val="00885729"/>
    <w:pPr>
      <w:adjustRightInd w:val="0"/>
      <w:snapToGrid w:val="0"/>
      <w:spacing w:after="0" w:line="240" w:lineRule="auto"/>
    </w:pPr>
    <w:rPr>
      <w:rFonts w:ascii="Cambria" w:eastAsia="MS Mincho" w:hAnsi="Cambria" w:cs="Times New Roman"/>
      <w:szCs w:val="20"/>
      <w:lang w:eastAsia="ja-JP"/>
    </w:rPr>
  </w:style>
  <w:style w:type="table" w:customStyle="1" w:styleId="TableTGA21">
    <w:name w:val="Table TGA 21"/>
    <w:basedOn w:val="TableNormal"/>
    <w:uiPriority w:val="99"/>
    <w:rsid w:val="00885729"/>
    <w:pPr>
      <w:spacing w:before="60" w:after="0" w:line="240" w:lineRule="auto"/>
    </w:pPr>
    <w:rPr>
      <w:rFonts w:ascii="Cambria" w:eastAsiaTheme="minorEastAsia" w:hAnsi="Cambria" w:cs="Times New Roman"/>
      <w:color w:val="00000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blStylePr w:type="firstRow">
      <w:pPr>
        <w:wordWrap/>
      </w:pPr>
      <w:rPr>
        <w:rFonts w:ascii="Cambria" w:hAnsi="Cambria" w:hint="default"/>
        <w:b/>
        <w:color w:val="FFFFFF"/>
        <w:sz w:val="22"/>
        <w:szCs w:val="22"/>
      </w:rPr>
      <w:tblPr/>
      <w:tcPr>
        <w:shd w:val="clear" w:color="auto" w:fill="000000"/>
      </w:tcPr>
    </w:tblStylePr>
    <w:tblStylePr w:type="lastRow">
      <w:rPr>
        <w:b w:val="0"/>
      </w:rPr>
    </w:tblStylePr>
    <w:tblStylePr w:type="neCell">
      <w:rPr>
        <w:b w:val="0"/>
        <w:i w:val="0"/>
      </w:rPr>
    </w:tblStylePr>
    <w:tblStylePr w:type="nwCell">
      <w:rPr>
        <w:rFonts w:ascii="Cambria" w:hAnsi="Cambria" w:hint="default"/>
        <w:b/>
        <w:i w:val="0"/>
        <w:color w:val="FFFFFF"/>
        <w:sz w:val="22"/>
        <w:szCs w:val="22"/>
      </w:rPr>
    </w:tblStylePr>
  </w:style>
  <w:style w:type="paragraph" w:styleId="ListNumber">
    <w:name w:val="List Number"/>
    <w:basedOn w:val="ListParagraph"/>
    <w:uiPriority w:val="99"/>
    <w:semiHidden/>
    <w:unhideWhenUsed/>
    <w:rsid w:val="00885729"/>
    <w:pPr>
      <w:numPr>
        <w:numId w:val="8"/>
      </w:numPr>
      <w:spacing w:before="0" w:line="240" w:lineRule="auto"/>
      <w:ind w:left="426" w:hanging="426"/>
    </w:pPr>
    <w:rPr>
      <w:rFonts w:asciiTheme="minorHAnsi" w:eastAsia="Times New Roman" w:hAnsiTheme="minorHAnsi"/>
      <w:b/>
      <w:szCs w:val="22"/>
      <w:lang w:eastAsia="en-AU"/>
    </w:rPr>
  </w:style>
  <w:style w:type="paragraph" w:styleId="ListNumber2">
    <w:name w:val="List Number 2"/>
    <w:basedOn w:val="Normal"/>
    <w:uiPriority w:val="99"/>
    <w:semiHidden/>
    <w:unhideWhenUsed/>
    <w:rsid w:val="00885729"/>
    <w:pPr>
      <w:numPr>
        <w:numId w:val="9"/>
      </w:numPr>
      <w:adjustRightInd w:val="0"/>
      <w:snapToGrid w:val="0"/>
      <w:spacing w:before="0"/>
      <w:ind w:left="0" w:firstLine="0"/>
      <w:contextualSpacing/>
    </w:pPr>
    <w:rPr>
      <w:rFonts w:eastAsia="MS Mincho"/>
      <w:szCs w:val="20"/>
      <w:lang w:eastAsia="ja-JP"/>
    </w:rPr>
  </w:style>
  <w:style w:type="paragraph" w:customStyle="1" w:styleId="Tabletextleft">
    <w:name w:val="Table text (left)"/>
    <w:basedOn w:val="Normal"/>
    <w:rsid w:val="00885729"/>
    <w:pPr>
      <w:spacing w:before="20" w:after="20" w:line="200" w:lineRule="atLeast"/>
      <w:ind w:left="57" w:right="57"/>
    </w:pPr>
    <w:rPr>
      <w:rFonts w:eastAsia="MS Mincho" w:cstheme="minorBidi"/>
      <w:sz w:val="19"/>
      <w:szCs w:val="18"/>
      <w:lang w:val="en-GB"/>
    </w:rPr>
  </w:style>
  <w:style w:type="character" w:customStyle="1" w:styleId="Heading8Char">
    <w:name w:val="Heading 8 Char"/>
    <w:basedOn w:val="DefaultParagraphFont"/>
    <w:link w:val="Heading8"/>
    <w:rsid w:val="002928AB"/>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2928AB"/>
    <w:rPr>
      <w:rFonts w:asciiTheme="majorHAnsi" w:eastAsiaTheme="majorEastAsia" w:hAnsiTheme="majorHAnsi" w:cstheme="majorBidi"/>
      <w:i/>
      <w:iCs/>
      <w:color w:val="404040" w:themeColor="text1" w:themeTint="BF"/>
      <w:sz w:val="20"/>
      <w:szCs w:val="20"/>
    </w:rPr>
  </w:style>
  <w:style w:type="paragraph" w:customStyle="1" w:styleId="TableHeading">
    <w:name w:val="Table Heading"/>
    <w:basedOn w:val="Normal"/>
    <w:rsid w:val="002928AB"/>
    <w:rPr>
      <w:rFonts w:ascii="Calibri" w:eastAsia="Calibri" w:hAnsi="Calibri"/>
      <w:b/>
      <w:color w:val="FFFFFF"/>
      <w:sz w:val="20"/>
    </w:rPr>
  </w:style>
  <w:style w:type="paragraph" w:customStyle="1" w:styleId="Tabletitle0">
    <w:name w:val="Table title"/>
    <w:basedOn w:val="Normal"/>
    <w:next w:val="Normal"/>
    <w:rsid w:val="002928AB"/>
    <w:pPr>
      <w:keepNext/>
      <w:spacing w:after="180"/>
      <w:outlineLvl w:val="4"/>
    </w:pPr>
    <w:rPr>
      <w:rFonts w:cstheme="minorBidi"/>
      <w:b/>
    </w:rPr>
  </w:style>
  <w:style w:type="paragraph" w:customStyle="1" w:styleId="Bullet2">
    <w:name w:val="Bullet 2"/>
    <w:basedOn w:val="Normal"/>
    <w:rsid w:val="002928AB"/>
    <w:pPr>
      <w:numPr>
        <w:numId w:val="13"/>
      </w:numPr>
      <w:spacing w:after="0" w:line="240" w:lineRule="auto"/>
    </w:pPr>
    <w:rPr>
      <w:rFonts w:eastAsia="Times New Roman"/>
      <w:kern w:val="24"/>
      <w:szCs w:val="24"/>
      <w:lang w:eastAsia="en-AU"/>
    </w:rPr>
  </w:style>
  <w:style w:type="paragraph" w:customStyle="1" w:styleId="TableBullet">
    <w:name w:val="Table Bullet"/>
    <w:basedOn w:val="Normal"/>
    <w:rsid w:val="002928AB"/>
    <w:pPr>
      <w:numPr>
        <w:numId w:val="14"/>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paragraph" w:customStyle="1" w:styleId="Comment1">
    <w:name w:val="Comment 1"/>
    <w:basedOn w:val="Normal"/>
    <w:next w:val="Normal"/>
    <w:qFormat/>
    <w:rsid w:val="002928AB"/>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paragraph" w:customStyle="1" w:styleId="Bullet1">
    <w:name w:val="Bullet 1"/>
    <w:basedOn w:val="Normal"/>
    <w:rsid w:val="002928AB"/>
    <w:pPr>
      <w:numPr>
        <w:numId w:val="15"/>
      </w:numPr>
      <w:spacing w:after="0" w:line="240" w:lineRule="auto"/>
    </w:pPr>
    <w:rPr>
      <w:rFonts w:eastAsia="Times New Roman"/>
      <w:kern w:val="24"/>
      <w:szCs w:val="24"/>
      <w:lang w:eastAsia="en-AU"/>
    </w:rPr>
  </w:style>
  <w:style w:type="character" w:styleId="Emphasis">
    <w:name w:val="Emphasis"/>
    <w:basedOn w:val="DefaultParagraphFont"/>
    <w:uiPriority w:val="20"/>
    <w:qFormat/>
    <w:rsid w:val="002928AB"/>
    <w:rPr>
      <w:b/>
      <w:bCs/>
      <w:i w:val="0"/>
      <w:iCs w:val="0"/>
    </w:rPr>
  </w:style>
  <w:style w:type="character" w:customStyle="1" w:styleId="st">
    <w:name w:val="st"/>
    <w:basedOn w:val="DefaultParagraphFont"/>
    <w:rsid w:val="002928AB"/>
  </w:style>
  <w:style w:type="paragraph" w:customStyle="1" w:styleId="mdInstructions">
    <w:name w:val="md_Instructions"/>
    <w:basedOn w:val="Normal"/>
    <w:link w:val="mdInstructionsChar"/>
    <w:uiPriority w:val="99"/>
    <w:qFormat/>
    <w:rsid w:val="002928AB"/>
    <w:pPr>
      <w:spacing w:before="0"/>
    </w:pPr>
    <w:rPr>
      <w:rFonts w:ascii="Times New Roman" w:eastAsia="Times New Roman" w:hAnsi="Times New Roman"/>
      <w:color w:val="FF0000"/>
      <w:sz w:val="20"/>
      <w:szCs w:val="20"/>
      <w:lang w:val="en-US"/>
    </w:rPr>
  </w:style>
  <w:style w:type="character" w:customStyle="1" w:styleId="mdInstructionsChar">
    <w:name w:val="md_Instructions Char"/>
    <w:link w:val="mdInstructions"/>
    <w:uiPriority w:val="99"/>
    <w:rsid w:val="002928AB"/>
    <w:rPr>
      <w:rFonts w:ascii="Times New Roman" w:eastAsia="Times New Roman" w:hAnsi="Times New Roman" w:cs="Times New Roman"/>
      <w:color w:val="FF0000"/>
      <w:sz w:val="20"/>
      <w:szCs w:val="20"/>
      <w:lang w:val="en-US"/>
    </w:rPr>
  </w:style>
  <w:style w:type="paragraph" w:styleId="TOC4">
    <w:name w:val="toc 4"/>
    <w:basedOn w:val="Normal"/>
    <w:next w:val="Normal"/>
    <w:autoRedefine/>
    <w:uiPriority w:val="39"/>
    <w:unhideWhenUsed/>
    <w:rsid w:val="002928AB"/>
    <w:pPr>
      <w:spacing w:before="0" w:after="100" w:line="276" w:lineRule="auto"/>
      <w:ind w:left="660"/>
    </w:pPr>
    <w:rPr>
      <w:rFonts w:asciiTheme="minorHAnsi" w:eastAsiaTheme="minorEastAsia" w:hAnsiTheme="minorHAnsi" w:cstheme="minorBidi"/>
      <w:lang w:eastAsia="en-AU"/>
    </w:rPr>
  </w:style>
  <w:style w:type="paragraph" w:styleId="TOC5">
    <w:name w:val="toc 5"/>
    <w:basedOn w:val="Normal"/>
    <w:next w:val="Normal"/>
    <w:autoRedefine/>
    <w:uiPriority w:val="39"/>
    <w:unhideWhenUsed/>
    <w:rsid w:val="002928AB"/>
    <w:pPr>
      <w:spacing w:before="0" w:after="100" w:line="276" w:lineRule="auto"/>
      <w:ind w:left="880"/>
    </w:pPr>
    <w:rPr>
      <w:rFonts w:asciiTheme="minorHAnsi" w:eastAsiaTheme="minorEastAsia" w:hAnsiTheme="minorHAnsi" w:cstheme="minorBidi"/>
      <w:lang w:eastAsia="en-AU"/>
    </w:rPr>
  </w:style>
  <w:style w:type="paragraph" w:styleId="TOC6">
    <w:name w:val="toc 6"/>
    <w:basedOn w:val="Normal"/>
    <w:next w:val="Normal"/>
    <w:autoRedefine/>
    <w:uiPriority w:val="39"/>
    <w:unhideWhenUsed/>
    <w:rsid w:val="002928AB"/>
    <w:pPr>
      <w:spacing w:before="0" w:after="100" w:line="276" w:lineRule="auto"/>
      <w:ind w:left="1100"/>
    </w:pPr>
    <w:rPr>
      <w:rFonts w:asciiTheme="minorHAnsi" w:eastAsiaTheme="minorEastAsia" w:hAnsiTheme="minorHAnsi" w:cstheme="minorBidi"/>
      <w:lang w:eastAsia="en-AU"/>
    </w:rPr>
  </w:style>
  <w:style w:type="paragraph" w:styleId="TOC7">
    <w:name w:val="toc 7"/>
    <w:basedOn w:val="Normal"/>
    <w:next w:val="Normal"/>
    <w:autoRedefine/>
    <w:uiPriority w:val="39"/>
    <w:unhideWhenUsed/>
    <w:rsid w:val="002928AB"/>
    <w:pPr>
      <w:spacing w:before="0" w:after="100" w:line="276" w:lineRule="auto"/>
      <w:ind w:left="1320"/>
    </w:pPr>
    <w:rPr>
      <w:rFonts w:asciiTheme="minorHAnsi" w:eastAsiaTheme="minorEastAsia" w:hAnsiTheme="minorHAnsi" w:cstheme="minorBidi"/>
      <w:lang w:eastAsia="en-AU"/>
    </w:rPr>
  </w:style>
  <w:style w:type="paragraph" w:styleId="TOC8">
    <w:name w:val="toc 8"/>
    <w:basedOn w:val="Normal"/>
    <w:next w:val="Normal"/>
    <w:autoRedefine/>
    <w:uiPriority w:val="39"/>
    <w:unhideWhenUsed/>
    <w:rsid w:val="002928AB"/>
    <w:pPr>
      <w:spacing w:before="0" w:after="100" w:line="276" w:lineRule="auto"/>
      <w:ind w:left="1540"/>
    </w:pPr>
    <w:rPr>
      <w:rFonts w:asciiTheme="minorHAnsi" w:eastAsiaTheme="minorEastAsia" w:hAnsiTheme="minorHAnsi" w:cstheme="minorBidi"/>
      <w:lang w:eastAsia="en-AU"/>
    </w:rPr>
  </w:style>
  <w:style w:type="paragraph" w:styleId="TOC9">
    <w:name w:val="toc 9"/>
    <w:basedOn w:val="Normal"/>
    <w:next w:val="Normal"/>
    <w:autoRedefine/>
    <w:uiPriority w:val="39"/>
    <w:unhideWhenUsed/>
    <w:rsid w:val="002928AB"/>
    <w:pPr>
      <w:spacing w:before="0" w:after="100" w:line="276" w:lineRule="auto"/>
      <w:ind w:left="1760"/>
    </w:pPr>
    <w:rPr>
      <w:rFonts w:asciiTheme="minorHAnsi" w:eastAsiaTheme="minorEastAsia" w:hAnsiTheme="minorHAnsi" w:cstheme="minorBidi"/>
      <w:lang w:eastAsia="en-AU"/>
    </w:rPr>
  </w:style>
  <w:style w:type="paragraph" w:styleId="TableofFigures">
    <w:name w:val="table of figures"/>
    <w:basedOn w:val="Normal"/>
    <w:next w:val="Normal"/>
    <w:uiPriority w:val="99"/>
    <w:unhideWhenUsed/>
    <w:rsid w:val="002928AB"/>
    <w:pPr>
      <w:spacing w:after="0"/>
    </w:pPr>
  </w:style>
  <w:style w:type="paragraph" w:customStyle="1" w:styleId="TableParagraph">
    <w:name w:val="Table Paragraph"/>
    <w:basedOn w:val="Normal"/>
    <w:uiPriority w:val="1"/>
    <w:qFormat/>
    <w:rsid w:val="002928AB"/>
    <w:pPr>
      <w:autoSpaceDE w:val="0"/>
      <w:autoSpaceDN w:val="0"/>
      <w:adjustRightInd w:val="0"/>
      <w:spacing w:before="0" w:after="0" w:line="240" w:lineRule="auto"/>
      <w:ind w:left="101"/>
    </w:pPr>
    <w:rPr>
      <w:rFonts w:ascii="Calibri" w:eastAsiaTheme="minorHAnsi" w:hAnsi="Calibri" w:cs="Calibri"/>
      <w:sz w:val="24"/>
      <w:szCs w:val="24"/>
    </w:rPr>
  </w:style>
  <w:style w:type="paragraph" w:styleId="BodyText">
    <w:name w:val="Body Text"/>
    <w:basedOn w:val="Normal"/>
    <w:link w:val="BodyTextChar"/>
    <w:uiPriority w:val="1"/>
    <w:qFormat/>
    <w:rsid w:val="002928AB"/>
    <w:pPr>
      <w:autoSpaceDE w:val="0"/>
      <w:autoSpaceDN w:val="0"/>
      <w:adjustRightInd w:val="0"/>
      <w:spacing w:before="0" w:after="0" w:line="240" w:lineRule="auto"/>
      <w:ind w:left="499" w:hanging="259"/>
    </w:pPr>
    <w:rPr>
      <w:rFonts w:ascii="Times New Roman" w:eastAsiaTheme="minorHAnsi" w:hAnsi="Times New Roman"/>
      <w:sz w:val="20"/>
      <w:szCs w:val="20"/>
    </w:rPr>
  </w:style>
  <w:style w:type="character" w:customStyle="1" w:styleId="BodyTextChar">
    <w:name w:val="Body Text Char"/>
    <w:basedOn w:val="DefaultParagraphFont"/>
    <w:link w:val="BodyText"/>
    <w:uiPriority w:val="1"/>
    <w:rsid w:val="002928AB"/>
    <w:rPr>
      <w:rFonts w:ascii="Times New Roman" w:hAnsi="Times New Roman" w:cs="Times New Roman"/>
      <w:sz w:val="20"/>
      <w:szCs w:val="20"/>
    </w:rPr>
  </w:style>
  <w:style w:type="paragraph" w:customStyle="1" w:styleId="CommentDot">
    <w:name w:val="Comment Dot"/>
    <w:basedOn w:val="Normal"/>
    <w:uiPriority w:val="99"/>
    <w:rsid w:val="002928AB"/>
    <w:pPr>
      <w:numPr>
        <w:numId w:val="16"/>
      </w:numPr>
      <w:tabs>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ind w:left="1418" w:hanging="284"/>
    </w:pPr>
    <w:rPr>
      <w:rFonts w:ascii="Calibri" w:eastAsia="Times New Roman" w:hAnsi="Calibri" w:cs="Arial"/>
      <w:kern w:val="16"/>
      <w:lang w:eastAsia="en-AU"/>
    </w:rPr>
  </w:style>
  <w:style w:type="character" w:customStyle="1" w:styleId="st1">
    <w:name w:val="st1"/>
    <w:basedOn w:val="DefaultParagraphFont"/>
    <w:rsid w:val="00B21308"/>
  </w:style>
  <w:style w:type="character" w:customStyle="1" w:styleId="ilfuvd">
    <w:name w:val="ilfuvd"/>
    <w:basedOn w:val="DefaultParagraphFont"/>
    <w:rsid w:val="00AA6B20"/>
  </w:style>
  <w:style w:type="character" w:customStyle="1" w:styleId="cit">
    <w:name w:val="cit"/>
    <w:basedOn w:val="DefaultParagraphFont"/>
    <w:rsid w:val="00EE1913"/>
  </w:style>
  <w:style w:type="character" w:customStyle="1" w:styleId="doi1">
    <w:name w:val="doi1"/>
    <w:basedOn w:val="DefaultParagraphFont"/>
    <w:rsid w:val="00EE1913"/>
  </w:style>
  <w:style w:type="character" w:customStyle="1" w:styleId="fm-citation-ids-label">
    <w:name w:val="fm-citation-ids-label"/>
    <w:basedOn w:val="DefaultParagraphFont"/>
    <w:rsid w:val="00EE191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3498617">
      <w:bodyDiv w:val="1"/>
      <w:marLeft w:val="0"/>
      <w:marRight w:val="0"/>
      <w:marTop w:val="0"/>
      <w:marBottom w:val="0"/>
      <w:divBdr>
        <w:top w:val="none" w:sz="0" w:space="0" w:color="auto"/>
        <w:left w:val="none" w:sz="0" w:space="0" w:color="auto"/>
        <w:bottom w:val="none" w:sz="0" w:space="0" w:color="auto"/>
        <w:right w:val="none" w:sz="0" w:space="0" w:color="auto"/>
      </w:divBdr>
      <w:divsChild>
        <w:div w:id="535628050">
          <w:marLeft w:val="0"/>
          <w:marRight w:val="0"/>
          <w:marTop w:val="0"/>
          <w:marBottom w:val="0"/>
          <w:divBdr>
            <w:top w:val="none" w:sz="0" w:space="0" w:color="auto"/>
            <w:left w:val="none" w:sz="0" w:space="0" w:color="auto"/>
            <w:bottom w:val="none" w:sz="0" w:space="0" w:color="auto"/>
            <w:right w:val="none" w:sz="0" w:space="0" w:color="auto"/>
          </w:divBdr>
          <w:divsChild>
            <w:div w:id="1826241754">
              <w:marLeft w:val="0"/>
              <w:marRight w:val="0"/>
              <w:marTop w:val="0"/>
              <w:marBottom w:val="0"/>
              <w:divBdr>
                <w:top w:val="none" w:sz="0" w:space="0" w:color="auto"/>
                <w:left w:val="none" w:sz="0" w:space="0" w:color="auto"/>
                <w:bottom w:val="none" w:sz="0" w:space="0" w:color="auto"/>
                <w:right w:val="none" w:sz="0" w:space="0" w:color="auto"/>
              </w:divBdr>
              <w:divsChild>
                <w:div w:id="2100707962">
                  <w:marLeft w:val="0"/>
                  <w:marRight w:val="0"/>
                  <w:marTop w:val="0"/>
                  <w:marBottom w:val="0"/>
                  <w:divBdr>
                    <w:top w:val="none" w:sz="0" w:space="0" w:color="auto"/>
                    <w:left w:val="none" w:sz="0" w:space="0" w:color="auto"/>
                    <w:bottom w:val="none" w:sz="0" w:space="0" w:color="auto"/>
                    <w:right w:val="none" w:sz="0" w:space="0" w:color="auto"/>
                  </w:divBdr>
                  <w:divsChild>
                    <w:div w:id="878590756">
                      <w:marLeft w:val="0"/>
                      <w:marRight w:val="0"/>
                      <w:marTop w:val="0"/>
                      <w:marBottom w:val="0"/>
                      <w:divBdr>
                        <w:top w:val="none" w:sz="0" w:space="0" w:color="auto"/>
                        <w:left w:val="none" w:sz="0" w:space="0" w:color="auto"/>
                        <w:bottom w:val="none" w:sz="0" w:space="0" w:color="auto"/>
                        <w:right w:val="none" w:sz="0" w:space="0" w:color="auto"/>
                      </w:divBdr>
                      <w:divsChild>
                        <w:div w:id="1961449823">
                          <w:marLeft w:val="0"/>
                          <w:marRight w:val="0"/>
                          <w:marTop w:val="0"/>
                          <w:marBottom w:val="0"/>
                          <w:divBdr>
                            <w:top w:val="none" w:sz="0" w:space="0" w:color="auto"/>
                            <w:left w:val="none" w:sz="0" w:space="0" w:color="auto"/>
                            <w:bottom w:val="none" w:sz="0" w:space="0" w:color="auto"/>
                            <w:right w:val="none" w:sz="0" w:space="0" w:color="auto"/>
                          </w:divBdr>
                          <w:divsChild>
                            <w:div w:id="445541366">
                              <w:marLeft w:val="0"/>
                              <w:marRight w:val="0"/>
                              <w:marTop w:val="0"/>
                              <w:marBottom w:val="0"/>
                              <w:divBdr>
                                <w:top w:val="none" w:sz="0" w:space="0" w:color="auto"/>
                                <w:left w:val="none" w:sz="0" w:space="0" w:color="auto"/>
                                <w:bottom w:val="none" w:sz="0" w:space="0" w:color="auto"/>
                                <w:right w:val="none" w:sz="0" w:space="0" w:color="auto"/>
                              </w:divBdr>
                              <w:divsChild>
                                <w:div w:id="1444154800">
                                  <w:marLeft w:val="-225"/>
                                  <w:marRight w:val="-225"/>
                                  <w:marTop w:val="0"/>
                                  <w:marBottom w:val="0"/>
                                  <w:divBdr>
                                    <w:top w:val="none" w:sz="0" w:space="0" w:color="auto"/>
                                    <w:left w:val="none" w:sz="0" w:space="0" w:color="auto"/>
                                    <w:bottom w:val="none" w:sz="0" w:space="0" w:color="auto"/>
                                    <w:right w:val="none" w:sz="0" w:space="0" w:color="auto"/>
                                  </w:divBdr>
                                  <w:divsChild>
                                    <w:div w:id="1268464783">
                                      <w:marLeft w:val="0"/>
                                      <w:marRight w:val="0"/>
                                      <w:marTop w:val="0"/>
                                      <w:marBottom w:val="0"/>
                                      <w:divBdr>
                                        <w:top w:val="none" w:sz="0" w:space="0" w:color="auto"/>
                                        <w:left w:val="none" w:sz="0" w:space="0" w:color="auto"/>
                                        <w:bottom w:val="none" w:sz="0" w:space="0" w:color="auto"/>
                                        <w:right w:val="none" w:sz="0" w:space="0" w:color="auto"/>
                                      </w:divBdr>
                                      <w:divsChild>
                                        <w:div w:id="1451360471">
                                          <w:marLeft w:val="0"/>
                                          <w:marRight w:val="0"/>
                                          <w:marTop w:val="0"/>
                                          <w:marBottom w:val="0"/>
                                          <w:divBdr>
                                            <w:top w:val="none" w:sz="0" w:space="0" w:color="auto"/>
                                            <w:left w:val="none" w:sz="0" w:space="0" w:color="auto"/>
                                            <w:bottom w:val="none" w:sz="0" w:space="0" w:color="auto"/>
                                            <w:right w:val="none" w:sz="0" w:space="0" w:color="auto"/>
                                          </w:divBdr>
                                          <w:divsChild>
                                            <w:div w:id="264386646">
                                              <w:marLeft w:val="-225"/>
                                              <w:marRight w:val="-225"/>
                                              <w:marTop w:val="0"/>
                                              <w:marBottom w:val="0"/>
                                              <w:divBdr>
                                                <w:top w:val="none" w:sz="0" w:space="0" w:color="auto"/>
                                                <w:left w:val="none" w:sz="0" w:space="0" w:color="auto"/>
                                                <w:bottom w:val="none" w:sz="0" w:space="0" w:color="auto"/>
                                                <w:right w:val="none" w:sz="0" w:space="0" w:color="auto"/>
                                              </w:divBdr>
                                              <w:divsChild>
                                                <w:div w:id="1288971093">
                                                  <w:marLeft w:val="0"/>
                                                  <w:marRight w:val="0"/>
                                                  <w:marTop w:val="0"/>
                                                  <w:marBottom w:val="0"/>
                                                  <w:divBdr>
                                                    <w:top w:val="none" w:sz="0" w:space="0" w:color="auto"/>
                                                    <w:left w:val="none" w:sz="0" w:space="0" w:color="auto"/>
                                                    <w:bottom w:val="none" w:sz="0" w:space="0" w:color="auto"/>
                                                    <w:right w:val="none" w:sz="0" w:space="0" w:color="auto"/>
                                                  </w:divBdr>
                                                  <w:divsChild>
                                                    <w:div w:id="2040036393">
                                                      <w:marLeft w:val="0"/>
                                                      <w:marRight w:val="0"/>
                                                      <w:marTop w:val="0"/>
                                                      <w:marBottom w:val="0"/>
                                                      <w:divBdr>
                                                        <w:top w:val="none" w:sz="0" w:space="0" w:color="auto"/>
                                                        <w:left w:val="none" w:sz="0" w:space="0" w:color="auto"/>
                                                        <w:bottom w:val="none" w:sz="0" w:space="0" w:color="auto"/>
                                                        <w:right w:val="none" w:sz="0" w:space="0" w:color="auto"/>
                                                      </w:divBdr>
                                                      <w:divsChild>
                                                        <w:div w:id="1269435239">
                                                          <w:marLeft w:val="0"/>
                                                          <w:marRight w:val="0"/>
                                                          <w:marTop w:val="0"/>
                                                          <w:marBottom w:val="0"/>
                                                          <w:divBdr>
                                                            <w:top w:val="none" w:sz="0" w:space="0" w:color="auto"/>
                                                            <w:left w:val="none" w:sz="0" w:space="0" w:color="auto"/>
                                                            <w:bottom w:val="none" w:sz="0" w:space="0" w:color="auto"/>
                                                            <w:right w:val="none" w:sz="0" w:space="0" w:color="auto"/>
                                                          </w:divBdr>
                                                          <w:divsChild>
                                                            <w:div w:id="343552815">
                                                              <w:marLeft w:val="0"/>
                                                              <w:marRight w:val="0"/>
                                                              <w:marTop w:val="0"/>
                                                              <w:marBottom w:val="0"/>
                                                              <w:divBdr>
                                                                <w:top w:val="none" w:sz="0" w:space="0" w:color="auto"/>
                                                                <w:left w:val="none" w:sz="0" w:space="0" w:color="auto"/>
                                                                <w:bottom w:val="none" w:sz="0" w:space="0" w:color="auto"/>
                                                                <w:right w:val="none" w:sz="0" w:space="0" w:color="auto"/>
                                                              </w:divBdr>
                                                              <w:divsChild>
                                                                <w:div w:id="1631089593">
                                                                  <w:marLeft w:val="0"/>
                                                                  <w:marRight w:val="0"/>
                                                                  <w:marTop w:val="0"/>
                                                                  <w:marBottom w:val="0"/>
                                                                  <w:divBdr>
                                                                    <w:top w:val="none" w:sz="0" w:space="0" w:color="auto"/>
                                                                    <w:left w:val="none" w:sz="0" w:space="0" w:color="auto"/>
                                                                    <w:bottom w:val="none" w:sz="0" w:space="0" w:color="auto"/>
                                                                    <w:right w:val="none" w:sz="0" w:space="0" w:color="auto"/>
                                                                  </w:divBdr>
                                                                  <w:divsChild>
                                                                    <w:div w:id="1461800177">
                                                                      <w:marLeft w:val="0"/>
                                                                      <w:marRight w:val="0"/>
                                                                      <w:marTop w:val="0"/>
                                                                      <w:marBottom w:val="0"/>
                                                                      <w:divBdr>
                                                                        <w:top w:val="none" w:sz="0" w:space="0" w:color="auto"/>
                                                                        <w:left w:val="none" w:sz="0" w:space="0" w:color="auto"/>
                                                                        <w:bottom w:val="none" w:sz="0" w:space="0" w:color="auto"/>
                                                                        <w:right w:val="none" w:sz="0" w:space="0" w:color="auto"/>
                                                                      </w:divBdr>
                                                                    </w:div>
                                                                  </w:divsChild>
                                                                </w:div>
                                                                <w:div w:id="383454174">
                                                                  <w:marLeft w:val="0"/>
                                                                  <w:marRight w:val="0"/>
                                                                  <w:marTop w:val="0"/>
                                                                  <w:marBottom w:val="0"/>
                                                                  <w:divBdr>
                                                                    <w:top w:val="none" w:sz="0" w:space="0" w:color="auto"/>
                                                                    <w:left w:val="none" w:sz="0" w:space="0" w:color="auto"/>
                                                                    <w:bottom w:val="none" w:sz="0" w:space="0" w:color="auto"/>
                                                                    <w:right w:val="none" w:sz="0" w:space="0" w:color="auto"/>
                                                                  </w:divBdr>
                                                                  <w:divsChild>
                                                                    <w:div w:id="559443222">
                                                                      <w:marLeft w:val="0"/>
                                                                      <w:marRight w:val="0"/>
                                                                      <w:marTop w:val="0"/>
                                                                      <w:marBottom w:val="0"/>
                                                                      <w:divBdr>
                                                                        <w:top w:val="none" w:sz="0" w:space="0" w:color="auto"/>
                                                                        <w:left w:val="none" w:sz="0" w:space="0" w:color="auto"/>
                                                                        <w:bottom w:val="none" w:sz="0" w:space="0" w:color="auto"/>
                                                                        <w:right w:val="none" w:sz="0" w:space="0" w:color="auto"/>
                                                                      </w:divBdr>
                                                                    </w:div>
                                                                  </w:divsChild>
                                                                </w:div>
                                                                <w:div w:id="1107459364">
                                                                  <w:marLeft w:val="0"/>
                                                                  <w:marRight w:val="0"/>
                                                                  <w:marTop w:val="0"/>
                                                                  <w:marBottom w:val="0"/>
                                                                  <w:divBdr>
                                                                    <w:top w:val="none" w:sz="0" w:space="0" w:color="auto"/>
                                                                    <w:left w:val="none" w:sz="0" w:space="0" w:color="auto"/>
                                                                    <w:bottom w:val="none" w:sz="0" w:space="0" w:color="auto"/>
                                                                    <w:right w:val="none" w:sz="0" w:space="0" w:color="auto"/>
                                                                  </w:divBdr>
                                                                  <w:divsChild>
                                                                    <w:div w:id="1060400047">
                                                                      <w:marLeft w:val="0"/>
                                                                      <w:marRight w:val="0"/>
                                                                      <w:marTop w:val="0"/>
                                                                      <w:marBottom w:val="0"/>
                                                                      <w:divBdr>
                                                                        <w:top w:val="none" w:sz="0" w:space="0" w:color="auto"/>
                                                                        <w:left w:val="none" w:sz="0" w:space="0" w:color="auto"/>
                                                                        <w:bottom w:val="none" w:sz="0" w:space="0" w:color="auto"/>
                                                                        <w:right w:val="none" w:sz="0" w:space="0" w:color="auto"/>
                                                                      </w:divBdr>
                                                                    </w:div>
                                                                  </w:divsChild>
                                                                </w:div>
                                                                <w:div w:id="1320040529">
                                                                  <w:marLeft w:val="0"/>
                                                                  <w:marRight w:val="0"/>
                                                                  <w:marTop w:val="0"/>
                                                                  <w:marBottom w:val="0"/>
                                                                  <w:divBdr>
                                                                    <w:top w:val="none" w:sz="0" w:space="0" w:color="auto"/>
                                                                    <w:left w:val="none" w:sz="0" w:space="0" w:color="auto"/>
                                                                    <w:bottom w:val="none" w:sz="0" w:space="0" w:color="auto"/>
                                                                    <w:right w:val="none" w:sz="0" w:space="0" w:color="auto"/>
                                                                  </w:divBdr>
                                                                  <w:divsChild>
                                                                    <w:div w:id="29455310">
                                                                      <w:marLeft w:val="0"/>
                                                                      <w:marRight w:val="0"/>
                                                                      <w:marTop w:val="0"/>
                                                                      <w:marBottom w:val="0"/>
                                                                      <w:divBdr>
                                                                        <w:top w:val="none" w:sz="0" w:space="0" w:color="auto"/>
                                                                        <w:left w:val="none" w:sz="0" w:space="0" w:color="auto"/>
                                                                        <w:bottom w:val="none" w:sz="0" w:space="0" w:color="auto"/>
                                                                        <w:right w:val="none" w:sz="0" w:space="0" w:color="auto"/>
                                                                      </w:divBdr>
                                                                    </w:div>
                                                                  </w:divsChild>
                                                                </w:div>
                                                                <w:div w:id="57440545">
                                                                  <w:marLeft w:val="0"/>
                                                                  <w:marRight w:val="0"/>
                                                                  <w:marTop w:val="0"/>
                                                                  <w:marBottom w:val="0"/>
                                                                  <w:divBdr>
                                                                    <w:top w:val="none" w:sz="0" w:space="0" w:color="auto"/>
                                                                    <w:left w:val="none" w:sz="0" w:space="0" w:color="auto"/>
                                                                    <w:bottom w:val="none" w:sz="0" w:space="0" w:color="auto"/>
                                                                    <w:right w:val="none" w:sz="0" w:space="0" w:color="auto"/>
                                                                  </w:divBdr>
                                                                  <w:divsChild>
                                                                    <w:div w:id="1021979294">
                                                                      <w:marLeft w:val="0"/>
                                                                      <w:marRight w:val="0"/>
                                                                      <w:marTop w:val="0"/>
                                                                      <w:marBottom w:val="0"/>
                                                                      <w:divBdr>
                                                                        <w:top w:val="none" w:sz="0" w:space="0" w:color="auto"/>
                                                                        <w:left w:val="none" w:sz="0" w:space="0" w:color="auto"/>
                                                                        <w:bottom w:val="none" w:sz="0" w:space="0" w:color="auto"/>
                                                                        <w:right w:val="none" w:sz="0" w:space="0" w:color="auto"/>
                                                                      </w:divBdr>
                                                                      <w:divsChild>
                                                                        <w:div w:id="213658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1977511">
                                                              <w:marLeft w:val="0"/>
                                                              <w:marRight w:val="0"/>
                                                              <w:marTop w:val="0"/>
                                                              <w:marBottom w:val="0"/>
                                                              <w:divBdr>
                                                                <w:top w:val="none" w:sz="0" w:space="0" w:color="auto"/>
                                                                <w:left w:val="none" w:sz="0" w:space="0" w:color="auto"/>
                                                                <w:bottom w:val="none" w:sz="0" w:space="0" w:color="auto"/>
                                                                <w:right w:val="none" w:sz="0" w:space="0" w:color="auto"/>
                                                              </w:divBdr>
                                                              <w:divsChild>
                                                                <w:div w:id="635647177">
                                                                  <w:marLeft w:val="0"/>
                                                                  <w:marRight w:val="0"/>
                                                                  <w:marTop w:val="0"/>
                                                                  <w:marBottom w:val="0"/>
                                                                  <w:divBdr>
                                                                    <w:top w:val="none" w:sz="0" w:space="0" w:color="auto"/>
                                                                    <w:left w:val="none" w:sz="0" w:space="0" w:color="auto"/>
                                                                    <w:bottom w:val="none" w:sz="0" w:space="0" w:color="auto"/>
                                                                    <w:right w:val="none" w:sz="0" w:space="0" w:color="auto"/>
                                                                  </w:divBdr>
                                                                  <w:divsChild>
                                                                    <w:div w:id="1386293932">
                                                                      <w:marLeft w:val="0"/>
                                                                      <w:marRight w:val="0"/>
                                                                      <w:marTop w:val="0"/>
                                                                      <w:marBottom w:val="0"/>
                                                                      <w:divBdr>
                                                                        <w:top w:val="none" w:sz="0" w:space="0" w:color="auto"/>
                                                                        <w:left w:val="none" w:sz="0" w:space="0" w:color="auto"/>
                                                                        <w:bottom w:val="none" w:sz="0" w:space="0" w:color="auto"/>
                                                                        <w:right w:val="none" w:sz="0" w:space="0" w:color="auto"/>
                                                                      </w:divBdr>
                                                                      <w:divsChild>
                                                                        <w:div w:id="1693678308">
                                                                          <w:marLeft w:val="0"/>
                                                                          <w:marRight w:val="0"/>
                                                                          <w:marTop w:val="0"/>
                                                                          <w:marBottom w:val="0"/>
                                                                          <w:divBdr>
                                                                            <w:top w:val="none" w:sz="0" w:space="0" w:color="auto"/>
                                                                            <w:left w:val="none" w:sz="0" w:space="0" w:color="auto"/>
                                                                            <w:bottom w:val="none" w:sz="0" w:space="0" w:color="auto"/>
                                                                            <w:right w:val="none" w:sz="0" w:space="0" w:color="auto"/>
                                                                          </w:divBdr>
                                                                          <w:divsChild>
                                                                            <w:div w:id="762532819">
                                                                              <w:marLeft w:val="0"/>
                                                                              <w:marRight w:val="0"/>
                                                                              <w:marTop w:val="0"/>
                                                                              <w:marBottom w:val="0"/>
                                                                              <w:divBdr>
                                                                                <w:top w:val="none" w:sz="0" w:space="0" w:color="auto"/>
                                                                                <w:left w:val="none" w:sz="0" w:space="0" w:color="auto"/>
                                                                                <w:bottom w:val="none" w:sz="0" w:space="0" w:color="auto"/>
                                                                                <w:right w:val="none" w:sz="0" w:space="0" w:color="auto"/>
                                                                              </w:divBdr>
                                                                            </w:div>
                                                                          </w:divsChild>
                                                                        </w:div>
                                                                        <w:div w:id="1002394342">
                                                                          <w:marLeft w:val="0"/>
                                                                          <w:marRight w:val="0"/>
                                                                          <w:marTop w:val="0"/>
                                                                          <w:marBottom w:val="0"/>
                                                                          <w:divBdr>
                                                                            <w:top w:val="none" w:sz="0" w:space="0" w:color="auto"/>
                                                                            <w:left w:val="none" w:sz="0" w:space="0" w:color="auto"/>
                                                                            <w:bottom w:val="none" w:sz="0" w:space="0" w:color="auto"/>
                                                                            <w:right w:val="none" w:sz="0" w:space="0" w:color="auto"/>
                                                                          </w:divBdr>
                                                                          <w:divsChild>
                                                                            <w:div w:id="446242960">
                                                                              <w:marLeft w:val="0"/>
                                                                              <w:marRight w:val="0"/>
                                                                              <w:marTop w:val="0"/>
                                                                              <w:marBottom w:val="0"/>
                                                                              <w:divBdr>
                                                                                <w:top w:val="none" w:sz="0" w:space="0" w:color="auto"/>
                                                                                <w:left w:val="none" w:sz="0" w:space="0" w:color="auto"/>
                                                                                <w:bottom w:val="none" w:sz="0" w:space="0" w:color="auto"/>
                                                                                <w:right w:val="none" w:sz="0" w:space="0" w:color="auto"/>
                                                                              </w:divBdr>
                                                                            </w:div>
                                                                          </w:divsChild>
                                                                        </w:div>
                                                                        <w:div w:id="108477906">
                                                                          <w:marLeft w:val="0"/>
                                                                          <w:marRight w:val="0"/>
                                                                          <w:marTop w:val="0"/>
                                                                          <w:marBottom w:val="0"/>
                                                                          <w:divBdr>
                                                                            <w:top w:val="none" w:sz="0" w:space="0" w:color="auto"/>
                                                                            <w:left w:val="none" w:sz="0" w:space="0" w:color="auto"/>
                                                                            <w:bottom w:val="none" w:sz="0" w:space="0" w:color="auto"/>
                                                                            <w:right w:val="none" w:sz="0" w:space="0" w:color="auto"/>
                                                                          </w:divBdr>
                                                                          <w:divsChild>
                                                                            <w:div w:id="1760173582">
                                                                              <w:marLeft w:val="0"/>
                                                                              <w:marRight w:val="0"/>
                                                                              <w:marTop w:val="0"/>
                                                                              <w:marBottom w:val="0"/>
                                                                              <w:divBdr>
                                                                                <w:top w:val="none" w:sz="0" w:space="0" w:color="auto"/>
                                                                                <w:left w:val="none" w:sz="0" w:space="0" w:color="auto"/>
                                                                                <w:bottom w:val="none" w:sz="0" w:space="0" w:color="auto"/>
                                                                                <w:right w:val="none" w:sz="0" w:space="0" w:color="auto"/>
                                                                              </w:divBdr>
                                                                            </w:div>
                                                                          </w:divsChild>
                                                                        </w:div>
                                                                        <w:div w:id="1686403868">
                                                                          <w:marLeft w:val="0"/>
                                                                          <w:marRight w:val="0"/>
                                                                          <w:marTop w:val="0"/>
                                                                          <w:marBottom w:val="0"/>
                                                                          <w:divBdr>
                                                                            <w:top w:val="none" w:sz="0" w:space="0" w:color="auto"/>
                                                                            <w:left w:val="none" w:sz="0" w:space="0" w:color="auto"/>
                                                                            <w:bottom w:val="none" w:sz="0" w:space="0" w:color="auto"/>
                                                                            <w:right w:val="none" w:sz="0" w:space="0" w:color="auto"/>
                                                                          </w:divBdr>
                                                                          <w:divsChild>
                                                                            <w:div w:id="1289823677">
                                                                              <w:marLeft w:val="0"/>
                                                                              <w:marRight w:val="0"/>
                                                                              <w:marTop w:val="0"/>
                                                                              <w:marBottom w:val="0"/>
                                                                              <w:divBdr>
                                                                                <w:top w:val="none" w:sz="0" w:space="0" w:color="auto"/>
                                                                                <w:left w:val="none" w:sz="0" w:space="0" w:color="auto"/>
                                                                                <w:bottom w:val="none" w:sz="0" w:space="0" w:color="auto"/>
                                                                                <w:right w:val="none" w:sz="0" w:space="0" w:color="auto"/>
                                                                              </w:divBdr>
                                                                            </w:div>
                                                                          </w:divsChild>
                                                                        </w:div>
                                                                        <w:div w:id="1733891065">
                                                                          <w:marLeft w:val="0"/>
                                                                          <w:marRight w:val="0"/>
                                                                          <w:marTop w:val="0"/>
                                                                          <w:marBottom w:val="0"/>
                                                                          <w:divBdr>
                                                                            <w:top w:val="none" w:sz="0" w:space="0" w:color="auto"/>
                                                                            <w:left w:val="none" w:sz="0" w:space="0" w:color="auto"/>
                                                                            <w:bottom w:val="none" w:sz="0" w:space="0" w:color="auto"/>
                                                                            <w:right w:val="none" w:sz="0" w:space="0" w:color="auto"/>
                                                                          </w:divBdr>
                                                                          <w:divsChild>
                                                                            <w:div w:id="1290356423">
                                                                              <w:marLeft w:val="0"/>
                                                                              <w:marRight w:val="0"/>
                                                                              <w:marTop w:val="0"/>
                                                                              <w:marBottom w:val="0"/>
                                                                              <w:divBdr>
                                                                                <w:top w:val="none" w:sz="0" w:space="0" w:color="auto"/>
                                                                                <w:left w:val="none" w:sz="0" w:space="0" w:color="auto"/>
                                                                                <w:bottom w:val="none" w:sz="0" w:space="0" w:color="auto"/>
                                                                                <w:right w:val="none" w:sz="0" w:space="0" w:color="auto"/>
                                                                              </w:divBdr>
                                                                              <w:divsChild>
                                                                                <w:div w:id="158430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1238328">
      <w:bodyDiv w:val="1"/>
      <w:marLeft w:val="0"/>
      <w:marRight w:val="0"/>
      <w:marTop w:val="0"/>
      <w:marBottom w:val="0"/>
      <w:divBdr>
        <w:top w:val="none" w:sz="0" w:space="0" w:color="auto"/>
        <w:left w:val="none" w:sz="0" w:space="0" w:color="auto"/>
        <w:bottom w:val="none" w:sz="0" w:space="0" w:color="auto"/>
        <w:right w:val="none" w:sz="0" w:space="0" w:color="auto"/>
      </w:divBdr>
    </w:div>
    <w:div w:id="322398051">
      <w:bodyDiv w:val="1"/>
      <w:marLeft w:val="0"/>
      <w:marRight w:val="0"/>
      <w:marTop w:val="0"/>
      <w:marBottom w:val="0"/>
      <w:divBdr>
        <w:top w:val="none" w:sz="0" w:space="0" w:color="auto"/>
        <w:left w:val="none" w:sz="0" w:space="0" w:color="auto"/>
        <w:bottom w:val="none" w:sz="0" w:space="0" w:color="auto"/>
        <w:right w:val="none" w:sz="0" w:space="0" w:color="auto"/>
      </w:divBdr>
    </w:div>
    <w:div w:id="327443176">
      <w:bodyDiv w:val="1"/>
      <w:marLeft w:val="0"/>
      <w:marRight w:val="0"/>
      <w:marTop w:val="0"/>
      <w:marBottom w:val="0"/>
      <w:divBdr>
        <w:top w:val="none" w:sz="0" w:space="0" w:color="auto"/>
        <w:left w:val="none" w:sz="0" w:space="0" w:color="auto"/>
        <w:bottom w:val="none" w:sz="0" w:space="0" w:color="auto"/>
        <w:right w:val="none" w:sz="0" w:space="0" w:color="auto"/>
      </w:divBdr>
    </w:div>
    <w:div w:id="371004534">
      <w:bodyDiv w:val="1"/>
      <w:marLeft w:val="0"/>
      <w:marRight w:val="0"/>
      <w:marTop w:val="0"/>
      <w:marBottom w:val="0"/>
      <w:divBdr>
        <w:top w:val="none" w:sz="0" w:space="0" w:color="auto"/>
        <w:left w:val="none" w:sz="0" w:space="0" w:color="auto"/>
        <w:bottom w:val="none" w:sz="0" w:space="0" w:color="auto"/>
        <w:right w:val="none" w:sz="0" w:space="0" w:color="auto"/>
      </w:divBdr>
    </w:div>
    <w:div w:id="379400003">
      <w:bodyDiv w:val="1"/>
      <w:marLeft w:val="0"/>
      <w:marRight w:val="0"/>
      <w:marTop w:val="0"/>
      <w:marBottom w:val="0"/>
      <w:divBdr>
        <w:top w:val="none" w:sz="0" w:space="0" w:color="auto"/>
        <w:left w:val="none" w:sz="0" w:space="0" w:color="auto"/>
        <w:bottom w:val="none" w:sz="0" w:space="0" w:color="auto"/>
        <w:right w:val="none" w:sz="0" w:space="0" w:color="auto"/>
      </w:divBdr>
    </w:div>
    <w:div w:id="417215029">
      <w:bodyDiv w:val="1"/>
      <w:marLeft w:val="0"/>
      <w:marRight w:val="0"/>
      <w:marTop w:val="0"/>
      <w:marBottom w:val="0"/>
      <w:divBdr>
        <w:top w:val="none" w:sz="0" w:space="0" w:color="auto"/>
        <w:left w:val="none" w:sz="0" w:space="0" w:color="auto"/>
        <w:bottom w:val="none" w:sz="0" w:space="0" w:color="auto"/>
        <w:right w:val="none" w:sz="0" w:space="0" w:color="auto"/>
      </w:divBdr>
    </w:div>
    <w:div w:id="666061175">
      <w:bodyDiv w:val="1"/>
      <w:marLeft w:val="0"/>
      <w:marRight w:val="0"/>
      <w:marTop w:val="0"/>
      <w:marBottom w:val="0"/>
      <w:divBdr>
        <w:top w:val="none" w:sz="0" w:space="0" w:color="auto"/>
        <w:left w:val="none" w:sz="0" w:space="0" w:color="auto"/>
        <w:bottom w:val="none" w:sz="0" w:space="0" w:color="auto"/>
        <w:right w:val="none" w:sz="0" w:space="0" w:color="auto"/>
      </w:divBdr>
      <w:divsChild>
        <w:div w:id="1893812941">
          <w:marLeft w:val="0"/>
          <w:marRight w:val="1"/>
          <w:marTop w:val="0"/>
          <w:marBottom w:val="0"/>
          <w:divBdr>
            <w:top w:val="none" w:sz="0" w:space="0" w:color="auto"/>
            <w:left w:val="none" w:sz="0" w:space="0" w:color="auto"/>
            <w:bottom w:val="none" w:sz="0" w:space="0" w:color="auto"/>
            <w:right w:val="none" w:sz="0" w:space="0" w:color="auto"/>
          </w:divBdr>
          <w:divsChild>
            <w:div w:id="915361717">
              <w:marLeft w:val="0"/>
              <w:marRight w:val="0"/>
              <w:marTop w:val="0"/>
              <w:marBottom w:val="0"/>
              <w:divBdr>
                <w:top w:val="none" w:sz="0" w:space="0" w:color="auto"/>
                <w:left w:val="none" w:sz="0" w:space="0" w:color="auto"/>
                <w:bottom w:val="none" w:sz="0" w:space="0" w:color="auto"/>
                <w:right w:val="none" w:sz="0" w:space="0" w:color="auto"/>
              </w:divBdr>
              <w:divsChild>
                <w:div w:id="406224553">
                  <w:marLeft w:val="0"/>
                  <w:marRight w:val="1"/>
                  <w:marTop w:val="0"/>
                  <w:marBottom w:val="0"/>
                  <w:divBdr>
                    <w:top w:val="none" w:sz="0" w:space="0" w:color="auto"/>
                    <w:left w:val="none" w:sz="0" w:space="0" w:color="auto"/>
                    <w:bottom w:val="none" w:sz="0" w:space="0" w:color="auto"/>
                    <w:right w:val="none" w:sz="0" w:space="0" w:color="auto"/>
                  </w:divBdr>
                  <w:divsChild>
                    <w:div w:id="606544198">
                      <w:marLeft w:val="0"/>
                      <w:marRight w:val="0"/>
                      <w:marTop w:val="0"/>
                      <w:marBottom w:val="0"/>
                      <w:divBdr>
                        <w:top w:val="none" w:sz="0" w:space="0" w:color="auto"/>
                        <w:left w:val="none" w:sz="0" w:space="0" w:color="auto"/>
                        <w:bottom w:val="none" w:sz="0" w:space="0" w:color="auto"/>
                        <w:right w:val="none" w:sz="0" w:space="0" w:color="auto"/>
                      </w:divBdr>
                      <w:divsChild>
                        <w:div w:id="983236919">
                          <w:marLeft w:val="0"/>
                          <w:marRight w:val="0"/>
                          <w:marTop w:val="0"/>
                          <w:marBottom w:val="0"/>
                          <w:divBdr>
                            <w:top w:val="none" w:sz="0" w:space="0" w:color="auto"/>
                            <w:left w:val="none" w:sz="0" w:space="0" w:color="auto"/>
                            <w:bottom w:val="none" w:sz="0" w:space="0" w:color="auto"/>
                            <w:right w:val="none" w:sz="0" w:space="0" w:color="auto"/>
                          </w:divBdr>
                          <w:divsChild>
                            <w:div w:id="488979522">
                              <w:marLeft w:val="0"/>
                              <w:marRight w:val="0"/>
                              <w:marTop w:val="120"/>
                              <w:marBottom w:val="360"/>
                              <w:divBdr>
                                <w:top w:val="none" w:sz="0" w:space="0" w:color="auto"/>
                                <w:left w:val="none" w:sz="0" w:space="0" w:color="auto"/>
                                <w:bottom w:val="none" w:sz="0" w:space="0" w:color="auto"/>
                                <w:right w:val="none" w:sz="0" w:space="0" w:color="auto"/>
                              </w:divBdr>
                              <w:divsChild>
                                <w:div w:id="1384405997">
                                  <w:marLeft w:val="0"/>
                                  <w:marRight w:val="0"/>
                                  <w:marTop w:val="0"/>
                                  <w:marBottom w:val="0"/>
                                  <w:divBdr>
                                    <w:top w:val="none" w:sz="0" w:space="0" w:color="auto"/>
                                    <w:left w:val="none" w:sz="0" w:space="0" w:color="auto"/>
                                    <w:bottom w:val="none" w:sz="0" w:space="0" w:color="auto"/>
                                    <w:right w:val="none" w:sz="0" w:space="0" w:color="auto"/>
                                  </w:divBdr>
                                </w:div>
                                <w:div w:id="1073426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71513074">
      <w:bodyDiv w:val="1"/>
      <w:marLeft w:val="0"/>
      <w:marRight w:val="0"/>
      <w:marTop w:val="0"/>
      <w:marBottom w:val="0"/>
      <w:divBdr>
        <w:top w:val="none" w:sz="0" w:space="0" w:color="auto"/>
        <w:left w:val="none" w:sz="0" w:space="0" w:color="auto"/>
        <w:bottom w:val="none" w:sz="0" w:space="0" w:color="auto"/>
        <w:right w:val="none" w:sz="0" w:space="0" w:color="auto"/>
      </w:divBdr>
    </w:div>
    <w:div w:id="774986121">
      <w:bodyDiv w:val="1"/>
      <w:marLeft w:val="0"/>
      <w:marRight w:val="0"/>
      <w:marTop w:val="0"/>
      <w:marBottom w:val="0"/>
      <w:divBdr>
        <w:top w:val="none" w:sz="0" w:space="0" w:color="auto"/>
        <w:left w:val="none" w:sz="0" w:space="0" w:color="auto"/>
        <w:bottom w:val="none" w:sz="0" w:space="0" w:color="auto"/>
        <w:right w:val="none" w:sz="0" w:space="0" w:color="auto"/>
      </w:divBdr>
    </w:div>
    <w:div w:id="803350907">
      <w:bodyDiv w:val="1"/>
      <w:marLeft w:val="0"/>
      <w:marRight w:val="0"/>
      <w:marTop w:val="0"/>
      <w:marBottom w:val="0"/>
      <w:divBdr>
        <w:top w:val="none" w:sz="0" w:space="0" w:color="auto"/>
        <w:left w:val="none" w:sz="0" w:space="0" w:color="auto"/>
        <w:bottom w:val="none" w:sz="0" w:space="0" w:color="auto"/>
        <w:right w:val="none" w:sz="0" w:space="0" w:color="auto"/>
      </w:divBdr>
    </w:div>
    <w:div w:id="1131939294">
      <w:bodyDiv w:val="1"/>
      <w:marLeft w:val="0"/>
      <w:marRight w:val="0"/>
      <w:marTop w:val="0"/>
      <w:marBottom w:val="0"/>
      <w:divBdr>
        <w:top w:val="none" w:sz="0" w:space="0" w:color="auto"/>
        <w:left w:val="none" w:sz="0" w:space="0" w:color="auto"/>
        <w:bottom w:val="none" w:sz="0" w:space="0" w:color="auto"/>
        <w:right w:val="none" w:sz="0" w:space="0" w:color="auto"/>
      </w:divBdr>
    </w:div>
    <w:div w:id="1338966193">
      <w:bodyDiv w:val="1"/>
      <w:marLeft w:val="0"/>
      <w:marRight w:val="0"/>
      <w:marTop w:val="0"/>
      <w:marBottom w:val="0"/>
      <w:divBdr>
        <w:top w:val="none" w:sz="0" w:space="0" w:color="auto"/>
        <w:left w:val="none" w:sz="0" w:space="0" w:color="auto"/>
        <w:bottom w:val="none" w:sz="0" w:space="0" w:color="auto"/>
        <w:right w:val="none" w:sz="0" w:space="0" w:color="auto"/>
      </w:divBdr>
      <w:divsChild>
        <w:div w:id="1237669472">
          <w:marLeft w:val="0"/>
          <w:marRight w:val="0"/>
          <w:marTop w:val="0"/>
          <w:marBottom w:val="0"/>
          <w:divBdr>
            <w:top w:val="none" w:sz="0" w:space="0" w:color="auto"/>
            <w:left w:val="none" w:sz="0" w:space="0" w:color="auto"/>
            <w:bottom w:val="none" w:sz="0" w:space="0" w:color="auto"/>
            <w:right w:val="none" w:sz="0" w:space="0" w:color="auto"/>
          </w:divBdr>
          <w:divsChild>
            <w:div w:id="302777039">
              <w:marLeft w:val="0"/>
              <w:marRight w:val="0"/>
              <w:marTop w:val="0"/>
              <w:marBottom w:val="0"/>
              <w:divBdr>
                <w:top w:val="none" w:sz="0" w:space="0" w:color="auto"/>
                <w:left w:val="none" w:sz="0" w:space="0" w:color="auto"/>
                <w:bottom w:val="none" w:sz="0" w:space="0" w:color="auto"/>
                <w:right w:val="none" w:sz="0" w:space="0" w:color="auto"/>
              </w:divBdr>
              <w:divsChild>
                <w:div w:id="271936497">
                  <w:marLeft w:val="0"/>
                  <w:marRight w:val="0"/>
                  <w:marTop w:val="0"/>
                  <w:marBottom w:val="0"/>
                  <w:divBdr>
                    <w:top w:val="none" w:sz="0" w:space="0" w:color="auto"/>
                    <w:left w:val="none" w:sz="0" w:space="0" w:color="auto"/>
                    <w:bottom w:val="none" w:sz="0" w:space="0" w:color="auto"/>
                    <w:right w:val="none" w:sz="0" w:space="0" w:color="auto"/>
                  </w:divBdr>
                  <w:divsChild>
                    <w:div w:id="1476489231">
                      <w:marLeft w:val="0"/>
                      <w:marRight w:val="0"/>
                      <w:marTop w:val="0"/>
                      <w:marBottom w:val="0"/>
                      <w:divBdr>
                        <w:top w:val="none" w:sz="0" w:space="0" w:color="auto"/>
                        <w:left w:val="none" w:sz="0" w:space="0" w:color="auto"/>
                        <w:bottom w:val="none" w:sz="0" w:space="0" w:color="auto"/>
                        <w:right w:val="none" w:sz="0" w:space="0" w:color="auto"/>
                      </w:divBdr>
                      <w:divsChild>
                        <w:div w:id="859659623">
                          <w:marLeft w:val="0"/>
                          <w:marRight w:val="0"/>
                          <w:marTop w:val="0"/>
                          <w:marBottom w:val="0"/>
                          <w:divBdr>
                            <w:top w:val="none" w:sz="0" w:space="0" w:color="auto"/>
                            <w:left w:val="none" w:sz="0" w:space="0" w:color="auto"/>
                            <w:bottom w:val="none" w:sz="0" w:space="0" w:color="auto"/>
                            <w:right w:val="none" w:sz="0" w:space="0" w:color="auto"/>
                          </w:divBdr>
                          <w:divsChild>
                            <w:div w:id="919094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4569644">
      <w:bodyDiv w:val="1"/>
      <w:marLeft w:val="0"/>
      <w:marRight w:val="0"/>
      <w:marTop w:val="0"/>
      <w:marBottom w:val="0"/>
      <w:divBdr>
        <w:top w:val="none" w:sz="0" w:space="0" w:color="auto"/>
        <w:left w:val="none" w:sz="0" w:space="0" w:color="auto"/>
        <w:bottom w:val="none" w:sz="0" w:space="0" w:color="auto"/>
        <w:right w:val="none" w:sz="0" w:space="0" w:color="auto"/>
      </w:divBdr>
    </w:div>
    <w:div w:id="1604610647">
      <w:bodyDiv w:val="1"/>
      <w:marLeft w:val="0"/>
      <w:marRight w:val="0"/>
      <w:marTop w:val="0"/>
      <w:marBottom w:val="0"/>
      <w:divBdr>
        <w:top w:val="none" w:sz="0" w:space="0" w:color="auto"/>
        <w:left w:val="none" w:sz="0" w:space="0" w:color="auto"/>
        <w:bottom w:val="none" w:sz="0" w:space="0" w:color="auto"/>
        <w:right w:val="none" w:sz="0" w:space="0" w:color="auto"/>
      </w:divBdr>
      <w:divsChild>
        <w:div w:id="1563904715">
          <w:marLeft w:val="0"/>
          <w:marRight w:val="1"/>
          <w:marTop w:val="0"/>
          <w:marBottom w:val="0"/>
          <w:divBdr>
            <w:top w:val="none" w:sz="0" w:space="0" w:color="auto"/>
            <w:left w:val="none" w:sz="0" w:space="0" w:color="auto"/>
            <w:bottom w:val="none" w:sz="0" w:space="0" w:color="auto"/>
            <w:right w:val="none" w:sz="0" w:space="0" w:color="auto"/>
          </w:divBdr>
          <w:divsChild>
            <w:div w:id="2005664484">
              <w:marLeft w:val="0"/>
              <w:marRight w:val="0"/>
              <w:marTop w:val="0"/>
              <w:marBottom w:val="0"/>
              <w:divBdr>
                <w:top w:val="none" w:sz="0" w:space="0" w:color="auto"/>
                <w:left w:val="none" w:sz="0" w:space="0" w:color="auto"/>
                <w:bottom w:val="none" w:sz="0" w:space="0" w:color="auto"/>
                <w:right w:val="none" w:sz="0" w:space="0" w:color="auto"/>
              </w:divBdr>
              <w:divsChild>
                <w:div w:id="801190218">
                  <w:marLeft w:val="0"/>
                  <w:marRight w:val="1"/>
                  <w:marTop w:val="0"/>
                  <w:marBottom w:val="0"/>
                  <w:divBdr>
                    <w:top w:val="none" w:sz="0" w:space="0" w:color="auto"/>
                    <w:left w:val="none" w:sz="0" w:space="0" w:color="auto"/>
                    <w:bottom w:val="none" w:sz="0" w:space="0" w:color="auto"/>
                    <w:right w:val="none" w:sz="0" w:space="0" w:color="auto"/>
                  </w:divBdr>
                  <w:divsChild>
                    <w:div w:id="694841376">
                      <w:marLeft w:val="0"/>
                      <w:marRight w:val="0"/>
                      <w:marTop w:val="0"/>
                      <w:marBottom w:val="0"/>
                      <w:divBdr>
                        <w:top w:val="none" w:sz="0" w:space="0" w:color="auto"/>
                        <w:left w:val="none" w:sz="0" w:space="0" w:color="auto"/>
                        <w:bottom w:val="none" w:sz="0" w:space="0" w:color="auto"/>
                        <w:right w:val="none" w:sz="0" w:space="0" w:color="auto"/>
                      </w:divBdr>
                      <w:divsChild>
                        <w:div w:id="1750040269">
                          <w:marLeft w:val="0"/>
                          <w:marRight w:val="0"/>
                          <w:marTop w:val="0"/>
                          <w:marBottom w:val="0"/>
                          <w:divBdr>
                            <w:top w:val="none" w:sz="0" w:space="0" w:color="auto"/>
                            <w:left w:val="none" w:sz="0" w:space="0" w:color="auto"/>
                            <w:bottom w:val="none" w:sz="0" w:space="0" w:color="auto"/>
                            <w:right w:val="none" w:sz="0" w:space="0" w:color="auto"/>
                          </w:divBdr>
                          <w:divsChild>
                            <w:div w:id="2059091351">
                              <w:marLeft w:val="0"/>
                              <w:marRight w:val="0"/>
                              <w:marTop w:val="120"/>
                              <w:marBottom w:val="360"/>
                              <w:divBdr>
                                <w:top w:val="none" w:sz="0" w:space="0" w:color="auto"/>
                                <w:left w:val="none" w:sz="0" w:space="0" w:color="auto"/>
                                <w:bottom w:val="none" w:sz="0" w:space="0" w:color="auto"/>
                                <w:right w:val="none" w:sz="0" w:space="0" w:color="auto"/>
                              </w:divBdr>
                              <w:divsChild>
                                <w:div w:id="1936592217">
                                  <w:marLeft w:val="0"/>
                                  <w:marRight w:val="0"/>
                                  <w:marTop w:val="0"/>
                                  <w:marBottom w:val="0"/>
                                  <w:divBdr>
                                    <w:top w:val="none" w:sz="0" w:space="0" w:color="auto"/>
                                    <w:left w:val="none" w:sz="0" w:space="0" w:color="auto"/>
                                    <w:bottom w:val="none" w:sz="0" w:space="0" w:color="auto"/>
                                    <w:right w:val="none" w:sz="0" w:space="0" w:color="auto"/>
                                  </w:divBdr>
                                </w:div>
                                <w:div w:id="186141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73098996">
      <w:bodyDiv w:val="1"/>
      <w:marLeft w:val="0"/>
      <w:marRight w:val="0"/>
      <w:marTop w:val="0"/>
      <w:marBottom w:val="0"/>
      <w:divBdr>
        <w:top w:val="none" w:sz="0" w:space="0" w:color="auto"/>
        <w:left w:val="none" w:sz="0" w:space="0" w:color="auto"/>
        <w:bottom w:val="none" w:sz="0" w:space="0" w:color="auto"/>
        <w:right w:val="none" w:sz="0" w:space="0" w:color="auto"/>
      </w:divBdr>
      <w:divsChild>
        <w:div w:id="1743411125">
          <w:marLeft w:val="0"/>
          <w:marRight w:val="0"/>
          <w:marTop w:val="0"/>
          <w:marBottom w:val="0"/>
          <w:divBdr>
            <w:top w:val="none" w:sz="0" w:space="0" w:color="auto"/>
            <w:left w:val="none" w:sz="0" w:space="0" w:color="auto"/>
            <w:bottom w:val="none" w:sz="0" w:space="0" w:color="auto"/>
            <w:right w:val="none" w:sz="0" w:space="0" w:color="auto"/>
          </w:divBdr>
          <w:divsChild>
            <w:div w:id="728966232">
              <w:marLeft w:val="0"/>
              <w:marRight w:val="0"/>
              <w:marTop w:val="0"/>
              <w:marBottom w:val="0"/>
              <w:divBdr>
                <w:top w:val="none" w:sz="0" w:space="0" w:color="auto"/>
                <w:left w:val="none" w:sz="0" w:space="0" w:color="auto"/>
                <w:bottom w:val="none" w:sz="0" w:space="0" w:color="auto"/>
                <w:right w:val="none" w:sz="0" w:space="0" w:color="auto"/>
              </w:divBdr>
              <w:divsChild>
                <w:div w:id="309408315">
                  <w:marLeft w:val="0"/>
                  <w:marRight w:val="0"/>
                  <w:marTop w:val="0"/>
                  <w:marBottom w:val="0"/>
                  <w:divBdr>
                    <w:top w:val="none" w:sz="0" w:space="0" w:color="auto"/>
                    <w:left w:val="none" w:sz="0" w:space="0" w:color="auto"/>
                    <w:bottom w:val="none" w:sz="0" w:space="0" w:color="auto"/>
                    <w:right w:val="none" w:sz="0" w:space="0" w:color="auto"/>
                  </w:divBdr>
                  <w:divsChild>
                    <w:div w:id="85811811">
                      <w:marLeft w:val="0"/>
                      <w:marRight w:val="0"/>
                      <w:marTop w:val="0"/>
                      <w:marBottom w:val="0"/>
                      <w:divBdr>
                        <w:top w:val="none" w:sz="0" w:space="0" w:color="auto"/>
                        <w:left w:val="none" w:sz="0" w:space="0" w:color="auto"/>
                        <w:bottom w:val="none" w:sz="0" w:space="0" w:color="auto"/>
                        <w:right w:val="none" w:sz="0" w:space="0" w:color="auto"/>
                      </w:divBdr>
                      <w:divsChild>
                        <w:div w:id="2054696429">
                          <w:marLeft w:val="0"/>
                          <w:marRight w:val="0"/>
                          <w:marTop w:val="0"/>
                          <w:marBottom w:val="0"/>
                          <w:divBdr>
                            <w:top w:val="none" w:sz="0" w:space="0" w:color="auto"/>
                            <w:left w:val="none" w:sz="0" w:space="0" w:color="auto"/>
                            <w:bottom w:val="none" w:sz="0" w:space="0" w:color="auto"/>
                            <w:right w:val="none" w:sz="0" w:space="0" w:color="auto"/>
                          </w:divBdr>
                          <w:divsChild>
                            <w:div w:id="1417703281">
                              <w:marLeft w:val="0"/>
                              <w:marRight w:val="0"/>
                              <w:marTop w:val="0"/>
                              <w:marBottom w:val="0"/>
                              <w:divBdr>
                                <w:top w:val="none" w:sz="0" w:space="0" w:color="auto"/>
                                <w:left w:val="none" w:sz="0" w:space="0" w:color="auto"/>
                                <w:bottom w:val="none" w:sz="0" w:space="0" w:color="auto"/>
                                <w:right w:val="none" w:sz="0" w:space="0" w:color="auto"/>
                              </w:divBdr>
                              <w:divsChild>
                                <w:div w:id="868026030">
                                  <w:marLeft w:val="0"/>
                                  <w:marRight w:val="0"/>
                                  <w:marTop w:val="0"/>
                                  <w:marBottom w:val="0"/>
                                  <w:divBdr>
                                    <w:top w:val="none" w:sz="0" w:space="0" w:color="auto"/>
                                    <w:left w:val="none" w:sz="0" w:space="0" w:color="auto"/>
                                    <w:bottom w:val="none" w:sz="0" w:space="0" w:color="auto"/>
                                    <w:right w:val="none" w:sz="0" w:space="0" w:color="auto"/>
                                  </w:divBdr>
                                  <w:divsChild>
                                    <w:div w:id="334848538">
                                      <w:marLeft w:val="0"/>
                                      <w:marRight w:val="0"/>
                                      <w:marTop w:val="0"/>
                                      <w:marBottom w:val="0"/>
                                      <w:divBdr>
                                        <w:top w:val="none" w:sz="0" w:space="0" w:color="auto"/>
                                        <w:left w:val="none" w:sz="0" w:space="0" w:color="auto"/>
                                        <w:bottom w:val="none" w:sz="0" w:space="0" w:color="auto"/>
                                        <w:right w:val="none" w:sz="0" w:space="0" w:color="auto"/>
                                      </w:divBdr>
                                      <w:divsChild>
                                        <w:div w:id="1958833714">
                                          <w:marLeft w:val="0"/>
                                          <w:marRight w:val="0"/>
                                          <w:marTop w:val="0"/>
                                          <w:marBottom w:val="0"/>
                                          <w:divBdr>
                                            <w:top w:val="none" w:sz="0" w:space="0" w:color="auto"/>
                                            <w:left w:val="none" w:sz="0" w:space="0" w:color="auto"/>
                                            <w:bottom w:val="none" w:sz="0" w:space="0" w:color="auto"/>
                                            <w:right w:val="none" w:sz="0" w:space="0" w:color="auto"/>
                                          </w:divBdr>
                                          <w:divsChild>
                                            <w:div w:id="1352610315">
                                              <w:marLeft w:val="0"/>
                                              <w:marRight w:val="0"/>
                                              <w:marTop w:val="0"/>
                                              <w:marBottom w:val="0"/>
                                              <w:divBdr>
                                                <w:top w:val="none" w:sz="0" w:space="0" w:color="auto"/>
                                                <w:left w:val="none" w:sz="0" w:space="0" w:color="auto"/>
                                                <w:bottom w:val="none" w:sz="0" w:space="0" w:color="auto"/>
                                                <w:right w:val="none" w:sz="0" w:space="0" w:color="auto"/>
                                              </w:divBdr>
                                              <w:divsChild>
                                                <w:div w:id="449322775">
                                                  <w:marLeft w:val="0"/>
                                                  <w:marRight w:val="0"/>
                                                  <w:marTop w:val="0"/>
                                                  <w:marBottom w:val="0"/>
                                                  <w:divBdr>
                                                    <w:top w:val="none" w:sz="0" w:space="0" w:color="auto"/>
                                                    <w:left w:val="none" w:sz="0" w:space="0" w:color="auto"/>
                                                    <w:bottom w:val="none" w:sz="0" w:space="0" w:color="auto"/>
                                                    <w:right w:val="none" w:sz="0" w:space="0" w:color="auto"/>
                                                  </w:divBdr>
                                                  <w:divsChild>
                                                    <w:div w:id="1299071181">
                                                      <w:marLeft w:val="0"/>
                                                      <w:marRight w:val="0"/>
                                                      <w:marTop w:val="0"/>
                                                      <w:marBottom w:val="0"/>
                                                      <w:divBdr>
                                                        <w:top w:val="none" w:sz="0" w:space="0" w:color="auto"/>
                                                        <w:left w:val="none" w:sz="0" w:space="0" w:color="auto"/>
                                                        <w:bottom w:val="none" w:sz="0" w:space="0" w:color="auto"/>
                                                        <w:right w:val="none" w:sz="0" w:space="0" w:color="auto"/>
                                                      </w:divBdr>
                                                      <w:divsChild>
                                                        <w:div w:id="1962375525">
                                                          <w:marLeft w:val="0"/>
                                                          <w:marRight w:val="0"/>
                                                          <w:marTop w:val="0"/>
                                                          <w:marBottom w:val="0"/>
                                                          <w:divBdr>
                                                            <w:top w:val="none" w:sz="0" w:space="0" w:color="auto"/>
                                                            <w:left w:val="none" w:sz="0" w:space="0" w:color="auto"/>
                                                            <w:bottom w:val="none" w:sz="0" w:space="0" w:color="auto"/>
                                                            <w:right w:val="none" w:sz="0" w:space="0" w:color="auto"/>
                                                          </w:divBdr>
                                                          <w:divsChild>
                                                            <w:div w:id="632834021">
                                                              <w:marLeft w:val="0"/>
                                                              <w:marRight w:val="0"/>
                                                              <w:marTop w:val="0"/>
                                                              <w:marBottom w:val="0"/>
                                                              <w:divBdr>
                                                                <w:top w:val="none" w:sz="0" w:space="0" w:color="auto"/>
                                                                <w:left w:val="none" w:sz="0" w:space="0" w:color="auto"/>
                                                                <w:bottom w:val="none" w:sz="0" w:space="0" w:color="auto"/>
                                                                <w:right w:val="none" w:sz="0" w:space="0" w:color="auto"/>
                                                              </w:divBdr>
                                                              <w:divsChild>
                                                                <w:div w:id="1289778442">
                                                                  <w:marLeft w:val="0"/>
                                                                  <w:marRight w:val="0"/>
                                                                  <w:marTop w:val="0"/>
                                                                  <w:marBottom w:val="0"/>
                                                                  <w:divBdr>
                                                                    <w:top w:val="none" w:sz="0" w:space="0" w:color="auto"/>
                                                                    <w:left w:val="none" w:sz="0" w:space="0" w:color="auto"/>
                                                                    <w:bottom w:val="none" w:sz="0" w:space="0" w:color="auto"/>
                                                                    <w:right w:val="none" w:sz="0" w:space="0" w:color="auto"/>
                                                                  </w:divBdr>
                                                                  <w:divsChild>
                                                                    <w:div w:id="1818721127">
                                                                      <w:marLeft w:val="0"/>
                                                                      <w:marRight w:val="0"/>
                                                                      <w:marTop w:val="0"/>
                                                                      <w:marBottom w:val="0"/>
                                                                      <w:divBdr>
                                                                        <w:top w:val="none" w:sz="0" w:space="0" w:color="auto"/>
                                                                        <w:left w:val="none" w:sz="0" w:space="0" w:color="auto"/>
                                                                        <w:bottom w:val="none" w:sz="0" w:space="0" w:color="auto"/>
                                                                        <w:right w:val="none" w:sz="0" w:space="0" w:color="auto"/>
                                                                      </w:divBdr>
                                                                    </w:div>
                                                                    <w:div w:id="1401564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785600">
                                                              <w:marLeft w:val="0"/>
                                                              <w:marRight w:val="0"/>
                                                              <w:marTop w:val="0"/>
                                                              <w:marBottom w:val="0"/>
                                                              <w:divBdr>
                                                                <w:top w:val="none" w:sz="0" w:space="0" w:color="auto"/>
                                                                <w:left w:val="none" w:sz="0" w:space="0" w:color="auto"/>
                                                                <w:bottom w:val="none" w:sz="0" w:space="0" w:color="auto"/>
                                                                <w:right w:val="none" w:sz="0" w:space="0" w:color="auto"/>
                                                              </w:divBdr>
                                                              <w:divsChild>
                                                                <w:div w:id="159198763">
                                                                  <w:marLeft w:val="0"/>
                                                                  <w:marRight w:val="0"/>
                                                                  <w:marTop w:val="0"/>
                                                                  <w:marBottom w:val="0"/>
                                                                  <w:divBdr>
                                                                    <w:top w:val="none" w:sz="0" w:space="0" w:color="auto"/>
                                                                    <w:left w:val="none" w:sz="0" w:space="0" w:color="auto"/>
                                                                    <w:bottom w:val="none" w:sz="0" w:space="0" w:color="auto"/>
                                                                    <w:right w:val="none" w:sz="0" w:space="0" w:color="auto"/>
                                                                  </w:divBdr>
                                                                  <w:divsChild>
                                                                    <w:div w:id="805320410">
                                                                      <w:marLeft w:val="0"/>
                                                                      <w:marRight w:val="0"/>
                                                                      <w:marTop w:val="0"/>
                                                                      <w:marBottom w:val="0"/>
                                                                      <w:divBdr>
                                                                        <w:top w:val="none" w:sz="0" w:space="0" w:color="auto"/>
                                                                        <w:left w:val="none" w:sz="0" w:space="0" w:color="auto"/>
                                                                        <w:bottom w:val="none" w:sz="0" w:space="0" w:color="auto"/>
                                                                        <w:right w:val="none" w:sz="0" w:space="0" w:color="auto"/>
                                                                      </w:divBdr>
                                                                    </w:div>
                                                                    <w:div w:id="1368138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899020">
                                                      <w:marLeft w:val="0"/>
                                                      <w:marRight w:val="0"/>
                                                      <w:marTop w:val="0"/>
                                                      <w:marBottom w:val="0"/>
                                                      <w:divBdr>
                                                        <w:top w:val="none" w:sz="0" w:space="0" w:color="auto"/>
                                                        <w:left w:val="none" w:sz="0" w:space="0" w:color="auto"/>
                                                        <w:bottom w:val="none" w:sz="0" w:space="0" w:color="auto"/>
                                                        <w:right w:val="none" w:sz="0" w:space="0" w:color="auto"/>
                                                      </w:divBdr>
                                                      <w:divsChild>
                                                        <w:div w:id="274799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7291141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3.wdp"/><Relationship Id="rId117" Type="http://schemas.openxmlformats.org/officeDocument/2006/relationships/footer" Target="footer3.xml"/><Relationship Id="rId21" Type="http://schemas.openxmlformats.org/officeDocument/2006/relationships/image" Target="media/image6.png"/><Relationship Id="rId42" Type="http://schemas.openxmlformats.org/officeDocument/2006/relationships/image" Target="media/image21.emf"/><Relationship Id="rId47" Type="http://schemas.microsoft.com/office/2007/relationships/hdphoto" Target="media/hdphoto8.wdp"/><Relationship Id="rId63" Type="http://schemas.openxmlformats.org/officeDocument/2006/relationships/image" Target="media/image35.png"/><Relationship Id="rId68" Type="http://schemas.openxmlformats.org/officeDocument/2006/relationships/image" Target="media/image39.png"/><Relationship Id="rId84" Type="http://schemas.openxmlformats.org/officeDocument/2006/relationships/image" Target="media/image48.png"/><Relationship Id="rId89" Type="http://schemas.microsoft.com/office/2007/relationships/hdphoto" Target="media/hdphoto24.wdp"/><Relationship Id="rId112" Type="http://schemas.openxmlformats.org/officeDocument/2006/relationships/footer" Target="footer2.xml"/><Relationship Id="rId16" Type="http://schemas.openxmlformats.org/officeDocument/2006/relationships/image" Target="media/image4.png"/><Relationship Id="rId107" Type="http://schemas.openxmlformats.org/officeDocument/2006/relationships/hyperlink" Target="http://www.tga.gov.au/ws-labs-index" TargetMode="External"/><Relationship Id="rId11" Type="http://schemas.openxmlformats.org/officeDocument/2006/relationships/header" Target="header1.xml"/><Relationship Id="rId24" Type="http://schemas.openxmlformats.org/officeDocument/2006/relationships/image" Target="media/image9.png"/><Relationship Id="rId32" Type="http://schemas.openxmlformats.org/officeDocument/2006/relationships/image" Target="media/image13.png"/><Relationship Id="rId37" Type="http://schemas.microsoft.com/office/2007/relationships/hdphoto" Target="media/hdphoto6.wdp"/><Relationship Id="rId40" Type="http://schemas.openxmlformats.org/officeDocument/2006/relationships/image" Target="media/image19.emf"/><Relationship Id="rId45" Type="http://schemas.openxmlformats.org/officeDocument/2006/relationships/image" Target="media/image23.png"/><Relationship Id="rId53" Type="http://schemas.openxmlformats.org/officeDocument/2006/relationships/image" Target="media/image29.png"/><Relationship Id="rId58" Type="http://schemas.openxmlformats.org/officeDocument/2006/relationships/image" Target="media/image32.emf"/><Relationship Id="rId66" Type="http://schemas.openxmlformats.org/officeDocument/2006/relationships/image" Target="media/image37.png"/><Relationship Id="rId74" Type="http://schemas.microsoft.com/office/2007/relationships/hdphoto" Target="media/hdphoto17.wdp"/><Relationship Id="rId79" Type="http://schemas.openxmlformats.org/officeDocument/2006/relationships/image" Target="media/image45.png"/><Relationship Id="rId87" Type="http://schemas.microsoft.com/office/2007/relationships/hdphoto" Target="media/hdphoto23.wdp"/><Relationship Id="rId102" Type="http://schemas.openxmlformats.org/officeDocument/2006/relationships/image" Target="media/image60.emf"/><Relationship Id="rId110" Type="http://schemas.openxmlformats.org/officeDocument/2006/relationships/header" Target="header4.xml"/><Relationship Id="rId115" Type="http://schemas.openxmlformats.org/officeDocument/2006/relationships/header" Target="header6.xml"/><Relationship Id="rId5" Type="http://schemas.openxmlformats.org/officeDocument/2006/relationships/settings" Target="settings.xml"/><Relationship Id="rId61" Type="http://schemas.openxmlformats.org/officeDocument/2006/relationships/image" Target="media/image34.png"/><Relationship Id="rId82" Type="http://schemas.openxmlformats.org/officeDocument/2006/relationships/image" Target="media/image47.png"/><Relationship Id="rId90" Type="http://schemas.openxmlformats.org/officeDocument/2006/relationships/image" Target="media/image51.png"/><Relationship Id="rId95" Type="http://schemas.microsoft.com/office/2007/relationships/hdphoto" Target="media/hdphoto27.wdp"/><Relationship Id="rId19" Type="http://schemas.openxmlformats.org/officeDocument/2006/relationships/image" Target="media/image5.png"/><Relationship Id="rId14" Type="http://schemas.openxmlformats.org/officeDocument/2006/relationships/hyperlink" Target="https://www.tga.gov.au/product-information-pi" TargetMode="External"/><Relationship Id="rId22" Type="http://schemas.openxmlformats.org/officeDocument/2006/relationships/image" Target="media/image7.png"/><Relationship Id="rId30" Type="http://schemas.openxmlformats.org/officeDocument/2006/relationships/image" Target="media/image12.png"/><Relationship Id="rId35" Type="http://schemas.openxmlformats.org/officeDocument/2006/relationships/image" Target="media/image15.emf"/><Relationship Id="rId43" Type="http://schemas.openxmlformats.org/officeDocument/2006/relationships/image" Target="media/image22.png"/><Relationship Id="rId48" Type="http://schemas.openxmlformats.org/officeDocument/2006/relationships/image" Target="media/image25.png"/><Relationship Id="rId56" Type="http://schemas.openxmlformats.org/officeDocument/2006/relationships/image" Target="media/image31.png"/><Relationship Id="rId64" Type="http://schemas.microsoft.com/office/2007/relationships/hdphoto" Target="media/hdphoto14.wdp"/><Relationship Id="rId69" Type="http://schemas.openxmlformats.org/officeDocument/2006/relationships/image" Target="media/image40.png"/><Relationship Id="rId77" Type="http://schemas.openxmlformats.org/officeDocument/2006/relationships/image" Target="media/image44.png"/><Relationship Id="rId100" Type="http://schemas.openxmlformats.org/officeDocument/2006/relationships/image" Target="media/image58.emf"/><Relationship Id="rId105" Type="http://schemas.openxmlformats.org/officeDocument/2006/relationships/image" Target="media/image63.png"/><Relationship Id="rId113" Type="http://schemas.openxmlformats.org/officeDocument/2006/relationships/hyperlink" Target="mailto:info@tga.gov.au" TargetMode="External"/><Relationship Id="rId118" Type="http://schemas.openxmlformats.org/officeDocument/2006/relationships/header" Target="header8.xml"/><Relationship Id="rId8" Type="http://schemas.openxmlformats.org/officeDocument/2006/relationships/endnotes" Target="endnotes.xml"/><Relationship Id="rId51" Type="http://schemas.openxmlformats.org/officeDocument/2006/relationships/image" Target="media/image27.emf"/><Relationship Id="rId72" Type="http://schemas.microsoft.com/office/2007/relationships/hdphoto" Target="media/hdphoto16.wdp"/><Relationship Id="rId80" Type="http://schemas.openxmlformats.org/officeDocument/2006/relationships/image" Target="media/image46.png"/><Relationship Id="rId85" Type="http://schemas.microsoft.com/office/2007/relationships/hdphoto" Target="media/hdphoto22.wdp"/><Relationship Id="rId93" Type="http://schemas.microsoft.com/office/2007/relationships/hdphoto" Target="media/hdphoto26.wdp"/><Relationship Id="rId98" Type="http://schemas.openxmlformats.org/officeDocument/2006/relationships/image" Target="media/image56.emf"/><Relationship Id="rId12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1.xml"/><Relationship Id="rId17" Type="http://schemas.microsoft.com/office/2007/relationships/hdphoto" Target="media/hdphoto1.wdp"/><Relationship Id="rId25" Type="http://schemas.openxmlformats.org/officeDocument/2006/relationships/image" Target="media/image10.png"/><Relationship Id="rId33" Type="http://schemas.microsoft.com/office/2007/relationships/hdphoto" Target="media/hdphoto5.wdp"/><Relationship Id="rId38" Type="http://schemas.openxmlformats.org/officeDocument/2006/relationships/image" Target="media/image17.emf"/><Relationship Id="rId46" Type="http://schemas.openxmlformats.org/officeDocument/2006/relationships/image" Target="media/image24.png"/><Relationship Id="rId59" Type="http://schemas.openxmlformats.org/officeDocument/2006/relationships/image" Target="media/image33.png"/><Relationship Id="rId67" Type="http://schemas.openxmlformats.org/officeDocument/2006/relationships/image" Target="media/image38.png"/><Relationship Id="rId103" Type="http://schemas.openxmlformats.org/officeDocument/2006/relationships/image" Target="media/image61.png"/><Relationship Id="rId108" Type="http://schemas.openxmlformats.org/officeDocument/2006/relationships/hyperlink" Target="https://www.tga.gov.au/product-information-pi" TargetMode="External"/><Relationship Id="rId116" Type="http://schemas.openxmlformats.org/officeDocument/2006/relationships/header" Target="header7.xml"/><Relationship Id="rId20" Type="http://schemas.microsoft.com/office/2007/relationships/hdphoto" Target="media/hdphoto2.wdp"/><Relationship Id="rId41" Type="http://schemas.openxmlformats.org/officeDocument/2006/relationships/image" Target="media/image20.emf"/><Relationship Id="rId54" Type="http://schemas.openxmlformats.org/officeDocument/2006/relationships/image" Target="media/image30.png"/><Relationship Id="rId62" Type="http://schemas.microsoft.com/office/2007/relationships/hdphoto" Target="media/hdphoto13.wdp"/><Relationship Id="rId70" Type="http://schemas.microsoft.com/office/2007/relationships/hdphoto" Target="media/hdphoto15.wdp"/><Relationship Id="rId75" Type="http://schemas.openxmlformats.org/officeDocument/2006/relationships/image" Target="media/image43.png"/><Relationship Id="rId83" Type="http://schemas.microsoft.com/office/2007/relationships/hdphoto" Target="media/hdphoto21.wdp"/><Relationship Id="rId88" Type="http://schemas.openxmlformats.org/officeDocument/2006/relationships/image" Target="media/image50.png"/><Relationship Id="rId91" Type="http://schemas.microsoft.com/office/2007/relationships/hdphoto" Target="media/hdphoto25.wdp"/><Relationship Id="rId96" Type="http://schemas.openxmlformats.org/officeDocument/2006/relationships/image" Target="media/image54.png"/><Relationship Id="rId111"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image" Target="media/image8.png"/><Relationship Id="rId28" Type="http://schemas.openxmlformats.org/officeDocument/2006/relationships/image" Target="media/image67.png"/><Relationship Id="rId36" Type="http://schemas.openxmlformats.org/officeDocument/2006/relationships/image" Target="media/image16.png"/><Relationship Id="rId49" Type="http://schemas.microsoft.com/office/2007/relationships/hdphoto" Target="media/hdphoto9.wdp"/><Relationship Id="rId57" Type="http://schemas.microsoft.com/office/2007/relationships/hdphoto" Target="media/hdphoto11.wdp"/><Relationship Id="rId106" Type="http://schemas.microsoft.com/office/2007/relationships/hdphoto" Target="media/hdphoto28.wdp"/><Relationship Id="rId114" Type="http://schemas.openxmlformats.org/officeDocument/2006/relationships/hyperlink" Target="https://www.tga.gov.au" TargetMode="External"/><Relationship Id="rId119" Type="http://schemas.openxmlformats.org/officeDocument/2006/relationships/footer" Target="footer4.xml"/><Relationship Id="rId10" Type="http://schemas.openxmlformats.org/officeDocument/2006/relationships/hyperlink" Target="mailto:tga.copyright@tga.gov.au" TargetMode="External"/><Relationship Id="rId31" Type="http://schemas.microsoft.com/office/2007/relationships/hdphoto" Target="media/hdphoto4.wdp"/><Relationship Id="rId44" Type="http://schemas.microsoft.com/office/2007/relationships/hdphoto" Target="media/hdphoto7.wdp"/><Relationship Id="rId52" Type="http://schemas.openxmlformats.org/officeDocument/2006/relationships/image" Target="media/image28.emf"/><Relationship Id="rId60" Type="http://schemas.microsoft.com/office/2007/relationships/hdphoto" Target="media/hdphoto12.wdp"/><Relationship Id="rId65" Type="http://schemas.openxmlformats.org/officeDocument/2006/relationships/image" Target="media/image36.png"/><Relationship Id="rId73" Type="http://schemas.openxmlformats.org/officeDocument/2006/relationships/image" Target="media/image42.png"/><Relationship Id="rId78" Type="http://schemas.microsoft.com/office/2007/relationships/hdphoto" Target="media/hdphoto19.wdp"/><Relationship Id="rId81" Type="http://schemas.microsoft.com/office/2007/relationships/hdphoto" Target="media/hdphoto20.wdp"/><Relationship Id="rId86" Type="http://schemas.openxmlformats.org/officeDocument/2006/relationships/image" Target="media/image49.png"/><Relationship Id="rId94" Type="http://schemas.openxmlformats.org/officeDocument/2006/relationships/image" Target="media/image53.png"/><Relationship Id="rId99" Type="http://schemas.openxmlformats.org/officeDocument/2006/relationships/image" Target="media/image57.emf"/><Relationship Id="rId101" Type="http://schemas.openxmlformats.org/officeDocument/2006/relationships/image" Target="media/image59.emf"/><Relationship Id="rId4" Type="http://schemas.microsoft.com/office/2007/relationships/stylesWithEffects" Target="stylesWithEffects.xml"/><Relationship Id="rId9" Type="http://schemas.openxmlformats.org/officeDocument/2006/relationships/hyperlink" Target="https://www.tga.gov.au" TargetMode="External"/><Relationship Id="rId13" Type="http://schemas.openxmlformats.org/officeDocument/2006/relationships/header" Target="header2.xml"/><Relationship Id="rId18" Type="http://schemas.openxmlformats.org/officeDocument/2006/relationships/hyperlink" Target="mailto:Biochemistry.Testing@tga.gov.au" TargetMode="External"/><Relationship Id="rId39" Type="http://schemas.openxmlformats.org/officeDocument/2006/relationships/image" Target="media/image18.emf"/><Relationship Id="rId109" Type="http://schemas.openxmlformats.org/officeDocument/2006/relationships/header" Target="header3.xml"/><Relationship Id="rId34" Type="http://schemas.openxmlformats.org/officeDocument/2006/relationships/image" Target="media/image14.png"/><Relationship Id="rId50" Type="http://schemas.openxmlformats.org/officeDocument/2006/relationships/image" Target="media/image26.emf"/><Relationship Id="rId55" Type="http://schemas.microsoft.com/office/2007/relationships/hdphoto" Target="media/hdphoto10.wdp"/><Relationship Id="rId76" Type="http://schemas.microsoft.com/office/2007/relationships/hdphoto" Target="media/hdphoto18.wdp"/><Relationship Id="rId97" Type="http://schemas.openxmlformats.org/officeDocument/2006/relationships/image" Target="media/image55.emf"/><Relationship Id="rId104" Type="http://schemas.openxmlformats.org/officeDocument/2006/relationships/image" Target="media/image62.png"/><Relationship Id="rId120"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41.png"/><Relationship Id="rId92" Type="http://schemas.openxmlformats.org/officeDocument/2006/relationships/image" Target="media/image52.png"/><Relationship Id="rId2" Type="http://schemas.openxmlformats.org/officeDocument/2006/relationships/numbering" Target="numbering.xml"/><Relationship Id="rId29" Type="http://schemas.openxmlformats.org/officeDocument/2006/relationships/image" Target="media/image11.png"/></Relationships>
</file>

<file path=word/_rels/footnotes.xml.rels><?xml version="1.0" encoding="UTF-8" standalone="yes"?>
<Relationships xmlns="http://schemas.openxmlformats.org/package/2006/relationships"><Relationship Id="rId3" Type="http://schemas.openxmlformats.org/officeDocument/2006/relationships/hyperlink" Target="https://www.ncbi.nlm.nih.gov/pubmed/?term=Israel%20EJ%5BAuthor%5D&amp;cauthor=true&amp;cauthor_uid=9370926" TargetMode="External"/><Relationship Id="rId2" Type="http://schemas.openxmlformats.org/officeDocument/2006/relationships/hyperlink" Target="https://www.ncbi.nlm.nih.gov/pubmed/9463396" TargetMode="External"/><Relationship Id="rId1" Type="http://schemas.openxmlformats.org/officeDocument/2006/relationships/hyperlink" Target="https://www.ncbi.nlm.nih.gov/pubmed/?term=Alonzi%20T%5BAuthor%5D&amp;cauthor=true&amp;cauthor_uid=9463396" TargetMode="External"/><Relationship Id="rId4" Type="http://schemas.openxmlformats.org/officeDocument/2006/relationships/hyperlink" Target="https://www.ncbi.nlm.nih.gov/pubmed/9370926"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rann\AppData\Local\Hewlett-Packard\HP%20TRIM\TEMP\HPTRIM.8116\R12%20926607%20%20AusPAR%20-%20template.DOTX" TargetMode="External"/></Relationships>
</file>

<file path=word/theme/theme1.xml><?xml version="1.0" encoding="utf-8"?>
<a:theme xmlns:a="http://schemas.openxmlformats.org/drawingml/2006/main" name="TGA">
  <a:themeElements>
    <a:clrScheme name="TGA_Colours">
      <a:dk1>
        <a:sysClr val="windowText" lastClr="000000"/>
      </a:dk1>
      <a:lt1>
        <a:sysClr val="window" lastClr="FFFFFF"/>
      </a:lt1>
      <a:dk2>
        <a:srgbClr val="002C47"/>
      </a:dk2>
      <a:lt2>
        <a:srgbClr val="50555C"/>
      </a:lt2>
      <a:accent1>
        <a:srgbClr val="002C47"/>
      </a:accent1>
      <a:accent2>
        <a:srgbClr val="B3C960"/>
      </a:accent2>
      <a:accent3>
        <a:srgbClr val="006DA7"/>
      </a:accent3>
      <a:accent4>
        <a:srgbClr val="006664"/>
      </a:accent4>
      <a:accent5>
        <a:srgbClr val="4D2779"/>
      </a:accent5>
      <a:accent6>
        <a:srgbClr val="25451C"/>
      </a:accent6>
      <a:hlink>
        <a:srgbClr val="50555C"/>
      </a:hlink>
      <a:folHlink>
        <a:srgbClr val="365171"/>
      </a:folHlink>
    </a:clrScheme>
    <a:fontScheme name="TGA Fonts">
      <a:majorFont>
        <a:latin typeface="Arial"/>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3300D4-DFE8-418B-A73B-AFD2DCC2D7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R12 926607  AusPAR - template.DOTX</Template>
  <TotalTime>24</TotalTime>
  <Pages>142</Pages>
  <Words>51173</Words>
  <Characters>291176</Characters>
  <Application>Microsoft Office Word</Application>
  <DocSecurity>0</DocSecurity>
  <Lines>13235</Lines>
  <Paragraphs>8558</Paragraphs>
  <ScaleCrop>false</ScaleCrop>
  <HeadingPairs>
    <vt:vector size="2" baseType="variant">
      <vt:variant>
        <vt:lpstr>Title</vt:lpstr>
      </vt:variant>
      <vt:variant>
        <vt:i4>1</vt:i4>
      </vt:variant>
    </vt:vector>
  </HeadingPairs>
  <TitlesOfParts>
    <vt:vector size="1" baseType="lpstr">
      <vt:lpstr>Australian Public Assessment Report for Sarilumab (rch)</vt:lpstr>
    </vt:vector>
  </TitlesOfParts>
  <Company>Department of Health Therapeutic Goods Administration</Company>
  <LinksUpToDate>false</LinksUpToDate>
  <CharactersWithSpaces>333791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Australian Public Assessment Report for Sarilumab (rch)</dc:title>
  <dc:subject>prescription medicines</dc:subject>
  <dc:creator>Therapeutic Goods Administration</dc:creator>
  <cp:keywords>AusPARs</cp:keywords>
  <cp:lastPrinted>2015-09-22T23:39:00Z</cp:lastPrinted>
  <dcterms:created xsi:type="dcterms:W3CDTF">2019-06-24T01:54:00Z</dcterms:created>
  <dcterms:modified xsi:type="dcterms:W3CDTF">2019-06-24T02:35:00Z</dcterms:modified>
  <cp:category/>
</cp:coreProperties>
</file>