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276D4" w14:textId="52B476FE" w:rsidR="00946C78" w:rsidRPr="0099478A" w:rsidRDefault="00946C78" w:rsidP="00946C78">
      <w:pPr>
        <w:tabs>
          <w:tab w:val="left" w:pos="284"/>
        </w:tabs>
        <w:spacing w:after="240"/>
        <w:rPr>
          <w:color w:val="auto"/>
        </w:rPr>
      </w:pPr>
      <w:r w:rsidRPr="0099478A">
        <w:rPr>
          <w:noProof/>
          <w:color w:val="auto"/>
          <w:lang w:val="en-AU"/>
        </w:rPr>
        <mc:AlternateContent>
          <mc:Choice Requires="wps">
            <w:drawing>
              <wp:inline distT="0" distB="0" distL="0" distR="0" wp14:anchorId="04556422" wp14:editId="5AEF19E8">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AD081" w14:textId="77777777" w:rsidR="00A6362F" w:rsidRPr="00BE2A26" w:rsidRDefault="00A6362F" w:rsidP="00946C78">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4556422"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21DAD081" w14:textId="77777777" w:rsidR="00A6362F" w:rsidRPr="00BE2A26" w:rsidRDefault="00A6362F" w:rsidP="00946C78">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99478A">
        <w:rPr>
          <w:color w:val="auto"/>
        </w:rPr>
        <w:t xml:space="preserve">This medicinal product is subject to additional monitoring in Australia. This will allow quick identification of new safety information. Healthcare professionals are asked to report any suspected adverse events at </w:t>
      </w:r>
      <w:hyperlink r:id="rId7" w:history="1">
        <w:r w:rsidRPr="0099478A">
          <w:rPr>
            <w:rStyle w:val="Hyperlink"/>
            <w:color w:val="auto"/>
          </w:rPr>
          <w:t>https://www.tga.gov.au/reporting-problems</w:t>
        </w:r>
      </w:hyperlink>
      <w:r w:rsidRPr="0099478A">
        <w:rPr>
          <w:color w:val="auto"/>
        </w:rPr>
        <w:t>.</w:t>
      </w:r>
    </w:p>
    <w:p w14:paraId="3FA36208" w14:textId="77777777" w:rsidR="00946C78" w:rsidRPr="0099478A" w:rsidRDefault="00946C78" w:rsidP="00834C48">
      <w:pPr>
        <w:jc w:val="center"/>
        <w:rPr>
          <w:b/>
          <w:color w:val="auto"/>
          <w:sz w:val="28"/>
          <w:szCs w:val="28"/>
        </w:rPr>
      </w:pPr>
    </w:p>
    <w:p w14:paraId="161D5D02" w14:textId="3BCCECC0" w:rsidR="00834C48" w:rsidRPr="0099478A" w:rsidRDefault="00834C48" w:rsidP="00834C48">
      <w:pPr>
        <w:jc w:val="center"/>
        <w:rPr>
          <w:b/>
          <w:color w:val="auto"/>
          <w:sz w:val="28"/>
          <w:szCs w:val="28"/>
        </w:rPr>
      </w:pPr>
      <w:r w:rsidRPr="0099478A">
        <w:rPr>
          <w:b/>
          <w:color w:val="auto"/>
          <w:sz w:val="28"/>
          <w:szCs w:val="28"/>
        </w:rPr>
        <w:t>AUSTRALIAN PRODUCT INFORMATION</w:t>
      </w:r>
    </w:p>
    <w:p w14:paraId="7F85CD8B" w14:textId="1AC7A869" w:rsidR="00834C48" w:rsidRPr="0099478A" w:rsidRDefault="009A29E3" w:rsidP="00834C48">
      <w:pPr>
        <w:jc w:val="center"/>
        <w:rPr>
          <w:b/>
          <w:color w:val="auto"/>
          <w:sz w:val="28"/>
          <w:szCs w:val="28"/>
        </w:rPr>
      </w:pPr>
      <w:proofErr w:type="spellStart"/>
      <w:r w:rsidRPr="0099478A">
        <w:rPr>
          <w:b/>
          <w:color w:val="auto"/>
          <w:sz w:val="28"/>
          <w:szCs w:val="28"/>
        </w:rPr>
        <w:t>Enspryng</w:t>
      </w:r>
      <w:proofErr w:type="spellEnd"/>
      <w:r w:rsidRPr="0099478A">
        <w:rPr>
          <w:b/>
          <w:color w:val="auto"/>
          <w:sz w:val="28"/>
          <w:szCs w:val="28"/>
          <w:vertAlign w:val="superscript"/>
        </w:rPr>
        <w:t>®</w:t>
      </w:r>
      <w:r w:rsidR="00834C48" w:rsidRPr="0099478A">
        <w:rPr>
          <w:b/>
          <w:color w:val="auto"/>
          <w:sz w:val="28"/>
          <w:szCs w:val="28"/>
        </w:rPr>
        <w:t xml:space="preserve"> (</w:t>
      </w:r>
      <w:proofErr w:type="spellStart"/>
      <w:r w:rsidRPr="0099478A">
        <w:rPr>
          <w:b/>
          <w:color w:val="auto"/>
          <w:sz w:val="28"/>
          <w:szCs w:val="28"/>
        </w:rPr>
        <w:t>satralizumab</w:t>
      </w:r>
      <w:proofErr w:type="spellEnd"/>
      <w:r w:rsidR="00834C48" w:rsidRPr="0099478A">
        <w:rPr>
          <w:b/>
          <w:color w:val="auto"/>
          <w:sz w:val="28"/>
          <w:szCs w:val="28"/>
        </w:rPr>
        <w:t>)</w:t>
      </w:r>
    </w:p>
    <w:p w14:paraId="7894954A" w14:textId="415DB635" w:rsidR="00A52C5C" w:rsidRPr="0099478A" w:rsidRDefault="00A52C5C" w:rsidP="00834C48">
      <w:pPr>
        <w:jc w:val="center"/>
        <w:rPr>
          <w:color w:val="auto"/>
        </w:rPr>
      </w:pPr>
    </w:p>
    <w:p w14:paraId="4323EDD0" w14:textId="77777777" w:rsidR="00945535" w:rsidRPr="0099478A" w:rsidRDefault="00945535" w:rsidP="00834C48">
      <w:pPr>
        <w:jc w:val="center"/>
        <w:rPr>
          <w:color w:val="auto"/>
        </w:rPr>
      </w:pPr>
    </w:p>
    <w:p w14:paraId="47123E67" w14:textId="77777777" w:rsidR="00D52399" w:rsidRPr="0099478A" w:rsidRDefault="006C73C2" w:rsidP="0087549F">
      <w:pPr>
        <w:pStyle w:val="Heading1"/>
        <w:numPr>
          <w:ilvl w:val="0"/>
          <w:numId w:val="3"/>
        </w:numPr>
        <w:spacing w:before="0"/>
        <w:rPr>
          <w:color w:val="auto"/>
        </w:rPr>
      </w:pPr>
      <w:r w:rsidRPr="0099478A">
        <w:rPr>
          <w:color w:val="auto"/>
        </w:rPr>
        <w:t>NAME OF THE MEDICINE</w:t>
      </w:r>
    </w:p>
    <w:p w14:paraId="21F0C6A4" w14:textId="317C3BDF" w:rsidR="00D52399" w:rsidRPr="0099478A" w:rsidRDefault="00A55969" w:rsidP="009F4C5B">
      <w:pPr>
        <w:spacing w:after="240"/>
        <w:rPr>
          <w:color w:val="auto"/>
        </w:rPr>
      </w:pPr>
      <w:proofErr w:type="spellStart"/>
      <w:r w:rsidRPr="0099478A">
        <w:rPr>
          <w:color w:val="auto"/>
        </w:rPr>
        <w:t>S</w:t>
      </w:r>
      <w:r w:rsidR="009A29E3" w:rsidRPr="0099478A">
        <w:rPr>
          <w:color w:val="auto"/>
        </w:rPr>
        <w:t>atralizumab</w:t>
      </w:r>
      <w:proofErr w:type="spellEnd"/>
    </w:p>
    <w:p w14:paraId="2D015786" w14:textId="77777777" w:rsidR="00D52399" w:rsidRPr="0099478A" w:rsidRDefault="00615052" w:rsidP="009F4C5B">
      <w:pPr>
        <w:pStyle w:val="Heading1"/>
        <w:numPr>
          <w:ilvl w:val="0"/>
          <w:numId w:val="3"/>
        </w:numPr>
        <w:spacing w:before="0"/>
        <w:rPr>
          <w:color w:val="auto"/>
        </w:rPr>
      </w:pPr>
      <w:r w:rsidRPr="0099478A">
        <w:rPr>
          <w:color w:val="auto"/>
        </w:rPr>
        <w:t>QUALITATIVE AND QUANTITATIVE COMPOSITION</w:t>
      </w:r>
    </w:p>
    <w:p w14:paraId="39935EFD" w14:textId="4FFF4D2A" w:rsidR="00A55969" w:rsidRPr="0099478A" w:rsidRDefault="00A55969" w:rsidP="00A55969">
      <w:pPr>
        <w:rPr>
          <w:color w:val="auto"/>
        </w:rPr>
      </w:pPr>
      <w:r w:rsidRPr="0099478A">
        <w:rPr>
          <w:color w:val="auto"/>
        </w:rPr>
        <w:t xml:space="preserve">Each pre-filled syringe (PFS) contains 120 mg of </w:t>
      </w:r>
      <w:proofErr w:type="spellStart"/>
      <w:r w:rsidRPr="0099478A">
        <w:rPr>
          <w:color w:val="auto"/>
        </w:rPr>
        <w:t>satralizumab</w:t>
      </w:r>
      <w:proofErr w:type="spellEnd"/>
      <w:r w:rsidRPr="0099478A">
        <w:rPr>
          <w:color w:val="auto"/>
        </w:rPr>
        <w:t xml:space="preserve"> in 1 </w:t>
      </w:r>
      <w:proofErr w:type="spellStart"/>
      <w:r w:rsidR="00DA6CCC" w:rsidRPr="0099478A">
        <w:rPr>
          <w:color w:val="auto"/>
        </w:rPr>
        <w:t>m</w:t>
      </w:r>
      <w:r w:rsidR="00DA6CCC">
        <w:rPr>
          <w:color w:val="auto"/>
        </w:rPr>
        <w:t>L</w:t>
      </w:r>
      <w:r w:rsidRPr="0099478A">
        <w:rPr>
          <w:color w:val="auto"/>
        </w:rPr>
        <w:t>.</w:t>
      </w:r>
      <w:proofErr w:type="spellEnd"/>
    </w:p>
    <w:p w14:paraId="3F444D16" w14:textId="02B2144F" w:rsidR="00A55969" w:rsidRPr="0099478A" w:rsidRDefault="00A55969" w:rsidP="00A55969">
      <w:pPr>
        <w:rPr>
          <w:color w:val="auto"/>
          <w:u w:val="single"/>
        </w:rPr>
      </w:pPr>
    </w:p>
    <w:p w14:paraId="78505225" w14:textId="77777777" w:rsidR="00D52399" w:rsidRPr="0099478A" w:rsidRDefault="00615052" w:rsidP="009F4C5B">
      <w:pPr>
        <w:spacing w:after="240"/>
        <w:rPr>
          <w:color w:val="auto"/>
          <w:u w:val="single"/>
        </w:rPr>
      </w:pPr>
      <w:bookmarkStart w:id="0" w:name="_gjdgxs" w:colFirst="0" w:colLast="0"/>
      <w:bookmarkEnd w:id="0"/>
      <w:r w:rsidRPr="0099478A">
        <w:rPr>
          <w:color w:val="auto"/>
        </w:rPr>
        <w:t>For the full list of excipients, see section 6.1</w:t>
      </w:r>
      <w:r w:rsidR="009F4C5B" w:rsidRPr="0099478A">
        <w:rPr>
          <w:color w:val="auto"/>
        </w:rPr>
        <w:t xml:space="preserve"> List of excipients</w:t>
      </w:r>
      <w:r w:rsidRPr="0099478A">
        <w:rPr>
          <w:color w:val="auto"/>
        </w:rPr>
        <w:t>.</w:t>
      </w:r>
    </w:p>
    <w:p w14:paraId="3C6C3EDE" w14:textId="77777777" w:rsidR="00D52399" w:rsidRPr="0099478A" w:rsidRDefault="00615052" w:rsidP="009F4C5B">
      <w:pPr>
        <w:pStyle w:val="Heading1"/>
        <w:numPr>
          <w:ilvl w:val="0"/>
          <w:numId w:val="3"/>
        </w:numPr>
        <w:spacing w:before="0"/>
        <w:rPr>
          <w:color w:val="auto"/>
        </w:rPr>
      </w:pPr>
      <w:r w:rsidRPr="0099478A">
        <w:rPr>
          <w:color w:val="auto"/>
        </w:rPr>
        <w:t>PHARMACEUTICAL FORM</w:t>
      </w:r>
    </w:p>
    <w:p w14:paraId="1FB49401" w14:textId="51EB4DE3" w:rsidR="00AA7BC6" w:rsidRPr="0099478A" w:rsidRDefault="00A55969" w:rsidP="00AA7BC6">
      <w:pPr>
        <w:rPr>
          <w:color w:val="auto"/>
        </w:rPr>
      </w:pPr>
      <w:r w:rsidRPr="0099478A">
        <w:rPr>
          <w:color w:val="auto"/>
        </w:rPr>
        <w:t>Solution for injection.</w:t>
      </w:r>
    </w:p>
    <w:p w14:paraId="4B17EDA2" w14:textId="358D8205" w:rsidR="00A55969" w:rsidRPr="0099478A" w:rsidRDefault="00A55969" w:rsidP="00AA7BC6">
      <w:pPr>
        <w:rPr>
          <w:color w:val="auto"/>
        </w:rPr>
      </w:pPr>
    </w:p>
    <w:p w14:paraId="10C1C892" w14:textId="1EC1EA57" w:rsidR="00A55969" w:rsidRPr="0099478A" w:rsidRDefault="00A55969" w:rsidP="00A55969">
      <w:pPr>
        <w:spacing w:after="240"/>
        <w:rPr>
          <w:color w:val="auto"/>
        </w:rPr>
      </w:pPr>
      <w:r w:rsidRPr="0099478A">
        <w:rPr>
          <w:color w:val="auto"/>
        </w:rPr>
        <w:t>Colourless to slightly yellow liquid.</w:t>
      </w:r>
    </w:p>
    <w:p w14:paraId="04E6AE85" w14:textId="77777777" w:rsidR="00D52399" w:rsidRPr="0099478A" w:rsidRDefault="00615052" w:rsidP="009F4C5B">
      <w:pPr>
        <w:pStyle w:val="Heading1"/>
        <w:numPr>
          <w:ilvl w:val="0"/>
          <w:numId w:val="3"/>
        </w:numPr>
        <w:spacing w:before="0"/>
        <w:rPr>
          <w:color w:val="auto"/>
        </w:rPr>
      </w:pPr>
      <w:r w:rsidRPr="0099478A">
        <w:rPr>
          <w:color w:val="auto"/>
        </w:rPr>
        <w:t>CLINICAL PARTICULARS</w:t>
      </w:r>
    </w:p>
    <w:p w14:paraId="20C1D313" w14:textId="77777777" w:rsidR="00D52399" w:rsidRPr="0099478A" w:rsidRDefault="00902EBE" w:rsidP="009F4C5B">
      <w:pPr>
        <w:pStyle w:val="Heading2"/>
        <w:numPr>
          <w:ilvl w:val="0"/>
          <w:numId w:val="1"/>
        </w:numPr>
        <w:spacing w:before="0"/>
        <w:ind w:hanging="786"/>
        <w:rPr>
          <w:color w:val="auto"/>
        </w:rPr>
      </w:pPr>
      <w:r w:rsidRPr="0099478A">
        <w:rPr>
          <w:color w:val="auto"/>
        </w:rPr>
        <w:t>THERAPEUTIC INDICATIONS</w:t>
      </w:r>
    </w:p>
    <w:p w14:paraId="46CB4091" w14:textId="622F2D88" w:rsidR="00D52399" w:rsidRPr="0099478A" w:rsidRDefault="009A29E3">
      <w:pPr>
        <w:rPr>
          <w:color w:val="auto"/>
        </w:rPr>
      </w:pPr>
      <w:proofErr w:type="spellStart"/>
      <w:r w:rsidRPr="0099478A">
        <w:rPr>
          <w:color w:val="auto"/>
        </w:rPr>
        <w:t>Enspryng</w:t>
      </w:r>
      <w:proofErr w:type="spellEnd"/>
      <w:r w:rsidRPr="0099478A">
        <w:rPr>
          <w:color w:val="auto"/>
        </w:rPr>
        <w:t xml:space="preserve"> is indicated as monotherapy or in combination with immunosuppressive therapy (IST) for the treatment of adult</w:t>
      </w:r>
      <w:r w:rsidR="007B1651">
        <w:rPr>
          <w:color w:val="auto"/>
        </w:rPr>
        <w:t>s</w:t>
      </w:r>
      <w:r w:rsidRPr="0099478A">
        <w:rPr>
          <w:color w:val="auto"/>
        </w:rPr>
        <w:t xml:space="preserve"> with</w:t>
      </w:r>
      <w:r w:rsidR="00584366" w:rsidRPr="0099478A">
        <w:rPr>
          <w:color w:val="auto"/>
        </w:rPr>
        <w:t xml:space="preserve"> </w:t>
      </w:r>
      <w:r w:rsidRPr="0099478A">
        <w:rPr>
          <w:color w:val="auto"/>
        </w:rPr>
        <w:t xml:space="preserve">neuromyelitis </w:t>
      </w:r>
      <w:proofErr w:type="spellStart"/>
      <w:r w:rsidRPr="0099478A">
        <w:rPr>
          <w:color w:val="auto"/>
        </w:rPr>
        <w:t>optica</w:t>
      </w:r>
      <w:proofErr w:type="spellEnd"/>
      <w:r w:rsidRPr="0099478A">
        <w:rPr>
          <w:color w:val="auto"/>
        </w:rPr>
        <w:t xml:space="preserve"> spectrum disorders (NMOSD)</w:t>
      </w:r>
      <w:r w:rsidR="00615052" w:rsidRPr="0099478A">
        <w:rPr>
          <w:color w:val="auto"/>
        </w:rPr>
        <w:t xml:space="preserve"> </w:t>
      </w:r>
      <w:r w:rsidR="00B33754">
        <w:rPr>
          <w:color w:val="auto"/>
        </w:rPr>
        <w:t xml:space="preserve">who </w:t>
      </w:r>
      <w:r w:rsidR="00A6362F">
        <w:rPr>
          <w:color w:val="auto"/>
        </w:rPr>
        <w:t>h</w:t>
      </w:r>
      <w:r w:rsidR="00B33754">
        <w:rPr>
          <w:color w:val="auto"/>
        </w:rPr>
        <w:t>a</w:t>
      </w:r>
      <w:r w:rsidR="00A6362F">
        <w:rPr>
          <w:color w:val="auto"/>
        </w:rPr>
        <w:t>v</w:t>
      </w:r>
      <w:r w:rsidR="00B33754">
        <w:rPr>
          <w:color w:val="auto"/>
        </w:rPr>
        <w:t xml:space="preserve">e </w:t>
      </w:r>
      <w:r w:rsidR="00A6362F">
        <w:rPr>
          <w:color w:val="auto"/>
        </w:rPr>
        <w:t xml:space="preserve">an </w:t>
      </w:r>
      <w:r w:rsidR="00564A5D" w:rsidRPr="00304FFD">
        <w:rPr>
          <w:color w:val="auto"/>
        </w:rPr>
        <w:t>anti-</w:t>
      </w:r>
      <w:r w:rsidR="00607998" w:rsidRPr="00304FFD">
        <w:rPr>
          <w:color w:val="auto"/>
        </w:rPr>
        <w:t>aquaporin 4</w:t>
      </w:r>
      <w:r w:rsidR="009D2217">
        <w:rPr>
          <w:color w:val="auto"/>
        </w:rPr>
        <w:t xml:space="preserve"> antibody</w:t>
      </w:r>
      <w:r w:rsidR="00607998" w:rsidRPr="00304FFD">
        <w:rPr>
          <w:color w:val="auto"/>
        </w:rPr>
        <w:t xml:space="preserve"> (</w:t>
      </w:r>
      <w:r w:rsidR="00564A5D" w:rsidRPr="00304FFD">
        <w:rPr>
          <w:color w:val="auto"/>
        </w:rPr>
        <w:t>AQP4</w:t>
      </w:r>
      <w:r w:rsidR="00607998">
        <w:rPr>
          <w:color w:val="auto"/>
        </w:rPr>
        <w:t>)</w:t>
      </w:r>
      <w:r w:rsidR="00564A5D" w:rsidRPr="0099478A">
        <w:rPr>
          <w:color w:val="auto"/>
        </w:rPr>
        <w:t>-IgG</w:t>
      </w:r>
      <w:r w:rsidR="00A6362F">
        <w:rPr>
          <w:color w:val="auto"/>
        </w:rPr>
        <w:t xml:space="preserve"> (</w:t>
      </w:r>
      <w:r w:rsidR="009D2217">
        <w:rPr>
          <w:color w:val="auto"/>
        </w:rPr>
        <w:t xml:space="preserve">also termed </w:t>
      </w:r>
      <w:r w:rsidR="00A6362F">
        <w:rPr>
          <w:color w:val="auto"/>
        </w:rPr>
        <w:t xml:space="preserve">NMO-IgG) </w:t>
      </w:r>
      <w:r w:rsidR="00564A5D" w:rsidRPr="0099478A">
        <w:rPr>
          <w:color w:val="auto"/>
        </w:rPr>
        <w:t>positive</w:t>
      </w:r>
      <w:r w:rsidR="00A6362F">
        <w:rPr>
          <w:color w:val="auto"/>
        </w:rPr>
        <w:t xml:space="preserve"> status</w:t>
      </w:r>
      <w:r w:rsidR="00564A5D" w:rsidRPr="0099478A">
        <w:rPr>
          <w:color w:val="auto"/>
        </w:rPr>
        <w:t>.</w:t>
      </w:r>
    </w:p>
    <w:p w14:paraId="7E78CB25" w14:textId="77777777" w:rsidR="00D52399" w:rsidRPr="0099478A" w:rsidRDefault="00902EBE" w:rsidP="00A8585F">
      <w:pPr>
        <w:pStyle w:val="Heading2"/>
        <w:numPr>
          <w:ilvl w:val="1"/>
          <w:numId w:val="2"/>
        </w:numPr>
        <w:ind w:left="0" w:firstLine="0"/>
        <w:rPr>
          <w:color w:val="auto"/>
        </w:rPr>
      </w:pPr>
      <w:r w:rsidRPr="0099478A">
        <w:rPr>
          <w:color w:val="auto"/>
        </w:rPr>
        <w:t>DOSE AND METHOD OF ADMINISTRATION</w:t>
      </w:r>
    </w:p>
    <w:p w14:paraId="5A360E2F" w14:textId="1F375D97" w:rsidR="00584366" w:rsidRDefault="00584366" w:rsidP="00584366">
      <w:pPr>
        <w:rPr>
          <w:color w:val="auto"/>
        </w:rPr>
      </w:pPr>
      <w:r w:rsidRPr="0099478A">
        <w:rPr>
          <w:color w:val="auto"/>
        </w:rPr>
        <w:t>Treatment should be initiated under the supervision of a physician experienced in the treatment of NMOSD.</w:t>
      </w:r>
    </w:p>
    <w:p w14:paraId="2A0E2DD1" w14:textId="64A21386" w:rsidR="00F82D92" w:rsidRDefault="00F82D92" w:rsidP="00584366">
      <w:pPr>
        <w:rPr>
          <w:color w:val="auto"/>
        </w:rPr>
      </w:pPr>
    </w:p>
    <w:p w14:paraId="38D3F6A3" w14:textId="72A8DA5A" w:rsidR="00F82D92" w:rsidRPr="00304FFD" w:rsidRDefault="00F82D92" w:rsidP="00584366">
      <w:pPr>
        <w:rPr>
          <w:color w:val="auto"/>
        </w:rPr>
      </w:pPr>
      <w:proofErr w:type="spellStart"/>
      <w:r w:rsidRPr="00F63D15">
        <w:rPr>
          <w:color w:val="auto"/>
        </w:rPr>
        <w:t>Enspryng</w:t>
      </w:r>
      <w:proofErr w:type="spellEnd"/>
      <w:r w:rsidRPr="00F63D15">
        <w:rPr>
          <w:color w:val="auto"/>
        </w:rPr>
        <w:t xml:space="preserve"> is not intended for the acute treatment of an NMOSD relapse.</w:t>
      </w:r>
    </w:p>
    <w:p w14:paraId="3E805B43" w14:textId="77777777" w:rsidR="00584366" w:rsidRPr="0099478A" w:rsidRDefault="00584366" w:rsidP="00584366">
      <w:pPr>
        <w:rPr>
          <w:color w:val="auto"/>
        </w:rPr>
      </w:pPr>
    </w:p>
    <w:p w14:paraId="5EE477D6" w14:textId="371B7901" w:rsidR="00584366" w:rsidRPr="0099478A" w:rsidRDefault="00584366" w:rsidP="00584366">
      <w:pPr>
        <w:rPr>
          <w:color w:val="auto"/>
        </w:rPr>
      </w:pPr>
      <w:proofErr w:type="gramStart"/>
      <w:r w:rsidRPr="0099478A">
        <w:rPr>
          <w:color w:val="auto"/>
        </w:rPr>
        <w:t>In order to</w:t>
      </w:r>
      <w:proofErr w:type="gramEnd"/>
      <w:r w:rsidRPr="0099478A">
        <w:rPr>
          <w:color w:val="auto"/>
        </w:rPr>
        <w:t xml:space="preserve"> prevent medication errors, it is important to check the PFS label to ensure that the drug being administered is </w:t>
      </w:r>
      <w:proofErr w:type="spellStart"/>
      <w:r w:rsidRPr="0099478A">
        <w:rPr>
          <w:color w:val="auto"/>
        </w:rPr>
        <w:t>Enspryng</w:t>
      </w:r>
      <w:proofErr w:type="spellEnd"/>
      <w:r w:rsidRPr="0099478A">
        <w:rPr>
          <w:color w:val="auto"/>
        </w:rPr>
        <w:t>.</w:t>
      </w:r>
    </w:p>
    <w:p w14:paraId="06E7408A" w14:textId="4A4D33A5" w:rsidR="00C97165" w:rsidRPr="0099478A" w:rsidRDefault="00C97165" w:rsidP="00584366">
      <w:pPr>
        <w:rPr>
          <w:color w:val="auto"/>
        </w:rPr>
      </w:pPr>
    </w:p>
    <w:p w14:paraId="7B164DCA" w14:textId="669E3858" w:rsidR="00D52399" w:rsidRPr="0099478A" w:rsidRDefault="00615052" w:rsidP="00CC6729">
      <w:pPr>
        <w:pStyle w:val="Heading3"/>
        <w:rPr>
          <w:color w:val="auto"/>
        </w:rPr>
      </w:pPr>
      <w:r w:rsidRPr="0099478A">
        <w:rPr>
          <w:color w:val="auto"/>
        </w:rPr>
        <w:t>Dos</w:t>
      </w:r>
      <w:r w:rsidR="00F5220C" w:rsidRPr="0099478A">
        <w:rPr>
          <w:color w:val="auto"/>
        </w:rPr>
        <w:t>age</w:t>
      </w:r>
    </w:p>
    <w:p w14:paraId="21B32842" w14:textId="77777777" w:rsidR="009A29E3" w:rsidRPr="0099478A" w:rsidRDefault="009A29E3" w:rsidP="009A29E3">
      <w:pPr>
        <w:rPr>
          <w:b/>
          <w:color w:val="auto"/>
        </w:rPr>
      </w:pPr>
      <w:r w:rsidRPr="0099478A">
        <w:rPr>
          <w:b/>
          <w:color w:val="auto"/>
        </w:rPr>
        <w:t>For subcutaneous use only.</w:t>
      </w:r>
    </w:p>
    <w:p w14:paraId="3CA5B1FF" w14:textId="77777777" w:rsidR="003E52B8" w:rsidRPr="0099478A" w:rsidRDefault="003E52B8" w:rsidP="003E52B8">
      <w:pPr>
        <w:rPr>
          <w:color w:val="auto"/>
        </w:rPr>
      </w:pPr>
    </w:p>
    <w:p w14:paraId="09808225" w14:textId="5AED40C0" w:rsidR="0099478A" w:rsidRPr="0099478A" w:rsidRDefault="00AD5FED" w:rsidP="009A29E3">
      <w:pPr>
        <w:rPr>
          <w:color w:val="auto"/>
        </w:rPr>
      </w:pPr>
      <w:proofErr w:type="spellStart"/>
      <w:r w:rsidRPr="0099478A">
        <w:rPr>
          <w:color w:val="auto"/>
        </w:rPr>
        <w:t>Enspryng</w:t>
      </w:r>
      <w:proofErr w:type="spellEnd"/>
      <w:r w:rsidR="009A29E3" w:rsidRPr="0099478A">
        <w:rPr>
          <w:color w:val="auto"/>
        </w:rPr>
        <w:t xml:space="preserve"> may be used as monotherapy or in combination with IST such as oral corticosteroids</w:t>
      </w:r>
      <w:r w:rsidR="000D5E02" w:rsidRPr="0099478A">
        <w:rPr>
          <w:color w:val="auto"/>
        </w:rPr>
        <w:t xml:space="preserve"> (OCs)</w:t>
      </w:r>
      <w:r w:rsidR="009A29E3" w:rsidRPr="0099478A">
        <w:rPr>
          <w:color w:val="auto"/>
        </w:rPr>
        <w:t>, azathioprine</w:t>
      </w:r>
      <w:r w:rsidR="000D5E02" w:rsidRPr="0099478A">
        <w:rPr>
          <w:color w:val="auto"/>
        </w:rPr>
        <w:t xml:space="preserve"> (AZA</w:t>
      </w:r>
      <w:r w:rsidR="009A29E3" w:rsidRPr="0099478A">
        <w:rPr>
          <w:color w:val="auto"/>
        </w:rPr>
        <w:t xml:space="preserve">, </w:t>
      </w:r>
      <w:r w:rsidR="00584366" w:rsidRPr="0099478A">
        <w:rPr>
          <w:color w:val="auto"/>
        </w:rPr>
        <w:t>or</w:t>
      </w:r>
      <w:r w:rsidR="009A29E3" w:rsidRPr="0099478A">
        <w:rPr>
          <w:color w:val="auto"/>
        </w:rPr>
        <w:t xml:space="preserve"> mycophenolate mofetil</w:t>
      </w:r>
      <w:r w:rsidR="00584366" w:rsidRPr="0099478A">
        <w:rPr>
          <w:color w:val="auto"/>
        </w:rPr>
        <w:t xml:space="preserve"> </w:t>
      </w:r>
      <w:r w:rsidR="000D5E02" w:rsidRPr="0099478A">
        <w:rPr>
          <w:color w:val="auto"/>
        </w:rPr>
        <w:t xml:space="preserve">(MMF) </w:t>
      </w:r>
      <w:r w:rsidR="00584366" w:rsidRPr="0099478A">
        <w:rPr>
          <w:color w:val="auto"/>
        </w:rPr>
        <w:t>(see section 5.1)</w:t>
      </w:r>
      <w:r w:rsidR="009A29E3" w:rsidRPr="0099478A">
        <w:rPr>
          <w:color w:val="auto"/>
        </w:rPr>
        <w:t>.</w:t>
      </w:r>
    </w:p>
    <w:p w14:paraId="4D08E62B" w14:textId="7FF16C6E" w:rsidR="00745157" w:rsidRPr="0099478A" w:rsidRDefault="00745157" w:rsidP="00745157">
      <w:pPr>
        <w:pStyle w:val="Heading4"/>
        <w:rPr>
          <w:color w:val="auto"/>
        </w:rPr>
      </w:pPr>
      <w:r w:rsidRPr="0099478A">
        <w:rPr>
          <w:color w:val="auto"/>
        </w:rPr>
        <w:t>Loading dose</w:t>
      </w:r>
    </w:p>
    <w:p w14:paraId="0235AEB9" w14:textId="1DC2F674" w:rsidR="00745157" w:rsidRDefault="009A29E3" w:rsidP="009A29E3">
      <w:pPr>
        <w:rPr>
          <w:color w:val="auto"/>
        </w:rPr>
      </w:pPr>
      <w:r w:rsidRPr="0099478A">
        <w:rPr>
          <w:color w:val="auto"/>
        </w:rPr>
        <w:t xml:space="preserve">The recommended loading dose of </w:t>
      </w:r>
      <w:proofErr w:type="spellStart"/>
      <w:r w:rsidRPr="0099478A">
        <w:rPr>
          <w:color w:val="auto"/>
        </w:rPr>
        <w:t>E</w:t>
      </w:r>
      <w:r w:rsidR="007966DA" w:rsidRPr="0099478A">
        <w:rPr>
          <w:color w:val="auto"/>
        </w:rPr>
        <w:t>nspryng</w:t>
      </w:r>
      <w:proofErr w:type="spellEnd"/>
      <w:r w:rsidRPr="0099478A">
        <w:rPr>
          <w:color w:val="auto"/>
        </w:rPr>
        <w:t xml:space="preserve"> is 120 mg </w:t>
      </w:r>
      <w:r w:rsidR="00745157" w:rsidRPr="0099478A">
        <w:rPr>
          <w:color w:val="auto"/>
        </w:rPr>
        <w:t>by subcutaneous injection (SC) every 2 weeks (first dose at week 0, second dose at week 2 and third dose at week 4) for the first three administrations.</w:t>
      </w:r>
    </w:p>
    <w:p w14:paraId="5B759555" w14:textId="77777777" w:rsidR="003E065E" w:rsidRPr="0099478A" w:rsidRDefault="003E065E" w:rsidP="009A29E3">
      <w:pPr>
        <w:rPr>
          <w:color w:val="auto"/>
        </w:rPr>
      </w:pPr>
    </w:p>
    <w:p w14:paraId="2A08898D" w14:textId="49A6D868" w:rsidR="00745157" w:rsidRPr="0099478A" w:rsidRDefault="00745157" w:rsidP="00745157">
      <w:pPr>
        <w:pStyle w:val="Heading4"/>
        <w:rPr>
          <w:color w:val="auto"/>
        </w:rPr>
      </w:pPr>
      <w:r w:rsidRPr="0099478A">
        <w:rPr>
          <w:color w:val="auto"/>
        </w:rPr>
        <w:lastRenderedPageBreak/>
        <w:t>Maintenance dose</w:t>
      </w:r>
    </w:p>
    <w:p w14:paraId="275A99C6" w14:textId="535E7053" w:rsidR="009A29E3" w:rsidRPr="0099478A" w:rsidRDefault="00745157" w:rsidP="009A29E3">
      <w:pPr>
        <w:rPr>
          <w:color w:val="auto"/>
        </w:rPr>
      </w:pPr>
      <w:r w:rsidRPr="0099478A">
        <w:rPr>
          <w:color w:val="auto"/>
        </w:rPr>
        <w:t>The recommended maintenance dose is</w:t>
      </w:r>
      <w:r w:rsidR="009A29E3" w:rsidRPr="0099478A">
        <w:rPr>
          <w:color w:val="auto"/>
        </w:rPr>
        <w:t xml:space="preserve"> 120 mg </w:t>
      </w:r>
      <w:r w:rsidRPr="0099478A">
        <w:rPr>
          <w:color w:val="auto"/>
        </w:rPr>
        <w:t xml:space="preserve">SC </w:t>
      </w:r>
      <w:r w:rsidR="009A29E3" w:rsidRPr="0099478A">
        <w:rPr>
          <w:color w:val="auto"/>
        </w:rPr>
        <w:t>every 4 weeks.</w:t>
      </w:r>
    </w:p>
    <w:p w14:paraId="657D106D" w14:textId="77777777" w:rsidR="000802F3" w:rsidRPr="0099478A" w:rsidRDefault="000802F3" w:rsidP="009A29E3">
      <w:pPr>
        <w:rPr>
          <w:color w:val="auto"/>
        </w:rPr>
      </w:pPr>
    </w:p>
    <w:p w14:paraId="59CA0EC7" w14:textId="386FA59C" w:rsidR="009A29E3" w:rsidRPr="0099478A" w:rsidRDefault="00584366" w:rsidP="007966DA">
      <w:pPr>
        <w:pStyle w:val="Heading3"/>
        <w:rPr>
          <w:color w:val="auto"/>
        </w:rPr>
      </w:pPr>
      <w:r w:rsidRPr="0099478A">
        <w:rPr>
          <w:color w:val="auto"/>
        </w:rPr>
        <w:t>Duration of treatment</w:t>
      </w:r>
    </w:p>
    <w:p w14:paraId="537A554C" w14:textId="32954E05" w:rsidR="00584366" w:rsidRPr="0099478A" w:rsidRDefault="00584366" w:rsidP="009A29E3">
      <w:pPr>
        <w:rPr>
          <w:color w:val="auto"/>
        </w:rPr>
      </w:pPr>
      <w:proofErr w:type="spellStart"/>
      <w:r w:rsidRPr="0099478A">
        <w:rPr>
          <w:color w:val="auto"/>
        </w:rPr>
        <w:t>Enspryng</w:t>
      </w:r>
      <w:proofErr w:type="spellEnd"/>
      <w:r w:rsidRPr="0099478A">
        <w:rPr>
          <w:color w:val="auto"/>
        </w:rPr>
        <w:t xml:space="preserve"> is in</w:t>
      </w:r>
      <w:r w:rsidR="007966DA" w:rsidRPr="0099478A">
        <w:rPr>
          <w:color w:val="auto"/>
        </w:rPr>
        <w:t>tended for long-term treatment.</w:t>
      </w:r>
    </w:p>
    <w:p w14:paraId="24DEE385" w14:textId="77777777" w:rsidR="00A52C5C" w:rsidRPr="0099478A" w:rsidRDefault="00A52C5C" w:rsidP="009A29E3">
      <w:pPr>
        <w:rPr>
          <w:color w:val="auto"/>
        </w:rPr>
      </w:pPr>
    </w:p>
    <w:p w14:paraId="37A5DDEE" w14:textId="6C53C946" w:rsidR="009A29E3" w:rsidRPr="0099478A" w:rsidRDefault="00584366" w:rsidP="007966DA">
      <w:pPr>
        <w:pStyle w:val="Heading3"/>
        <w:rPr>
          <w:color w:val="auto"/>
        </w:rPr>
      </w:pPr>
      <w:r w:rsidRPr="0099478A">
        <w:rPr>
          <w:color w:val="auto"/>
        </w:rPr>
        <w:t>Delayed or m</w:t>
      </w:r>
      <w:r w:rsidR="009A29E3" w:rsidRPr="0099478A">
        <w:rPr>
          <w:color w:val="auto"/>
        </w:rPr>
        <w:t xml:space="preserve">issed </w:t>
      </w:r>
      <w:r w:rsidRPr="0099478A">
        <w:rPr>
          <w:color w:val="auto"/>
        </w:rPr>
        <w:t>d</w:t>
      </w:r>
      <w:r w:rsidR="009A29E3" w:rsidRPr="0099478A">
        <w:rPr>
          <w:color w:val="auto"/>
        </w:rPr>
        <w:t>ose</w:t>
      </w:r>
    </w:p>
    <w:p w14:paraId="601B985A" w14:textId="562CCA08" w:rsidR="00834C48" w:rsidRPr="00C2740A" w:rsidRDefault="009A29E3" w:rsidP="007D0D68">
      <w:pPr>
        <w:rPr>
          <w:color w:val="auto"/>
          <w:lang w:val="en-AU"/>
        </w:rPr>
      </w:pPr>
      <w:r w:rsidRPr="0099478A">
        <w:rPr>
          <w:color w:val="auto"/>
        </w:rPr>
        <w:t xml:space="preserve">If a dose of </w:t>
      </w:r>
      <w:proofErr w:type="spellStart"/>
      <w:r w:rsidRPr="0099478A">
        <w:rPr>
          <w:color w:val="auto"/>
        </w:rPr>
        <w:t>E</w:t>
      </w:r>
      <w:r w:rsidR="007966DA" w:rsidRPr="0099478A">
        <w:rPr>
          <w:color w:val="auto"/>
        </w:rPr>
        <w:t>nspryng</w:t>
      </w:r>
      <w:proofErr w:type="spellEnd"/>
      <w:r w:rsidRPr="0099478A">
        <w:rPr>
          <w:color w:val="auto"/>
        </w:rPr>
        <w:t xml:space="preserve"> is missed, </w:t>
      </w:r>
      <w:r w:rsidR="00FE02F7" w:rsidRPr="00FE02F7">
        <w:rPr>
          <w:color w:val="auto"/>
        </w:rPr>
        <w:t xml:space="preserve">for any reason other than increases in liver enzymes, </w:t>
      </w:r>
      <w:r w:rsidR="00FE02F7">
        <w:rPr>
          <w:color w:val="auto"/>
        </w:rPr>
        <w:t xml:space="preserve">it should be </w:t>
      </w:r>
      <w:r w:rsidRPr="0099478A">
        <w:rPr>
          <w:color w:val="auto"/>
        </w:rPr>
        <w:t>administer</w:t>
      </w:r>
      <w:r w:rsidR="00FE02F7">
        <w:rPr>
          <w:color w:val="auto"/>
        </w:rPr>
        <w:t>ed</w:t>
      </w:r>
      <w:r w:rsidRPr="0099478A">
        <w:rPr>
          <w:color w:val="auto"/>
        </w:rPr>
        <w:t xml:space="preserve"> as</w:t>
      </w:r>
      <w:r w:rsidR="00FE02F7">
        <w:rPr>
          <w:color w:val="auto"/>
        </w:rPr>
        <w:t xml:space="preserve"> described in Table 1.</w:t>
      </w:r>
      <w:r w:rsidRPr="0099478A">
        <w:rPr>
          <w:color w:val="auto"/>
        </w:rPr>
        <w:t xml:space="preserve"> </w:t>
      </w:r>
    </w:p>
    <w:p w14:paraId="530F7E88" w14:textId="6E7680DC" w:rsidR="00FE02F7" w:rsidRPr="00C2740A" w:rsidRDefault="00FE02F7" w:rsidP="007D0D68">
      <w:pPr>
        <w:rPr>
          <w:color w:val="auto"/>
          <w:lang w:val="en-AU"/>
        </w:rPr>
      </w:pPr>
    </w:p>
    <w:p w14:paraId="533A720E" w14:textId="528E859E" w:rsidR="00FE02F7" w:rsidRPr="007D0D68" w:rsidRDefault="00FE02F7" w:rsidP="00FE02F7">
      <w:pPr>
        <w:rPr>
          <w:color w:val="auto"/>
          <w:lang w:val="en-AU"/>
        </w:rPr>
      </w:pPr>
      <w:r w:rsidRPr="007D0D68">
        <w:rPr>
          <w:b/>
          <w:color w:val="auto"/>
          <w:lang w:val="en-AU"/>
        </w:rPr>
        <w:t>T</w:t>
      </w:r>
      <w:r w:rsidRPr="007D0D68">
        <w:rPr>
          <w:b/>
          <w:color w:val="auto"/>
        </w:rPr>
        <w:t>able 1: Recommend</w:t>
      </w:r>
      <w:r w:rsidR="007D0D68">
        <w:rPr>
          <w:b/>
          <w:color w:val="auto"/>
        </w:rPr>
        <w:t>ed dos</w:t>
      </w:r>
      <w:r w:rsidR="007D0D68" w:rsidRPr="007D0D68">
        <w:rPr>
          <w:b/>
          <w:color w:val="auto"/>
        </w:rPr>
        <w:t>e for delayed or missed doses</w:t>
      </w:r>
    </w:p>
    <w:tbl>
      <w:tblPr>
        <w:tblStyle w:val="TableGrid"/>
        <w:tblW w:w="0" w:type="auto"/>
        <w:tblInd w:w="0" w:type="dxa"/>
        <w:tblLook w:val="04A0" w:firstRow="1" w:lastRow="0" w:firstColumn="1" w:lastColumn="0" w:noHBand="0" w:noVBand="1"/>
      </w:tblPr>
      <w:tblGrid>
        <w:gridCol w:w="3145"/>
        <w:gridCol w:w="5871"/>
      </w:tblGrid>
      <w:tr w:rsidR="00FE02F7" w:rsidRPr="00FE02F7" w14:paraId="14D5B52D" w14:textId="77777777" w:rsidTr="00FE02F7">
        <w:tc>
          <w:tcPr>
            <w:tcW w:w="3145" w:type="dxa"/>
          </w:tcPr>
          <w:p w14:paraId="32F6E03C" w14:textId="4FD5B23D" w:rsidR="00FE02F7" w:rsidRPr="00FE02F7" w:rsidRDefault="00FE02F7" w:rsidP="00FE02F7">
            <w:pPr>
              <w:spacing w:before="60" w:after="60"/>
              <w:rPr>
                <w:b/>
                <w:color w:val="auto"/>
                <w:lang w:val="en-AU"/>
              </w:rPr>
            </w:pPr>
            <w:r w:rsidRPr="00FE02F7">
              <w:rPr>
                <w:b/>
                <w:color w:val="auto"/>
                <w:lang w:val="en-AU"/>
              </w:rPr>
              <w:t>Last</w:t>
            </w:r>
            <w:r w:rsidR="007D0D68" w:rsidRPr="00FE02F7">
              <w:rPr>
                <w:b/>
                <w:color w:val="auto"/>
                <w:lang w:val="en-AU"/>
              </w:rPr>
              <w:t xml:space="preserve"> dose administered</w:t>
            </w:r>
          </w:p>
        </w:tc>
        <w:tc>
          <w:tcPr>
            <w:tcW w:w="5871" w:type="dxa"/>
          </w:tcPr>
          <w:p w14:paraId="440527D3" w14:textId="039B1331" w:rsidR="00FE02F7" w:rsidRPr="00FE02F7" w:rsidRDefault="00FE02F7" w:rsidP="00FE02F7">
            <w:pPr>
              <w:spacing w:before="60" w:after="60"/>
              <w:rPr>
                <w:b/>
                <w:color w:val="auto"/>
                <w:lang w:val="en-AU"/>
              </w:rPr>
            </w:pPr>
            <w:r w:rsidRPr="00FE02F7">
              <w:rPr>
                <w:b/>
                <w:color w:val="auto"/>
                <w:lang w:val="en-AU"/>
              </w:rPr>
              <w:t>Recommende</w:t>
            </w:r>
            <w:r w:rsidR="007D0D68" w:rsidRPr="00FE02F7">
              <w:rPr>
                <w:b/>
                <w:color w:val="auto"/>
                <w:lang w:val="en-AU"/>
              </w:rPr>
              <w:t>d dosage for delayed or missed doses</w:t>
            </w:r>
          </w:p>
        </w:tc>
      </w:tr>
      <w:tr w:rsidR="00FE02F7" w14:paraId="5947CCEA" w14:textId="77777777" w:rsidTr="00FE02F7">
        <w:tc>
          <w:tcPr>
            <w:tcW w:w="3145" w:type="dxa"/>
          </w:tcPr>
          <w:p w14:paraId="65944BEC" w14:textId="4AE1C8AF" w:rsidR="00FE02F7" w:rsidRDefault="00FE02F7" w:rsidP="009A29E3">
            <w:pPr>
              <w:rPr>
                <w:color w:val="auto"/>
                <w:lang w:val="en-AU"/>
              </w:rPr>
            </w:pPr>
            <w:r w:rsidRPr="00FE02F7">
              <w:rPr>
                <w:color w:val="auto"/>
                <w:lang w:val="en-AU"/>
              </w:rPr>
              <w:t>Less than 8 weeks during the maintenance period or missed a loading dose</w:t>
            </w:r>
          </w:p>
        </w:tc>
        <w:tc>
          <w:tcPr>
            <w:tcW w:w="5871" w:type="dxa"/>
          </w:tcPr>
          <w:p w14:paraId="69FAE34D" w14:textId="36F234FE" w:rsidR="00FE02F7" w:rsidRPr="00FE02F7" w:rsidRDefault="00FE02F7" w:rsidP="00FE02F7">
            <w:pPr>
              <w:spacing w:after="120"/>
              <w:rPr>
                <w:color w:val="auto"/>
                <w:lang w:val="en-AU"/>
              </w:rPr>
            </w:pPr>
            <w:r w:rsidRPr="00FE02F7">
              <w:rPr>
                <w:color w:val="auto"/>
                <w:lang w:val="en-AU"/>
              </w:rPr>
              <w:t xml:space="preserve">Administer 120 mg </w:t>
            </w:r>
            <w:r>
              <w:rPr>
                <w:color w:val="auto"/>
                <w:lang w:val="en-AU"/>
              </w:rPr>
              <w:t>SC</w:t>
            </w:r>
            <w:r w:rsidRPr="00FE02F7">
              <w:rPr>
                <w:color w:val="auto"/>
                <w:lang w:val="en-AU"/>
              </w:rPr>
              <w:t xml:space="preserve"> as soon as possible, and do not wait until the next planned dose.</w:t>
            </w:r>
          </w:p>
          <w:p w14:paraId="58EEE17B" w14:textId="77777777" w:rsidR="00FE02F7" w:rsidRPr="00FE02F7" w:rsidRDefault="00FE02F7" w:rsidP="00FE02F7">
            <w:pPr>
              <w:rPr>
                <w:b/>
                <w:color w:val="auto"/>
                <w:lang w:val="en-AU"/>
              </w:rPr>
            </w:pPr>
            <w:r w:rsidRPr="00FE02F7">
              <w:rPr>
                <w:b/>
                <w:color w:val="auto"/>
                <w:lang w:val="en-AU"/>
              </w:rPr>
              <w:t>Maintenance period</w:t>
            </w:r>
          </w:p>
          <w:p w14:paraId="5F4D03B9" w14:textId="77777777" w:rsidR="00FE02F7" w:rsidRPr="00FE02F7" w:rsidRDefault="00FE02F7" w:rsidP="00FE02F7">
            <w:pPr>
              <w:spacing w:after="120"/>
              <w:rPr>
                <w:color w:val="auto"/>
                <w:lang w:val="en-AU"/>
              </w:rPr>
            </w:pPr>
            <w:r w:rsidRPr="00FE02F7">
              <w:rPr>
                <w:color w:val="auto"/>
                <w:lang w:val="en-AU"/>
              </w:rPr>
              <w:t>After the delayed or missed dose is administered, reset the dose schedule to every 4 weeks.</w:t>
            </w:r>
          </w:p>
          <w:p w14:paraId="2894BA75" w14:textId="77777777" w:rsidR="00FE02F7" w:rsidRPr="00FE02F7" w:rsidRDefault="00FE02F7" w:rsidP="00FE02F7">
            <w:pPr>
              <w:rPr>
                <w:b/>
                <w:color w:val="auto"/>
                <w:lang w:val="en-AU"/>
              </w:rPr>
            </w:pPr>
            <w:r w:rsidRPr="00FE02F7">
              <w:rPr>
                <w:b/>
                <w:color w:val="auto"/>
                <w:lang w:val="en-AU"/>
              </w:rPr>
              <w:t>Loading period</w:t>
            </w:r>
          </w:p>
          <w:p w14:paraId="6CC1E3B5" w14:textId="77777777" w:rsidR="00FE02F7" w:rsidRPr="00FE02F7" w:rsidRDefault="00FE02F7" w:rsidP="00FE02F7">
            <w:pPr>
              <w:spacing w:after="120"/>
              <w:rPr>
                <w:color w:val="auto"/>
                <w:lang w:val="en-AU"/>
              </w:rPr>
            </w:pPr>
            <w:r w:rsidRPr="00FE02F7">
              <w:rPr>
                <w:color w:val="auto"/>
                <w:lang w:val="en-AU"/>
              </w:rPr>
              <w:t xml:space="preserve">If the second loading dose is delayed or missed, administer </w:t>
            </w:r>
            <w:proofErr w:type="gramStart"/>
            <w:r w:rsidRPr="00FE02F7">
              <w:rPr>
                <w:color w:val="auto"/>
                <w:lang w:val="en-AU"/>
              </w:rPr>
              <w:t>as soon as possible</w:t>
            </w:r>
            <w:proofErr w:type="gramEnd"/>
            <w:r w:rsidRPr="00FE02F7">
              <w:rPr>
                <w:color w:val="auto"/>
                <w:lang w:val="en-AU"/>
              </w:rPr>
              <w:t xml:space="preserve"> and administer the third and final loading dose 2 weeks later.</w:t>
            </w:r>
          </w:p>
          <w:p w14:paraId="05318F01" w14:textId="65498259" w:rsidR="00FE02F7" w:rsidRDefault="00FE02F7" w:rsidP="00FE02F7">
            <w:pPr>
              <w:spacing w:after="60"/>
              <w:rPr>
                <w:color w:val="auto"/>
                <w:lang w:val="en-AU"/>
              </w:rPr>
            </w:pPr>
            <w:r w:rsidRPr="00FE02F7">
              <w:rPr>
                <w:color w:val="auto"/>
                <w:lang w:val="en-AU"/>
              </w:rPr>
              <w:t xml:space="preserve">If the third loading dose is delayed or missed, administer </w:t>
            </w:r>
            <w:proofErr w:type="gramStart"/>
            <w:r w:rsidRPr="00FE02F7">
              <w:rPr>
                <w:color w:val="auto"/>
                <w:lang w:val="en-AU"/>
              </w:rPr>
              <w:t>as soon as possible</w:t>
            </w:r>
            <w:proofErr w:type="gramEnd"/>
            <w:r w:rsidRPr="00FE02F7">
              <w:rPr>
                <w:color w:val="auto"/>
                <w:lang w:val="en-AU"/>
              </w:rPr>
              <w:t xml:space="preserve"> and administer the 1st maintenance dose 4 weeks later.</w:t>
            </w:r>
          </w:p>
        </w:tc>
      </w:tr>
      <w:tr w:rsidR="00FE02F7" w14:paraId="191D8401" w14:textId="77777777" w:rsidTr="00FE02F7">
        <w:tc>
          <w:tcPr>
            <w:tcW w:w="3145" w:type="dxa"/>
          </w:tcPr>
          <w:p w14:paraId="328D05A6" w14:textId="337E45E7" w:rsidR="00FE02F7" w:rsidRDefault="00FE02F7" w:rsidP="009A29E3">
            <w:pPr>
              <w:rPr>
                <w:color w:val="auto"/>
                <w:lang w:val="en-AU"/>
              </w:rPr>
            </w:pPr>
            <w:r w:rsidRPr="00FE02F7">
              <w:rPr>
                <w:color w:val="auto"/>
                <w:lang w:val="en-AU"/>
              </w:rPr>
              <w:t>8 weeks to less than 12 weeks</w:t>
            </w:r>
          </w:p>
        </w:tc>
        <w:tc>
          <w:tcPr>
            <w:tcW w:w="5871" w:type="dxa"/>
          </w:tcPr>
          <w:p w14:paraId="671E8692" w14:textId="66CBABD8" w:rsidR="00FE02F7" w:rsidRDefault="00FE02F7" w:rsidP="00FE02F7">
            <w:pPr>
              <w:spacing w:after="60"/>
              <w:rPr>
                <w:color w:val="auto"/>
                <w:lang w:val="en-AU"/>
              </w:rPr>
            </w:pPr>
            <w:r w:rsidRPr="00FE02F7">
              <w:rPr>
                <w:color w:val="auto"/>
                <w:lang w:val="en-AU"/>
              </w:rPr>
              <w:t xml:space="preserve">120 mg </w:t>
            </w:r>
            <w:r>
              <w:rPr>
                <w:color w:val="auto"/>
                <w:lang w:val="en-AU"/>
              </w:rPr>
              <w:t>SC</w:t>
            </w:r>
            <w:r w:rsidRPr="00FE02F7">
              <w:rPr>
                <w:color w:val="auto"/>
                <w:lang w:val="en-AU"/>
              </w:rPr>
              <w:t xml:space="preserve"> at 0* </w:t>
            </w:r>
            <w:r>
              <w:rPr>
                <w:color w:val="auto"/>
                <w:lang w:val="en-AU"/>
              </w:rPr>
              <w:t xml:space="preserve">and 2 weeks, followed by 120 mg </w:t>
            </w:r>
            <w:r w:rsidRPr="00FE02F7">
              <w:rPr>
                <w:color w:val="auto"/>
                <w:lang w:val="en-AU"/>
              </w:rPr>
              <w:t>every 4 weeks.</w:t>
            </w:r>
          </w:p>
        </w:tc>
      </w:tr>
      <w:tr w:rsidR="00FE02F7" w14:paraId="750C7965" w14:textId="77777777" w:rsidTr="00FE02F7">
        <w:tc>
          <w:tcPr>
            <w:tcW w:w="3145" w:type="dxa"/>
          </w:tcPr>
          <w:p w14:paraId="1C5DE299" w14:textId="0D114DA3" w:rsidR="00FE02F7" w:rsidRDefault="00FE02F7" w:rsidP="009A29E3">
            <w:pPr>
              <w:rPr>
                <w:color w:val="auto"/>
                <w:lang w:val="en-AU"/>
              </w:rPr>
            </w:pPr>
            <w:r w:rsidRPr="00FE02F7">
              <w:rPr>
                <w:color w:val="auto"/>
                <w:lang w:val="en-AU"/>
              </w:rPr>
              <w:t>12 weeks or longer</w:t>
            </w:r>
          </w:p>
        </w:tc>
        <w:tc>
          <w:tcPr>
            <w:tcW w:w="5871" w:type="dxa"/>
          </w:tcPr>
          <w:p w14:paraId="58CABEF4" w14:textId="14C491D3" w:rsidR="00FE02F7" w:rsidRDefault="00FE02F7" w:rsidP="00FE02F7">
            <w:pPr>
              <w:spacing w:after="60"/>
              <w:rPr>
                <w:color w:val="auto"/>
                <w:lang w:val="en-AU"/>
              </w:rPr>
            </w:pPr>
            <w:r w:rsidRPr="00FE02F7">
              <w:rPr>
                <w:color w:val="auto"/>
                <w:lang w:val="en-AU"/>
              </w:rPr>
              <w:t xml:space="preserve">120 mg </w:t>
            </w:r>
            <w:r>
              <w:rPr>
                <w:color w:val="auto"/>
                <w:lang w:val="en-AU"/>
              </w:rPr>
              <w:t>SC</w:t>
            </w:r>
            <w:r w:rsidRPr="00FE02F7">
              <w:rPr>
                <w:color w:val="auto"/>
                <w:lang w:val="en-AU"/>
              </w:rPr>
              <w:t xml:space="preserve"> at 0*, 2, and 4 weeks followed by 120 mg every 4 weeks.</w:t>
            </w:r>
          </w:p>
        </w:tc>
      </w:tr>
    </w:tbl>
    <w:p w14:paraId="1DB09CC6" w14:textId="47E78CA3" w:rsidR="009A29E3" w:rsidRPr="007D0D68" w:rsidRDefault="00FE02F7" w:rsidP="009A29E3">
      <w:pPr>
        <w:rPr>
          <w:color w:val="auto"/>
          <w:sz w:val="22"/>
          <w:lang w:val="en-AU"/>
        </w:rPr>
      </w:pPr>
      <w:r w:rsidRPr="007D0D68">
        <w:rPr>
          <w:color w:val="auto"/>
          <w:sz w:val="22"/>
          <w:lang w:val="en-AU"/>
        </w:rPr>
        <w:t>* “0 weeks” refers to time of the first administration after the missed dose.</w:t>
      </w:r>
    </w:p>
    <w:p w14:paraId="624E431F" w14:textId="77777777" w:rsidR="00FE02F7" w:rsidRPr="00FE02F7" w:rsidRDefault="00FE02F7" w:rsidP="009A29E3">
      <w:pPr>
        <w:rPr>
          <w:color w:val="auto"/>
          <w:lang w:val="en-AU"/>
        </w:rPr>
      </w:pPr>
    </w:p>
    <w:p w14:paraId="2DCB41D1" w14:textId="6382C13D" w:rsidR="00584366" w:rsidRPr="00C2740A" w:rsidRDefault="00584366" w:rsidP="007966DA">
      <w:pPr>
        <w:pStyle w:val="Heading3"/>
        <w:rPr>
          <w:color w:val="auto"/>
          <w:lang w:val="en-AU"/>
        </w:rPr>
      </w:pPr>
      <w:r w:rsidRPr="00C2740A">
        <w:rPr>
          <w:color w:val="auto"/>
          <w:lang w:val="en-AU"/>
        </w:rPr>
        <w:t>Dosage Modifications</w:t>
      </w:r>
    </w:p>
    <w:p w14:paraId="039B24A0" w14:textId="41CEADBB" w:rsidR="00824FFE" w:rsidRPr="00C2740A" w:rsidRDefault="00824FFE" w:rsidP="00824FFE">
      <w:pPr>
        <w:pStyle w:val="Heading4"/>
        <w:rPr>
          <w:color w:val="auto"/>
          <w:lang w:val="en-AU"/>
        </w:rPr>
      </w:pPr>
      <w:r w:rsidRPr="00C2740A">
        <w:rPr>
          <w:color w:val="auto"/>
          <w:lang w:val="en-AU"/>
        </w:rPr>
        <w:t>Liver enzyme abnormalities</w:t>
      </w:r>
    </w:p>
    <w:p w14:paraId="69A8CC95" w14:textId="33DB5806" w:rsidR="00584366" w:rsidRPr="0099478A" w:rsidRDefault="00584366" w:rsidP="00584366">
      <w:pPr>
        <w:rPr>
          <w:color w:val="auto"/>
        </w:rPr>
      </w:pPr>
      <w:r w:rsidRPr="0099478A">
        <w:rPr>
          <w:color w:val="auto"/>
        </w:rPr>
        <w:t xml:space="preserve">If the alanine aminotransferase (ALT) or aspartate transaminase (AST) elevation is &gt;5x Upper Limit of Normal (ULN) and associated with any bilirubin elevation, treatment with </w:t>
      </w:r>
      <w:proofErr w:type="spellStart"/>
      <w:r w:rsidRPr="0099478A">
        <w:rPr>
          <w:color w:val="auto"/>
        </w:rPr>
        <w:t>E</w:t>
      </w:r>
      <w:r w:rsidR="007966DA" w:rsidRPr="0099478A">
        <w:rPr>
          <w:color w:val="auto"/>
        </w:rPr>
        <w:t>nspryng</w:t>
      </w:r>
      <w:proofErr w:type="spellEnd"/>
      <w:r w:rsidRPr="0099478A">
        <w:rPr>
          <w:color w:val="auto"/>
        </w:rPr>
        <w:t xml:space="preserve"> must be discontinued</w:t>
      </w:r>
      <w:r w:rsidR="00FE02F7" w:rsidRPr="00FE02F7">
        <w:rPr>
          <w:color w:val="auto"/>
        </w:rPr>
        <w:t>, and re</w:t>
      </w:r>
      <w:r w:rsidR="00807950">
        <w:rPr>
          <w:color w:val="auto"/>
        </w:rPr>
        <w:t>-</w:t>
      </w:r>
      <w:r w:rsidR="00FE02F7" w:rsidRPr="00FE02F7">
        <w:rPr>
          <w:color w:val="auto"/>
        </w:rPr>
        <w:t>initiation is not recommended</w:t>
      </w:r>
      <w:r w:rsidRPr="0099478A">
        <w:rPr>
          <w:color w:val="auto"/>
        </w:rPr>
        <w:t>.</w:t>
      </w:r>
    </w:p>
    <w:p w14:paraId="0BBD7248" w14:textId="77777777" w:rsidR="00584366" w:rsidRPr="0099478A" w:rsidRDefault="00584366" w:rsidP="00584366">
      <w:pPr>
        <w:rPr>
          <w:color w:val="auto"/>
        </w:rPr>
      </w:pPr>
    </w:p>
    <w:p w14:paraId="656081C8" w14:textId="0F20AFDF" w:rsidR="00564A5D" w:rsidRDefault="00584366" w:rsidP="00584366">
      <w:pPr>
        <w:rPr>
          <w:color w:val="auto"/>
        </w:rPr>
      </w:pPr>
      <w:r w:rsidRPr="0099478A">
        <w:rPr>
          <w:color w:val="auto"/>
        </w:rPr>
        <w:t xml:space="preserve">If the ALT or AST elevation is &gt;5x ULN and </w:t>
      </w:r>
      <w:r w:rsidRPr="00807950">
        <w:rPr>
          <w:b/>
          <w:color w:val="auto"/>
        </w:rPr>
        <w:t>not associated with any bilirubin elevation</w:t>
      </w:r>
      <w:r w:rsidRPr="0099478A">
        <w:rPr>
          <w:color w:val="auto"/>
        </w:rPr>
        <w:t xml:space="preserve">, treatment with </w:t>
      </w:r>
      <w:proofErr w:type="spellStart"/>
      <w:r w:rsidRPr="0099478A">
        <w:rPr>
          <w:color w:val="auto"/>
        </w:rPr>
        <w:t>Enspryng</w:t>
      </w:r>
      <w:proofErr w:type="spellEnd"/>
      <w:r w:rsidRPr="0099478A">
        <w:rPr>
          <w:color w:val="auto"/>
        </w:rPr>
        <w:t xml:space="preserve"> should be discontinued. Treatment with </w:t>
      </w:r>
      <w:proofErr w:type="spellStart"/>
      <w:r w:rsidRPr="0099478A">
        <w:rPr>
          <w:color w:val="auto"/>
        </w:rPr>
        <w:t>E</w:t>
      </w:r>
      <w:r w:rsidR="007966DA" w:rsidRPr="0099478A">
        <w:rPr>
          <w:color w:val="auto"/>
        </w:rPr>
        <w:t>nspryng</w:t>
      </w:r>
      <w:proofErr w:type="spellEnd"/>
      <w:r w:rsidRPr="0099478A">
        <w:rPr>
          <w:color w:val="auto"/>
        </w:rPr>
        <w:t xml:space="preserve"> can be restarted at a dose of 120 mg SC injection every 4 weeks, when the ALT or AST level has returned to the normal range and following a benefit-risk assessment of the patient. If treatment is restarted, the liver parameters must be closely monitored, and </w:t>
      </w:r>
      <w:r w:rsidRPr="00807950">
        <w:rPr>
          <w:b/>
          <w:color w:val="auto"/>
        </w:rPr>
        <w:t>if any subsequent increase in ALT/AST and/or bilirubin is observed</w:t>
      </w:r>
      <w:r w:rsidR="000F259C" w:rsidRPr="0099478A">
        <w:rPr>
          <w:color w:val="auto"/>
        </w:rPr>
        <w:t xml:space="preserve">, </w:t>
      </w:r>
      <w:proofErr w:type="spellStart"/>
      <w:r w:rsidR="000F259C" w:rsidRPr="0099478A">
        <w:rPr>
          <w:color w:val="auto"/>
        </w:rPr>
        <w:t>Enspryng</w:t>
      </w:r>
      <w:proofErr w:type="spellEnd"/>
      <w:r w:rsidR="000F259C" w:rsidRPr="0099478A">
        <w:rPr>
          <w:color w:val="auto"/>
        </w:rPr>
        <w:t xml:space="preserve"> </w:t>
      </w:r>
      <w:r w:rsidRPr="0099478A">
        <w:rPr>
          <w:color w:val="auto"/>
        </w:rPr>
        <w:t>must be discontinued</w:t>
      </w:r>
      <w:r w:rsidR="00FE02F7" w:rsidRPr="00FE02F7">
        <w:rPr>
          <w:color w:val="auto"/>
        </w:rPr>
        <w:t>, and re</w:t>
      </w:r>
      <w:r w:rsidR="00807950">
        <w:rPr>
          <w:color w:val="auto"/>
        </w:rPr>
        <w:t>-</w:t>
      </w:r>
      <w:r w:rsidR="00FE02F7" w:rsidRPr="00FE02F7">
        <w:rPr>
          <w:color w:val="auto"/>
        </w:rPr>
        <w:t>initiation is not recommended</w:t>
      </w:r>
      <w:r w:rsidRPr="0099478A">
        <w:rPr>
          <w:color w:val="auto"/>
        </w:rPr>
        <w:t>.</w:t>
      </w:r>
    </w:p>
    <w:p w14:paraId="5CA0DDDE" w14:textId="017921D8" w:rsidR="007D0D68" w:rsidRDefault="007D0D68" w:rsidP="00584366">
      <w:pPr>
        <w:rPr>
          <w:color w:val="auto"/>
        </w:rPr>
      </w:pPr>
    </w:p>
    <w:p w14:paraId="1F13FF96" w14:textId="5F14098D" w:rsidR="003E065E" w:rsidRDefault="003E065E" w:rsidP="00584366">
      <w:pPr>
        <w:rPr>
          <w:color w:val="auto"/>
        </w:rPr>
      </w:pPr>
    </w:p>
    <w:p w14:paraId="1EBF593D" w14:textId="77777777" w:rsidR="003E065E" w:rsidRDefault="003E065E" w:rsidP="00584366">
      <w:pPr>
        <w:rPr>
          <w:color w:val="auto"/>
        </w:rPr>
      </w:pPr>
    </w:p>
    <w:p w14:paraId="60B76D02" w14:textId="2123ADE8" w:rsidR="007D0D68" w:rsidRPr="00FE02F7" w:rsidRDefault="007D0D68" w:rsidP="007D0D68">
      <w:pPr>
        <w:ind w:left="900" w:hanging="900"/>
        <w:rPr>
          <w:color w:val="auto"/>
          <w:lang w:val="en-AU"/>
        </w:rPr>
      </w:pPr>
      <w:r w:rsidRPr="00FE02F7">
        <w:rPr>
          <w:b/>
          <w:color w:val="auto"/>
          <w:lang w:val="en-AU"/>
        </w:rPr>
        <w:lastRenderedPageBreak/>
        <w:t>T</w:t>
      </w:r>
      <w:r w:rsidRPr="00FE02F7">
        <w:rPr>
          <w:b/>
          <w:color w:val="auto"/>
        </w:rPr>
        <w:t xml:space="preserve">able </w:t>
      </w:r>
      <w:r>
        <w:rPr>
          <w:b/>
          <w:color w:val="auto"/>
        </w:rPr>
        <w:t xml:space="preserve">2: </w:t>
      </w:r>
      <w:r w:rsidRPr="00FE02F7">
        <w:rPr>
          <w:b/>
          <w:color w:val="auto"/>
        </w:rPr>
        <w:t>Recommended</w:t>
      </w:r>
      <w:r>
        <w:rPr>
          <w:b/>
          <w:color w:val="auto"/>
        </w:rPr>
        <w:t xml:space="preserve"> dos</w:t>
      </w:r>
      <w:r w:rsidRPr="00FE02F7">
        <w:rPr>
          <w:b/>
          <w:color w:val="auto"/>
        </w:rPr>
        <w:t xml:space="preserve">e for </w:t>
      </w:r>
      <w:r w:rsidRPr="007D0D68">
        <w:rPr>
          <w:b/>
          <w:color w:val="auto"/>
        </w:rPr>
        <w:t xml:space="preserve">restart of treatment after liver transaminase </w:t>
      </w:r>
      <w:r>
        <w:rPr>
          <w:b/>
          <w:color w:val="auto"/>
        </w:rPr>
        <w:t>e</w:t>
      </w:r>
      <w:r w:rsidRPr="007D0D68">
        <w:rPr>
          <w:b/>
          <w:color w:val="auto"/>
        </w:rPr>
        <w:t>levation</w:t>
      </w:r>
    </w:p>
    <w:tbl>
      <w:tblPr>
        <w:tblStyle w:val="TableGrid"/>
        <w:tblW w:w="0" w:type="auto"/>
        <w:tblInd w:w="0" w:type="dxa"/>
        <w:tblLook w:val="04A0" w:firstRow="1" w:lastRow="0" w:firstColumn="1" w:lastColumn="0" w:noHBand="0" w:noVBand="1"/>
      </w:tblPr>
      <w:tblGrid>
        <w:gridCol w:w="3145"/>
        <w:gridCol w:w="5871"/>
      </w:tblGrid>
      <w:tr w:rsidR="007D0D68" w:rsidRPr="00FE02F7" w14:paraId="2E867600" w14:textId="77777777" w:rsidTr="00A6362F">
        <w:tc>
          <w:tcPr>
            <w:tcW w:w="3145" w:type="dxa"/>
          </w:tcPr>
          <w:p w14:paraId="77DDBEBD" w14:textId="70A8A870" w:rsidR="007D0D68" w:rsidRPr="00FE02F7" w:rsidRDefault="007D0D68" w:rsidP="00A6362F">
            <w:pPr>
              <w:spacing w:before="60" w:after="60"/>
              <w:rPr>
                <w:b/>
                <w:color w:val="auto"/>
                <w:lang w:val="en-AU"/>
              </w:rPr>
            </w:pPr>
            <w:r w:rsidRPr="00FE02F7">
              <w:rPr>
                <w:b/>
                <w:color w:val="auto"/>
                <w:lang w:val="en-AU"/>
              </w:rPr>
              <w:t>Last dose administered</w:t>
            </w:r>
          </w:p>
        </w:tc>
        <w:tc>
          <w:tcPr>
            <w:tcW w:w="5871" w:type="dxa"/>
          </w:tcPr>
          <w:p w14:paraId="10EB50C6" w14:textId="4AB4DB3A" w:rsidR="007D0D68" w:rsidRPr="00FE02F7" w:rsidRDefault="007D0D68" w:rsidP="00A6362F">
            <w:pPr>
              <w:spacing w:before="60" w:after="60"/>
              <w:rPr>
                <w:b/>
                <w:color w:val="auto"/>
                <w:lang w:val="en-AU"/>
              </w:rPr>
            </w:pPr>
            <w:r w:rsidRPr="00FE02F7">
              <w:rPr>
                <w:b/>
                <w:color w:val="auto"/>
                <w:lang w:val="en-AU"/>
              </w:rPr>
              <w:t>Recommended d</w:t>
            </w:r>
            <w:r>
              <w:rPr>
                <w:b/>
                <w:color w:val="auto"/>
                <w:lang w:val="en-AU"/>
              </w:rPr>
              <w:t>os</w:t>
            </w:r>
            <w:r w:rsidRPr="00FE02F7">
              <w:rPr>
                <w:b/>
                <w:color w:val="auto"/>
                <w:lang w:val="en-AU"/>
              </w:rPr>
              <w:t>e f</w:t>
            </w:r>
            <w:r w:rsidRPr="007D0D68">
              <w:rPr>
                <w:b/>
                <w:color w:val="auto"/>
                <w:lang w:val="en-AU"/>
              </w:rPr>
              <w:t>or restart of treatment</w:t>
            </w:r>
          </w:p>
        </w:tc>
      </w:tr>
      <w:tr w:rsidR="007D0D68" w14:paraId="1A13D5F3" w14:textId="77777777" w:rsidTr="00A6362F">
        <w:tc>
          <w:tcPr>
            <w:tcW w:w="3145" w:type="dxa"/>
          </w:tcPr>
          <w:p w14:paraId="7769AF12" w14:textId="03733424" w:rsidR="007D0D68" w:rsidRDefault="007D0D68" w:rsidP="00A6362F">
            <w:pPr>
              <w:rPr>
                <w:color w:val="auto"/>
                <w:lang w:val="en-AU"/>
              </w:rPr>
            </w:pPr>
            <w:r w:rsidRPr="007D0D68">
              <w:rPr>
                <w:color w:val="auto"/>
                <w:lang w:val="en-AU"/>
              </w:rPr>
              <w:t>Less than 12 weeks</w:t>
            </w:r>
          </w:p>
        </w:tc>
        <w:tc>
          <w:tcPr>
            <w:tcW w:w="5871" w:type="dxa"/>
          </w:tcPr>
          <w:p w14:paraId="575CB18A" w14:textId="59076DCA" w:rsidR="007D0D68" w:rsidRDefault="007D0D68" w:rsidP="007D0D68">
            <w:pPr>
              <w:spacing w:after="60"/>
              <w:rPr>
                <w:color w:val="auto"/>
                <w:lang w:val="en-AU"/>
              </w:rPr>
            </w:pPr>
            <w:r>
              <w:rPr>
                <w:color w:val="auto"/>
                <w:lang w:val="en-AU"/>
              </w:rPr>
              <w:t>Restart at a dos</w:t>
            </w:r>
            <w:r w:rsidRPr="007D0D68">
              <w:rPr>
                <w:color w:val="auto"/>
                <w:lang w:val="en-AU"/>
              </w:rPr>
              <w:t xml:space="preserve">e of 120 mg </w:t>
            </w:r>
            <w:r>
              <w:rPr>
                <w:color w:val="auto"/>
                <w:lang w:val="en-AU"/>
              </w:rPr>
              <w:t>SC</w:t>
            </w:r>
            <w:r w:rsidRPr="007D0D68">
              <w:rPr>
                <w:color w:val="auto"/>
                <w:lang w:val="en-AU"/>
              </w:rPr>
              <w:t xml:space="preserve"> every 4 weeks. </w:t>
            </w:r>
          </w:p>
        </w:tc>
      </w:tr>
      <w:tr w:rsidR="007D0D68" w14:paraId="370DFF1A" w14:textId="77777777" w:rsidTr="00A6362F">
        <w:tc>
          <w:tcPr>
            <w:tcW w:w="3145" w:type="dxa"/>
          </w:tcPr>
          <w:p w14:paraId="06038474" w14:textId="4A9C2920" w:rsidR="007D0D68" w:rsidRDefault="007D0D68" w:rsidP="00A6362F">
            <w:pPr>
              <w:rPr>
                <w:color w:val="auto"/>
                <w:lang w:val="en-AU"/>
              </w:rPr>
            </w:pPr>
            <w:r w:rsidRPr="007D0D68">
              <w:rPr>
                <w:color w:val="auto"/>
                <w:lang w:val="en-AU"/>
              </w:rPr>
              <w:t>12 weeks or longer</w:t>
            </w:r>
          </w:p>
        </w:tc>
        <w:tc>
          <w:tcPr>
            <w:tcW w:w="5871" w:type="dxa"/>
          </w:tcPr>
          <w:p w14:paraId="4FFCF9F5" w14:textId="34C491C2" w:rsidR="007D0D68" w:rsidRDefault="007D0D68" w:rsidP="007D0D68">
            <w:pPr>
              <w:spacing w:after="60"/>
              <w:rPr>
                <w:color w:val="auto"/>
                <w:lang w:val="en-AU"/>
              </w:rPr>
            </w:pPr>
            <w:r w:rsidRPr="007D0D68">
              <w:rPr>
                <w:color w:val="auto"/>
                <w:lang w:val="en-AU"/>
              </w:rPr>
              <w:t xml:space="preserve">Restart at a dose of 120 mg </w:t>
            </w:r>
            <w:r>
              <w:rPr>
                <w:color w:val="auto"/>
                <w:lang w:val="en-AU"/>
              </w:rPr>
              <w:t>SC</w:t>
            </w:r>
            <w:r w:rsidRPr="007D0D68">
              <w:rPr>
                <w:color w:val="auto"/>
                <w:lang w:val="en-AU"/>
              </w:rPr>
              <w:t xml:space="preserve"> at Weeks 0*, 2, and 4, followed by 120 mg every 4 weeks.</w:t>
            </w:r>
          </w:p>
        </w:tc>
      </w:tr>
    </w:tbl>
    <w:p w14:paraId="59411C48" w14:textId="72BC021A" w:rsidR="007D0D68" w:rsidRPr="007D0D68" w:rsidRDefault="007D0D68" w:rsidP="00584366">
      <w:pPr>
        <w:rPr>
          <w:color w:val="auto"/>
          <w:sz w:val="22"/>
          <w:lang w:val="en-AU"/>
        </w:rPr>
      </w:pPr>
      <w:r w:rsidRPr="007D0D68">
        <w:rPr>
          <w:color w:val="auto"/>
          <w:sz w:val="22"/>
          <w:lang w:val="en-AU"/>
        </w:rPr>
        <w:t>* “0 weeks” refers to time of the first administration after the missed dose.</w:t>
      </w:r>
    </w:p>
    <w:p w14:paraId="56CE5DCF" w14:textId="590B45FD" w:rsidR="00564A5D" w:rsidRPr="0099478A" w:rsidRDefault="00825955" w:rsidP="007D0D68">
      <w:pPr>
        <w:pStyle w:val="Heading4"/>
        <w:spacing w:before="240"/>
        <w:rPr>
          <w:color w:val="auto"/>
        </w:rPr>
      </w:pPr>
      <w:r w:rsidRPr="0099478A">
        <w:rPr>
          <w:color w:val="auto"/>
        </w:rPr>
        <w:t>Neutropenia</w:t>
      </w:r>
    </w:p>
    <w:p w14:paraId="1B7B16DF" w14:textId="4E35168C" w:rsidR="009A29E3" w:rsidRDefault="00825955" w:rsidP="009A29E3">
      <w:pPr>
        <w:rPr>
          <w:color w:val="auto"/>
        </w:rPr>
      </w:pPr>
      <w:r w:rsidRPr="0099478A">
        <w:rPr>
          <w:color w:val="auto"/>
        </w:rPr>
        <w:t>If the neutrophil count is below 1.0 x10</w:t>
      </w:r>
      <w:r w:rsidRPr="0099478A">
        <w:rPr>
          <w:color w:val="auto"/>
          <w:vertAlign w:val="superscript"/>
        </w:rPr>
        <w:t>9</w:t>
      </w:r>
      <w:r w:rsidRPr="0099478A">
        <w:rPr>
          <w:color w:val="auto"/>
        </w:rPr>
        <w:t xml:space="preserve">/L and confirmed by repeat testing, </w:t>
      </w:r>
      <w:proofErr w:type="spellStart"/>
      <w:r w:rsidRPr="0099478A">
        <w:rPr>
          <w:color w:val="auto"/>
        </w:rPr>
        <w:t>Enspryng</w:t>
      </w:r>
      <w:proofErr w:type="spellEnd"/>
      <w:r w:rsidRPr="0099478A">
        <w:rPr>
          <w:color w:val="auto"/>
        </w:rPr>
        <w:t xml:space="preserve"> should be interrupted until the neutrophil count is &gt;1.0 x10</w:t>
      </w:r>
      <w:r w:rsidRPr="0099478A">
        <w:rPr>
          <w:color w:val="auto"/>
          <w:vertAlign w:val="superscript"/>
        </w:rPr>
        <w:t>9</w:t>
      </w:r>
      <w:r w:rsidRPr="0099478A">
        <w:rPr>
          <w:color w:val="auto"/>
        </w:rPr>
        <w:t>/L.</w:t>
      </w:r>
    </w:p>
    <w:p w14:paraId="65AEDD69" w14:textId="77777777" w:rsidR="003E065E" w:rsidRPr="0099478A" w:rsidRDefault="003E065E" w:rsidP="009A29E3">
      <w:pPr>
        <w:rPr>
          <w:color w:val="auto"/>
        </w:rPr>
      </w:pPr>
    </w:p>
    <w:p w14:paraId="5C2932AA" w14:textId="77777777" w:rsidR="00D52399" w:rsidRPr="0099478A" w:rsidRDefault="00615052" w:rsidP="007966DA">
      <w:pPr>
        <w:pStyle w:val="Heading3"/>
        <w:rPr>
          <w:color w:val="auto"/>
        </w:rPr>
      </w:pPr>
      <w:r w:rsidRPr="0099478A">
        <w:rPr>
          <w:color w:val="auto"/>
        </w:rPr>
        <w:t>Special populations</w:t>
      </w:r>
    </w:p>
    <w:p w14:paraId="3FD1A3A8" w14:textId="77777777" w:rsidR="00D52399" w:rsidRPr="0099478A" w:rsidRDefault="00615052" w:rsidP="00824FFE">
      <w:pPr>
        <w:pStyle w:val="Heading4"/>
        <w:rPr>
          <w:color w:val="auto"/>
        </w:rPr>
      </w:pPr>
      <w:r w:rsidRPr="0099478A">
        <w:rPr>
          <w:color w:val="auto"/>
        </w:rPr>
        <w:t>Paediatric Populations</w:t>
      </w:r>
    </w:p>
    <w:p w14:paraId="38509895" w14:textId="6AB16F9C" w:rsidR="000F259C" w:rsidRPr="0099478A" w:rsidRDefault="000F259C" w:rsidP="000F259C">
      <w:pPr>
        <w:rPr>
          <w:color w:val="auto"/>
        </w:rPr>
      </w:pPr>
      <w:r w:rsidRPr="0099478A">
        <w:rPr>
          <w:color w:val="auto"/>
        </w:rPr>
        <w:t xml:space="preserve">The safety and efficacy of </w:t>
      </w:r>
      <w:proofErr w:type="spellStart"/>
      <w:r w:rsidRPr="0099478A">
        <w:rPr>
          <w:color w:val="auto"/>
        </w:rPr>
        <w:t>Enspryng</w:t>
      </w:r>
      <w:proofErr w:type="spellEnd"/>
      <w:r w:rsidRPr="0099478A">
        <w:rPr>
          <w:color w:val="auto"/>
        </w:rPr>
        <w:t xml:space="preserve"> in children </w:t>
      </w:r>
      <w:r w:rsidR="00807950">
        <w:rPr>
          <w:color w:val="auto"/>
        </w:rPr>
        <w:t>and adolescents aged &lt; 18</w:t>
      </w:r>
      <w:r w:rsidRPr="0099478A">
        <w:rPr>
          <w:color w:val="auto"/>
        </w:rPr>
        <w:t xml:space="preserve"> years of age have not been established. </w:t>
      </w:r>
    </w:p>
    <w:p w14:paraId="795EE26E" w14:textId="4FD92F1A" w:rsidR="00D52399" w:rsidRPr="0099478A" w:rsidRDefault="000F259C" w:rsidP="00824FFE">
      <w:pPr>
        <w:pStyle w:val="Heading4"/>
        <w:rPr>
          <w:color w:val="auto"/>
        </w:rPr>
      </w:pPr>
      <w:r w:rsidRPr="0099478A">
        <w:rPr>
          <w:color w:val="auto"/>
        </w:rPr>
        <w:t>Elderly</w:t>
      </w:r>
    </w:p>
    <w:p w14:paraId="496248B5" w14:textId="04070C89" w:rsidR="000F259C" w:rsidRPr="0099478A" w:rsidRDefault="000F259C">
      <w:pPr>
        <w:rPr>
          <w:color w:val="auto"/>
        </w:rPr>
      </w:pPr>
      <w:r w:rsidRPr="0099478A">
        <w:rPr>
          <w:color w:val="auto"/>
        </w:rPr>
        <w:t xml:space="preserve">No dose adjustment of </w:t>
      </w:r>
      <w:proofErr w:type="spellStart"/>
      <w:r w:rsidRPr="0099478A">
        <w:rPr>
          <w:color w:val="auto"/>
        </w:rPr>
        <w:t>Enspryng</w:t>
      </w:r>
      <w:proofErr w:type="spellEnd"/>
      <w:r w:rsidRPr="0099478A">
        <w:rPr>
          <w:color w:val="auto"/>
        </w:rPr>
        <w:t xml:space="preserve"> is required in patients ≥ 65 years of age (see section 5.2).</w:t>
      </w:r>
    </w:p>
    <w:p w14:paraId="4AD21F5C" w14:textId="1DE9CCE3" w:rsidR="000F259C" w:rsidRPr="0099478A" w:rsidRDefault="000F259C" w:rsidP="00824FFE">
      <w:pPr>
        <w:pStyle w:val="Heading4"/>
        <w:rPr>
          <w:color w:val="auto"/>
        </w:rPr>
      </w:pPr>
      <w:r w:rsidRPr="0099478A">
        <w:rPr>
          <w:color w:val="auto"/>
        </w:rPr>
        <w:t>Renal impairment</w:t>
      </w:r>
    </w:p>
    <w:p w14:paraId="5CAC3133" w14:textId="6F0B44BF" w:rsidR="000F259C" w:rsidRPr="00304FFD" w:rsidRDefault="000F259C">
      <w:pPr>
        <w:rPr>
          <w:color w:val="auto"/>
        </w:rPr>
      </w:pPr>
      <w:r w:rsidRPr="0099478A">
        <w:rPr>
          <w:color w:val="auto"/>
        </w:rPr>
        <w:t xml:space="preserve">The safety and efficacy of </w:t>
      </w:r>
      <w:proofErr w:type="spellStart"/>
      <w:r w:rsidRPr="0099478A">
        <w:rPr>
          <w:color w:val="auto"/>
        </w:rPr>
        <w:t>Enspryng</w:t>
      </w:r>
      <w:proofErr w:type="spellEnd"/>
      <w:r w:rsidRPr="0099478A">
        <w:rPr>
          <w:color w:val="auto"/>
        </w:rPr>
        <w:t xml:space="preserve"> have not been formally studied in patients with </w:t>
      </w:r>
      <w:r w:rsidR="00667CDE" w:rsidRPr="00F63D15">
        <w:rPr>
          <w:color w:val="auto"/>
        </w:rPr>
        <w:t xml:space="preserve">moderate to severe </w:t>
      </w:r>
      <w:r w:rsidRPr="0099478A">
        <w:rPr>
          <w:color w:val="auto"/>
        </w:rPr>
        <w:t>renal impairment</w:t>
      </w:r>
      <w:r w:rsidR="001A6435">
        <w:rPr>
          <w:color w:val="auto"/>
        </w:rPr>
        <w:t>.</w:t>
      </w:r>
      <w:r w:rsidR="00F82D92" w:rsidRPr="00F63D15">
        <w:rPr>
          <w:color w:val="auto"/>
        </w:rPr>
        <w:t xml:space="preserve"> </w:t>
      </w:r>
      <w:r w:rsidRPr="00F63D15">
        <w:rPr>
          <w:color w:val="auto"/>
        </w:rPr>
        <w:t xml:space="preserve">No dose adjustment is </w:t>
      </w:r>
      <w:r w:rsidR="00F82D92" w:rsidRPr="00F63D15">
        <w:rPr>
          <w:color w:val="auto"/>
        </w:rPr>
        <w:t>necessary in</w:t>
      </w:r>
      <w:r w:rsidRPr="00F63D15">
        <w:rPr>
          <w:color w:val="auto"/>
        </w:rPr>
        <w:t xml:space="preserve"> patients with </w:t>
      </w:r>
      <w:r w:rsidR="00F82D92" w:rsidRPr="00F63D15">
        <w:rPr>
          <w:color w:val="auto"/>
        </w:rPr>
        <w:t>mild</w:t>
      </w:r>
      <w:r w:rsidR="00F82D92" w:rsidRPr="00304FFD">
        <w:rPr>
          <w:color w:val="auto"/>
        </w:rPr>
        <w:t xml:space="preserve"> </w:t>
      </w:r>
      <w:r w:rsidRPr="00304FFD">
        <w:rPr>
          <w:color w:val="auto"/>
        </w:rPr>
        <w:t>renal impairment (see section 5.2).</w:t>
      </w:r>
    </w:p>
    <w:p w14:paraId="7E3EFA59" w14:textId="697ADBDD" w:rsidR="000F259C" w:rsidRPr="0099478A" w:rsidRDefault="000F259C" w:rsidP="00824FFE">
      <w:pPr>
        <w:pStyle w:val="Heading4"/>
        <w:rPr>
          <w:color w:val="auto"/>
        </w:rPr>
      </w:pPr>
      <w:r w:rsidRPr="0099478A">
        <w:rPr>
          <w:color w:val="auto"/>
        </w:rPr>
        <w:t>Hepatic impairment</w:t>
      </w:r>
    </w:p>
    <w:p w14:paraId="295192BD" w14:textId="7AD83E5C" w:rsidR="000F259C" w:rsidRPr="0099478A" w:rsidRDefault="000F259C" w:rsidP="000F259C">
      <w:pPr>
        <w:rPr>
          <w:color w:val="auto"/>
        </w:rPr>
      </w:pPr>
      <w:r w:rsidRPr="0099478A">
        <w:rPr>
          <w:color w:val="auto"/>
        </w:rPr>
        <w:t xml:space="preserve">The safety and efficacy of </w:t>
      </w:r>
      <w:proofErr w:type="spellStart"/>
      <w:r w:rsidRPr="0099478A">
        <w:rPr>
          <w:color w:val="auto"/>
        </w:rPr>
        <w:t>Enspryng</w:t>
      </w:r>
      <w:proofErr w:type="spellEnd"/>
      <w:r w:rsidRPr="0099478A">
        <w:rPr>
          <w:color w:val="auto"/>
        </w:rPr>
        <w:t xml:space="preserve"> have not been studied in patients with hepatic impairment</w:t>
      </w:r>
      <w:r w:rsidR="0025583A" w:rsidRPr="0099478A">
        <w:rPr>
          <w:color w:val="auto"/>
        </w:rPr>
        <w:t xml:space="preserve"> (see section 5.2)</w:t>
      </w:r>
      <w:r w:rsidRPr="0099478A">
        <w:rPr>
          <w:color w:val="auto"/>
        </w:rPr>
        <w:t xml:space="preserve">. </w:t>
      </w:r>
    </w:p>
    <w:p w14:paraId="7C805192" w14:textId="77777777" w:rsidR="0065417F" w:rsidRPr="0099478A" w:rsidRDefault="0065417F" w:rsidP="000F259C">
      <w:pPr>
        <w:rPr>
          <w:color w:val="auto"/>
        </w:rPr>
      </w:pPr>
    </w:p>
    <w:p w14:paraId="23FC8C4C" w14:textId="77777777" w:rsidR="00D52399" w:rsidRPr="0099478A" w:rsidRDefault="00615052">
      <w:pPr>
        <w:pStyle w:val="Heading3"/>
        <w:rPr>
          <w:color w:val="auto"/>
        </w:rPr>
      </w:pPr>
      <w:r w:rsidRPr="0099478A">
        <w:rPr>
          <w:color w:val="auto"/>
        </w:rPr>
        <w:t>Method of Administration</w:t>
      </w:r>
    </w:p>
    <w:p w14:paraId="3FD5DEAB" w14:textId="7290C9D5" w:rsidR="000F259C" w:rsidRPr="0099478A" w:rsidRDefault="000F259C" w:rsidP="000F259C">
      <w:pPr>
        <w:rPr>
          <w:color w:val="auto"/>
        </w:rPr>
      </w:pPr>
      <w:proofErr w:type="spellStart"/>
      <w:r w:rsidRPr="0099478A">
        <w:rPr>
          <w:color w:val="auto"/>
        </w:rPr>
        <w:t>Enspryng</w:t>
      </w:r>
      <w:proofErr w:type="spellEnd"/>
      <w:r w:rsidRPr="0099478A">
        <w:rPr>
          <w:color w:val="auto"/>
        </w:rPr>
        <w:t xml:space="preserve"> 120 mg is administered by SC injection using a single-dose PFS. </w:t>
      </w:r>
      <w:proofErr w:type="spellStart"/>
      <w:r w:rsidRPr="0099478A">
        <w:rPr>
          <w:color w:val="auto"/>
        </w:rPr>
        <w:t>Enspryng</w:t>
      </w:r>
      <w:proofErr w:type="spellEnd"/>
      <w:r w:rsidRPr="0099478A">
        <w:rPr>
          <w:color w:val="auto"/>
        </w:rPr>
        <w:t xml:space="preserve"> must be administered as a SC injection. The total content (1 m</w:t>
      </w:r>
      <w:r w:rsidR="00C2740A" w:rsidRPr="0099478A">
        <w:rPr>
          <w:color w:val="auto"/>
        </w:rPr>
        <w:t>L</w:t>
      </w:r>
      <w:r w:rsidRPr="0099478A">
        <w:rPr>
          <w:color w:val="auto"/>
        </w:rPr>
        <w:t>) of the PFS should be administered.</w:t>
      </w:r>
    </w:p>
    <w:p w14:paraId="63160AEE" w14:textId="74A3661E" w:rsidR="000F259C" w:rsidRPr="0099478A" w:rsidRDefault="000F259C" w:rsidP="000F259C">
      <w:pPr>
        <w:rPr>
          <w:color w:val="auto"/>
        </w:rPr>
      </w:pPr>
    </w:p>
    <w:p w14:paraId="12AEBC83" w14:textId="4B016240" w:rsidR="000F259C" w:rsidRPr="0099478A" w:rsidRDefault="000F259C" w:rsidP="007966DA">
      <w:pPr>
        <w:rPr>
          <w:color w:val="auto"/>
        </w:rPr>
      </w:pPr>
      <w:r w:rsidRPr="0099478A">
        <w:rPr>
          <w:color w:val="auto"/>
        </w:rPr>
        <w:t xml:space="preserve">The recommended injection sites are the abdomen and thigh. Injection sites should be </w:t>
      </w:r>
      <w:proofErr w:type="gramStart"/>
      <w:r w:rsidRPr="0099478A">
        <w:rPr>
          <w:color w:val="auto"/>
        </w:rPr>
        <w:t>rotated</w:t>
      </w:r>
      <w:proofErr w:type="gramEnd"/>
      <w:r w:rsidRPr="0099478A">
        <w:rPr>
          <w:color w:val="auto"/>
        </w:rPr>
        <w:t xml:space="preserve"> and injections should never be given into moles, scars, or areas where the skin is tender, bruised, red, hard, or not intact.</w:t>
      </w:r>
    </w:p>
    <w:p w14:paraId="659CDA56" w14:textId="7D1902BA" w:rsidR="00D52399" w:rsidRPr="0099478A" w:rsidRDefault="00615052" w:rsidP="007966DA">
      <w:pPr>
        <w:pStyle w:val="Heading4"/>
        <w:rPr>
          <w:color w:val="auto"/>
        </w:rPr>
      </w:pPr>
      <w:r w:rsidRPr="0099478A">
        <w:rPr>
          <w:color w:val="auto"/>
        </w:rPr>
        <w:t xml:space="preserve">Precautions to be taken before handling or administering the medicine </w:t>
      </w:r>
    </w:p>
    <w:p w14:paraId="4611F775" w14:textId="4D8F096D" w:rsidR="000F259C" w:rsidRPr="0099478A" w:rsidRDefault="000F259C" w:rsidP="000F259C">
      <w:pPr>
        <w:rPr>
          <w:color w:val="auto"/>
        </w:rPr>
      </w:pPr>
      <w:r w:rsidRPr="0099478A">
        <w:rPr>
          <w:color w:val="auto"/>
        </w:rPr>
        <w:t xml:space="preserve">The first injection must be performed under the supervision of a </w:t>
      </w:r>
      <w:r w:rsidR="00C97165" w:rsidRPr="0099478A">
        <w:rPr>
          <w:color w:val="auto"/>
        </w:rPr>
        <w:t>physician experienced in the treatment of NMOSD</w:t>
      </w:r>
      <w:r w:rsidRPr="0099478A">
        <w:rPr>
          <w:color w:val="auto"/>
        </w:rPr>
        <w:t>.</w:t>
      </w:r>
    </w:p>
    <w:p w14:paraId="622139A5" w14:textId="77777777" w:rsidR="000F259C" w:rsidRPr="0099478A" w:rsidRDefault="000F259C" w:rsidP="000F259C">
      <w:pPr>
        <w:rPr>
          <w:color w:val="auto"/>
        </w:rPr>
      </w:pPr>
    </w:p>
    <w:p w14:paraId="3A4F2FDA" w14:textId="77777777" w:rsidR="000F259C" w:rsidRPr="0099478A" w:rsidRDefault="000F259C" w:rsidP="000F259C">
      <w:pPr>
        <w:rPr>
          <w:color w:val="auto"/>
        </w:rPr>
      </w:pPr>
      <w:r w:rsidRPr="0099478A">
        <w:rPr>
          <w:color w:val="auto"/>
        </w:rPr>
        <w:t xml:space="preserve">An adult patient/caregiver may administer all other doses of </w:t>
      </w:r>
      <w:proofErr w:type="spellStart"/>
      <w:r w:rsidRPr="0099478A">
        <w:rPr>
          <w:color w:val="auto"/>
        </w:rPr>
        <w:t>Enspryng</w:t>
      </w:r>
      <w:proofErr w:type="spellEnd"/>
      <w:r w:rsidRPr="0099478A">
        <w:rPr>
          <w:color w:val="auto"/>
        </w:rPr>
        <w:t xml:space="preserve"> at home if the treating</w:t>
      </w:r>
    </w:p>
    <w:p w14:paraId="0934B9F7" w14:textId="5908119B" w:rsidR="000F259C" w:rsidRPr="0099478A" w:rsidRDefault="000F259C" w:rsidP="000F259C">
      <w:pPr>
        <w:rPr>
          <w:color w:val="auto"/>
        </w:rPr>
      </w:pPr>
      <w:r w:rsidRPr="0099478A">
        <w:rPr>
          <w:color w:val="auto"/>
        </w:rPr>
        <w:t xml:space="preserve">physician determines that it is </w:t>
      </w:r>
      <w:proofErr w:type="gramStart"/>
      <w:r w:rsidRPr="0099478A">
        <w:rPr>
          <w:color w:val="auto"/>
        </w:rPr>
        <w:t>appropriate</w:t>
      </w:r>
      <w:proofErr w:type="gramEnd"/>
      <w:r w:rsidRPr="0099478A">
        <w:rPr>
          <w:color w:val="auto"/>
        </w:rPr>
        <w:t xml:space="preserve"> and the adult patient or caregiver can perform the injection technique.</w:t>
      </w:r>
    </w:p>
    <w:p w14:paraId="26B71C5C" w14:textId="77777777" w:rsidR="000F259C" w:rsidRPr="0099478A" w:rsidRDefault="000F259C" w:rsidP="000F259C">
      <w:pPr>
        <w:rPr>
          <w:color w:val="auto"/>
        </w:rPr>
      </w:pPr>
    </w:p>
    <w:p w14:paraId="5B0570B8" w14:textId="329E3B4A" w:rsidR="000F259C" w:rsidRPr="0099478A" w:rsidRDefault="000F259C" w:rsidP="000F259C">
      <w:pPr>
        <w:rPr>
          <w:color w:val="auto"/>
        </w:rPr>
      </w:pPr>
      <w:r w:rsidRPr="0099478A">
        <w:rPr>
          <w:color w:val="auto"/>
        </w:rPr>
        <w:t>Patients or caregivers should seek immediate medical attention if the patient develops symptoms of serious allergic reactions and should check with their H</w:t>
      </w:r>
      <w:r w:rsidR="00564A5D" w:rsidRPr="0099478A">
        <w:rPr>
          <w:color w:val="auto"/>
        </w:rPr>
        <w:t xml:space="preserve">ealth </w:t>
      </w:r>
      <w:r w:rsidRPr="0099478A">
        <w:rPr>
          <w:color w:val="auto"/>
        </w:rPr>
        <w:t>C</w:t>
      </w:r>
      <w:r w:rsidR="00564A5D" w:rsidRPr="0099478A">
        <w:rPr>
          <w:color w:val="auto"/>
        </w:rPr>
        <w:t xml:space="preserve">are </w:t>
      </w:r>
      <w:r w:rsidRPr="0099478A">
        <w:rPr>
          <w:color w:val="auto"/>
        </w:rPr>
        <w:t>P</w:t>
      </w:r>
      <w:r w:rsidR="00564A5D" w:rsidRPr="0099478A">
        <w:rPr>
          <w:color w:val="auto"/>
        </w:rPr>
        <w:t>rofessional</w:t>
      </w:r>
      <w:r w:rsidRPr="0099478A">
        <w:rPr>
          <w:color w:val="auto"/>
        </w:rPr>
        <w:t xml:space="preserve"> to confirm whether treatment with </w:t>
      </w:r>
      <w:proofErr w:type="spellStart"/>
      <w:r w:rsidRPr="0099478A">
        <w:rPr>
          <w:color w:val="auto"/>
        </w:rPr>
        <w:t>Enspryng</w:t>
      </w:r>
      <w:proofErr w:type="spellEnd"/>
      <w:r w:rsidRPr="0099478A">
        <w:rPr>
          <w:color w:val="auto"/>
        </w:rPr>
        <w:t xml:space="preserve"> can be continued or not.</w:t>
      </w:r>
    </w:p>
    <w:p w14:paraId="5E59C199" w14:textId="77777777" w:rsidR="000F259C" w:rsidRPr="0099478A" w:rsidRDefault="000F259C" w:rsidP="0065417F">
      <w:pPr>
        <w:rPr>
          <w:color w:val="auto"/>
        </w:rPr>
      </w:pPr>
    </w:p>
    <w:p w14:paraId="163ABD22" w14:textId="74450BC1" w:rsidR="00D52399" w:rsidRPr="0099478A" w:rsidRDefault="009A29E3">
      <w:pPr>
        <w:rPr>
          <w:color w:val="auto"/>
        </w:rPr>
      </w:pPr>
      <w:r w:rsidRPr="0099478A">
        <w:rPr>
          <w:color w:val="auto"/>
        </w:rPr>
        <w:lastRenderedPageBreak/>
        <w:t>Parenteral drug products should be inspected visually for particulate matter and discoloration</w:t>
      </w:r>
      <w:r w:rsidR="003E52B8" w:rsidRPr="0099478A">
        <w:rPr>
          <w:color w:val="auto"/>
        </w:rPr>
        <w:t xml:space="preserve"> </w:t>
      </w:r>
      <w:r w:rsidRPr="0099478A">
        <w:rPr>
          <w:color w:val="auto"/>
        </w:rPr>
        <w:t xml:space="preserve">prior to administration. </w:t>
      </w:r>
      <w:proofErr w:type="spellStart"/>
      <w:r w:rsidRPr="0099478A">
        <w:rPr>
          <w:color w:val="auto"/>
        </w:rPr>
        <w:t>E</w:t>
      </w:r>
      <w:r w:rsidR="000F259C" w:rsidRPr="0099478A">
        <w:rPr>
          <w:color w:val="auto"/>
        </w:rPr>
        <w:t>nspryng</w:t>
      </w:r>
      <w:proofErr w:type="spellEnd"/>
      <w:r w:rsidRPr="0099478A">
        <w:rPr>
          <w:color w:val="auto"/>
        </w:rPr>
        <w:t xml:space="preserve"> solution should be clear and </w:t>
      </w:r>
      <w:r w:rsidR="003E52B8" w:rsidRPr="0099478A">
        <w:rPr>
          <w:color w:val="auto"/>
        </w:rPr>
        <w:t>colourless</w:t>
      </w:r>
      <w:r w:rsidRPr="0099478A">
        <w:rPr>
          <w:color w:val="auto"/>
        </w:rPr>
        <w:t xml:space="preserve"> to slightly yellow.</w:t>
      </w:r>
      <w:r w:rsidR="003E52B8" w:rsidRPr="0099478A">
        <w:rPr>
          <w:color w:val="auto"/>
        </w:rPr>
        <w:t xml:space="preserve"> </w:t>
      </w:r>
      <w:r w:rsidRPr="0099478A">
        <w:rPr>
          <w:color w:val="auto"/>
        </w:rPr>
        <w:t xml:space="preserve">Do not use </w:t>
      </w:r>
      <w:proofErr w:type="spellStart"/>
      <w:r w:rsidRPr="0099478A">
        <w:rPr>
          <w:color w:val="auto"/>
        </w:rPr>
        <w:t>E</w:t>
      </w:r>
      <w:r w:rsidR="000F259C" w:rsidRPr="0099478A">
        <w:rPr>
          <w:color w:val="auto"/>
        </w:rPr>
        <w:t>nspryng</w:t>
      </w:r>
      <w:proofErr w:type="spellEnd"/>
      <w:r w:rsidRPr="0099478A">
        <w:rPr>
          <w:color w:val="auto"/>
        </w:rPr>
        <w:t xml:space="preserve"> if the solution is cloudy, </w:t>
      </w:r>
      <w:r w:rsidR="003E52B8" w:rsidRPr="0099478A">
        <w:rPr>
          <w:color w:val="auto"/>
        </w:rPr>
        <w:t>discoloured</w:t>
      </w:r>
      <w:r w:rsidRPr="0099478A">
        <w:rPr>
          <w:color w:val="auto"/>
        </w:rPr>
        <w:t xml:space="preserve"> or contains particles, or if any</w:t>
      </w:r>
      <w:r w:rsidR="003E52B8" w:rsidRPr="0099478A">
        <w:rPr>
          <w:color w:val="auto"/>
        </w:rPr>
        <w:t xml:space="preserve"> </w:t>
      </w:r>
      <w:r w:rsidRPr="0099478A">
        <w:rPr>
          <w:color w:val="auto"/>
        </w:rPr>
        <w:t>part of the prefilled syringe appears to be damaged.</w:t>
      </w:r>
    </w:p>
    <w:p w14:paraId="6676732D" w14:textId="77777777" w:rsidR="00D52399" w:rsidRPr="0099478A" w:rsidRDefault="00D52399">
      <w:pPr>
        <w:rPr>
          <w:i/>
          <w:color w:val="auto"/>
        </w:rPr>
      </w:pPr>
    </w:p>
    <w:p w14:paraId="692D7D88" w14:textId="77777777" w:rsidR="00D52399" w:rsidRPr="0099478A" w:rsidRDefault="00902EBE" w:rsidP="009F4C5B">
      <w:pPr>
        <w:pStyle w:val="Heading2"/>
        <w:numPr>
          <w:ilvl w:val="1"/>
          <w:numId w:val="2"/>
        </w:numPr>
        <w:spacing w:before="0"/>
        <w:ind w:left="0" w:firstLine="0"/>
        <w:rPr>
          <w:color w:val="auto"/>
        </w:rPr>
      </w:pPr>
      <w:r w:rsidRPr="0099478A">
        <w:rPr>
          <w:color w:val="auto"/>
        </w:rPr>
        <w:t>CONTRAINDICATIONS</w:t>
      </w:r>
    </w:p>
    <w:p w14:paraId="1135B1BC" w14:textId="645A7D94" w:rsidR="00D52399" w:rsidRPr="0099478A" w:rsidRDefault="003E52B8" w:rsidP="00825955">
      <w:pPr>
        <w:rPr>
          <w:color w:val="auto"/>
        </w:rPr>
      </w:pPr>
      <w:proofErr w:type="spellStart"/>
      <w:r w:rsidRPr="0099478A">
        <w:rPr>
          <w:color w:val="auto"/>
        </w:rPr>
        <w:t>E</w:t>
      </w:r>
      <w:r w:rsidR="007966DA" w:rsidRPr="0099478A">
        <w:rPr>
          <w:color w:val="auto"/>
        </w:rPr>
        <w:t>nspryng</w:t>
      </w:r>
      <w:proofErr w:type="spellEnd"/>
      <w:r w:rsidRPr="0099478A">
        <w:rPr>
          <w:color w:val="auto"/>
        </w:rPr>
        <w:t xml:space="preserve"> is contraindicated </w:t>
      </w:r>
      <w:r w:rsidR="00825955" w:rsidRPr="0099478A">
        <w:rPr>
          <w:color w:val="auto"/>
        </w:rPr>
        <w:t xml:space="preserve">in </w:t>
      </w:r>
      <w:r w:rsidRPr="0099478A">
        <w:rPr>
          <w:color w:val="auto"/>
        </w:rPr>
        <w:t xml:space="preserve">patients with known hypersensitivity to </w:t>
      </w:r>
      <w:proofErr w:type="spellStart"/>
      <w:r w:rsidRPr="0099478A">
        <w:rPr>
          <w:color w:val="auto"/>
        </w:rPr>
        <w:t>satralizumab</w:t>
      </w:r>
      <w:proofErr w:type="spellEnd"/>
      <w:r w:rsidR="00825955" w:rsidRPr="0099478A">
        <w:rPr>
          <w:color w:val="auto"/>
        </w:rPr>
        <w:t>, Chinese hamster ovary cell pro</w:t>
      </w:r>
      <w:r w:rsidR="00C90947" w:rsidRPr="0099478A">
        <w:rPr>
          <w:color w:val="auto"/>
        </w:rPr>
        <w:t>tein</w:t>
      </w:r>
      <w:r w:rsidR="00825955" w:rsidRPr="0099478A">
        <w:rPr>
          <w:color w:val="auto"/>
        </w:rPr>
        <w:t xml:space="preserve">s or </w:t>
      </w:r>
      <w:r w:rsidRPr="0099478A">
        <w:rPr>
          <w:color w:val="auto"/>
        </w:rPr>
        <w:t xml:space="preserve">any of the </w:t>
      </w:r>
      <w:r w:rsidR="007966DA" w:rsidRPr="0099478A">
        <w:rPr>
          <w:color w:val="auto"/>
        </w:rPr>
        <w:t>excipients listed in section 6.1</w:t>
      </w:r>
      <w:r w:rsidRPr="0099478A">
        <w:rPr>
          <w:color w:val="auto"/>
        </w:rPr>
        <w:t>.</w:t>
      </w:r>
    </w:p>
    <w:p w14:paraId="53F03F47" w14:textId="77777777" w:rsidR="003E52B8" w:rsidRPr="0099478A" w:rsidRDefault="003E52B8" w:rsidP="003E52B8">
      <w:pPr>
        <w:rPr>
          <w:color w:val="auto"/>
        </w:rPr>
      </w:pPr>
    </w:p>
    <w:p w14:paraId="42B879A8" w14:textId="77777777" w:rsidR="00D52399" w:rsidRPr="0099478A" w:rsidRDefault="00902EBE" w:rsidP="009F4C5B">
      <w:pPr>
        <w:pStyle w:val="Heading2"/>
        <w:spacing w:before="0"/>
        <w:rPr>
          <w:color w:val="auto"/>
        </w:rPr>
      </w:pPr>
      <w:r w:rsidRPr="0099478A">
        <w:rPr>
          <w:color w:val="auto"/>
        </w:rPr>
        <w:t>4.4</w:t>
      </w:r>
      <w:r w:rsidRPr="0099478A">
        <w:rPr>
          <w:color w:val="auto"/>
        </w:rPr>
        <w:tab/>
        <w:t>SPECIAL WARNINGS AND PRECAUTIONS FOR USE</w:t>
      </w:r>
    </w:p>
    <w:p w14:paraId="48EAC617" w14:textId="3AF1D986" w:rsidR="00073752" w:rsidRPr="0099478A" w:rsidRDefault="00073752" w:rsidP="00073752">
      <w:pPr>
        <w:pStyle w:val="Heading3"/>
        <w:rPr>
          <w:color w:val="auto"/>
        </w:rPr>
      </w:pPr>
      <w:r w:rsidRPr="0099478A">
        <w:rPr>
          <w:color w:val="auto"/>
        </w:rPr>
        <w:t>General</w:t>
      </w:r>
    </w:p>
    <w:p w14:paraId="1F527323" w14:textId="06573433" w:rsidR="00D841ED" w:rsidRPr="0099478A" w:rsidRDefault="00073752" w:rsidP="00073752">
      <w:pPr>
        <w:rPr>
          <w:color w:val="auto"/>
        </w:rPr>
      </w:pPr>
      <w:proofErr w:type="gramStart"/>
      <w:r w:rsidRPr="0099478A">
        <w:rPr>
          <w:color w:val="auto"/>
        </w:rPr>
        <w:t>In order to</w:t>
      </w:r>
      <w:proofErr w:type="gramEnd"/>
      <w:r w:rsidRPr="0099478A">
        <w:rPr>
          <w:color w:val="auto"/>
        </w:rPr>
        <w:t xml:space="preserve"> improve traceability of biological medicinal products, the trade name and the batch number of the administered product should be clearly recorded.</w:t>
      </w:r>
    </w:p>
    <w:p w14:paraId="3DB1E0F2" w14:textId="77777777" w:rsidR="00073752" w:rsidRPr="0099478A" w:rsidRDefault="00073752" w:rsidP="00A26876">
      <w:pPr>
        <w:rPr>
          <w:color w:val="auto"/>
        </w:rPr>
      </w:pPr>
    </w:p>
    <w:p w14:paraId="3A200D54" w14:textId="1397B2C5" w:rsidR="006B1022" w:rsidRPr="0099478A" w:rsidRDefault="006B1022" w:rsidP="006B1022">
      <w:pPr>
        <w:pStyle w:val="Heading3"/>
        <w:rPr>
          <w:color w:val="auto"/>
        </w:rPr>
      </w:pPr>
      <w:r w:rsidRPr="0099478A">
        <w:rPr>
          <w:color w:val="auto"/>
        </w:rPr>
        <w:t>Infections</w:t>
      </w:r>
    </w:p>
    <w:p w14:paraId="7AAC2D8C" w14:textId="45EF5E5F" w:rsidR="006B1022" w:rsidRPr="0099478A" w:rsidRDefault="006B1022" w:rsidP="006B1022">
      <w:pPr>
        <w:spacing w:after="240"/>
        <w:rPr>
          <w:color w:val="auto"/>
        </w:rPr>
      </w:pPr>
      <w:r w:rsidRPr="0099478A">
        <w:rPr>
          <w:color w:val="auto"/>
        </w:rPr>
        <w:t xml:space="preserve">Delay </w:t>
      </w:r>
      <w:proofErr w:type="spellStart"/>
      <w:r w:rsidRPr="0099478A">
        <w:rPr>
          <w:color w:val="auto"/>
        </w:rPr>
        <w:t>E</w:t>
      </w:r>
      <w:r w:rsidR="007966DA" w:rsidRPr="0099478A">
        <w:rPr>
          <w:color w:val="auto"/>
        </w:rPr>
        <w:t>nspryng</w:t>
      </w:r>
      <w:proofErr w:type="spellEnd"/>
      <w:r w:rsidRPr="0099478A">
        <w:rPr>
          <w:color w:val="auto"/>
        </w:rPr>
        <w:t xml:space="preserve"> administration in patients with an active infection until the infection is </w:t>
      </w:r>
      <w:r w:rsidR="00C5684E">
        <w:rPr>
          <w:color w:val="auto"/>
        </w:rPr>
        <w:t>controlled</w:t>
      </w:r>
      <w:r w:rsidRPr="0099478A">
        <w:rPr>
          <w:color w:val="auto"/>
        </w:rPr>
        <w:t>.</w:t>
      </w:r>
    </w:p>
    <w:p w14:paraId="6741E9F1" w14:textId="5B25C53B" w:rsidR="00D841ED" w:rsidRPr="0099478A" w:rsidRDefault="00D841ED" w:rsidP="00D841ED">
      <w:pPr>
        <w:spacing w:after="240"/>
        <w:rPr>
          <w:color w:val="auto"/>
        </w:rPr>
      </w:pPr>
      <w:r w:rsidRPr="0099478A">
        <w:rPr>
          <w:color w:val="auto"/>
        </w:rPr>
        <w:t xml:space="preserve">If a patient develops a serious infection, administration of </w:t>
      </w:r>
      <w:proofErr w:type="spellStart"/>
      <w:r w:rsidRPr="0099478A">
        <w:rPr>
          <w:color w:val="auto"/>
        </w:rPr>
        <w:t>Enspryng</w:t>
      </w:r>
      <w:proofErr w:type="spellEnd"/>
      <w:r w:rsidRPr="0099478A">
        <w:rPr>
          <w:color w:val="auto"/>
        </w:rPr>
        <w:t xml:space="preserve"> should be interrupted until the infection is controlled. Physicians should exercise caution when considering the use of </w:t>
      </w:r>
      <w:proofErr w:type="spellStart"/>
      <w:r w:rsidRPr="0099478A">
        <w:rPr>
          <w:color w:val="auto"/>
        </w:rPr>
        <w:t>Enspryng</w:t>
      </w:r>
      <w:proofErr w:type="spellEnd"/>
      <w:r w:rsidRPr="0099478A">
        <w:rPr>
          <w:color w:val="auto"/>
        </w:rPr>
        <w:t xml:space="preserve"> in patients with a history of recurring or chronic infection, or with underlying conditions (e.g. diverticulitis, diabetes) which may predispose patients to infections.</w:t>
      </w:r>
    </w:p>
    <w:p w14:paraId="1A7FA05C" w14:textId="1C47905D" w:rsidR="00D841ED" w:rsidRPr="0099478A" w:rsidRDefault="00D841ED" w:rsidP="00D841ED">
      <w:pPr>
        <w:spacing w:after="240"/>
        <w:rPr>
          <w:color w:val="auto"/>
        </w:rPr>
      </w:pPr>
      <w:r w:rsidRPr="0099478A">
        <w:rPr>
          <w:color w:val="auto"/>
        </w:rPr>
        <w:t xml:space="preserve">Vigilance for the timely detection of serious infection is recommended for patients receiving immunosuppressive agents, such as </w:t>
      </w:r>
      <w:proofErr w:type="spellStart"/>
      <w:r w:rsidRPr="0099478A">
        <w:rPr>
          <w:color w:val="auto"/>
        </w:rPr>
        <w:t>Enspryng</w:t>
      </w:r>
      <w:proofErr w:type="spellEnd"/>
      <w:r w:rsidRPr="0099478A">
        <w:rPr>
          <w:color w:val="auto"/>
        </w:rPr>
        <w:t xml:space="preserve">, as signs and symptoms of acute inflammation may be lessened, due to suppression of the acute phase reaction. The effects of </w:t>
      </w:r>
      <w:proofErr w:type="spellStart"/>
      <w:r w:rsidRPr="0099478A">
        <w:rPr>
          <w:color w:val="auto"/>
        </w:rPr>
        <w:t>satralizumab</w:t>
      </w:r>
      <w:proofErr w:type="spellEnd"/>
      <w:r w:rsidRPr="0099478A">
        <w:rPr>
          <w:color w:val="auto"/>
        </w:rPr>
        <w:t xml:space="preserve"> on C-reactive protein (CRP), neutrophils and signs and symptoms of infection should be considered when evaluating a patient for a potential infection. Patients</w:t>
      </w:r>
      <w:r w:rsidR="003A1160" w:rsidRPr="0099478A">
        <w:rPr>
          <w:color w:val="auto"/>
        </w:rPr>
        <w:t xml:space="preserve">/caregivers </w:t>
      </w:r>
      <w:r w:rsidRPr="0099478A">
        <w:rPr>
          <w:color w:val="auto"/>
        </w:rPr>
        <w:t xml:space="preserve">should be instructed to contact a physician immediately when any symptoms suggesting infection appear, </w:t>
      </w:r>
      <w:proofErr w:type="gramStart"/>
      <w:r w:rsidRPr="0099478A">
        <w:rPr>
          <w:color w:val="auto"/>
        </w:rPr>
        <w:t>in order to</w:t>
      </w:r>
      <w:proofErr w:type="gramEnd"/>
      <w:r w:rsidRPr="0099478A">
        <w:rPr>
          <w:color w:val="auto"/>
        </w:rPr>
        <w:t xml:space="preserve"> assure rapid evaluation and appropriate treatment.</w:t>
      </w:r>
      <w:r w:rsidR="00F63D15">
        <w:rPr>
          <w:color w:val="auto"/>
        </w:rPr>
        <w:t xml:space="preserve"> </w:t>
      </w:r>
    </w:p>
    <w:p w14:paraId="3A5C527D" w14:textId="77777777" w:rsidR="006B1022" w:rsidRPr="0099478A" w:rsidRDefault="006B1022" w:rsidP="006B1022">
      <w:pPr>
        <w:pStyle w:val="Heading3"/>
        <w:rPr>
          <w:color w:val="auto"/>
        </w:rPr>
      </w:pPr>
      <w:r w:rsidRPr="0099478A">
        <w:rPr>
          <w:color w:val="auto"/>
        </w:rPr>
        <w:t>Vaccinations</w:t>
      </w:r>
    </w:p>
    <w:p w14:paraId="02D55E5B" w14:textId="39D06A9F" w:rsidR="006B1022" w:rsidRPr="0099478A" w:rsidRDefault="006B1022" w:rsidP="006B1022">
      <w:pPr>
        <w:spacing w:after="240"/>
        <w:rPr>
          <w:color w:val="auto"/>
        </w:rPr>
      </w:pPr>
      <w:r w:rsidRPr="0099478A">
        <w:rPr>
          <w:color w:val="auto"/>
        </w:rPr>
        <w:t xml:space="preserve">Live or live-attenuated vaccines should not be given concurrently with </w:t>
      </w:r>
      <w:proofErr w:type="spellStart"/>
      <w:r w:rsidRPr="0099478A">
        <w:rPr>
          <w:color w:val="auto"/>
        </w:rPr>
        <w:t>E</w:t>
      </w:r>
      <w:r w:rsidR="00A875DF" w:rsidRPr="0099478A">
        <w:rPr>
          <w:color w:val="auto"/>
        </w:rPr>
        <w:t>nspryng</w:t>
      </w:r>
      <w:proofErr w:type="spellEnd"/>
      <w:r w:rsidRPr="0099478A">
        <w:rPr>
          <w:color w:val="auto"/>
        </w:rPr>
        <w:t xml:space="preserve"> as clinical safety has not been established. The interval between live vaccinations and initiation of </w:t>
      </w:r>
      <w:proofErr w:type="spellStart"/>
      <w:r w:rsidRPr="0099478A">
        <w:rPr>
          <w:color w:val="auto"/>
        </w:rPr>
        <w:t>E</w:t>
      </w:r>
      <w:r w:rsidR="00A875DF" w:rsidRPr="0099478A">
        <w:rPr>
          <w:color w:val="auto"/>
        </w:rPr>
        <w:t>nspryng</w:t>
      </w:r>
      <w:proofErr w:type="spellEnd"/>
      <w:r w:rsidRPr="0099478A">
        <w:rPr>
          <w:color w:val="auto"/>
        </w:rPr>
        <w:t xml:space="preserve"> therapy should be in accordance with current vaccination guidelines regarding immunomodulatory/immunosuppressive agents.</w:t>
      </w:r>
    </w:p>
    <w:p w14:paraId="0B97177A" w14:textId="48606CAF" w:rsidR="009A4EA8" w:rsidRPr="0099478A" w:rsidRDefault="009A4EA8" w:rsidP="006B1022">
      <w:pPr>
        <w:spacing w:after="240"/>
        <w:rPr>
          <w:color w:val="auto"/>
        </w:rPr>
      </w:pPr>
      <w:r w:rsidRPr="0099478A">
        <w:rPr>
          <w:color w:val="auto"/>
        </w:rPr>
        <w:t xml:space="preserve">No data are available on the effects of vaccination in patients receiving </w:t>
      </w:r>
      <w:proofErr w:type="spellStart"/>
      <w:r w:rsidRPr="0099478A">
        <w:rPr>
          <w:color w:val="auto"/>
        </w:rPr>
        <w:t>Enspryng</w:t>
      </w:r>
      <w:proofErr w:type="spellEnd"/>
      <w:r w:rsidRPr="0099478A">
        <w:rPr>
          <w:color w:val="auto"/>
        </w:rPr>
        <w:t xml:space="preserve">. It is recommended that all patients </w:t>
      </w:r>
      <w:r w:rsidR="00825955" w:rsidRPr="0099478A">
        <w:rPr>
          <w:color w:val="auto"/>
        </w:rPr>
        <w:t xml:space="preserve">are </w:t>
      </w:r>
      <w:r w:rsidRPr="0099478A">
        <w:rPr>
          <w:color w:val="auto"/>
        </w:rPr>
        <w:t xml:space="preserve">brought up to date with all immunisations in agreement with current immunisation guidelines prior to initiating </w:t>
      </w:r>
      <w:proofErr w:type="spellStart"/>
      <w:r w:rsidRPr="0099478A">
        <w:rPr>
          <w:color w:val="auto"/>
        </w:rPr>
        <w:t>Enspryng</w:t>
      </w:r>
      <w:proofErr w:type="spellEnd"/>
      <w:r w:rsidRPr="0099478A">
        <w:rPr>
          <w:color w:val="auto"/>
        </w:rPr>
        <w:t xml:space="preserve"> therapy.</w:t>
      </w:r>
    </w:p>
    <w:p w14:paraId="1B699A4E" w14:textId="224ABEB7" w:rsidR="00825955" w:rsidRPr="0099478A" w:rsidRDefault="00825955" w:rsidP="00825955">
      <w:pPr>
        <w:pStyle w:val="Heading3"/>
        <w:rPr>
          <w:color w:val="auto"/>
        </w:rPr>
      </w:pPr>
      <w:r w:rsidRPr="0099478A">
        <w:rPr>
          <w:color w:val="auto"/>
        </w:rPr>
        <w:t>Neutrophil count</w:t>
      </w:r>
    </w:p>
    <w:p w14:paraId="7597CFBF" w14:textId="26273A31" w:rsidR="00825955" w:rsidRPr="0099478A" w:rsidRDefault="00825955" w:rsidP="00825955">
      <w:pPr>
        <w:spacing w:after="240"/>
        <w:rPr>
          <w:color w:val="auto"/>
        </w:rPr>
      </w:pPr>
      <w:r w:rsidRPr="0099478A">
        <w:rPr>
          <w:color w:val="auto"/>
        </w:rPr>
        <w:t xml:space="preserve">Decreases in neutrophil counts have occurred following treatment with </w:t>
      </w:r>
      <w:proofErr w:type="spellStart"/>
      <w:r w:rsidRPr="0099478A">
        <w:rPr>
          <w:color w:val="auto"/>
        </w:rPr>
        <w:t>Enspryng</w:t>
      </w:r>
      <w:proofErr w:type="spellEnd"/>
      <w:r w:rsidRPr="0099478A">
        <w:rPr>
          <w:color w:val="auto"/>
        </w:rPr>
        <w:t xml:space="preserve"> (see section 5.1</w:t>
      </w:r>
      <w:r w:rsidR="00A13D49" w:rsidRPr="0099478A">
        <w:rPr>
          <w:color w:val="auto"/>
        </w:rPr>
        <w:t>;</w:t>
      </w:r>
      <w:r w:rsidRPr="0099478A">
        <w:rPr>
          <w:color w:val="auto"/>
        </w:rPr>
        <w:t xml:space="preserve"> Clinical Trials). </w:t>
      </w:r>
    </w:p>
    <w:p w14:paraId="5CB1CA66" w14:textId="46FEA50F" w:rsidR="00825955" w:rsidRDefault="00825955" w:rsidP="00825955">
      <w:pPr>
        <w:spacing w:after="240"/>
        <w:rPr>
          <w:color w:val="auto"/>
        </w:rPr>
      </w:pPr>
      <w:r w:rsidRPr="0099478A">
        <w:rPr>
          <w:color w:val="auto"/>
        </w:rPr>
        <w:t>Neutrophil counts should be monitored 4 to 8 weeks after</w:t>
      </w:r>
      <w:r w:rsidR="0099478A" w:rsidRPr="0099478A">
        <w:rPr>
          <w:color w:val="auto"/>
        </w:rPr>
        <w:t xml:space="preserve"> the</w:t>
      </w:r>
      <w:r w:rsidRPr="0099478A">
        <w:rPr>
          <w:color w:val="auto"/>
        </w:rPr>
        <w:t xml:space="preserve"> start of therapy and thereafter as clinically indicated. For recommended dose interruption, see section </w:t>
      </w:r>
      <w:proofErr w:type="gramStart"/>
      <w:r w:rsidRPr="0099478A">
        <w:rPr>
          <w:color w:val="auto"/>
        </w:rPr>
        <w:t>4.2</w:t>
      </w:r>
      <w:r w:rsidR="00A13D49" w:rsidRPr="0099478A">
        <w:rPr>
          <w:color w:val="auto"/>
        </w:rPr>
        <w:t>;</w:t>
      </w:r>
      <w:proofErr w:type="gramEnd"/>
      <w:r w:rsidRPr="0099478A">
        <w:rPr>
          <w:color w:val="auto"/>
        </w:rPr>
        <w:t xml:space="preserve"> Dose modification.</w:t>
      </w:r>
    </w:p>
    <w:p w14:paraId="320F1A06" w14:textId="77777777" w:rsidR="003E065E" w:rsidRDefault="003E065E" w:rsidP="00825955">
      <w:pPr>
        <w:spacing w:after="240"/>
        <w:rPr>
          <w:color w:val="auto"/>
        </w:rPr>
      </w:pPr>
    </w:p>
    <w:p w14:paraId="413319F4" w14:textId="4A736F96" w:rsidR="00F82D92" w:rsidRPr="00F63D15" w:rsidRDefault="00F82D92" w:rsidP="00F82D92">
      <w:pPr>
        <w:pStyle w:val="Heading3"/>
        <w:rPr>
          <w:color w:val="auto"/>
        </w:rPr>
      </w:pPr>
      <w:r w:rsidRPr="00F63D15">
        <w:rPr>
          <w:color w:val="auto"/>
        </w:rPr>
        <w:lastRenderedPageBreak/>
        <w:t>Injection site and hypersensitivity reaction</w:t>
      </w:r>
    </w:p>
    <w:p w14:paraId="620210C1" w14:textId="215209A6" w:rsidR="00F82D92" w:rsidRPr="00304FFD" w:rsidRDefault="00F82D92" w:rsidP="00825955">
      <w:pPr>
        <w:spacing w:after="240"/>
        <w:rPr>
          <w:color w:val="auto"/>
        </w:rPr>
      </w:pPr>
      <w:r w:rsidRPr="00F63D15">
        <w:rPr>
          <w:color w:val="auto"/>
        </w:rPr>
        <w:t xml:space="preserve">In clinical trials, mild to moderate local and systemic injection-related reactions were more common in patients taking </w:t>
      </w:r>
      <w:proofErr w:type="spellStart"/>
      <w:r w:rsidRPr="00F63D15">
        <w:rPr>
          <w:color w:val="auto"/>
        </w:rPr>
        <w:t>E</w:t>
      </w:r>
      <w:r w:rsidR="00945B73" w:rsidRPr="00F63D15">
        <w:rPr>
          <w:color w:val="auto"/>
        </w:rPr>
        <w:t>nspryng</w:t>
      </w:r>
      <w:proofErr w:type="spellEnd"/>
      <w:r w:rsidRPr="00F63D15">
        <w:rPr>
          <w:color w:val="auto"/>
        </w:rPr>
        <w:t xml:space="preserve">. Advise patients to seek medical attention if they experience serious or severe allergic reactions to </w:t>
      </w:r>
      <w:proofErr w:type="spellStart"/>
      <w:r w:rsidRPr="00F63D15">
        <w:rPr>
          <w:color w:val="auto"/>
        </w:rPr>
        <w:t>E</w:t>
      </w:r>
      <w:r w:rsidR="00945B73" w:rsidRPr="00F63D15">
        <w:rPr>
          <w:color w:val="auto"/>
        </w:rPr>
        <w:t>nspryng</w:t>
      </w:r>
      <w:proofErr w:type="spellEnd"/>
      <w:r w:rsidRPr="00F63D15">
        <w:rPr>
          <w:color w:val="auto"/>
        </w:rPr>
        <w:t xml:space="preserve">. If an anaphylactic or serious hypersensitivity reaction occurs, </w:t>
      </w:r>
      <w:proofErr w:type="spellStart"/>
      <w:r w:rsidRPr="00F63D15">
        <w:rPr>
          <w:color w:val="auto"/>
        </w:rPr>
        <w:t>E</w:t>
      </w:r>
      <w:r w:rsidR="00945B73" w:rsidRPr="00F63D15">
        <w:rPr>
          <w:color w:val="auto"/>
        </w:rPr>
        <w:t>nspryng</w:t>
      </w:r>
      <w:proofErr w:type="spellEnd"/>
      <w:r w:rsidRPr="00F63D15">
        <w:rPr>
          <w:color w:val="auto"/>
        </w:rPr>
        <w:t xml:space="preserve"> should be discontinued.</w:t>
      </w:r>
    </w:p>
    <w:p w14:paraId="3C219F70" w14:textId="5127F652" w:rsidR="00B1134D" w:rsidRPr="0099478A" w:rsidRDefault="00407592" w:rsidP="00B1134D">
      <w:pPr>
        <w:pStyle w:val="Heading3"/>
        <w:rPr>
          <w:color w:val="auto"/>
        </w:rPr>
      </w:pPr>
      <w:r w:rsidRPr="0099478A">
        <w:rPr>
          <w:color w:val="auto"/>
        </w:rPr>
        <w:t>Use in the Elderly</w:t>
      </w:r>
    </w:p>
    <w:p w14:paraId="0521763E" w14:textId="31BE9F0B" w:rsidR="00A875DF" w:rsidRPr="0099478A" w:rsidRDefault="00092ABA" w:rsidP="00A875DF">
      <w:pPr>
        <w:rPr>
          <w:color w:val="auto"/>
        </w:rPr>
      </w:pPr>
      <w:r w:rsidRPr="0099478A">
        <w:rPr>
          <w:color w:val="auto"/>
        </w:rPr>
        <w:t xml:space="preserve">The safety and efficacy of </w:t>
      </w:r>
      <w:proofErr w:type="spellStart"/>
      <w:r w:rsidRPr="0099478A">
        <w:rPr>
          <w:color w:val="auto"/>
        </w:rPr>
        <w:t>Enspryng</w:t>
      </w:r>
      <w:proofErr w:type="spellEnd"/>
      <w:r w:rsidRPr="0099478A">
        <w:rPr>
          <w:color w:val="auto"/>
        </w:rPr>
        <w:t xml:space="preserve"> in geriatric patients &gt;74 years of age have not been studied.</w:t>
      </w:r>
    </w:p>
    <w:p w14:paraId="2816B2E1" w14:textId="77777777" w:rsidR="00A875DF" w:rsidRPr="0099478A" w:rsidRDefault="00A875DF" w:rsidP="00A875DF">
      <w:pPr>
        <w:rPr>
          <w:color w:val="auto"/>
        </w:rPr>
      </w:pPr>
    </w:p>
    <w:p w14:paraId="70EE6C6B" w14:textId="1A7DCF64" w:rsidR="00B1134D" w:rsidRPr="0099478A" w:rsidRDefault="00407592" w:rsidP="00B1134D">
      <w:pPr>
        <w:pStyle w:val="Heading3"/>
        <w:rPr>
          <w:color w:val="auto"/>
        </w:rPr>
      </w:pPr>
      <w:r w:rsidRPr="0099478A">
        <w:rPr>
          <w:color w:val="auto"/>
        </w:rPr>
        <w:t>Paediatric use</w:t>
      </w:r>
    </w:p>
    <w:p w14:paraId="589472FD" w14:textId="371546BD" w:rsidR="000802F3" w:rsidRPr="0099478A" w:rsidRDefault="00A875DF" w:rsidP="00A875DF">
      <w:pPr>
        <w:rPr>
          <w:color w:val="auto"/>
        </w:rPr>
      </w:pPr>
      <w:r w:rsidRPr="0099478A">
        <w:rPr>
          <w:color w:val="auto"/>
        </w:rPr>
        <w:t xml:space="preserve">The safety and efficacy of </w:t>
      </w:r>
      <w:proofErr w:type="spellStart"/>
      <w:r w:rsidRPr="0099478A">
        <w:rPr>
          <w:color w:val="auto"/>
        </w:rPr>
        <w:t>Enspryng</w:t>
      </w:r>
      <w:proofErr w:type="spellEnd"/>
      <w:r w:rsidRPr="0099478A">
        <w:rPr>
          <w:color w:val="auto"/>
        </w:rPr>
        <w:t xml:space="preserve"> in children</w:t>
      </w:r>
      <w:r w:rsidR="00807950">
        <w:rPr>
          <w:color w:val="auto"/>
        </w:rPr>
        <w:t xml:space="preserve"> and adolescents aged &lt; 18</w:t>
      </w:r>
      <w:r w:rsidRPr="0099478A">
        <w:rPr>
          <w:color w:val="auto"/>
        </w:rPr>
        <w:t xml:space="preserve"> years of age have not been established.</w:t>
      </w:r>
    </w:p>
    <w:p w14:paraId="43DCEC69" w14:textId="77777777" w:rsidR="000802F3" w:rsidRPr="0099478A" w:rsidRDefault="000802F3" w:rsidP="00A875DF">
      <w:pPr>
        <w:rPr>
          <w:color w:val="auto"/>
        </w:rPr>
      </w:pPr>
    </w:p>
    <w:p w14:paraId="05C231D2" w14:textId="77777777" w:rsidR="00834C48" w:rsidRPr="0099478A" w:rsidRDefault="00407592" w:rsidP="00A55969">
      <w:pPr>
        <w:pStyle w:val="Heading3"/>
        <w:rPr>
          <w:color w:val="auto"/>
        </w:rPr>
      </w:pPr>
      <w:r w:rsidRPr="0099478A">
        <w:rPr>
          <w:color w:val="auto"/>
        </w:rPr>
        <w:t>Effects on laboratory tests</w:t>
      </w:r>
    </w:p>
    <w:p w14:paraId="05FDFCF7" w14:textId="77777777" w:rsidR="006B1022" w:rsidRPr="0099478A" w:rsidRDefault="006B1022" w:rsidP="00A55969">
      <w:pPr>
        <w:pStyle w:val="Heading4"/>
        <w:rPr>
          <w:color w:val="auto"/>
        </w:rPr>
      </w:pPr>
      <w:r w:rsidRPr="0099478A">
        <w:rPr>
          <w:color w:val="auto"/>
        </w:rPr>
        <w:t>Elevated Liver Enzymes</w:t>
      </w:r>
    </w:p>
    <w:p w14:paraId="7BDE41A1" w14:textId="5F3B7E57" w:rsidR="006B1022" w:rsidRPr="0099478A" w:rsidRDefault="006B1022" w:rsidP="006B1022">
      <w:pPr>
        <w:rPr>
          <w:color w:val="auto"/>
        </w:rPr>
      </w:pPr>
      <w:r w:rsidRPr="0099478A">
        <w:rPr>
          <w:color w:val="auto"/>
        </w:rPr>
        <w:t xml:space="preserve">Mild and moderate elevations of liver </w:t>
      </w:r>
      <w:r w:rsidR="00CE6491" w:rsidRPr="0099478A">
        <w:rPr>
          <w:color w:val="auto"/>
        </w:rPr>
        <w:t>transaminases</w:t>
      </w:r>
      <w:r w:rsidRPr="0099478A">
        <w:rPr>
          <w:color w:val="auto"/>
        </w:rPr>
        <w:t xml:space="preserve"> have been observed with </w:t>
      </w:r>
      <w:proofErr w:type="spellStart"/>
      <w:r w:rsidRPr="0099478A">
        <w:rPr>
          <w:color w:val="auto"/>
        </w:rPr>
        <w:t>E</w:t>
      </w:r>
      <w:r w:rsidR="00A875DF" w:rsidRPr="0099478A">
        <w:rPr>
          <w:color w:val="auto"/>
        </w:rPr>
        <w:t>nspryng</w:t>
      </w:r>
      <w:proofErr w:type="spellEnd"/>
      <w:r w:rsidRPr="0099478A">
        <w:rPr>
          <w:color w:val="auto"/>
        </w:rPr>
        <w:t xml:space="preserve"> t</w:t>
      </w:r>
      <w:r w:rsidR="00CE6491" w:rsidRPr="0099478A">
        <w:rPr>
          <w:color w:val="auto"/>
        </w:rPr>
        <w:t xml:space="preserve">reatment. Most elevations were below </w:t>
      </w:r>
      <w:r w:rsidRPr="0099478A">
        <w:rPr>
          <w:color w:val="auto"/>
        </w:rPr>
        <w:t>5x ULN</w:t>
      </w:r>
      <w:r w:rsidR="00CE6491" w:rsidRPr="0099478A">
        <w:rPr>
          <w:color w:val="auto"/>
        </w:rPr>
        <w:t xml:space="preserve"> and not treatment-limiting</w:t>
      </w:r>
      <w:r w:rsidRPr="0099478A">
        <w:rPr>
          <w:color w:val="auto"/>
        </w:rPr>
        <w:t xml:space="preserve"> and resolved while continuing treatment with </w:t>
      </w:r>
      <w:proofErr w:type="spellStart"/>
      <w:r w:rsidRPr="0099478A">
        <w:rPr>
          <w:color w:val="auto"/>
        </w:rPr>
        <w:t>E</w:t>
      </w:r>
      <w:r w:rsidR="00A875DF" w:rsidRPr="0099478A">
        <w:rPr>
          <w:color w:val="auto"/>
        </w:rPr>
        <w:t>nspryng</w:t>
      </w:r>
      <w:proofErr w:type="spellEnd"/>
      <w:r w:rsidRPr="0099478A">
        <w:rPr>
          <w:color w:val="auto"/>
        </w:rPr>
        <w:t xml:space="preserve"> </w:t>
      </w:r>
      <w:r w:rsidR="00A875DF" w:rsidRPr="0099478A">
        <w:rPr>
          <w:color w:val="auto"/>
        </w:rPr>
        <w:t>(</w:t>
      </w:r>
      <w:r w:rsidRPr="0099478A">
        <w:rPr>
          <w:color w:val="auto"/>
        </w:rPr>
        <w:t xml:space="preserve">see </w:t>
      </w:r>
      <w:r w:rsidR="00A875DF" w:rsidRPr="0099478A">
        <w:rPr>
          <w:color w:val="auto"/>
        </w:rPr>
        <w:t>section 4.8)</w:t>
      </w:r>
      <w:r w:rsidRPr="0099478A">
        <w:rPr>
          <w:color w:val="auto"/>
        </w:rPr>
        <w:t>.</w:t>
      </w:r>
    </w:p>
    <w:p w14:paraId="1888BCA5" w14:textId="77777777" w:rsidR="006B1022" w:rsidRPr="0099478A" w:rsidRDefault="006B1022" w:rsidP="006B1022">
      <w:pPr>
        <w:rPr>
          <w:color w:val="auto"/>
        </w:rPr>
      </w:pPr>
    </w:p>
    <w:p w14:paraId="50B9C2DB" w14:textId="77777777" w:rsidR="006B1022" w:rsidRPr="0099478A" w:rsidRDefault="006B1022" w:rsidP="006B1022">
      <w:pPr>
        <w:rPr>
          <w:color w:val="auto"/>
        </w:rPr>
      </w:pPr>
      <w:r w:rsidRPr="0099478A">
        <w:rPr>
          <w:color w:val="auto"/>
        </w:rPr>
        <w:t>ALT and AST levels should be monitored every 4 weeks for the first 3 months of treatment, followed by every 3 months for one year, thereafter as clinically indicated.</w:t>
      </w:r>
    </w:p>
    <w:p w14:paraId="01753F41" w14:textId="77777777" w:rsidR="006B1022" w:rsidRPr="0099478A" w:rsidRDefault="006B1022" w:rsidP="006B1022">
      <w:pPr>
        <w:rPr>
          <w:color w:val="auto"/>
        </w:rPr>
      </w:pPr>
    </w:p>
    <w:p w14:paraId="47DC8E4F" w14:textId="5C5D1D81" w:rsidR="00825955" w:rsidRPr="0099478A" w:rsidRDefault="006B1022" w:rsidP="00A875DF">
      <w:pPr>
        <w:spacing w:after="200"/>
        <w:rPr>
          <w:color w:val="auto"/>
        </w:rPr>
      </w:pPr>
      <w:r w:rsidRPr="0099478A">
        <w:rPr>
          <w:color w:val="auto"/>
        </w:rPr>
        <w:t>For recommended dose modifications based on transaminases</w:t>
      </w:r>
      <w:r w:rsidR="00EE4461" w:rsidRPr="0099478A">
        <w:rPr>
          <w:color w:val="auto"/>
        </w:rPr>
        <w:t xml:space="preserve"> </w:t>
      </w:r>
      <w:r w:rsidR="00A875DF" w:rsidRPr="0099478A">
        <w:rPr>
          <w:color w:val="auto"/>
        </w:rPr>
        <w:t xml:space="preserve">see section </w:t>
      </w:r>
      <w:r w:rsidRPr="0099478A">
        <w:rPr>
          <w:color w:val="auto"/>
        </w:rPr>
        <w:t>4</w:t>
      </w:r>
      <w:r w:rsidR="00A875DF" w:rsidRPr="0099478A">
        <w:rPr>
          <w:color w:val="auto"/>
        </w:rPr>
        <w:t>.2</w:t>
      </w:r>
      <w:r w:rsidRPr="0099478A">
        <w:rPr>
          <w:color w:val="auto"/>
        </w:rPr>
        <w:t>.</w:t>
      </w:r>
    </w:p>
    <w:p w14:paraId="533F5B89" w14:textId="77777777" w:rsidR="00D52399" w:rsidRPr="0099478A" w:rsidRDefault="00902EBE" w:rsidP="009F4C5B">
      <w:pPr>
        <w:pStyle w:val="Heading2"/>
        <w:spacing w:before="0"/>
        <w:rPr>
          <w:color w:val="auto"/>
        </w:rPr>
      </w:pPr>
      <w:r w:rsidRPr="0099478A">
        <w:rPr>
          <w:color w:val="auto"/>
        </w:rPr>
        <w:t>4.5</w:t>
      </w:r>
      <w:r w:rsidRPr="0099478A">
        <w:rPr>
          <w:color w:val="auto"/>
        </w:rPr>
        <w:tab/>
        <w:t>INTERACTION</w:t>
      </w:r>
      <w:r w:rsidR="00177D8C" w:rsidRPr="0099478A">
        <w:rPr>
          <w:color w:val="auto"/>
        </w:rPr>
        <w:t>S</w:t>
      </w:r>
      <w:r w:rsidRPr="0099478A">
        <w:rPr>
          <w:color w:val="auto"/>
        </w:rPr>
        <w:t xml:space="preserve"> WITH OTHER MEDICINES AND OTHER FORMS OF INTERACTION</w:t>
      </w:r>
      <w:r w:rsidR="00177D8C" w:rsidRPr="0099478A">
        <w:rPr>
          <w:color w:val="auto"/>
        </w:rPr>
        <w:t>S</w:t>
      </w:r>
    </w:p>
    <w:p w14:paraId="734A1A53" w14:textId="1C34D433" w:rsidR="00D52399" w:rsidRPr="0099478A" w:rsidRDefault="007966DA" w:rsidP="006A3076">
      <w:pPr>
        <w:rPr>
          <w:color w:val="auto"/>
        </w:rPr>
      </w:pPr>
      <w:r w:rsidRPr="0099478A">
        <w:rPr>
          <w:color w:val="auto"/>
        </w:rPr>
        <w:t>No</w:t>
      </w:r>
      <w:r w:rsidR="006A3076" w:rsidRPr="0099478A">
        <w:rPr>
          <w:color w:val="auto"/>
        </w:rPr>
        <w:t xml:space="preserve"> drug-drug interaction studies have been performed</w:t>
      </w:r>
      <w:r w:rsidRPr="0099478A">
        <w:rPr>
          <w:color w:val="auto"/>
        </w:rPr>
        <w:t>.</w:t>
      </w:r>
      <w:r w:rsidR="006A3076" w:rsidRPr="0099478A">
        <w:rPr>
          <w:color w:val="auto"/>
        </w:rPr>
        <w:t xml:space="preserve"> </w:t>
      </w:r>
    </w:p>
    <w:p w14:paraId="675DF777" w14:textId="77777777" w:rsidR="007966DA" w:rsidRPr="0099478A" w:rsidRDefault="007966DA" w:rsidP="007966DA">
      <w:pPr>
        <w:rPr>
          <w:color w:val="auto"/>
        </w:rPr>
      </w:pPr>
    </w:p>
    <w:p w14:paraId="31BD704F" w14:textId="167CD93C" w:rsidR="007966DA" w:rsidRPr="0099478A" w:rsidRDefault="007966DA" w:rsidP="007966DA">
      <w:pPr>
        <w:rPr>
          <w:color w:val="auto"/>
        </w:rPr>
      </w:pPr>
      <w:r w:rsidRPr="0099478A">
        <w:rPr>
          <w:color w:val="auto"/>
        </w:rPr>
        <w:t xml:space="preserve">Population pharmacokinetic (PK) analyses did not detect any effect of </w:t>
      </w:r>
      <w:r w:rsidR="00C513BD" w:rsidRPr="0099478A">
        <w:rPr>
          <w:color w:val="auto"/>
        </w:rPr>
        <w:t>AZA</w:t>
      </w:r>
      <w:r w:rsidRPr="0099478A">
        <w:rPr>
          <w:color w:val="auto"/>
        </w:rPr>
        <w:t>, OCs or MMF on the</w:t>
      </w:r>
      <w:r w:rsidR="0065417F" w:rsidRPr="0099478A">
        <w:rPr>
          <w:color w:val="auto"/>
        </w:rPr>
        <w:t xml:space="preserve"> </w:t>
      </w:r>
      <w:r w:rsidRPr="0099478A">
        <w:rPr>
          <w:color w:val="auto"/>
        </w:rPr>
        <w:t xml:space="preserve">clearance of </w:t>
      </w:r>
      <w:proofErr w:type="spellStart"/>
      <w:r w:rsidRPr="0099478A">
        <w:rPr>
          <w:color w:val="auto"/>
        </w:rPr>
        <w:t>Enspryng</w:t>
      </w:r>
      <w:proofErr w:type="spellEnd"/>
      <w:r w:rsidRPr="0099478A">
        <w:rPr>
          <w:color w:val="auto"/>
        </w:rPr>
        <w:t>.</w:t>
      </w:r>
    </w:p>
    <w:p w14:paraId="53D76831" w14:textId="54E73E51" w:rsidR="007966DA" w:rsidRPr="0099478A" w:rsidRDefault="007966DA" w:rsidP="007966DA">
      <w:pPr>
        <w:rPr>
          <w:color w:val="auto"/>
        </w:rPr>
      </w:pPr>
    </w:p>
    <w:p w14:paraId="464E8F41" w14:textId="09696846" w:rsidR="007966DA" w:rsidRPr="0099478A" w:rsidRDefault="007966DA" w:rsidP="007966DA">
      <w:pPr>
        <w:rPr>
          <w:color w:val="auto"/>
        </w:rPr>
      </w:pPr>
      <w:r w:rsidRPr="0099478A">
        <w:rPr>
          <w:color w:val="auto"/>
        </w:rPr>
        <w:t xml:space="preserve">The potential for treatment with </w:t>
      </w:r>
      <w:proofErr w:type="spellStart"/>
      <w:r w:rsidRPr="0099478A">
        <w:rPr>
          <w:color w:val="auto"/>
        </w:rPr>
        <w:t>Enspryng</w:t>
      </w:r>
      <w:proofErr w:type="spellEnd"/>
      <w:r w:rsidRPr="0099478A">
        <w:rPr>
          <w:color w:val="auto"/>
        </w:rPr>
        <w:t xml:space="preserve"> to reduce exposure to concomitant medications metabolised by CYP450 isozymes via blockade of IL-6 signalling has been explored using physiologically based pharmacokinetic (PBPK) modelling approaches.</w:t>
      </w:r>
    </w:p>
    <w:p w14:paraId="2BD1F11D" w14:textId="32219A04" w:rsidR="007966DA" w:rsidRPr="0099478A" w:rsidRDefault="007966DA" w:rsidP="007966DA">
      <w:pPr>
        <w:rPr>
          <w:color w:val="auto"/>
        </w:rPr>
      </w:pPr>
    </w:p>
    <w:p w14:paraId="13DCF651" w14:textId="68CF1772" w:rsidR="007966DA" w:rsidRDefault="007966DA" w:rsidP="006A3076">
      <w:pPr>
        <w:rPr>
          <w:color w:val="auto"/>
        </w:rPr>
      </w:pPr>
      <w:r w:rsidRPr="0099478A">
        <w:rPr>
          <w:color w:val="auto"/>
        </w:rPr>
        <w:t xml:space="preserve">This indicates that suppression of IL-6 signalling by treatment with </w:t>
      </w:r>
      <w:proofErr w:type="spellStart"/>
      <w:r w:rsidRPr="0099478A">
        <w:rPr>
          <w:color w:val="auto"/>
        </w:rPr>
        <w:t>Enspryng</w:t>
      </w:r>
      <w:proofErr w:type="spellEnd"/>
      <w:r w:rsidRPr="0099478A">
        <w:rPr>
          <w:color w:val="auto"/>
        </w:rPr>
        <w:t xml:space="preserve"> from the low baseline</w:t>
      </w:r>
      <w:r w:rsidR="0065417F" w:rsidRPr="0099478A">
        <w:rPr>
          <w:color w:val="auto"/>
        </w:rPr>
        <w:t xml:space="preserve"> </w:t>
      </w:r>
      <w:r w:rsidRPr="0099478A">
        <w:rPr>
          <w:color w:val="auto"/>
        </w:rPr>
        <w:t>levels seen in the phase III studies will have only a minor impact on exposure of a range of probe</w:t>
      </w:r>
      <w:r w:rsidR="0065417F" w:rsidRPr="0099478A">
        <w:rPr>
          <w:color w:val="auto"/>
        </w:rPr>
        <w:t xml:space="preserve"> </w:t>
      </w:r>
      <w:r w:rsidRPr="0099478A">
        <w:rPr>
          <w:color w:val="auto"/>
        </w:rPr>
        <w:t>CYP450 substrates (≤15% increase in AUC for all substrates of CYPs 1A2, 3A4, 2D6, 2C19). This</w:t>
      </w:r>
      <w:r w:rsidR="0065417F" w:rsidRPr="0099478A">
        <w:rPr>
          <w:color w:val="auto"/>
        </w:rPr>
        <w:t xml:space="preserve"> </w:t>
      </w:r>
      <w:r w:rsidRPr="0099478A">
        <w:rPr>
          <w:color w:val="auto"/>
        </w:rPr>
        <w:t xml:space="preserve">indicates that the risk of drug interaction is low, however caution should be exercised when </w:t>
      </w:r>
      <w:proofErr w:type="spellStart"/>
      <w:r w:rsidRPr="0099478A">
        <w:rPr>
          <w:color w:val="auto"/>
        </w:rPr>
        <w:t>Enspryng</w:t>
      </w:r>
      <w:proofErr w:type="spellEnd"/>
      <w:r w:rsidR="0065417F" w:rsidRPr="0099478A">
        <w:rPr>
          <w:color w:val="auto"/>
        </w:rPr>
        <w:t xml:space="preserve"> </w:t>
      </w:r>
      <w:r w:rsidRPr="0099478A">
        <w:rPr>
          <w:color w:val="auto"/>
        </w:rPr>
        <w:t xml:space="preserve">is administered or discontinued in patients also receiving CYP450 substrates with a </w:t>
      </w:r>
      <w:r w:rsidRPr="00304FFD">
        <w:rPr>
          <w:color w:val="auto"/>
        </w:rPr>
        <w:t>narrow therapeutic index</w:t>
      </w:r>
      <w:r w:rsidR="00825955" w:rsidRPr="00304FFD">
        <w:rPr>
          <w:color w:val="auto"/>
        </w:rPr>
        <w:t xml:space="preserve"> (e.g</w:t>
      </w:r>
      <w:r w:rsidR="000F5F88" w:rsidRPr="00304FFD">
        <w:rPr>
          <w:color w:val="auto"/>
        </w:rPr>
        <w:t>.</w:t>
      </w:r>
      <w:r w:rsidR="00825955" w:rsidRPr="00304FFD">
        <w:rPr>
          <w:color w:val="auto"/>
        </w:rPr>
        <w:t xml:space="preserve"> </w:t>
      </w:r>
      <w:r w:rsidR="000F5F88" w:rsidRPr="00304FFD">
        <w:rPr>
          <w:color w:val="auto"/>
        </w:rPr>
        <w:t>warfarin, carbamazepine, phenytoin &amp; theophylline</w:t>
      </w:r>
      <w:r w:rsidR="00825955" w:rsidRPr="00304FFD">
        <w:rPr>
          <w:color w:val="auto"/>
        </w:rPr>
        <w:t>)</w:t>
      </w:r>
      <w:r w:rsidR="00807950">
        <w:rPr>
          <w:color w:val="auto"/>
        </w:rPr>
        <w:t>. D</w:t>
      </w:r>
      <w:r w:rsidR="00F82D92" w:rsidRPr="00304FFD">
        <w:rPr>
          <w:color w:val="auto"/>
        </w:rPr>
        <w:t>ose adjust</w:t>
      </w:r>
      <w:r w:rsidR="00807950">
        <w:rPr>
          <w:color w:val="auto"/>
        </w:rPr>
        <w:t>ments may be required</w:t>
      </w:r>
      <w:r w:rsidR="00F82D92" w:rsidRPr="00304FFD">
        <w:rPr>
          <w:color w:val="auto"/>
        </w:rPr>
        <w:t>.</w:t>
      </w:r>
    </w:p>
    <w:p w14:paraId="3532B202" w14:textId="77777777" w:rsidR="003E065E" w:rsidRPr="0099478A" w:rsidRDefault="003E065E" w:rsidP="006A3076">
      <w:pPr>
        <w:rPr>
          <w:color w:val="auto"/>
        </w:rPr>
      </w:pPr>
    </w:p>
    <w:p w14:paraId="023B7443" w14:textId="6AF266E6" w:rsidR="006A3076" w:rsidRPr="0099478A" w:rsidRDefault="006A3076" w:rsidP="006A3076">
      <w:pPr>
        <w:pStyle w:val="Heading3"/>
        <w:rPr>
          <w:color w:val="auto"/>
        </w:rPr>
      </w:pPr>
      <w:r w:rsidRPr="0099478A">
        <w:rPr>
          <w:color w:val="auto"/>
        </w:rPr>
        <w:t>Vaccin</w:t>
      </w:r>
      <w:r w:rsidR="00A26876" w:rsidRPr="0099478A">
        <w:rPr>
          <w:color w:val="auto"/>
        </w:rPr>
        <w:t>ation</w:t>
      </w:r>
      <w:r w:rsidRPr="0099478A">
        <w:rPr>
          <w:color w:val="auto"/>
        </w:rPr>
        <w:t>s</w:t>
      </w:r>
    </w:p>
    <w:p w14:paraId="55259702" w14:textId="4616F2D6" w:rsidR="00D52399" w:rsidRDefault="006A3076" w:rsidP="006A3076">
      <w:pPr>
        <w:rPr>
          <w:color w:val="auto"/>
        </w:rPr>
      </w:pPr>
      <w:r w:rsidRPr="0099478A">
        <w:rPr>
          <w:color w:val="auto"/>
        </w:rPr>
        <w:t>Avoid use of live</w:t>
      </w:r>
      <w:r w:rsidR="00073752" w:rsidRPr="0099478A">
        <w:rPr>
          <w:color w:val="auto"/>
        </w:rPr>
        <w:t xml:space="preserve"> or live attenuated</w:t>
      </w:r>
      <w:r w:rsidRPr="0099478A">
        <w:rPr>
          <w:color w:val="auto"/>
        </w:rPr>
        <w:t xml:space="preserve"> vaccines during treatment with </w:t>
      </w:r>
      <w:proofErr w:type="spellStart"/>
      <w:r w:rsidRPr="0099478A">
        <w:rPr>
          <w:color w:val="auto"/>
        </w:rPr>
        <w:t>E</w:t>
      </w:r>
      <w:r w:rsidR="00A875DF" w:rsidRPr="0099478A">
        <w:rPr>
          <w:color w:val="auto"/>
        </w:rPr>
        <w:t>nspryng</w:t>
      </w:r>
      <w:proofErr w:type="spellEnd"/>
      <w:r w:rsidRPr="0099478A">
        <w:rPr>
          <w:color w:val="auto"/>
        </w:rPr>
        <w:t xml:space="preserve"> (</w:t>
      </w:r>
      <w:r w:rsidR="00A875DF" w:rsidRPr="0099478A">
        <w:rPr>
          <w:color w:val="auto"/>
        </w:rPr>
        <w:t>see section 4.4</w:t>
      </w:r>
      <w:r w:rsidRPr="0099478A">
        <w:rPr>
          <w:color w:val="auto"/>
        </w:rPr>
        <w:t>).</w:t>
      </w:r>
    </w:p>
    <w:p w14:paraId="796EE47D" w14:textId="77777777" w:rsidR="003E065E" w:rsidRPr="0099478A" w:rsidRDefault="003E065E" w:rsidP="006A3076">
      <w:pPr>
        <w:rPr>
          <w:color w:val="auto"/>
        </w:rPr>
      </w:pPr>
    </w:p>
    <w:p w14:paraId="14563268" w14:textId="77777777" w:rsidR="007966DA" w:rsidRPr="0099478A" w:rsidRDefault="007966DA" w:rsidP="006A3076">
      <w:pPr>
        <w:rPr>
          <w:color w:val="auto"/>
        </w:rPr>
      </w:pPr>
    </w:p>
    <w:p w14:paraId="5646C9AF" w14:textId="4429362E" w:rsidR="00B1134D" w:rsidRPr="0099478A" w:rsidRDefault="00902EBE" w:rsidP="00A52C5C">
      <w:pPr>
        <w:pStyle w:val="Heading2"/>
        <w:spacing w:before="0"/>
        <w:rPr>
          <w:color w:val="auto"/>
        </w:rPr>
      </w:pPr>
      <w:r w:rsidRPr="0099478A">
        <w:rPr>
          <w:color w:val="auto"/>
        </w:rPr>
        <w:lastRenderedPageBreak/>
        <w:t>4.6</w:t>
      </w:r>
      <w:r w:rsidRPr="0099478A">
        <w:rPr>
          <w:color w:val="auto"/>
        </w:rPr>
        <w:tab/>
        <w:t>FERTILITY, PREGNANCY AND LACTATION</w:t>
      </w:r>
    </w:p>
    <w:p w14:paraId="74B42586" w14:textId="098764FB" w:rsidR="00B1134D" w:rsidRPr="0099478A" w:rsidRDefault="00674CFD" w:rsidP="00B1134D">
      <w:pPr>
        <w:pStyle w:val="Heading3"/>
        <w:rPr>
          <w:color w:val="auto"/>
        </w:rPr>
      </w:pPr>
      <w:r w:rsidRPr="0099478A">
        <w:rPr>
          <w:color w:val="auto"/>
        </w:rPr>
        <w:t>Effects on Fertility</w:t>
      </w:r>
    </w:p>
    <w:p w14:paraId="2A39AC9A" w14:textId="0282B612" w:rsidR="00670494" w:rsidRPr="00304FFD" w:rsidRDefault="00670494" w:rsidP="00670494">
      <w:pPr>
        <w:rPr>
          <w:color w:val="auto"/>
        </w:rPr>
      </w:pPr>
      <w:r w:rsidRPr="0099478A">
        <w:rPr>
          <w:color w:val="auto"/>
        </w:rPr>
        <w:t xml:space="preserve">No clinical data are available on the effect of </w:t>
      </w:r>
      <w:proofErr w:type="spellStart"/>
      <w:r w:rsidRPr="0099478A">
        <w:rPr>
          <w:color w:val="auto"/>
        </w:rPr>
        <w:t>Enspryng</w:t>
      </w:r>
      <w:proofErr w:type="spellEnd"/>
      <w:r w:rsidRPr="0099478A">
        <w:rPr>
          <w:color w:val="auto"/>
        </w:rPr>
        <w:t xml:space="preserve"> on human fertility. </w:t>
      </w:r>
      <w:r w:rsidR="00E03622" w:rsidRPr="00E03622">
        <w:rPr>
          <w:color w:val="auto"/>
        </w:rPr>
        <w:t>Studies in cynomolgus monkeys showed no effects on reproductive organs, sperm parameters or menstrual cycling at subcutaneous doses up to 50 mg/kg/week (AUC exposure at least 100-</w:t>
      </w:r>
      <w:r w:rsidR="00E03622" w:rsidRPr="00304FFD">
        <w:rPr>
          <w:color w:val="auto"/>
        </w:rPr>
        <w:t xml:space="preserve">fold higher than in human patients receiving </w:t>
      </w:r>
      <w:proofErr w:type="spellStart"/>
      <w:r w:rsidR="00E03622" w:rsidRPr="00304FFD">
        <w:rPr>
          <w:color w:val="auto"/>
        </w:rPr>
        <w:t>Enspryng</w:t>
      </w:r>
      <w:proofErr w:type="spellEnd"/>
      <w:r w:rsidR="00E03622" w:rsidRPr="00304FFD">
        <w:rPr>
          <w:color w:val="auto"/>
        </w:rPr>
        <w:t xml:space="preserve"> 120 mg every 4 weeks).</w:t>
      </w:r>
    </w:p>
    <w:p w14:paraId="16DB708A" w14:textId="60725599" w:rsidR="00607998" w:rsidRPr="00304FFD" w:rsidRDefault="00607998" w:rsidP="00670494">
      <w:pPr>
        <w:rPr>
          <w:color w:val="auto"/>
        </w:rPr>
      </w:pPr>
    </w:p>
    <w:p w14:paraId="1D4AA9EC" w14:textId="5B19BDB9" w:rsidR="00607998" w:rsidRPr="00304FFD" w:rsidRDefault="00607998" w:rsidP="00670494">
      <w:pPr>
        <w:rPr>
          <w:color w:val="auto"/>
        </w:rPr>
      </w:pPr>
      <w:r w:rsidRPr="00F63D15">
        <w:rPr>
          <w:color w:val="auto"/>
        </w:rPr>
        <w:t xml:space="preserve">Women of childbearing potential must use effective contraception during and up to 3 months after treatment with </w:t>
      </w:r>
      <w:proofErr w:type="spellStart"/>
      <w:r w:rsidRPr="00F63D15">
        <w:rPr>
          <w:color w:val="auto"/>
        </w:rPr>
        <w:t>Enspryng</w:t>
      </w:r>
      <w:proofErr w:type="spellEnd"/>
      <w:r w:rsidRPr="00F63D15">
        <w:rPr>
          <w:color w:val="auto"/>
        </w:rPr>
        <w:t>.</w:t>
      </w:r>
    </w:p>
    <w:p w14:paraId="5FB04C27" w14:textId="77777777" w:rsidR="00A52C5C" w:rsidRPr="0099478A" w:rsidRDefault="00A52C5C" w:rsidP="00670494">
      <w:pPr>
        <w:rPr>
          <w:color w:val="auto"/>
        </w:rPr>
      </w:pPr>
    </w:p>
    <w:p w14:paraId="5FB44F7E" w14:textId="77777777" w:rsidR="003F5E46" w:rsidRPr="0099478A" w:rsidRDefault="00674CFD" w:rsidP="00B1134D">
      <w:pPr>
        <w:pStyle w:val="Heading3"/>
        <w:rPr>
          <w:color w:val="auto"/>
        </w:rPr>
      </w:pPr>
      <w:r w:rsidRPr="0099478A">
        <w:rPr>
          <w:color w:val="auto"/>
        </w:rPr>
        <w:t xml:space="preserve">Use in pregnancy </w:t>
      </w:r>
    </w:p>
    <w:p w14:paraId="3E10758C" w14:textId="1893CD89" w:rsidR="00B1134D" w:rsidRPr="0099478A" w:rsidRDefault="00C16233" w:rsidP="00B1134D">
      <w:pPr>
        <w:pStyle w:val="Heading3"/>
        <w:rPr>
          <w:color w:val="auto"/>
        </w:rPr>
      </w:pPr>
      <w:r w:rsidRPr="0099478A">
        <w:rPr>
          <w:color w:val="auto"/>
        </w:rPr>
        <w:t xml:space="preserve">Category </w:t>
      </w:r>
      <w:r w:rsidR="00E03622">
        <w:rPr>
          <w:color w:val="auto"/>
        </w:rPr>
        <w:t>C</w:t>
      </w:r>
    </w:p>
    <w:p w14:paraId="4416B267" w14:textId="6F481F59" w:rsidR="007966DA" w:rsidRPr="0099478A" w:rsidRDefault="007966DA" w:rsidP="007966DA">
      <w:pPr>
        <w:rPr>
          <w:color w:val="auto"/>
        </w:rPr>
      </w:pPr>
      <w:r w:rsidRPr="0099478A">
        <w:rPr>
          <w:color w:val="auto"/>
        </w:rPr>
        <w:t xml:space="preserve">There are no data from the use of </w:t>
      </w:r>
      <w:proofErr w:type="spellStart"/>
      <w:r w:rsidRPr="0099478A">
        <w:rPr>
          <w:color w:val="auto"/>
        </w:rPr>
        <w:t>Enspryng</w:t>
      </w:r>
      <w:proofErr w:type="spellEnd"/>
      <w:r w:rsidRPr="0099478A">
        <w:rPr>
          <w:color w:val="auto"/>
        </w:rPr>
        <w:t xml:space="preserve"> in pregnant women. </w:t>
      </w:r>
      <w:r w:rsidR="00E03622" w:rsidRPr="00E03622">
        <w:t xml:space="preserve"> </w:t>
      </w:r>
      <w:r w:rsidR="00E03622" w:rsidRPr="00E03622">
        <w:rPr>
          <w:color w:val="auto"/>
        </w:rPr>
        <w:t xml:space="preserve">Pre- and postnatal treatment with up to 50 mg/kg/week </w:t>
      </w:r>
      <w:proofErr w:type="spellStart"/>
      <w:r w:rsidR="00E03622" w:rsidRPr="00E03622">
        <w:rPr>
          <w:color w:val="auto"/>
        </w:rPr>
        <w:t>satralizumab</w:t>
      </w:r>
      <w:proofErr w:type="spellEnd"/>
      <w:r w:rsidR="00E03622" w:rsidRPr="00E03622">
        <w:rPr>
          <w:color w:val="auto"/>
        </w:rPr>
        <w:t xml:space="preserve"> subcutaneously to pregnant monkeys did not elicit any adverse effects on </w:t>
      </w:r>
      <w:proofErr w:type="spellStart"/>
      <w:r w:rsidR="00E03622" w:rsidRPr="00E03622">
        <w:rPr>
          <w:color w:val="auto"/>
        </w:rPr>
        <w:t>fetal</w:t>
      </w:r>
      <w:proofErr w:type="spellEnd"/>
      <w:r w:rsidR="00E03622" w:rsidRPr="00E03622">
        <w:rPr>
          <w:color w:val="auto"/>
        </w:rPr>
        <w:t xml:space="preserve"> development, pregnancy outcome or infant survival and development including learning ability. AUC exposures were almost 100-fold higher than in human patients receiving </w:t>
      </w:r>
      <w:proofErr w:type="spellStart"/>
      <w:r w:rsidR="00E03622" w:rsidRPr="00E03622">
        <w:rPr>
          <w:color w:val="auto"/>
        </w:rPr>
        <w:t>Enspryng</w:t>
      </w:r>
      <w:proofErr w:type="spellEnd"/>
      <w:r w:rsidR="00E03622" w:rsidRPr="00E03622">
        <w:rPr>
          <w:color w:val="auto"/>
        </w:rPr>
        <w:t xml:space="preserve"> 120 mg every 4 weeks. However, placental transfer of </w:t>
      </w:r>
      <w:proofErr w:type="spellStart"/>
      <w:r w:rsidR="00E03622" w:rsidRPr="00E03622">
        <w:rPr>
          <w:color w:val="auto"/>
        </w:rPr>
        <w:t>satralizumab</w:t>
      </w:r>
      <w:proofErr w:type="spellEnd"/>
      <w:r w:rsidR="00E03622" w:rsidRPr="00E03622">
        <w:rPr>
          <w:color w:val="auto"/>
        </w:rPr>
        <w:t xml:space="preserve"> is likely and a slight impairment of T-cell dependent antibody responses were seen in infant monkeys that had been exposed to </w:t>
      </w:r>
      <w:proofErr w:type="spellStart"/>
      <w:r w:rsidR="00E03622" w:rsidRPr="00E03622">
        <w:rPr>
          <w:color w:val="auto"/>
        </w:rPr>
        <w:t>satralizumab</w:t>
      </w:r>
      <w:proofErr w:type="spellEnd"/>
      <w:r w:rsidR="00E03622" w:rsidRPr="00E03622">
        <w:rPr>
          <w:color w:val="auto"/>
        </w:rPr>
        <w:t xml:space="preserve"> during the gestational period.</w:t>
      </w:r>
    </w:p>
    <w:p w14:paraId="1445804E" w14:textId="77777777" w:rsidR="007966DA" w:rsidRPr="0099478A" w:rsidRDefault="007966DA" w:rsidP="007966DA">
      <w:pPr>
        <w:rPr>
          <w:color w:val="auto"/>
        </w:rPr>
      </w:pPr>
    </w:p>
    <w:p w14:paraId="5A5DCD8B" w14:textId="2C15FF9D" w:rsidR="007966DA" w:rsidRDefault="007966DA" w:rsidP="007966DA">
      <w:pPr>
        <w:rPr>
          <w:color w:val="auto"/>
        </w:rPr>
      </w:pPr>
      <w:proofErr w:type="spellStart"/>
      <w:r w:rsidRPr="0099478A">
        <w:rPr>
          <w:color w:val="auto"/>
        </w:rPr>
        <w:t>Enspryng</w:t>
      </w:r>
      <w:proofErr w:type="spellEnd"/>
      <w:r w:rsidRPr="0099478A">
        <w:rPr>
          <w:color w:val="auto"/>
        </w:rPr>
        <w:t xml:space="preserve"> is not recommended during pregnancy unless the potential benefit for the mother outweighs the potential risk to the </w:t>
      </w:r>
      <w:proofErr w:type="spellStart"/>
      <w:r w:rsidRPr="0099478A">
        <w:rPr>
          <w:color w:val="auto"/>
        </w:rPr>
        <w:t>fetus</w:t>
      </w:r>
      <w:proofErr w:type="spellEnd"/>
      <w:r w:rsidRPr="0099478A">
        <w:rPr>
          <w:color w:val="auto"/>
        </w:rPr>
        <w:t>.</w:t>
      </w:r>
    </w:p>
    <w:p w14:paraId="07B9FC6C" w14:textId="77777777" w:rsidR="00F937E6" w:rsidRPr="0099478A" w:rsidRDefault="00F937E6" w:rsidP="007966DA">
      <w:pPr>
        <w:rPr>
          <w:color w:val="auto"/>
        </w:rPr>
      </w:pPr>
    </w:p>
    <w:p w14:paraId="187A5D0B" w14:textId="77777777" w:rsidR="00834C48" w:rsidRPr="0099478A" w:rsidRDefault="00674CFD" w:rsidP="00B1498F">
      <w:pPr>
        <w:pStyle w:val="Heading3"/>
        <w:rPr>
          <w:color w:val="auto"/>
        </w:rPr>
      </w:pPr>
      <w:r w:rsidRPr="0099478A">
        <w:rPr>
          <w:color w:val="auto"/>
        </w:rPr>
        <w:t>Use in lactation</w:t>
      </w:r>
      <w:r w:rsidR="00834C48" w:rsidRPr="0099478A">
        <w:rPr>
          <w:color w:val="auto"/>
        </w:rPr>
        <w:t xml:space="preserve"> </w:t>
      </w:r>
    </w:p>
    <w:p w14:paraId="40C46C2B" w14:textId="67C3F631" w:rsidR="00E03622" w:rsidRDefault="00670494" w:rsidP="00670494">
      <w:r w:rsidRPr="0099478A">
        <w:rPr>
          <w:color w:val="auto"/>
        </w:rPr>
        <w:t xml:space="preserve">It is unknown whether </w:t>
      </w:r>
      <w:proofErr w:type="spellStart"/>
      <w:r w:rsidRPr="0099478A">
        <w:rPr>
          <w:color w:val="auto"/>
        </w:rPr>
        <w:t>Enspryng</w:t>
      </w:r>
      <w:proofErr w:type="spellEnd"/>
      <w:r w:rsidRPr="0099478A">
        <w:rPr>
          <w:color w:val="auto"/>
        </w:rPr>
        <w:t xml:space="preserve"> is excreted in human breast milk or absorbed systemically after ingestion. However, because </w:t>
      </w:r>
      <w:proofErr w:type="spellStart"/>
      <w:r w:rsidRPr="0099478A">
        <w:rPr>
          <w:color w:val="auto"/>
        </w:rPr>
        <w:t>IgGs</w:t>
      </w:r>
      <w:proofErr w:type="spellEnd"/>
      <w:r w:rsidRPr="0099478A">
        <w:rPr>
          <w:color w:val="auto"/>
        </w:rPr>
        <w:t xml:space="preserve"> </w:t>
      </w:r>
      <w:r w:rsidRPr="00304FFD">
        <w:rPr>
          <w:color w:val="auto"/>
        </w:rPr>
        <w:t>are excreted in human milk</w:t>
      </w:r>
      <w:r w:rsidR="00F82D92" w:rsidRPr="00304FFD">
        <w:rPr>
          <w:color w:val="auto"/>
        </w:rPr>
        <w:t>.</w:t>
      </w:r>
      <w:r w:rsidR="00E03622" w:rsidRPr="00304FFD">
        <w:t xml:space="preserve"> </w:t>
      </w:r>
      <w:r w:rsidR="00F82D92" w:rsidRPr="00304FFD">
        <w:t xml:space="preserve">Breast-feeding is not recommended during treatment with </w:t>
      </w:r>
      <w:proofErr w:type="spellStart"/>
      <w:r w:rsidR="00F82D92" w:rsidRPr="00304FFD">
        <w:t>Enspryng</w:t>
      </w:r>
      <w:proofErr w:type="spellEnd"/>
      <w:r w:rsidR="00F82D92" w:rsidRPr="00304FFD">
        <w:t xml:space="preserve"> unless the potential benefit for the mother outweighs the potential risk to the </w:t>
      </w:r>
      <w:proofErr w:type="spellStart"/>
      <w:r w:rsidR="00F82D92" w:rsidRPr="00304FFD">
        <w:t>fetus</w:t>
      </w:r>
      <w:proofErr w:type="spellEnd"/>
      <w:r w:rsidR="00F82D92" w:rsidRPr="00304FFD">
        <w:t>.</w:t>
      </w:r>
    </w:p>
    <w:p w14:paraId="5C81F5D1" w14:textId="77777777" w:rsidR="00E03622" w:rsidRDefault="00E03622" w:rsidP="00670494"/>
    <w:p w14:paraId="2D4473F8" w14:textId="6F224BFD" w:rsidR="00BA0878" w:rsidRDefault="00E03622">
      <w:pPr>
        <w:rPr>
          <w:color w:val="auto"/>
        </w:rPr>
      </w:pPr>
      <w:r w:rsidRPr="00E03622">
        <w:rPr>
          <w:color w:val="auto"/>
        </w:rPr>
        <w:t xml:space="preserve">Transfer of </w:t>
      </w:r>
      <w:proofErr w:type="spellStart"/>
      <w:r w:rsidRPr="00E03622">
        <w:rPr>
          <w:color w:val="auto"/>
        </w:rPr>
        <w:t>satralizumab</w:t>
      </w:r>
      <w:proofErr w:type="spellEnd"/>
      <w:r w:rsidRPr="00E03622">
        <w:rPr>
          <w:color w:val="auto"/>
        </w:rPr>
        <w:t xml:space="preserve"> into the milk of lactating monkeys has been observed, though concentrations of </w:t>
      </w:r>
      <w:proofErr w:type="spellStart"/>
      <w:r w:rsidRPr="00E03622">
        <w:rPr>
          <w:color w:val="auto"/>
        </w:rPr>
        <w:t>satralizumab</w:t>
      </w:r>
      <w:proofErr w:type="spellEnd"/>
      <w:r w:rsidRPr="00E03622">
        <w:rPr>
          <w:color w:val="auto"/>
        </w:rPr>
        <w:t xml:space="preserve"> in breast milk were very low (&lt;0.9% of the corresponding maternal plasma levels).</w:t>
      </w:r>
    </w:p>
    <w:p w14:paraId="11CA08D2" w14:textId="77777777" w:rsidR="003E065E" w:rsidRPr="0099478A" w:rsidRDefault="003E065E">
      <w:pPr>
        <w:rPr>
          <w:color w:val="auto"/>
        </w:rPr>
      </w:pPr>
    </w:p>
    <w:p w14:paraId="475C5C8D" w14:textId="77777777" w:rsidR="00D52399" w:rsidRPr="0099478A" w:rsidRDefault="00902EBE" w:rsidP="009F4C5B">
      <w:pPr>
        <w:pStyle w:val="Heading2"/>
        <w:spacing w:before="0"/>
        <w:rPr>
          <w:color w:val="auto"/>
        </w:rPr>
      </w:pPr>
      <w:r w:rsidRPr="0099478A">
        <w:rPr>
          <w:color w:val="auto"/>
        </w:rPr>
        <w:t>4.7</w:t>
      </w:r>
      <w:r w:rsidRPr="0099478A">
        <w:rPr>
          <w:color w:val="auto"/>
        </w:rPr>
        <w:tab/>
        <w:t>EFFECTS ON ABILITY TO DRIVE AND USE MACHINES</w:t>
      </w:r>
    </w:p>
    <w:p w14:paraId="5714AA2F" w14:textId="1F071CA3" w:rsidR="00674CFD" w:rsidRDefault="006B1022" w:rsidP="00670494">
      <w:pPr>
        <w:spacing w:after="240"/>
        <w:rPr>
          <w:color w:val="auto"/>
        </w:rPr>
      </w:pPr>
      <w:r w:rsidRPr="0099478A">
        <w:rPr>
          <w:color w:val="auto"/>
        </w:rPr>
        <w:t xml:space="preserve">No studies on the effects on the ability to drive and use machines have been performed. </w:t>
      </w:r>
      <w:proofErr w:type="spellStart"/>
      <w:r w:rsidR="00670494" w:rsidRPr="0099478A">
        <w:rPr>
          <w:color w:val="auto"/>
        </w:rPr>
        <w:t>Enspryng</w:t>
      </w:r>
      <w:proofErr w:type="spellEnd"/>
      <w:r w:rsidR="00670494" w:rsidRPr="0099478A">
        <w:rPr>
          <w:color w:val="auto"/>
        </w:rPr>
        <w:t xml:space="preserve"> has no or negligible influence on the ability to drive and use </w:t>
      </w:r>
      <w:r w:rsidRPr="0099478A">
        <w:rPr>
          <w:color w:val="auto"/>
        </w:rPr>
        <w:t>machines</w:t>
      </w:r>
      <w:r w:rsidR="003C6AB8" w:rsidRPr="0099478A">
        <w:rPr>
          <w:color w:val="auto"/>
        </w:rPr>
        <w:t>.</w:t>
      </w:r>
    </w:p>
    <w:p w14:paraId="4ED1BBAB" w14:textId="77777777" w:rsidR="00D52399" w:rsidRPr="0099478A" w:rsidRDefault="00902EBE" w:rsidP="009F4C5B">
      <w:pPr>
        <w:pStyle w:val="Heading2"/>
        <w:spacing w:before="0"/>
        <w:rPr>
          <w:color w:val="auto"/>
        </w:rPr>
      </w:pPr>
      <w:r w:rsidRPr="0099478A">
        <w:rPr>
          <w:color w:val="auto"/>
        </w:rPr>
        <w:t>4.8</w:t>
      </w:r>
      <w:r w:rsidRPr="0099478A">
        <w:rPr>
          <w:color w:val="auto"/>
        </w:rPr>
        <w:tab/>
        <w:t>ADVERSE EFFECTS (UNDESIRABLE EFFECTS)</w:t>
      </w:r>
    </w:p>
    <w:p w14:paraId="341D41A6" w14:textId="3236B83C" w:rsidR="009140DE" w:rsidRPr="0099478A" w:rsidRDefault="009140DE" w:rsidP="003E065E">
      <w:pPr>
        <w:pStyle w:val="Heading4"/>
        <w:spacing w:before="120"/>
        <w:rPr>
          <w:color w:val="auto"/>
        </w:rPr>
      </w:pPr>
      <w:r w:rsidRPr="0099478A">
        <w:rPr>
          <w:color w:val="auto"/>
        </w:rPr>
        <w:t>Summary of the safety profile</w:t>
      </w:r>
    </w:p>
    <w:p w14:paraId="50A68003" w14:textId="141C7AD3" w:rsidR="00092ABA" w:rsidRPr="0099478A" w:rsidRDefault="00092ABA" w:rsidP="009140DE">
      <w:pPr>
        <w:rPr>
          <w:color w:val="auto"/>
        </w:rPr>
      </w:pPr>
      <w:r w:rsidRPr="0099478A">
        <w:rPr>
          <w:color w:val="auto"/>
        </w:rPr>
        <w:t xml:space="preserve">The safety of </w:t>
      </w:r>
      <w:proofErr w:type="spellStart"/>
      <w:r w:rsidRPr="0099478A">
        <w:rPr>
          <w:color w:val="auto"/>
        </w:rPr>
        <w:t>Enspryng</w:t>
      </w:r>
      <w:proofErr w:type="spellEnd"/>
      <w:r w:rsidRPr="0099478A">
        <w:rPr>
          <w:color w:val="auto"/>
        </w:rPr>
        <w:t xml:space="preserve"> as monotherapy or in combination with IST was evaluated based on data from two phase III randomised, </w:t>
      </w:r>
      <w:proofErr w:type="spellStart"/>
      <w:r w:rsidRPr="0099478A">
        <w:rPr>
          <w:color w:val="auto"/>
        </w:rPr>
        <w:t>multicenter</w:t>
      </w:r>
      <w:proofErr w:type="spellEnd"/>
      <w:r w:rsidRPr="0099478A">
        <w:rPr>
          <w:color w:val="auto"/>
        </w:rPr>
        <w:t xml:space="preserve">, double-blind, placebo-controlled clinical trials (BN40898 and BN40900), which includes 63 patients exposed to </w:t>
      </w:r>
      <w:proofErr w:type="spellStart"/>
      <w:r w:rsidRPr="0099478A">
        <w:rPr>
          <w:color w:val="auto"/>
        </w:rPr>
        <w:t>Enspryng</w:t>
      </w:r>
      <w:proofErr w:type="spellEnd"/>
      <w:r w:rsidRPr="0099478A">
        <w:rPr>
          <w:color w:val="auto"/>
        </w:rPr>
        <w:t xml:space="preserve"> monotherapy and 41 patients exposed to </w:t>
      </w:r>
      <w:proofErr w:type="spellStart"/>
      <w:r w:rsidRPr="0099478A">
        <w:rPr>
          <w:color w:val="auto"/>
        </w:rPr>
        <w:t>Enspryng</w:t>
      </w:r>
      <w:proofErr w:type="spellEnd"/>
      <w:r w:rsidRPr="0099478A">
        <w:rPr>
          <w:color w:val="auto"/>
        </w:rPr>
        <w:t xml:space="preserve"> in combination with IST (see section 5.1).</w:t>
      </w:r>
      <w:r w:rsidR="005611D0">
        <w:rPr>
          <w:color w:val="auto"/>
        </w:rPr>
        <w:t xml:space="preserve"> </w:t>
      </w:r>
      <w:r w:rsidR="005611D0" w:rsidRPr="005611D0">
        <w:rPr>
          <w:color w:val="auto"/>
        </w:rPr>
        <w:t xml:space="preserve">In the double-blind controlled period, patient median exposure to </w:t>
      </w:r>
      <w:proofErr w:type="spellStart"/>
      <w:r w:rsidR="005611D0" w:rsidRPr="005611D0">
        <w:rPr>
          <w:color w:val="auto"/>
        </w:rPr>
        <w:t>satralizumab</w:t>
      </w:r>
      <w:proofErr w:type="spellEnd"/>
      <w:r w:rsidR="005611D0" w:rsidRPr="005611D0">
        <w:rPr>
          <w:color w:val="auto"/>
        </w:rPr>
        <w:t xml:space="preserve"> was approximately 2 years in both studies BN40900 and BN40898 each. The median exposure to placebo was approximately 1 year.</w:t>
      </w:r>
    </w:p>
    <w:p w14:paraId="7DDF0AEC" w14:textId="77777777" w:rsidR="00092ABA" w:rsidRPr="0099478A" w:rsidRDefault="00092ABA" w:rsidP="009140DE">
      <w:pPr>
        <w:rPr>
          <w:color w:val="auto"/>
        </w:rPr>
      </w:pPr>
    </w:p>
    <w:p w14:paraId="7ADE572C" w14:textId="442E9F60" w:rsidR="009140DE" w:rsidRPr="0099478A" w:rsidRDefault="009140DE" w:rsidP="009140DE">
      <w:pPr>
        <w:rPr>
          <w:color w:val="auto"/>
        </w:rPr>
      </w:pPr>
      <w:r w:rsidRPr="0099478A">
        <w:rPr>
          <w:color w:val="auto"/>
        </w:rPr>
        <w:t xml:space="preserve">The most frequently reported </w:t>
      </w:r>
      <w:r w:rsidR="0005554E" w:rsidRPr="0099478A">
        <w:rPr>
          <w:color w:val="auto"/>
        </w:rPr>
        <w:t>adverse drug reactions (ADRs)</w:t>
      </w:r>
      <w:r w:rsidR="00092ABA" w:rsidRPr="0099478A">
        <w:rPr>
          <w:color w:val="auto"/>
        </w:rPr>
        <w:t xml:space="preserve"> were</w:t>
      </w:r>
      <w:r w:rsidRPr="0099478A">
        <w:rPr>
          <w:color w:val="auto"/>
        </w:rPr>
        <w:t xml:space="preserve"> headache, </w:t>
      </w:r>
      <w:proofErr w:type="gramStart"/>
      <w:r w:rsidRPr="0099478A">
        <w:rPr>
          <w:color w:val="auto"/>
        </w:rPr>
        <w:t>arthralgia</w:t>
      </w:r>
      <w:proofErr w:type="gramEnd"/>
      <w:r w:rsidRPr="0099478A">
        <w:rPr>
          <w:color w:val="auto"/>
        </w:rPr>
        <w:t xml:space="preserve"> and injection-related reactions.</w:t>
      </w:r>
    </w:p>
    <w:p w14:paraId="5F196CDB" w14:textId="498FFE58" w:rsidR="003C6AB8" w:rsidRPr="0099478A" w:rsidRDefault="003C6AB8" w:rsidP="009140DE">
      <w:pPr>
        <w:pStyle w:val="Heading4"/>
        <w:rPr>
          <w:color w:val="auto"/>
        </w:rPr>
      </w:pPr>
      <w:r w:rsidRPr="0099478A">
        <w:rPr>
          <w:color w:val="auto"/>
        </w:rPr>
        <w:lastRenderedPageBreak/>
        <w:t>Tabulated summary of adverse drug reactions from clinical trials</w:t>
      </w:r>
    </w:p>
    <w:p w14:paraId="1D2AE604" w14:textId="5DD43987" w:rsidR="009140DE" w:rsidRPr="0099478A" w:rsidRDefault="003C6AB8" w:rsidP="003C6AB8">
      <w:pPr>
        <w:rPr>
          <w:color w:val="auto"/>
        </w:rPr>
      </w:pPr>
      <w:r w:rsidRPr="0099478A">
        <w:rPr>
          <w:color w:val="auto"/>
        </w:rPr>
        <w:t xml:space="preserve">Table </w:t>
      </w:r>
      <w:r w:rsidR="00AD5FED">
        <w:rPr>
          <w:color w:val="auto"/>
        </w:rPr>
        <w:t>3</w:t>
      </w:r>
      <w:r w:rsidRPr="0099478A">
        <w:rPr>
          <w:color w:val="auto"/>
        </w:rPr>
        <w:t xml:space="preserve"> summarises the </w:t>
      </w:r>
      <w:r w:rsidR="0005554E" w:rsidRPr="0099478A">
        <w:rPr>
          <w:color w:val="auto"/>
        </w:rPr>
        <w:t>ADRs</w:t>
      </w:r>
      <w:r w:rsidR="00A66A6E" w:rsidRPr="0099478A">
        <w:rPr>
          <w:color w:val="auto"/>
        </w:rPr>
        <w:t xml:space="preserve"> </w:t>
      </w:r>
      <w:r w:rsidRPr="0099478A">
        <w:rPr>
          <w:color w:val="auto"/>
        </w:rPr>
        <w:t xml:space="preserve">that have been reported in association with the use of </w:t>
      </w:r>
      <w:proofErr w:type="spellStart"/>
      <w:r w:rsidRPr="0099478A">
        <w:rPr>
          <w:color w:val="auto"/>
        </w:rPr>
        <w:t>Enspryng</w:t>
      </w:r>
      <w:proofErr w:type="spellEnd"/>
      <w:r w:rsidRPr="0099478A">
        <w:rPr>
          <w:color w:val="auto"/>
        </w:rPr>
        <w:t xml:space="preserve"> as monotherapy or in combination with IST in clinical trials. Patients in the </w:t>
      </w:r>
      <w:proofErr w:type="spellStart"/>
      <w:r w:rsidRPr="0099478A">
        <w:rPr>
          <w:color w:val="auto"/>
        </w:rPr>
        <w:t>Enspryng</w:t>
      </w:r>
      <w:proofErr w:type="spellEnd"/>
      <w:r w:rsidRPr="0099478A">
        <w:rPr>
          <w:color w:val="auto"/>
        </w:rPr>
        <w:t xml:space="preserve"> groups in both clinical studies had longer treatment period than those in the placebo (or placebo </w:t>
      </w:r>
      <w:r w:rsidR="009140DE" w:rsidRPr="0099478A">
        <w:rPr>
          <w:color w:val="auto"/>
        </w:rPr>
        <w:t>in combination with IST) groups</w:t>
      </w:r>
      <w:r w:rsidR="00092ABA" w:rsidRPr="0099478A">
        <w:rPr>
          <w:color w:val="auto"/>
        </w:rPr>
        <w:t xml:space="preserve">, ADRs were evaluated during 194 patient-years (PY) in the </w:t>
      </w:r>
      <w:proofErr w:type="spellStart"/>
      <w:r w:rsidR="00092ABA" w:rsidRPr="0099478A">
        <w:rPr>
          <w:color w:val="auto"/>
        </w:rPr>
        <w:t>Enspryng</w:t>
      </w:r>
      <w:proofErr w:type="spellEnd"/>
      <w:r w:rsidR="00092ABA" w:rsidRPr="0099478A">
        <w:rPr>
          <w:color w:val="auto"/>
        </w:rPr>
        <w:t xml:space="preserve"> groups and 100 PY in the placebo groups</w:t>
      </w:r>
      <w:r w:rsidR="009140DE" w:rsidRPr="0099478A">
        <w:rPr>
          <w:color w:val="auto"/>
        </w:rPr>
        <w:t>.</w:t>
      </w:r>
      <w:r w:rsidRPr="0099478A">
        <w:rPr>
          <w:color w:val="auto"/>
        </w:rPr>
        <w:t xml:space="preserve"> </w:t>
      </w:r>
    </w:p>
    <w:p w14:paraId="6D71F050" w14:textId="0DD88AB6" w:rsidR="00BA0878" w:rsidRPr="0099478A" w:rsidRDefault="003C6AB8" w:rsidP="003C6AB8">
      <w:pPr>
        <w:rPr>
          <w:color w:val="auto"/>
        </w:rPr>
      </w:pPr>
      <w:r w:rsidRPr="0099478A">
        <w:rPr>
          <w:color w:val="auto"/>
        </w:rPr>
        <w:t>A</w:t>
      </w:r>
      <w:r w:rsidR="009140DE" w:rsidRPr="0099478A">
        <w:rPr>
          <w:color w:val="auto"/>
        </w:rPr>
        <w:t>dverse reactions</w:t>
      </w:r>
      <w:r w:rsidRPr="0099478A">
        <w:rPr>
          <w:color w:val="auto"/>
        </w:rPr>
        <w:t xml:space="preserve"> from clinical trials (Table </w:t>
      </w:r>
      <w:r w:rsidR="00F937E6">
        <w:rPr>
          <w:color w:val="auto"/>
        </w:rPr>
        <w:t>3a</w:t>
      </w:r>
      <w:r w:rsidR="00F937E6" w:rsidRPr="0099478A">
        <w:rPr>
          <w:color w:val="auto"/>
        </w:rPr>
        <w:t xml:space="preserve"> </w:t>
      </w:r>
      <w:r w:rsidR="000D15A6" w:rsidRPr="0099478A">
        <w:rPr>
          <w:color w:val="auto"/>
        </w:rPr>
        <w:t xml:space="preserve">and Table </w:t>
      </w:r>
      <w:r w:rsidR="00F937E6">
        <w:rPr>
          <w:color w:val="auto"/>
        </w:rPr>
        <w:t>3</w:t>
      </w:r>
      <w:r w:rsidR="00F937E6" w:rsidRPr="0099478A">
        <w:rPr>
          <w:color w:val="auto"/>
        </w:rPr>
        <w:t>b</w:t>
      </w:r>
      <w:r w:rsidRPr="0099478A">
        <w:rPr>
          <w:color w:val="auto"/>
        </w:rPr>
        <w:t>) are listed by MedDRA system organ class. The corresponding frequency category for each adverse reaction is based on the following convention: very common (≥1/10), common (≥1/100 to &lt;1/10), uncommon (≥1/1,000 to &lt;1/100), rare (≥1/10,000 to &lt;1/1000), very rare (&lt;1/10,000).</w:t>
      </w:r>
    </w:p>
    <w:p w14:paraId="5D91EB87" w14:textId="772FFB56" w:rsidR="00711FEB" w:rsidRPr="0099478A" w:rsidRDefault="00711FEB" w:rsidP="003C6AB8">
      <w:pPr>
        <w:rPr>
          <w:color w:val="auto"/>
        </w:rPr>
      </w:pPr>
    </w:p>
    <w:p w14:paraId="474C3881" w14:textId="48884561" w:rsidR="00A55969" w:rsidRPr="0099478A" w:rsidRDefault="009140DE" w:rsidP="00B31326">
      <w:pPr>
        <w:ind w:left="1017" w:hanging="1017"/>
        <w:rPr>
          <w:b/>
          <w:color w:val="auto"/>
        </w:rPr>
      </w:pPr>
      <w:r w:rsidRPr="0099478A">
        <w:rPr>
          <w:b/>
          <w:color w:val="auto"/>
        </w:rPr>
        <w:t>Table</w:t>
      </w:r>
      <w:r w:rsidR="00711FEB" w:rsidRPr="0099478A">
        <w:rPr>
          <w:b/>
          <w:color w:val="auto"/>
        </w:rPr>
        <w:t xml:space="preserve"> </w:t>
      </w:r>
      <w:r w:rsidR="00F937E6">
        <w:rPr>
          <w:b/>
          <w:color w:val="auto"/>
        </w:rPr>
        <w:t>3</w:t>
      </w:r>
      <w:r w:rsidR="00F937E6" w:rsidRPr="0099478A">
        <w:rPr>
          <w:b/>
          <w:color w:val="auto"/>
        </w:rPr>
        <w:t>a</w:t>
      </w:r>
      <w:r w:rsidR="00711FEB" w:rsidRPr="0099478A">
        <w:rPr>
          <w:b/>
          <w:color w:val="auto"/>
        </w:rPr>
        <w:t xml:space="preserve">: Summary of </w:t>
      </w:r>
      <w:r w:rsidR="004426FA" w:rsidRPr="0099478A">
        <w:rPr>
          <w:b/>
          <w:color w:val="auto"/>
        </w:rPr>
        <w:t>adverse reaction</w:t>
      </w:r>
      <w:r w:rsidR="00711FEB" w:rsidRPr="0099478A">
        <w:rPr>
          <w:b/>
          <w:color w:val="auto"/>
        </w:rPr>
        <w:t xml:space="preserve"> occurring </w:t>
      </w:r>
      <w:r w:rsidR="00B71DF7" w:rsidRPr="00B71DF7">
        <w:rPr>
          <w:b/>
          <w:color w:val="auto"/>
        </w:rPr>
        <w:t xml:space="preserve">more commonly </w:t>
      </w:r>
      <w:r w:rsidR="00711FEB" w:rsidRPr="0099478A">
        <w:rPr>
          <w:b/>
          <w:color w:val="auto"/>
        </w:rPr>
        <w:t xml:space="preserve">in patients treated with </w:t>
      </w:r>
      <w:proofErr w:type="spellStart"/>
      <w:r w:rsidR="00711FEB" w:rsidRPr="0099478A">
        <w:rPr>
          <w:b/>
          <w:color w:val="auto"/>
        </w:rPr>
        <w:t>E</w:t>
      </w:r>
      <w:r w:rsidR="004426FA" w:rsidRPr="0099478A">
        <w:rPr>
          <w:b/>
          <w:color w:val="auto"/>
        </w:rPr>
        <w:t>nspryng</w:t>
      </w:r>
      <w:proofErr w:type="spellEnd"/>
      <w:r w:rsidR="00711FEB" w:rsidRPr="0099478A">
        <w:rPr>
          <w:b/>
          <w:color w:val="auto"/>
        </w:rPr>
        <w:t xml:space="preserve"> in combination with immunosuppressive therapy </w:t>
      </w:r>
      <w:r w:rsidR="00B71DF7" w:rsidRPr="00B71DF7">
        <w:rPr>
          <w:b/>
          <w:color w:val="auto"/>
        </w:rPr>
        <w:t>than in the control group</w:t>
      </w:r>
      <w:r w:rsidR="00B71DF7">
        <w:rPr>
          <w:b/>
          <w:color w:val="auto"/>
          <w:vertAlign w:val="superscript"/>
        </w:rPr>
        <w:t>*</w:t>
      </w:r>
      <w:r w:rsidR="00B71DF7">
        <w:rPr>
          <w:b/>
          <w:color w:val="auto"/>
        </w:rPr>
        <w:t>:</w:t>
      </w:r>
      <w:r w:rsidR="00711FEB" w:rsidRPr="0099478A">
        <w:rPr>
          <w:b/>
          <w:color w:val="auto"/>
        </w:rPr>
        <w:t xml:space="preserve"> </w:t>
      </w:r>
      <w:r w:rsidR="005759E5" w:rsidRPr="0099478A">
        <w:rPr>
          <w:b/>
          <w:color w:val="auto"/>
        </w:rPr>
        <w:t>BN40898</w:t>
      </w:r>
    </w:p>
    <w:tbl>
      <w:tblPr>
        <w:tblStyle w:val="TableGrid"/>
        <w:tblW w:w="0" w:type="auto"/>
        <w:tblInd w:w="0" w:type="dxa"/>
        <w:tblLook w:val="04A0" w:firstRow="1" w:lastRow="0" w:firstColumn="1" w:lastColumn="0" w:noHBand="0" w:noVBand="1"/>
      </w:tblPr>
      <w:tblGrid>
        <w:gridCol w:w="2568"/>
        <w:gridCol w:w="1083"/>
        <w:gridCol w:w="1238"/>
        <w:gridCol w:w="1167"/>
        <w:gridCol w:w="1229"/>
        <w:gridCol w:w="1731"/>
      </w:tblGrid>
      <w:tr w:rsidR="000D15A6" w:rsidRPr="0099478A" w14:paraId="5904983D" w14:textId="77218D33" w:rsidTr="0016598C">
        <w:tc>
          <w:tcPr>
            <w:tcW w:w="2568" w:type="dxa"/>
            <w:vMerge w:val="restart"/>
          </w:tcPr>
          <w:p w14:paraId="2E8F32A0" w14:textId="64846991" w:rsidR="000D15A6" w:rsidRPr="0099478A" w:rsidRDefault="000D15A6" w:rsidP="000D15A6">
            <w:pPr>
              <w:spacing w:before="60" w:after="60"/>
              <w:rPr>
                <w:b/>
                <w:color w:val="auto"/>
                <w:sz w:val="22"/>
                <w:szCs w:val="22"/>
              </w:rPr>
            </w:pPr>
            <w:r w:rsidRPr="0099478A">
              <w:rPr>
                <w:b/>
                <w:color w:val="auto"/>
                <w:sz w:val="22"/>
                <w:szCs w:val="22"/>
              </w:rPr>
              <w:t>System organ class</w:t>
            </w:r>
          </w:p>
        </w:tc>
        <w:tc>
          <w:tcPr>
            <w:tcW w:w="2321" w:type="dxa"/>
            <w:gridSpan w:val="2"/>
          </w:tcPr>
          <w:p w14:paraId="6FBBC41A" w14:textId="77777777" w:rsidR="000D15A6" w:rsidRPr="0099478A" w:rsidRDefault="000D15A6" w:rsidP="000D15A6">
            <w:pPr>
              <w:spacing w:before="60" w:after="60"/>
              <w:jc w:val="center"/>
              <w:rPr>
                <w:b/>
                <w:color w:val="auto"/>
                <w:sz w:val="22"/>
                <w:szCs w:val="22"/>
              </w:rPr>
            </w:pPr>
            <w:r w:rsidRPr="0099478A">
              <w:rPr>
                <w:b/>
                <w:color w:val="auto"/>
                <w:sz w:val="22"/>
                <w:szCs w:val="22"/>
              </w:rPr>
              <w:t>Number of Patients n</w:t>
            </w:r>
          </w:p>
          <w:p w14:paraId="7FECC48D" w14:textId="115F0B7E" w:rsidR="000D15A6" w:rsidRPr="0099478A" w:rsidRDefault="000D15A6" w:rsidP="000D15A6">
            <w:pPr>
              <w:spacing w:before="60" w:after="60"/>
              <w:jc w:val="center"/>
              <w:rPr>
                <w:b/>
                <w:color w:val="auto"/>
                <w:sz w:val="22"/>
                <w:szCs w:val="22"/>
              </w:rPr>
            </w:pPr>
            <w:r w:rsidRPr="0099478A">
              <w:rPr>
                <w:b/>
                <w:color w:val="auto"/>
                <w:sz w:val="22"/>
                <w:szCs w:val="22"/>
              </w:rPr>
              <w:t>(%)</w:t>
            </w:r>
          </w:p>
        </w:tc>
        <w:tc>
          <w:tcPr>
            <w:tcW w:w="2396" w:type="dxa"/>
            <w:gridSpan w:val="2"/>
          </w:tcPr>
          <w:p w14:paraId="7F28BDC1" w14:textId="4515EAAE" w:rsidR="000D15A6" w:rsidRPr="0099478A" w:rsidRDefault="000D15A6" w:rsidP="000D15A6">
            <w:pPr>
              <w:spacing w:before="60" w:after="60"/>
              <w:jc w:val="center"/>
              <w:rPr>
                <w:b/>
                <w:color w:val="auto"/>
                <w:sz w:val="22"/>
                <w:szCs w:val="22"/>
              </w:rPr>
            </w:pPr>
            <w:r w:rsidRPr="0099478A">
              <w:rPr>
                <w:b/>
                <w:color w:val="auto"/>
                <w:sz w:val="22"/>
                <w:szCs w:val="22"/>
              </w:rPr>
              <w:t>Rate of AE /100PY</w:t>
            </w:r>
          </w:p>
        </w:tc>
        <w:tc>
          <w:tcPr>
            <w:tcW w:w="1731" w:type="dxa"/>
            <w:vMerge w:val="restart"/>
          </w:tcPr>
          <w:p w14:paraId="1E31D818" w14:textId="77777777" w:rsidR="000D15A6" w:rsidRPr="0099478A" w:rsidRDefault="000D15A6" w:rsidP="000D15A6">
            <w:pPr>
              <w:spacing w:before="60" w:after="60"/>
              <w:rPr>
                <w:b/>
                <w:color w:val="auto"/>
                <w:sz w:val="22"/>
                <w:szCs w:val="22"/>
              </w:rPr>
            </w:pPr>
            <w:r w:rsidRPr="0099478A">
              <w:rPr>
                <w:b/>
                <w:color w:val="auto"/>
                <w:sz w:val="22"/>
                <w:szCs w:val="22"/>
              </w:rPr>
              <w:t>Frequency</w:t>
            </w:r>
          </w:p>
          <w:p w14:paraId="5D32CD8B" w14:textId="793BE4A3" w:rsidR="000D15A6" w:rsidRPr="0099478A" w:rsidRDefault="000D15A6" w:rsidP="000D15A6">
            <w:pPr>
              <w:spacing w:before="60" w:after="60"/>
              <w:rPr>
                <w:b/>
                <w:color w:val="auto"/>
                <w:sz w:val="22"/>
                <w:szCs w:val="22"/>
              </w:rPr>
            </w:pPr>
            <w:r w:rsidRPr="0099478A">
              <w:rPr>
                <w:b/>
                <w:color w:val="auto"/>
                <w:sz w:val="22"/>
                <w:szCs w:val="22"/>
              </w:rPr>
              <w:t>Category</w:t>
            </w:r>
          </w:p>
        </w:tc>
      </w:tr>
      <w:tr w:rsidR="000D15A6" w:rsidRPr="0099478A" w14:paraId="06A238FF" w14:textId="01043C9E" w:rsidTr="0016598C">
        <w:tc>
          <w:tcPr>
            <w:tcW w:w="2568" w:type="dxa"/>
            <w:vMerge/>
          </w:tcPr>
          <w:p w14:paraId="20513135" w14:textId="77777777" w:rsidR="000D15A6" w:rsidRPr="0099478A" w:rsidRDefault="000D15A6" w:rsidP="000D15A6">
            <w:pPr>
              <w:spacing w:before="60" w:after="60"/>
              <w:rPr>
                <w:b/>
                <w:color w:val="auto"/>
                <w:sz w:val="22"/>
                <w:szCs w:val="22"/>
              </w:rPr>
            </w:pPr>
          </w:p>
        </w:tc>
        <w:tc>
          <w:tcPr>
            <w:tcW w:w="1083" w:type="dxa"/>
          </w:tcPr>
          <w:p w14:paraId="64AC0066" w14:textId="77777777" w:rsidR="000D15A6" w:rsidRPr="0099478A" w:rsidRDefault="000D15A6" w:rsidP="000D15A6">
            <w:pPr>
              <w:spacing w:before="60" w:after="60"/>
              <w:jc w:val="center"/>
              <w:rPr>
                <w:b/>
                <w:color w:val="auto"/>
                <w:sz w:val="22"/>
                <w:szCs w:val="22"/>
              </w:rPr>
            </w:pPr>
            <w:r w:rsidRPr="0099478A">
              <w:rPr>
                <w:b/>
                <w:color w:val="auto"/>
                <w:sz w:val="22"/>
                <w:szCs w:val="22"/>
              </w:rPr>
              <w:t>Placebo</w:t>
            </w:r>
          </w:p>
          <w:p w14:paraId="65D977F2" w14:textId="359833AE" w:rsidR="000D15A6" w:rsidRPr="0099478A" w:rsidRDefault="000D15A6" w:rsidP="000D15A6">
            <w:pPr>
              <w:spacing w:before="60" w:after="60"/>
              <w:jc w:val="center"/>
              <w:rPr>
                <w:b/>
                <w:color w:val="auto"/>
                <w:sz w:val="22"/>
                <w:szCs w:val="22"/>
              </w:rPr>
            </w:pPr>
            <w:r w:rsidRPr="0099478A">
              <w:rPr>
                <w:b/>
                <w:color w:val="auto"/>
                <w:sz w:val="22"/>
                <w:szCs w:val="22"/>
              </w:rPr>
              <w:t>n=42</w:t>
            </w:r>
          </w:p>
        </w:tc>
        <w:tc>
          <w:tcPr>
            <w:tcW w:w="1238" w:type="dxa"/>
          </w:tcPr>
          <w:p w14:paraId="5EE8B80B" w14:textId="77777777" w:rsidR="000D15A6" w:rsidRPr="0099478A" w:rsidRDefault="000D15A6" w:rsidP="000D15A6">
            <w:pPr>
              <w:spacing w:before="60" w:after="60"/>
              <w:jc w:val="center"/>
              <w:rPr>
                <w:b/>
                <w:color w:val="auto"/>
                <w:sz w:val="22"/>
                <w:szCs w:val="22"/>
              </w:rPr>
            </w:pPr>
            <w:proofErr w:type="spellStart"/>
            <w:r w:rsidRPr="0099478A">
              <w:rPr>
                <w:b/>
                <w:color w:val="auto"/>
                <w:sz w:val="22"/>
                <w:szCs w:val="22"/>
              </w:rPr>
              <w:t>Enspryng</w:t>
            </w:r>
            <w:proofErr w:type="spellEnd"/>
          </w:p>
          <w:p w14:paraId="62DB79DF" w14:textId="6E463213" w:rsidR="000D15A6" w:rsidRPr="0099478A" w:rsidRDefault="000D15A6" w:rsidP="000D15A6">
            <w:pPr>
              <w:spacing w:before="60" w:after="60"/>
              <w:jc w:val="center"/>
              <w:rPr>
                <w:b/>
                <w:color w:val="auto"/>
                <w:sz w:val="22"/>
                <w:szCs w:val="22"/>
              </w:rPr>
            </w:pPr>
            <w:r w:rsidRPr="0099478A">
              <w:rPr>
                <w:b/>
                <w:color w:val="auto"/>
                <w:sz w:val="22"/>
                <w:szCs w:val="22"/>
              </w:rPr>
              <w:t>n=41</w:t>
            </w:r>
          </w:p>
        </w:tc>
        <w:tc>
          <w:tcPr>
            <w:tcW w:w="1167" w:type="dxa"/>
          </w:tcPr>
          <w:p w14:paraId="6FEEC721" w14:textId="77777777" w:rsidR="000D15A6" w:rsidRPr="0099478A" w:rsidRDefault="000D15A6" w:rsidP="000D15A6">
            <w:pPr>
              <w:spacing w:before="60" w:after="60"/>
              <w:jc w:val="center"/>
              <w:rPr>
                <w:b/>
                <w:color w:val="auto"/>
                <w:sz w:val="22"/>
                <w:szCs w:val="22"/>
              </w:rPr>
            </w:pPr>
            <w:r w:rsidRPr="0099478A">
              <w:rPr>
                <w:b/>
                <w:color w:val="auto"/>
                <w:sz w:val="22"/>
                <w:szCs w:val="22"/>
              </w:rPr>
              <w:t>Placebo</w:t>
            </w:r>
          </w:p>
          <w:p w14:paraId="18DF3CA0" w14:textId="365A1DDF" w:rsidR="000D15A6" w:rsidRPr="0099478A" w:rsidRDefault="000D15A6" w:rsidP="000D15A6">
            <w:pPr>
              <w:spacing w:before="60" w:after="60"/>
              <w:jc w:val="center"/>
              <w:rPr>
                <w:b/>
                <w:color w:val="auto"/>
                <w:sz w:val="22"/>
                <w:szCs w:val="22"/>
              </w:rPr>
            </w:pPr>
            <w:r w:rsidRPr="0099478A">
              <w:rPr>
                <w:b/>
                <w:color w:val="auto"/>
                <w:sz w:val="22"/>
                <w:szCs w:val="22"/>
              </w:rPr>
              <w:t>(PY=59.5)</w:t>
            </w:r>
          </w:p>
        </w:tc>
        <w:tc>
          <w:tcPr>
            <w:tcW w:w="1229" w:type="dxa"/>
          </w:tcPr>
          <w:p w14:paraId="1F6567B3" w14:textId="77777777" w:rsidR="000D15A6" w:rsidRPr="0099478A" w:rsidRDefault="000D15A6" w:rsidP="000D15A6">
            <w:pPr>
              <w:spacing w:before="60" w:after="60"/>
              <w:jc w:val="center"/>
              <w:rPr>
                <w:b/>
                <w:color w:val="auto"/>
                <w:sz w:val="22"/>
                <w:szCs w:val="22"/>
              </w:rPr>
            </w:pPr>
            <w:proofErr w:type="spellStart"/>
            <w:r w:rsidRPr="0099478A">
              <w:rPr>
                <w:b/>
                <w:color w:val="auto"/>
                <w:sz w:val="22"/>
                <w:szCs w:val="22"/>
              </w:rPr>
              <w:t>Enspryng</w:t>
            </w:r>
            <w:proofErr w:type="spellEnd"/>
          </w:p>
          <w:p w14:paraId="47258D15" w14:textId="60BC1FFF" w:rsidR="000D15A6" w:rsidRPr="0099478A" w:rsidRDefault="000D15A6" w:rsidP="000D15A6">
            <w:pPr>
              <w:spacing w:before="60" w:after="60"/>
              <w:jc w:val="center"/>
              <w:rPr>
                <w:b/>
                <w:color w:val="auto"/>
                <w:sz w:val="22"/>
                <w:szCs w:val="22"/>
              </w:rPr>
            </w:pPr>
            <w:r w:rsidRPr="0099478A">
              <w:rPr>
                <w:b/>
                <w:color w:val="auto"/>
                <w:sz w:val="22"/>
                <w:szCs w:val="22"/>
              </w:rPr>
              <w:t>(PY=78.5)</w:t>
            </w:r>
          </w:p>
        </w:tc>
        <w:tc>
          <w:tcPr>
            <w:tcW w:w="1731" w:type="dxa"/>
            <w:vMerge/>
          </w:tcPr>
          <w:p w14:paraId="1A963B30" w14:textId="77777777" w:rsidR="000D15A6" w:rsidRPr="0099478A" w:rsidRDefault="000D15A6" w:rsidP="000D15A6">
            <w:pPr>
              <w:spacing w:before="60" w:after="60"/>
              <w:rPr>
                <w:b/>
                <w:color w:val="auto"/>
                <w:sz w:val="22"/>
                <w:szCs w:val="22"/>
              </w:rPr>
            </w:pPr>
          </w:p>
        </w:tc>
      </w:tr>
      <w:tr w:rsidR="000D15A6" w:rsidRPr="0099478A" w14:paraId="737B0CC9" w14:textId="1069665A" w:rsidTr="0025583A">
        <w:tc>
          <w:tcPr>
            <w:tcW w:w="9016" w:type="dxa"/>
            <w:gridSpan w:val="6"/>
          </w:tcPr>
          <w:p w14:paraId="3688355E" w14:textId="238B692B" w:rsidR="000D15A6" w:rsidRPr="0099478A" w:rsidRDefault="000D15A6" w:rsidP="000D15A6">
            <w:pPr>
              <w:spacing w:before="60" w:after="60"/>
              <w:rPr>
                <w:b/>
                <w:color w:val="auto"/>
                <w:sz w:val="22"/>
                <w:szCs w:val="22"/>
              </w:rPr>
            </w:pPr>
            <w:r w:rsidRPr="0099478A">
              <w:rPr>
                <w:b/>
                <w:color w:val="auto"/>
                <w:sz w:val="22"/>
                <w:szCs w:val="22"/>
              </w:rPr>
              <w:t>Nervous system disorders</w:t>
            </w:r>
          </w:p>
        </w:tc>
      </w:tr>
      <w:tr w:rsidR="000D15A6" w:rsidRPr="0099478A" w14:paraId="714D7716" w14:textId="22742EDB" w:rsidTr="0016598C">
        <w:tc>
          <w:tcPr>
            <w:tcW w:w="2568" w:type="dxa"/>
          </w:tcPr>
          <w:p w14:paraId="52A665A4" w14:textId="7BF35803" w:rsidR="000D15A6" w:rsidRPr="0099478A" w:rsidRDefault="000D15A6" w:rsidP="000D15A6">
            <w:pPr>
              <w:spacing w:before="60" w:after="60"/>
              <w:rPr>
                <w:color w:val="auto"/>
                <w:sz w:val="22"/>
                <w:szCs w:val="22"/>
              </w:rPr>
            </w:pPr>
            <w:r w:rsidRPr="0099478A">
              <w:rPr>
                <w:color w:val="auto"/>
                <w:sz w:val="22"/>
                <w:szCs w:val="22"/>
              </w:rPr>
              <w:t>Headache</w:t>
            </w:r>
          </w:p>
        </w:tc>
        <w:tc>
          <w:tcPr>
            <w:tcW w:w="1083" w:type="dxa"/>
          </w:tcPr>
          <w:p w14:paraId="549630B3" w14:textId="115A2CF4" w:rsidR="000D15A6" w:rsidRPr="0099478A" w:rsidRDefault="000D15A6" w:rsidP="000D15A6">
            <w:pPr>
              <w:spacing w:before="60" w:after="60"/>
              <w:rPr>
                <w:color w:val="auto"/>
                <w:sz w:val="22"/>
                <w:szCs w:val="22"/>
              </w:rPr>
            </w:pPr>
            <w:r w:rsidRPr="0099478A">
              <w:rPr>
                <w:color w:val="auto"/>
                <w:sz w:val="22"/>
                <w:szCs w:val="22"/>
              </w:rPr>
              <w:t>4 (9.5%)</w:t>
            </w:r>
          </w:p>
        </w:tc>
        <w:tc>
          <w:tcPr>
            <w:tcW w:w="1238" w:type="dxa"/>
          </w:tcPr>
          <w:p w14:paraId="20D720FD" w14:textId="594E943E" w:rsidR="000D15A6" w:rsidRPr="0099478A" w:rsidRDefault="000D15A6" w:rsidP="000D15A6">
            <w:pPr>
              <w:spacing w:before="60" w:after="60"/>
              <w:rPr>
                <w:color w:val="auto"/>
                <w:sz w:val="22"/>
                <w:szCs w:val="22"/>
              </w:rPr>
            </w:pPr>
            <w:r w:rsidRPr="0099478A">
              <w:rPr>
                <w:color w:val="auto"/>
                <w:sz w:val="22"/>
                <w:szCs w:val="22"/>
              </w:rPr>
              <w:t>10 (24.4%)</w:t>
            </w:r>
          </w:p>
        </w:tc>
        <w:tc>
          <w:tcPr>
            <w:tcW w:w="1167" w:type="dxa"/>
          </w:tcPr>
          <w:p w14:paraId="78195B34" w14:textId="77CCCE42" w:rsidR="000D15A6" w:rsidRPr="0099478A" w:rsidRDefault="000D15A6" w:rsidP="000D15A6">
            <w:pPr>
              <w:spacing w:before="60" w:after="60"/>
              <w:rPr>
                <w:color w:val="auto"/>
                <w:sz w:val="22"/>
                <w:szCs w:val="22"/>
              </w:rPr>
            </w:pPr>
            <w:r w:rsidRPr="0099478A">
              <w:rPr>
                <w:color w:val="auto"/>
                <w:sz w:val="22"/>
                <w:szCs w:val="22"/>
              </w:rPr>
              <w:t>10.1</w:t>
            </w:r>
          </w:p>
        </w:tc>
        <w:tc>
          <w:tcPr>
            <w:tcW w:w="1229" w:type="dxa"/>
          </w:tcPr>
          <w:p w14:paraId="34C9B47B" w14:textId="46EEA122" w:rsidR="000D15A6" w:rsidRPr="0099478A" w:rsidRDefault="000D15A6" w:rsidP="000D15A6">
            <w:pPr>
              <w:spacing w:before="60" w:after="60"/>
              <w:rPr>
                <w:color w:val="auto"/>
                <w:sz w:val="22"/>
                <w:szCs w:val="22"/>
              </w:rPr>
            </w:pPr>
            <w:r w:rsidRPr="0099478A">
              <w:rPr>
                <w:color w:val="auto"/>
                <w:sz w:val="22"/>
                <w:szCs w:val="22"/>
              </w:rPr>
              <w:t>28.0</w:t>
            </w:r>
          </w:p>
        </w:tc>
        <w:tc>
          <w:tcPr>
            <w:tcW w:w="1731" w:type="dxa"/>
          </w:tcPr>
          <w:p w14:paraId="5E363F4E" w14:textId="3E0EF479" w:rsidR="000D15A6" w:rsidRPr="0099478A" w:rsidRDefault="009819CA" w:rsidP="000D15A6">
            <w:pPr>
              <w:spacing w:before="60" w:after="60"/>
              <w:rPr>
                <w:color w:val="auto"/>
                <w:sz w:val="22"/>
                <w:szCs w:val="22"/>
              </w:rPr>
            </w:pPr>
            <w:r w:rsidRPr="0099478A">
              <w:rPr>
                <w:color w:val="auto"/>
                <w:sz w:val="22"/>
                <w:szCs w:val="22"/>
              </w:rPr>
              <w:t>Very common</w:t>
            </w:r>
          </w:p>
        </w:tc>
      </w:tr>
      <w:tr w:rsidR="000D15A6" w:rsidRPr="0099478A" w14:paraId="45982571" w14:textId="62277291" w:rsidTr="0016598C">
        <w:tc>
          <w:tcPr>
            <w:tcW w:w="2568" w:type="dxa"/>
          </w:tcPr>
          <w:p w14:paraId="43DE774F" w14:textId="79F9EB1E" w:rsidR="000D15A6" w:rsidRPr="0099478A" w:rsidRDefault="000D15A6" w:rsidP="000D15A6">
            <w:pPr>
              <w:spacing w:before="60" w:after="60"/>
              <w:rPr>
                <w:color w:val="auto"/>
                <w:sz w:val="22"/>
                <w:szCs w:val="22"/>
              </w:rPr>
            </w:pPr>
            <w:r w:rsidRPr="0099478A">
              <w:rPr>
                <w:color w:val="auto"/>
                <w:sz w:val="22"/>
                <w:szCs w:val="22"/>
              </w:rPr>
              <w:t>Migraine</w:t>
            </w:r>
          </w:p>
        </w:tc>
        <w:tc>
          <w:tcPr>
            <w:tcW w:w="1083" w:type="dxa"/>
          </w:tcPr>
          <w:p w14:paraId="4893F654" w14:textId="7EEF73E2" w:rsidR="000D15A6" w:rsidRPr="0099478A" w:rsidRDefault="000D15A6" w:rsidP="000D15A6">
            <w:pPr>
              <w:spacing w:before="60" w:after="60"/>
              <w:rPr>
                <w:color w:val="auto"/>
                <w:sz w:val="22"/>
                <w:szCs w:val="22"/>
              </w:rPr>
            </w:pPr>
            <w:r w:rsidRPr="0099478A">
              <w:rPr>
                <w:color w:val="auto"/>
                <w:sz w:val="22"/>
                <w:szCs w:val="22"/>
              </w:rPr>
              <w:t>0</w:t>
            </w:r>
          </w:p>
        </w:tc>
        <w:tc>
          <w:tcPr>
            <w:tcW w:w="1238" w:type="dxa"/>
          </w:tcPr>
          <w:p w14:paraId="6F5DCC2E" w14:textId="13DBFC31" w:rsidR="000D15A6" w:rsidRPr="0099478A" w:rsidRDefault="000D15A6" w:rsidP="000D15A6">
            <w:pPr>
              <w:spacing w:before="60" w:after="60"/>
              <w:rPr>
                <w:color w:val="auto"/>
                <w:sz w:val="22"/>
                <w:szCs w:val="22"/>
              </w:rPr>
            </w:pPr>
            <w:r w:rsidRPr="0099478A">
              <w:rPr>
                <w:color w:val="auto"/>
                <w:sz w:val="22"/>
                <w:szCs w:val="22"/>
              </w:rPr>
              <w:t>0</w:t>
            </w:r>
          </w:p>
        </w:tc>
        <w:tc>
          <w:tcPr>
            <w:tcW w:w="1167" w:type="dxa"/>
          </w:tcPr>
          <w:p w14:paraId="7C6EEE7A" w14:textId="230C08A6" w:rsidR="000D15A6" w:rsidRPr="0099478A" w:rsidRDefault="000D15A6" w:rsidP="000D15A6">
            <w:pPr>
              <w:spacing w:before="60" w:after="60"/>
              <w:rPr>
                <w:color w:val="auto"/>
                <w:sz w:val="22"/>
                <w:szCs w:val="22"/>
              </w:rPr>
            </w:pPr>
            <w:r w:rsidRPr="0099478A">
              <w:rPr>
                <w:color w:val="auto"/>
                <w:sz w:val="22"/>
                <w:szCs w:val="22"/>
              </w:rPr>
              <w:t>0</w:t>
            </w:r>
          </w:p>
        </w:tc>
        <w:tc>
          <w:tcPr>
            <w:tcW w:w="1229" w:type="dxa"/>
          </w:tcPr>
          <w:p w14:paraId="46BFC292" w14:textId="3425D727" w:rsidR="000D15A6" w:rsidRPr="0099478A" w:rsidRDefault="000D15A6" w:rsidP="000D15A6">
            <w:pPr>
              <w:spacing w:before="60" w:after="60"/>
              <w:rPr>
                <w:color w:val="auto"/>
                <w:sz w:val="22"/>
                <w:szCs w:val="22"/>
              </w:rPr>
            </w:pPr>
            <w:r w:rsidRPr="0099478A">
              <w:rPr>
                <w:color w:val="auto"/>
                <w:sz w:val="22"/>
                <w:szCs w:val="22"/>
              </w:rPr>
              <w:t>0</w:t>
            </w:r>
          </w:p>
        </w:tc>
        <w:tc>
          <w:tcPr>
            <w:tcW w:w="1731" w:type="dxa"/>
          </w:tcPr>
          <w:p w14:paraId="1E631FB6" w14:textId="363A81F0" w:rsidR="000D15A6" w:rsidRPr="0099478A" w:rsidRDefault="009819CA" w:rsidP="000D15A6">
            <w:pPr>
              <w:spacing w:before="60" w:after="60"/>
              <w:rPr>
                <w:color w:val="auto"/>
                <w:sz w:val="22"/>
                <w:szCs w:val="22"/>
              </w:rPr>
            </w:pPr>
            <w:r w:rsidRPr="0099478A">
              <w:rPr>
                <w:color w:val="auto"/>
                <w:sz w:val="22"/>
                <w:szCs w:val="22"/>
              </w:rPr>
              <w:t>N/A</w:t>
            </w:r>
          </w:p>
        </w:tc>
      </w:tr>
      <w:tr w:rsidR="000D15A6" w:rsidRPr="0099478A" w14:paraId="4E6C1CA5" w14:textId="5BC44655" w:rsidTr="0025583A">
        <w:tc>
          <w:tcPr>
            <w:tcW w:w="9016" w:type="dxa"/>
            <w:gridSpan w:val="6"/>
          </w:tcPr>
          <w:p w14:paraId="13CB1415" w14:textId="5221005D" w:rsidR="000D15A6" w:rsidRPr="0099478A" w:rsidRDefault="000D15A6" w:rsidP="000D15A6">
            <w:pPr>
              <w:spacing w:before="60" w:after="60"/>
              <w:rPr>
                <w:b/>
                <w:color w:val="auto"/>
                <w:sz w:val="22"/>
                <w:szCs w:val="22"/>
              </w:rPr>
            </w:pPr>
            <w:r w:rsidRPr="0099478A">
              <w:rPr>
                <w:b/>
                <w:color w:val="auto"/>
                <w:sz w:val="22"/>
                <w:szCs w:val="22"/>
              </w:rPr>
              <w:t>Injury, poisoning and procedural complications</w:t>
            </w:r>
          </w:p>
        </w:tc>
      </w:tr>
      <w:tr w:rsidR="000D15A6" w:rsidRPr="0099478A" w14:paraId="763738B8" w14:textId="70CE1E00" w:rsidTr="0016598C">
        <w:tc>
          <w:tcPr>
            <w:tcW w:w="2568" w:type="dxa"/>
          </w:tcPr>
          <w:p w14:paraId="2493B405" w14:textId="7D5B88DC" w:rsidR="000D15A6" w:rsidRPr="0099478A" w:rsidRDefault="000D15A6" w:rsidP="000D15A6">
            <w:pPr>
              <w:spacing w:before="60" w:after="60"/>
              <w:rPr>
                <w:color w:val="auto"/>
                <w:sz w:val="22"/>
                <w:szCs w:val="22"/>
              </w:rPr>
            </w:pPr>
            <w:r w:rsidRPr="0099478A">
              <w:rPr>
                <w:color w:val="auto"/>
                <w:sz w:val="22"/>
                <w:szCs w:val="22"/>
              </w:rPr>
              <w:t>Injection-related reactions</w:t>
            </w:r>
          </w:p>
        </w:tc>
        <w:tc>
          <w:tcPr>
            <w:tcW w:w="1083" w:type="dxa"/>
          </w:tcPr>
          <w:p w14:paraId="516DE1A2" w14:textId="4D14836C" w:rsidR="000D15A6" w:rsidRPr="0099478A" w:rsidRDefault="000D15A6" w:rsidP="000D15A6">
            <w:pPr>
              <w:spacing w:before="60" w:after="60"/>
              <w:rPr>
                <w:color w:val="auto"/>
                <w:sz w:val="22"/>
                <w:szCs w:val="22"/>
              </w:rPr>
            </w:pPr>
            <w:r w:rsidRPr="0099478A">
              <w:rPr>
                <w:color w:val="auto"/>
                <w:sz w:val="22"/>
                <w:szCs w:val="22"/>
              </w:rPr>
              <w:t>2 (4.8%)</w:t>
            </w:r>
          </w:p>
        </w:tc>
        <w:tc>
          <w:tcPr>
            <w:tcW w:w="1238" w:type="dxa"/>
          </w:tcPr>
          <w:p w14:paraId="7F75D811" w14:textId="303285CC" w:rsidR="000D15A6" w:rsidRPr="0099478A" w:rsidRDefault="000D15A6" w:rsidP="000D15A6">
            <w:pPr>
              <w:spacing w:before="60" w:after="60"/>
              <w:rPr>
                <w:color w:val="auto"/>
                <w:sz w:val="22"/>
                <w:szCs w:val="22"/>
              </w:rPr>
            </w:pPr>
            <w:r w:rsidRPr="0099478A">
              <w:rPr>
                <w:color w:val="auto"/>
                <w:sz w:val="22"/>
                <w:szCs w:val="22"/>
              </w:rPr>
              <w:t>5 (12.2%)</w:t>
            </w:r>
          </w:p>
        </w:tc>
        <w:tc>
          <w:tcPr>
            <w:tcW w:w="1167" w:type="dxa"/>
          </w:tcPr>
          <w:p w14:paraId="66EF0AAC" w14:textId="4337EC93" w:rsidR="000D15A6" w:rsidRPr="0099478A" w:rsidRDefault="000D15A6" w:rsidP="000D15A6">
            <w:pPr>
              <w:spacing w:before="60" w:after="60"/>
              <w:rPr>
                <w:color w:val="auto"/>
                <w:sz w:val="22"/>
                <w:szCs w:val="22"/>
              </w:rPr>
            </w:pPr>
            <w:r w:rsidRPr="0099478A">
              <w:rPr>
                <w:color w:val="auto"/>
                <w:sz w:val="22"/>
                <w:szCs w:val="22"/>
              </w:rPr>
              <w:t>3.4</w:t>
            </w:r>
          </w:p>
        </w:tc>
        <w:tc>
          <w:tcPr>
            <w:tcW w:w="1229" w:type="dxa"/>
          </w:tcPr>
          <w:p w14:paraId="7B79441E" w14:textId="3F5E8726" w:rsidR="000D15A6" w:rsidRPr="0099478A" w:rsidRDefault="000D15A6" w:rsidP="000D15A6">
            <w:pPr>
              <w:spacing w:before="60" w:after="60"/>
              <w:rPr>
                <w:color w:val="auto"/>
                <w:sz w:val="22"/>
                <w:szCs w:val="22"/>
              </w:rPr>
            </w:pPr>
            <w:r w:rsidRPr="0099478A">
              <w:rPr>
                <w:color w:val="auto"/>
                <w:sz w:val="22"/>
                <w:szCs w:val="22"/>
              </w:rPr>
              <w:t>21.7</w:t>
            </w:r>
          </w:p>
        </w:tc>
        <w:tc>
          <w:tcPr>
            <w:tcW w:w="1731" w:type="dxa"/>
          </w:tcPr>
          <w:p w14:paraId="2E61E4EE" w14:textId="6F358C1A" w:rsidR="000D15A6" w:rsidRPr="0099478A" w:rsidRDefault="009819CA" w:rsidP="000D15A6">
            <w:pPr>
              <w:spacing w:before="60" w:after="60"/>
              <w:rPr>
                <w:color w:val="auto"/>
                <w:sz w:val="22"/>
                <w:szCs w:val="22"/>
              </w:rPr>
            </w:pPr>
            <w:r w:rsidRPr="0099478A">
              <w:rPr>
                <w:color w:val="auto"/>
                <w:sz w:val="22"/>
                <w:szCs w:val="22"/>
              </w:rPr>
              <w:t>Very common</w:t>
            </w:r>
          </w:p>
        </w:tc>
      </w:tr>
      <w:tr w:rsidR="000D15A6" w:rsidRPr="0099478A" w14:paraId="7BC2AE6B" w14:textId="7C984CE8" w:rsidTr="0025583A">
        <w:tc>
          <w:tcPr>
            <w:tcW w:w="9016" w:type="dxa"/>
            <w:gridSpan w:val="6"/>
          </w:tcPr>
          <w:p w14:paraId="79CB674D" w14:textId="61FA9191" w:rsidR="000D15A6" w:rsidRPr="0099478A" w:rsidRDefault="000D15A6" w:rsidP="000D15A6">
            <w:pPr>
              <w:spacing w:before="60" w:after="60"/>
              <w:rPr>
                <w:b/>
                <w:color w:val="auto"/>
                <w:sz w:val="22"/>
                <w:szCs w:val="22"/>
              </w:rPr>
            </w:pPr>
            <w:r w:rsidRPr="0099478A">
              <w:rPr>
                <w:b/>
                <w:color w:val="auto"/>
                <w:sz w:val="22"/>
                <w:szCs w:val="22"/>
              </w:rPr>
              <w:t>Musculoskeletal and connective tissue disorders</w:t>
            </w:r>
          </w:p>
        </w:tc>
      </w:tr>
      <w:tr w:rsidR="000D15A6" w:rsidRPr="0099478A" w14:paraId="130947C3" w14:textId="0B46DB1A" w:rsidTr="0016598C">
        <w:tc>
          <w:tcPr>
            <w:tcW w:w="2568" w:type="dxa"/>
          </w:tcPr>
          <w:p w14:paraId="76AA3AE0" w14:textId="59B37966" w:rsidR="000D15A6" w:rsidRPr="0099478A" w:rsidRDefault="000D15A6" w:rsidP="000D15A6">
            <w:pPr>
              <w:spacing w:before="60" w:after="60"/>
              <w:rPr>
                <w:color w:val="auto"/>
                <w:sz w:val="22"/>
                <w:szCs w:val="22"/>
              </w:rPr>
            </w:pPr>
            <w:r w:rsidRPr="0099478A">
              <w:rPr>
                <w:color w:val="auto"/>
                <w:sz w:val="22"/>
                <w:szCs w:val="22"/>
              </w:rPr>
              <w:t>Arthralgia</w:t>
            </w:r>
          </w:p>
        </w:tc>
        <w:tc>
          <w:tcPr>
            <w:tcW w:w="1083" w:type="dxa"/>
          </w:tcPr>
          <w:p w14:paraId="7BA194E3" w14:textId="1C1B3B2F" w:rsidR="000D15A6" w:rsidRPr="0099478A" w:rsidRDefault="000D15A6" w:rsidP="000D15A6">
            <w:pPr>
              <w:spacing w:before="60" w:after="60"/>
              <w:rPr>
                <w:color w:val="auto"/>
                <w:sz w:val="22"/>
                <w:szCs w:val="22"/>
              </w:rPr>
            </w:pPr>
            <w:r w:rsidRPr="0099478A">
              <w:rPr>
                <w:color w:val="auto"/>
                <w:sz w:val="22"/>
                <w:szCs w:val="22"/>
              </w:rPr>
              <w:t>0</w:t>
            </w:r>
          </w:p>
        </w:tc>
        <w:tc>
          <w:tcPr>
            <w:tcW w:w="1238" w:type="dxa"/>
          </w:tcPr>
          <w:p w14:paraId="00D9CFDD" w14:textId="11AA3B2B" w:rsidR="000D15A6" w:rsidRPr="0099478A" w:rsidRDefault="000D15A6" w:rsidP="000D15A6">
            <w:pPr>
              <w:spacing w:before="60" w:after="60"/>
              <w:rPr>
                <w:color w:val="auto"/>
                <w:sz w:val="22"/>
                <w:szCs w:val="22"/>
              </w:rPr>
            </w:pPr>
            <w:r w:rsidRPr="0099478A">
              <w:rPr>
                <w:color w:val="auto"/>
                <w:sz w:val="22"/>
                <w:szCs w:val="22"/>
              </w:rPr>
              <w:t>4 (9.8%)</w:t>
            </w:r>
          </w:p>
        </w:tc>
        <w:tc>
          <w:tcPr>
            <w:tcW w:w="1167" w:type="dxa"/>
          </w:tcPr>
          <w:p w14:paraId="3F080D74" w14:textId="20CD3C98" w:rsidR="000D15A6" w:rsidRPr="0099478A" w:rsidRDefault="000D15A6" w:rsidP="000D15A6">
            <w:pPr>
              <w:spacing w:before="60" w:after="60"/>
              <w:rPr>
                <w:color w:val="auto"/>
                <w:sz w:val="22"/>
                <w:szCs w:val="22"/>
              </w:rPr>
            </w:pPr>
            <w:r w:rsidRPr="0099478A">
              <w:rPr>
                <w:color w:val="auto"/>
                <w:sz w:val="22"/>
                <w:szCs w:val="22"/>
              </w:rPr>
              <w:t>0</w:t>
            </w:r>
          </w:p>
        </w:tc>
        <w:tc>
          <w:tcPr>
            <w:tcW w:w="1229" w:type="dxa"/>
          </w:tcPr>
          <w:p w14:paraId="32F8EF83" w14:textId="2F19E77E" w:rsidR="000D15A6" w:rsidRPr="0099478A" w:rsidRDefault="000D15A6" w:rsidP="000D15A6">
            <w:pPr>
              <w:spacing w:before="60" w:after="60"/>
              <w:rPr>
                <w:color w:val="auto"/>
                <w:sz w:val="22"/>
                <w:szCs w:val="22"/>
              </w:rPr>
            </w:pPr>
            <w:r w:rsidRPr="0099478A">
              <w:rPr>
                <w:color w:val="auto"/>
                <w:sz w:val="22"/>
                <w:szCs w:val="22"/>
              </w:rPr>
              <w:t>5.1</w:t>
            </w:r>
          </w:p>
        </w:tc>
        <w:tc>
          <w:tcPr>
            <w:tcW w:w="1731" w:type="dxa"/>
          </w:tcPr>
          <w:p w14:paraId="38503E1A" w14:textId="3E510C50" w:rsidR="000D15A6" w:rsidRPr="0099478A" w:rsidRDefault="009819CA" w:rsidP="000D15A6">
            <w:pPr>
              <w:spacing w:before="60" w:after="60"/>
              <w:rPr>
                <w:color w:val="auto"/>
                <w:sz w:val="22"/>
                <w:szCs w:val="22"/>
              </w:rPr>
            </w:pPr>
            <w:r w:rsidRPr="0099478A">
              <w:rPr>
                <w:color w:val="auto"/>
                <w:sz w:val="22"/>
                <w:szCs w:val="22"/>
              </w:rPr>
              <w:t>Common</w:t>
            </w:r>
          </w:p>
        </w:tc>
      </w:tr>
      <w:tr w:rsidR="000D15A6" w:rsidRPr="0099478A" w14:paraId="22AAAD49" w14:textId="796B341F" w:rsidTr="0016598C">
        <w:tc>
          <w:tcPr>
            <w:tcW w:w="2568" w:type="dxa"/>
          </w:tcPr>
          <w:p w14:paraId="6612CF24" w14:textId="4E58E9A9" w:rsidR="000D15A6" w:rsidRPr="0099478A" w:rsidRDefault="000D15A6" w:rsidP="000D15A6">
            <w:pPr>
              <w:spacing w:before="60" w:after="60"/>
              <w:rPr>
                <w:color w:val="auto"/>
                <w:sz w:val="22"/>
                <w:szCs w:val="22"/>
              </w:rPr>
            </w:pPr>
            <w:r w:rsidRPr="0099478A">
              <w:rPr>
                <w:color w:val="auto"/>
                <w:sz w:val="22"/>
                <w:szCs w:val="22"/>
              </w:rPr>
              <w:t>Musculoskeletal stiffness</w:t>
            </w:r>
          </w:p>
        </w:tc>
        <w:tc>
          <w:tcPr>
            <w:tcW w:w="1083" w:type="dxa"/>
          </w:tcPr>
          <w:p w14:paraId="7AA186F8" w14:textId="6750369B" w:rsidR="000D15A6" w:rsidRPr="0099478A" w:rsidRDefault="000D15A6" w:rsidP="000D15A6">
            <w:pPr>
              <w:spacing w:before="60" w:after="60"/>
              <w:rPr>
                <w:color w:val="auto"/>
                <w:sz w:val="22"/>
                <w:szCs w:val="22"/>
              </w:rPr>
            </w:pPr>
            <w:r w:rsidRPr="0099478A">
              <w:rPr>
                <w:color w:val="auto"/>
                <w:sz w:val="22"/>
                <w:szCs w:val="22"/>
              </w:rPr>
              <w:t>0</w:t>
            </w:r>
          </w:p>
        </w:tc>
        <w:tc>
          <w:tcPr>
            <w:tcW w:w="1238" w:type="dxa"/>
          </w:tcPr>
          <w:p w14:paraId="21C3D1B4" w14:textId="0620B2BB" w:rsidR="000D15A6" w:rsidRPr="0099478A" w:rsidRDefault="000D15A6" w:rsidP="000D15A6">
            <w:pPr>
              <w:spacing w:before="60" w:after="60"/>
              <w:rPr>
                <w:color w:val="auto"/>
                <w:sz w:val="22"/>
                <w:szCs w:val="22"/>
              </w:rPr>
            </w:pPr>
            <w:r w:rsidRPr="0099478A">
              <w:rPr>
                <w:color w:val="auto"/>
                <w:sz w:val="22"/>
                <w:szCs w:val="22"/>
              </w:rPr>
              <w:t>1 (2.4%)</w:t>
            </w:r>
          </w:p>
        </w:tc>
        <w:tc>
          <w:tcPr>
            <w:tcW w:w="1167" w:type="dxa"/>
          </w:tcPr>
          <w:p w14:paraId="7050B8BC" w14:textId="5F6A2292" w:rsidR="000D15A6" w:rsidRPr="0099478A" w:rsidRDefault="000D15A6" w:rsidP="000D15A6">
            <w:pPr>
              <w:spacing w:before="60" w:after="60"/>
              <w:rPr>
                <w:color w:val="auto"/>
                <w:sz w:val="22"/>
                <w:szCs w:val="22"/>
              </w:rPr>
            </w:pPr>
            <w:r w:rsidRPr="0099478A">
              <w:rPr>
                <w:color w:val="auto"/>
                <w:sz w:val="22"/>
                <w:szCs w:val="22"/>
              </w:rPr>
              <w:t>0</w:t>
            </w:r>
          </w:p>
        </w:tc>
        <w:tc>
          <w:tcPr>
            <w:tcW w:w="1229" w:type="dxa"/>
          </w:tcPr>
          <w:p w14:paraId="63CBF609" w14:textId="777B337C" w:rsidR="000D15A6" w:rsidRPr="0099478A" w:rsidRDefault="000D15A6" w:rsidP="000D15A6">
            <w:pPr>
              <w:spacing w:before="60" w:after="60"/>
              <w:rPr>
                <w:color w:val="auto"/>
                <w:sz w:val="22"/>
                <w:szCs w:val="22"/>
              </w:rPr>
            </w:pPr>
            <w:r w:rsidRPr="0099478A">
              <w:rPr>
                <w:color w:val="auto"/>
                <w:sz w:val="22"/>
                <w:szCs w:val="22"/>
              </w:rPr>
              <w:t>1.3</w:t>
            </w:r>
          </w:p>
        </w:tc>
        <w:tc>
          <w:tcPr>
            <w:tcW w:w="1731" w:type="dxa"/>
          </w:tcPr>
          <w:p w14:paraId="20BB90CF" w14:textId="6BEAC07B" w:rsidR="000D15A6" w:rsidRPr="0099478A" w:rsidRDefault="009819CA" w:rsidP="000D15A6">
            <w:pPr>
              <w:spacing w:before="60" w:after="60"/>
              <w:rPr>
                <w:color w:val="auto"/>
                <w:sz w:val="22"/>
                <w:szCs w:val="22"/>
              </w:rPr>
            </w:pPr>
            <w:r w:rsidRPr="0099478A">
              <w:rPr>
                <w:color w:val="auto"/>
                <w:sz w:val="22"/>
                <w:szCs w:val="22"/>
              </w:rPr>
              <w:t>Common</w:t>
            </w:r>
          </w:p>
        </w:tc>
      </w:tr>
      <w:tr w:rsidR="000D15A6" w:rsidRPr="0099478A" w14:paraId="1E682E0F" w14:textId="56AF1F4D" w:rsidTr="0025583A">
        <w:tc>
          <w:tcPr>
            <w:tcW w:w="9016" w:type="dxa"/>
            <w:gridSpan w:val="6"/>
          </w:tcPr>
          <w:p w14:paraId="1750BF77" w14:textId="6B579A60" w:rsidR="000D15A6" w:rsidRPr="0099478A" w:rsidRDefault="000D15A6" w:rsidP="000D15A6">
            <w:pPr>
              <w:spacing w:before="60" w:after="60"/>
              <w:rPr>
                <w:b/>
                <w:color w:val="auto"/>
                <w:sz w:val="22"/>
                <w:szCs w:val="22"/>
              </w:rPr>
            </w:pPr>
            <w:r w:rsidRPr="0099478A">
              <w:rPr>
                <w:b/>
                <w:color w:val="auto"/>
                <w:sz w:val="22"/>
                <w:szCs w:val="22"/>
              </w:rPr>
              <w:t>Skin and subcutaneous tissue disorders</w:t>
            </w:r>
          </w:p>
        </w:tc>
      </w:tr>
      <w:tr w:rsidR="000D15A6" w:rsidRPr="0099478A" w14:paraId="342749DA" w14:textId="0FCE00B0" w:rsidTr="0016598C">
        <w:tc>
          <w:tcPr>
            <w:tcW w:w="2568" w:type="dxa"/>
          </w:tcPr>
          <w:p w14:paraId="1DBBB3CB" w14:textId="521B55BE" w:rsidR="000D15A6" w:rsidRPr="0099478A" w:rsidRDefault="000D15A6" w:rsidP="000D15A6">
            <w:pPr>
              <w:spacing w:before="60" w:after="60"/>
              <w:rPr>
                <w:color w:val="auto"/>
                <w:sz w:val="22"/>
                <w:szCs w:val="22"/>
              </w:rPr>
            </w:pPr>
            <w:r w:rsidRPr="0099478A">
              <w:rPr>
                <w:color w:val="auto"/>
                <w:sz w:val="22"/>
                <w:szCs w:val="22"/>
              </w:rPr>
              <w:t>Rash</w:t>
            </w:r>
          </w:p>
        </w:tc>
        <w:tc>
          <w:tcPr>
            <w:tcW w:w="1083" w:type="dxa"/>
          </w:tcPr>
          <w:p w14:paraId="44ED2B04" w14:textId="7EB9D789" w:rsidR="000D15A6" w:rsidRPr="0099478A" w:rsidRDefault="000D15A6" w:rsidP="000D15A6">
            <w:pPr>
              <w:spacing w:before="60" w:after="60"/>
              <w:rPr>
                <w:color w:val="auto"/>
                <w:sz w:val="22"/>
                <w:szCs w:val="22"/>
              </w:rPr>
            </w:pPr>
            <w:r w:rsidRPr="0099478A">
              <w:rPr>
                <w:color w:val="auto"/>
                <w:sz w:val="22"/>
                <w:szCs w:val="22"/>
              </w:rPr>
              <w:t>2 (4.8%)</w:t>
            </w:r>
          </w:p>
        </w:tc>
        <w:tc>
          <w:tcPr>
            <w:tcW w:w="1238" w:type="dxa"/>
          </w:tcPr>
          <w:p w14:paraId="5998221A" w14:textId="60ADDE79" w:rsidR="000D15A6" w:rsidRPr="0099478A" w:rsidRDefault="000D15A6" w:rsidP="000D15A6">
            <w:pPr>
              <w:spacing w:before="60" w:after="60"/>
              <w:rPr>
                <w:color w:val="auto"/>
                <w:sz w:val="22"/>
                <w:szCs w:val="22"/>
              </w:rPr>
            </w:pPr>
            <w:r w:rsidRPr="0099478A">
              <w:rPr>
                <w:color w:val="auto"/>
                <w:sz w:val="22"/>
                <w:szCs w:val="22"/>
              </w:rPr>
              <w:t>0</w:t>
            </w:r>
          </w:p>
        </w:tc>
        <w:tc>
          <w:tcPr>
            <w:tcW w:w="1167" w:type="dxa"/>
          </w:tcPr>
          <w:p w14:paraId="3C611DA1" w14:textId="7107C989" w:rsidR="000D15A6" w:rsidRPr="0099478A" w:rsidRDefault="000D15A6" w:rsidP="000D15A6">
            <w:pPr>
              <w:spacing w:before="60" w:after="60"/>
              <w:rPr>
                <w:color w:val="auto"/>
                <w:sz w:val="22"/>
                <w:szCs w:val="22"/>
              </w:rPr>
            </w:pPr>
            <w:r w:rsidRPr="0099478A">
              <w:rPr>
                <w:color w:val="auto"/>
                <w:sz w:val="22"/>
                <w:szCs w:val="22"/>
              </w:rPr>
              <w:t>3.4</w:t>
            </w:r>
          </w:p>
        </w:tc>
        <w:tc>
          <w:tcPr>
            <w:tcW w:w="1229" w:type="dxa"/>
          </w:tcPr>
          <w:p w14:paraId="74BA8FB0" w14:textId="76619BFD" w:rsidR="000D15A6" w:rsidRPr="0099478A" w:rsidRDefault="000D15A6" w:rsidP="000D15A6">
            <w:pPr>
              <w:spacing w:before="60" w:after="60"/>
              <w:rPr>
                <w:color w:val="auto"/>
                <w:sz w:val="22"/>
                <w:szCs w:val="22"/>
              </w:rPr>
            </w:pPr>
            <w:r w:rsidRPr="0099478A">
              <w:rPr>
                <w:color w:val="auto"/>
                <w:sz w:val="22"/>
                <w:szCs w:val="22"/>
              </w:rPr>
              <w:t>0</w:t>
            </w:r>
          </w:p>
        </w:tc>
        <w:tc>
          <w:tcPr>
            <w:tcW w:w="1731" w:type="dxa"/>
          </w:tcPr>
          <w:p w14:paraId="6CFD2C36" w14:textId="227F80E0" w:rsidR="000D15A6" w:rsidRPr="0099478A" w:rsidRDefault="00136385" w:rsidP="000D15A6">
            <w:pPr>
              <w:spacing w:before="60" w:after="60"/>
              <w:rPr>
                <w:color w:val="auto"/>
                <w:sz w:val="22"/>
                <w:szCs w:val="22"/>
              </w:rPr>
            </w:pPr>
            <w:r w:rsidRPr="0099478A">
              <w:rPr>
                <w:color w:val="auto"/>
                <w:sz w:val="22"/>
                <w:szCs w:val="22"/>
              </w:rPr>
              <w:t>N/A</w:t>
            </w:r>
          </w:p>
        </w:tc>
      </w:tr>
      <w:tr w:rsidR="000D15A6" w:rsidRPr="0099478A" w14:paraId="43449684" w14:textId="4796105F" w:rsidTr="0016598C">
        <w:tc>
          <w:tcPr>
            <w:tcW w:w="2568" w:type="dxa"/>
          </w:tcPr>
          <w:p w14:paraId="6248EDDC" w14:textId="3F40C0C0" w:rsidR="000D15A6" w:rsidRPr="0099478A" w:rsidRDefault="000D15A6" w:rsidP="000D15A6">
            <w:pPr>
              <w:spacing w:before="60" w:after="60"/>
              <w:rPr>
                <w:color w:val="auto"/>
                <w:sz w:val="22"/>
                <w:szCs w:val="22"/>
              </w:rPr>
            </w:pPr>
            <w:r w:rsidRPr="0099478A">
              <w:rPr>
                <w:color w:val="auto"/>
                <w:sz w:val="22"/>
                <w:szCs w:val="22"/>
              </w:rPr>
              <w:t>Pruritus</w:t>
            </w:r>
          </w:p>
        </w:tc>
        <w:tc>
          <w:tcPr>
            <w:tcW w:w="1083" w:type="dxa"/>
          </w:tcPr>
          <w:p w14:paraId="22D9FD92" w14:textId="531EE6FA" w:rsidR="000D15A6" w:rsidRPr="0099478A" w:rsidRDefault="000D15A6" w:rsidP="000D15A6">
            <w:pPr>
              <w:spacing w:before="60" w:after="60"/>
              <w:rPr>
                <w:color w:val="auto"/>
                <w:sz w:val="22"/>
                <w:szCs w:val="22"/>
              </w:rPr>
            </w:pPr>
            <w:r w:rsidRPr="0099478A">
              <w:rPr>
                <w:color w:val="auto"/>
                <w:sz w:val="22"/>
                <w:szCs w:val="22"/>
              </w:rPr>
              <w:t>1 (2.4%)</w:t>
            </w:r>
          </w:p>
        </w:tc>
        <w:tc>
          <w:tcPr>
            <w:tcW w:w="1238" w:type="dxa"/>
          </w:tcPr>
          <w:p w14:paraId="1FE18C0E" w14:textId="3F0919DD" w:rsidR="000D15A6" w:rsidRPr="0099478A" w:rsidRDefault="000D15A6" w:rsidP="000D15A6">
            <w:pPr>
              <w:spacing w:before="60" w:after="60"/>
              <w:rPr>
                <w:color w:val="auto"/>
                <w:sz w:val="22"/>
                <w:szCs w:val="22"/>
              </w:rPr>
            </w:pPr>
            <w:r w:rsidRPr="0099478A">
              <w:rPr>
                <w:color w:val="auto"/>
                <w:sz w:val="22"/>
                <w:szCs w:val="22"/>
              </w:rPr>
              <w:t>0</w:t>
            </w:r>
          </w:p>
        </w:tc>
        <w:tc>
          <w:tcPr>
            <w:tcW w:w="1167" w:type="dxa"/>
          </w:tcPr>
          <w:p w14:paraId="2AC6A98A" w14:textId="3C00F1CD" w:rsidR="000D15A6" w:rsidRPr="0099478A" w:rsidRDefault="000D15A6" w:rsidP="000D15A6">
            <w:pPr>
              <w:spacing w:before="60" w:after="60"/>
              <w:rPr>
                <w:color w:val="auto"/>
                <w:sz w:val="22"/>
                <w:szCs w:val="22"/>
              </w:rPr>
            </w:pPr>
            <w:r w:rsidRPr="0099478A">
              <w:rPr>
                <w:color w:val="auto"/>
                <w:sz w:val="22"/>
                <w:szCs w:val="22"/>
              </w:rPr>
              <w:t>1.7</w:t>
            </w:r>
          </w:p>
        </w:tc>
        <w:tc>
          <w:tcPr>
            <w:tcW w:w="1229" w:type="dxa"/>
          </w:tcPr>
          <w:p w14:paraId="2262CC4E" w14:textId="1F22A034" w:rsidR="000D15A6" w:rsidRPr="0099478A" w:rsidRDefault="000D15A6" w:rsidP="000D15A6">
            <w:pPr>
              <w:spacing w:before="60" w:after="60"/>
              <w:rPr>
                <w:color w:val="auto"/>
                <w:sz w:val="22"/>
                <w:szCs w:val="22"/>
              </w:rPr>
            </w:pPr>
            <w:r w:rsidRPr="0099478A">
              <w:rPr>
                <w:color w:val="auto"/>
                <w:sz w:val="22"/>
                <w:szCs w:val="22"/>
              </w:rPr>
              <w:t>0</w:t>
            </w:r>
          </w:p>
        </w:tc>
        <w:tc>
          <w:tcPr>
            <w:tcW w:w="1731" w:type="dxa"/>
          </w:tcPr>
          <w:p w14:paraId="62FEF6FC" w14:textId="6852CFFF" w:rsidR="000D15A6" w:rsidRPr="0099478A" w:rsidRDefault="00136385" w:rsidP="000D15A6">
            <w:pPr>
              <w:spacing w:before="60" w:after="60"/>
              <w:rPr>
                <w:color w:val="auto"/>
                <w:sz w:val="22"/>
                <w:szCs w:val="22"/>
              </w:rPr>
            </w:pPr>
            <w:r w:rsidRPr="0099478A">
              <w:rPr>
                <w:color w:val="auto"/>
                <w:sz w:val="22"/>
                <w:szCs w:val="22"/>
              </w:rPr>
              <w:t>N/A</w:t>
            </w:r>
          </w:p>
        </w:tc>
      </w:tr>
      <w:tr w:rsidR="000D15A6" w:rsidRPr="0099478A" w14:paraId="39FBF25C" w14:textId="6A55FFA8" w:rsidTr="0025583A">
        <w:tc>
          <w:tcPr>
            <w:tcW w:w="9016" w:type="dxa"/>
            <w:gridSpan w:val="6"/>
          </w:tcPr>
          <w:p w14:paraId="003DAF45" w14:textId="770F2E01" w:rsidR="000D15A6" w:rsidRPr="0099478A" w:rsidRDefault="000D15A6" w:rsidP="000D15A6">
            <w:pPr>
              <w:spacing w:before="60" w:after="60"/>
              <w:rPr>
                <w:b/>
                <w:color w:val="auto"/>
                <w:sz w:val="22"/>
                <w:szCs w:val="22"/>
              </w:rPr>
            </w:pPr>
            <w:r w:rsidRPr="0099478A">
              <w:rPr>
                <w:b/>
                <w:color w:val="auto"/>
                <w:sz w:val="22"/>
                <w:szCs w:val="22"/>
              </w:rPr>
              <w:t>Psychiatric disorders</w:t>
            </w:r>
          </w:p>
        </w:tc>
      </w:tr>
      <w:tr w:rsidR="000D15A6" w:rsidRPr="0099478A" w14:paraId="7AD12006" w14:textId="5979985F" w:rsidTr="0016598C">
        <w:tc>
          <w:tcPr>
            <w:tcW w:w="2568" w:type="dxa"/>
          </w:tcPr>
          <w:p w14:paraId="118D852C" w14:textId="7A9C5821" w:rsidR="000D15A6" w:rsidRPr="0099478A" w:rsidRDefault="000D15A6" w:rsidP="000D15A6">
            <w:pPr>
              <w:spacing w:before="60" w:after="60"/>
              <w:rPr>
                <w:color w:val="auto"/>
                <w:sz w:val="22"/>
                <w:szCs w:val="22"/>
              </w:rPr>
            </w:pPr>
            <w:r w:rsidRPr="0099478A">
              <w:rPr>
                <w:color w:val="auto"/>
                <w:sz w:val="22"/>
                <w:szCs w:val="22"/>
              </w:rPr>
              <w:t>Insomnia</w:t>
            </w:r>
          </w:p>
        </w:tc>
        <w:tc>
          <w:tcPr>
            <w:tcW w:w="1083" w:type="dxa"/>
          </w:tcPr>
          <w:p w14:paraId="7D3AA2FA" w14:textId="5389A4C7" w:rsidR="000D15A6" w:rsidRPr="0099478A" w:rsidRDefault="000D15A6" w:rsidP="000D15A6">
            <w:pPr>
              <w:spacing w:before="60" w:after="60"/>
              <w:rPr>
                <w:color w:val="auto"/>
                <w:sz w:val="22"/>
                <w:szCs w:val="22"/>
              </w:rPr>
            </w:pPr>
            <w:r w:rsidRPr="0099478A">
              <w:rPr>
                <w:color w:val="auto"/>
                <w:sz w:val="22"/>
                <w:szCs w:val="22"/>
              </w:rPr>
              <w:t>0</w:t>
            </w:r>
          </w:p>
        </w:tc>
        <w:tc>
          <w:tcPr>
            <w:tcW w:w="1238" w:type="dxa"/>
          </w:tcPr>
          <w:p w14:paraId="4D8B414A" w14:textId="06D3AF5D" w:rsidR="000D15A6" w:rsidRPr="0099478A" w:rsidRDefault="000D15A6" w:rsidP="000D15A6">
            <w:pPr>
              <w:spacing w:before="60" w:after="60"/>
              <w:rPr>
                <w:color w:val="auto"/>
                <w:sz w:val="22"/>
                <w:szCs w:val="22"/>
              </w:rPr>
            </w:pPr>
            <w:r w:rsidRPr="0099478A">
              <w:rPr>
                <w:color w:val="auto"/>
                <w:sz w:val="22"/>
                <w:szCs w:val="22"/>
              </w:rPr>
              <w:t>1 (2.4%)</w:t>
            </w:r>
          </w:p>
        </w:tc>
        <w:tc>
          <w:tcPr>
            <w:tcW w:w="1167" w:type="dxa"/>
          </w:tcPr>
          <w:p w14:paraId="72548015" w14:textId="1BFBCB3F" w:rsidR="000D15A6" w:rsidRPr="0099478A" w:rsidRDefault="000D15A6" w:rsidP="000D15A6">
            <w:pPr>
              <w:spacing w:before="60" w:after="60"/>
              <w:rPr>
                <w:color w:val="auto"/>
                <w:sz w:val="22"/>
                <w:szCs w:val="22"/>
              </w:rPr>
            </w:pPr>
            <w:r w:rsidRPr="0099478A">
              <w:rPr>
                <w:color w:val="auto"/>
                <w:sz w:val="22"/>
                <w:szCs w:val="22"/>
              </w:rPr>
              <w:t>0</w:t>
            </w:r>
          </w:p>
        </w:tc>
        <w:tc>
          <w:tcPr>
            <w:tcW w:w="1229" w:type="dxa"/>
          </w:tcPr>
          <w:p w14:paraId="2EC29B6B" w14:textId="0B50AFC6" w:rsidR="000D15A6" w:rsidRPr="0099478A" w:rsidRDefault="000D15A6" w:rsidP="000D15A6">
            <w:pPr>
              <w:spacing w:before="60" w:after="60"/>
              <w:rPr>
                <w:color w:val="auto"/>
                <w:sz w:val="22"/>
                <w:szCs w:val="22"/>
              </w:rPr>
            </w:pPr>
            <w:r w:rsidRPr="0099478A">
              <w:rPr>
                <w:color w:val="auto"/>
                <w:sz w:val="22"/>
                <w:szCs w:val="22"/>
              </w:rPr>
              <w:t>1.3</w:t>
            </w:r>
          </w:p>
        </w:tc>
        <w:tc>
          <w:tcPr>
            <w:tcW w:w="1731" w:type="dxa"/>
          </w:tcPr>
          <w:p w14:paraId="28D75818" w14:textId="77AE21E5" w:rsidR="000D15A6" w:rsidRPr="0099478A" w:rsidRDefault="009819CA" w:rsidP="000D15A6">
            <w:pPr>
              <w:spacing w:before="60" w:after="60"/>
              <w:rPr>
                <w:color w:val="auto"/>
                <w:sz w:val="22"/>
                <w:szCs w:val="22"/>
              </w:rPr>
            </w:pPr>
            <w:r w:rsidRPr="0099478A">
              <w:rPr>
                <w:color w:val="auto"/>
                <w:sz w:val="22"/>
                <w:szCs w:val="22"/>
              </w:rPr>
              <w:t>Common</w:t>
            </w:r>
          </w:p>
        </w:tc>
      </w:tr>
      <w:tr w:rsidR="000D15A6" w:rsidRPr="0099478A" w14:paraId="14534D4F" w14:textId="685B61F0" w:rsidTr="0025583A">
        <w:tc>
          <w:tcPr>
            <w:tcW w:w="9016" w:type="dxa"/>
            <w:gridSpan w:val="6"/>
          </w:tcPr>
          <w:p w14:paraId="14C9307F" w14:textId="35E1371C" w:rsidR="000D15A6" w:rsidRPr="0099478A" w:rsidRDefault="000D15A6" w:rsidP="000D15A6">
            <w:pPr>
              <w:spacing w:before="60" w:after="60"/>
              <w:rPr>
                <w:b/>
                <w:color w:val="auto"/>
                <w:sz w:val="22"/>
                <w:szCs w:val="22"/>
              </w:rPr>
            </w:pPr>
            <w:r w:rsidRPr="0099478A">
              <w:rPr>
                <w:b/>
                <w:color w:val="auto"/>
                <w:sz w:val="22"/>
                <w:szCs w:val="22"/>
              </w:rPr>
              <w:t>General disorders and administration site conditions</w:t>
            </w:r>
          </w:p>
        </w:tc>
      </w:tr>
      <w:tr w:rsidR="000D15A6" w:rsidRPr="0099478A" w14:paraId="545BFBAB" w14:textId="055638BB" w:rsidTr="0016598C">
        <w:tc>
          <w:tcPr>
            <w:tcW w:w="2568" w:type="dxa"/>
          </w:tcPr>
          <w:p w14:paraId="5AC9875F" w14:textId="777B2160" w:rsidR="000D15A6" w:rsidRPr="0099478A" w:rsidRDefault="00EE1C44" w:rsidP="00EE1C44">
            <w:pPr>
              <w:spacing w:before="60" w:after="60"/>
              <w:rPr>
                <w:color w:val="auto"/>
                <w:sz w:val="22"/>
                <w:szCs w:val="22"/>
              </w:rPr>
            </w:pPr>
            <w:r w:rsidRPr="0099478A">
              <w:rPr>
                <w:color w:val="auto"/>
                <w:sz w:val="22"/>
                <w:szCs w:val="22"/>
              </w:rPr>
              <w:t>Oedema peripheral</w:t>
            </w:r>
          </w:p>
        </w:tc>
        <w:tc>
          <w:tcPr>
            <w:tcW w:w="1083" w:type="dxa"/>
          </w:tcPr>
          <w:p w14:paraId="005B1FC8" w14:textId="2F1400B6" w:rsidR="000D15A6" w:rsidRPr="0099478A" w:rsidRDefault="000D15A6" w:rsidP="000D15A6">
            <w:pPr>
              <w:spacing w:before="60" w:after="60"/>
              <w:rPr>
                <w:color w:val="auto"/>
                <w:sz w:val="22"/>
                <w:szCs w:val="22"/>
              </w:rPr>
            </w:pPr>
            <w:r w:rsidRPr="0099478A">
              <w:rPr>
                <w:color w:val="auto"/>
                <w:sz w:val="22"/>
                <w:szCs w:val="22"/>
              </w:rPr>
              <w:t>0</w:t>
            </w:r>
          </w:p>
        </w:tc>
        <w:tc>
          <w:tcPr>
            <w:tcW w:w="1238" w:type="dxa"/>
          </w:tcPr>
          <w:p w14:paraId="42DEEE15" w14:textId="426C7A5C" w:rsidR="000D15A6" w:rsidRPr="0099478A" w:rsidRDefault="000D15A6" w:rsidP="000D15A6">
            <w:pPr>
              <w:spacing w:before="60" w:after="60"/>
              <w:rPr>
                <w:color w:val="auto"/>
                <w:sz w:val="22"/>
                <w:szCs w:val="22"/>
              </w:rPr>
            </w:pPr>
            <w:r w:rsidRPr="0099478A">
              <w:rPr>
                <w:color w:val="auto"/>
                <w:sz w:val="22"/>
                <w:szCs w:val="22"/>
              </w:rPr>
              <w:t>1 (2.4%)</w:t>
            </w:r>
          </w:p>
        </w:tc>
        <w:tc>
          <w:tcPr>
            <w:tcW w:w="1167" w:type="dxa"/>
          </w:tcPr>
          <w:p w14:paraId="7D607ED5" w14:textId="03F957FC" w:rsidR="000D15A6" w:rsidRPr="0099478A" w:rsidRDefault="000D15A6" w:rsidP="000D15A6">
            <w:pPr>
              <w:spacing w:before="60" w:after="60"/>
              <w:rPr>
                <w:color w:val="auto"/>
                <w:sz w:val="22"/>
                <w:szCs w:val="22"/>
              </w:rPr>
            </w:pPr>
            <w:r w:rsidRPr="0099478A">
              <w:rPr>
                <w:color w:val="auto"/>
                <w:sz w:val="22"/>
                <w:szCs w:val="22"/>
              </w:rPr>
              <w:t>0</w:t>
            </w:r>
          </w:p>
        </w:tc>
        <w:tc>
          <w:tcPr>
            <w:tcW w:w="1229" w:type="dxa"/>
          </w:tcPr>
          <w:p w14:paraId="79EEAC7C" w14:textId="6759F926" w:rsidR="000D15A6" w:rsidRPr="0099478A" w:rsidRDefault="000D15A6" w:rsidP="000D15A6">
            <w:pPr>
              <w:spacing w:before="60" w:after="60"/>
              <w:rPr>
                <w:color w:val="auto"/>
                <w:sz w:val="22"/>
                <w:szCs w:val="22"/>
              </w:rPr>
            </w:pPr>
            <w:r w:rsidRPr="0099478A">
              <w:rPr>
                <w:color w:val="auto"/>
                <w:sz w:val="22"/>
                <w:szCs w:val="22"/>
              </w:rPr>
              <w:t>1.3</w:t>
            </w:r>
          </w:p>
        </w:tc>
        <w:tc>
          <w:tcPr>
            <w:tcW w:w="1731" w:type="dxa"/>
          </w:tcPr>
          <w:p w14:paraId="57CB0113" w14:textId="1B7BF9DC" w:rsidR="000D15A6" w:rsidRPr="0099478A" w:rsidRDefault="009819CA" w:rsidP="000D15A6">
            <w:pPr>
              <w:spacing w:before="60" w:after="60"/>
              <w:rPr>
                <w:color w:val="auto"/>
                <w:sz w:val="22"/>
                <w:szCs w:val="22"/>
              </w:rPr>
            </w:pPr>
            <w:r w:rsidRPr="0099478A">
              <w:rPr>
                <w:color w:val="auto"/>
                <w:sz w:val="22"/>
                <w:szCs w:val="22"/>
              </w:rPr>
              <w:t>Common</w:t>
            </w:r>
          </w:p>
        </w:tc>
      </w:tr>
      <w:tr w:rsidR="000D15A6" w:rsidRPr="0099478A" w14:paraId="7E22CDEA" w14:textId="21F51703" w:rsidTr="0025583A">
        <w:tc>
          <w:tcPr>
            <w:tcW w:w="9016" w:type="dxa"/>
            <w:gridSpan w:val="6"/>
          </w:tcPr>
          <w:p w14:paraId="52809126" w14:textId="4DE9F600" w:rsidR="000D15A6" w:rsidRPr="0099478A" w:rsidRDefault="000D15A6" w:rsidP="000D15A6">
            <w:pPr>
              <w:spacing w:before="60" w:after="60"/>
              <w:rPr>
                <w:b/>
                <w:color w:val="auto"/>
                <w:sz w:val="22"/>
                <w:szCs w:val="22"/>
              </w:rPr>
            </w:pPr>
            <w:r w:rsidRPr="0099478A">
              <w:rPr>
                <w:b/>
                <w:color w:val="auto"/>
                <w:sz w:val="22"/>
                <w:szCs w:val="22"/>
              </w:rPr>
              <w:t xml:space="preserve">Respiratory, </w:t>
            </w:r>
            <w:proofErr w:type="gramStart"/>
            <w:r w:rsidRPr="0099478A">
              <w:rPr>
                <w:b/>
                <w:color w:val="auto"/>
                <w:sz w:val="22"/>
                <w:szCs w:val="22"/>
              </w:rPr>
              <w:t>thoracic</w:t>
            </w:r>
            <w:proofErr w:type="gramEnd"/>
            <w:r w:rsidRPr="0099478A">
              <w:rPr>
                <w:b/>
                <w:color w:val="auto"/>
                <w:sz w:val="22"/>
                <w:szCs w:val="22"/>
              </w:rPr>
              <w:t xml:space="preserve"> and mediastinal disorders</w:t>
            </w:r>
          </w:p>
        </w:tc>
      </w:tr>
      <w:tr w:rsidR="000D15A6" w:rsidRPr="0099478A" w14:paraId="01C379B1" w14:textId="294D4E73" w:rsidTr="0016598C">
        <w:tc>
          <w:tcPr>
            <w:tcW w:w="2568" w:type="dxa"/>
          </w:tcPr>
          <w:p w14:paraId="18428DF6" w14:textId="203B3AB4" w:rsidR="000D15A6" w:rsidRPr="0099478A" w:rsidRDefault="00EE1C44" w:rsidP="00EE1C44">
            <w:pPr>
              <w:spacing w:before="60" w:after="60"/>
              <w:rPr>
                <w:color w:val="auto"/>
                <w:sz w:val="22"/>
                <w:szCs w:val="22"/>
              </w:rPr>
            </w:pPr>
            <w:r w:rsidRPr="0099478A">
              <w:rPr>
                <w:color w:val="auto"/>
                <w:sz w:val="22"/>
                <w:szCs w:val="22"/>
              </w:rPr>
              <w:t>Rhinitis a</w:t>
            </w:r>
            <w:r w:rsidR="000D15A6" w:rsidRPr="0099478A">
              <w:rPr>
                <w:color w:val="auto"/>
                <w:sz w:val="22"/>
                <w:szCs w:val="22"/>
              </w:rPr>
              <w:t xml:space="preserve">llergic </w:t>
            </w:r>
          </w:p>
        </w:tc>
        <w:tc>
          <w:tcPr>
            <w:tcW w:w="1083" w:type="dxa"/>
          </w:tcPr>
          <w:p w14:paraId="4C4CC4E6" w14:textId="301ABDE5" w:rsidR="000D15A6" w:rsidRPr="0099478A" w:rsidRDefault="000D15A6" w:rsidP="000D15A6">
            <w:pPr>
              <w:spacing w:before="60" w:after="60"/>
              <w:rPr>
                <w:color w:val="auto"/>
                <w:sz w:val="22"/>
                <w:szCs w:val="22"/>
              </w:rPr>
            </w:pPr>
            <w:r w:rsidRPr="0099478A">
              <w:rPr>
                <w:color w:val="auto"/>
                <w:sz w:val="22"/>
                <w:szCs w:val="22"/>
              </w:rPr>
              <w:t>0</w:t>
            </w:r>
          </w:p>
        </w:tc>
        <w:tc>
          <w:tcPr>
            <w:tcW w:w="1238" w:type="dxa"/>
          </w:tcPr>
          <w:p w14:paraId="382A7DAD" w14:textId="60199190" w:rsidR="000D15A6" w:rsidRPr="0099478A" w:rsidRDefault="000D15A6" w:rsidP="000D15A6">
            <w:pPr>
              <w:spacing w:before="60" w:after="60"/>
              <w:rPr>
                <w:color w:val="auto"/>
                <w:sz w:val="22"/>
                <w:szCs w:val="22"/>
              </w:rPr>
            </w:pPr>
            <w:r w:rsidRPr="0099478A">
              <w:rPr>
                <w:color w:val="auto"/>
                <w:sz w:val="22"/>
                <w:szCs w:val="22"/>
              </w:rPr>
              <w:t>2 (4.9%)</w:t>
            </w:r>
          </w:p>
        </w:tc>
        <w:tc>
          <w:tcPr>
            <w:tcW w:w="1167" w:type="dxa"/>
          </w:tcPr>
          <w:p w14:paraId="512432AF" w14:textId="596B9764" w:rsidR="000D15A6" w:rsidRPr="0099478A" w:rsidRDefault="000D15A6" w:rsidP="000D15A6">
            <w:pPr>
              <w:spacing w:before="60" w:after="60"/>
              <w:rPr>
                <w:color w:val="auto"/>
                <w:sz w:val="22"/>
                <w:szCs w:val="22"/>
              </w:rPr>
            </w:pPr>
            <w:r w:rsidRPr="0099478A">
              <w:rPr>
                <w:color w:val="auto"/>
                <w:sz w:val="22"/>
                <w:szCs w:val="22"/>
              </w:rPr>
              <w:t>0</w:t>
            </w:r>
          </w:p>
        </w:tc>
        <w:tc>
          <w:tcPr>
            <w:tcW w:w="1229" w:type="dxa"/>
          </w:tcPr>
          <w:p w14:paraId="74B93F6F" w14:textId="32A8B87B" w:rsidR="000D15A6" w:rsidRPr="0099478A" w:rsidRDefault="000D15A6" w:rsidP="000D15A6">
            <w:pPr>
              <w:spacing w:before="60" w:after="60"/>
              <w:rPr>
                <w:color w:val="auto"/>
                <w:sz w:val="22"/>
                <w:szCs w:val="22"/>
              </w:rPr>
            </w:pPr>
            <w:r w:rsidRPr="0099478A">
              <w:rPr>
                <w:color w:val="auto"/>
                <w:sz w:val="22"/>
                <w:szCs w:val="22"/>
              </w:rPr>
              <w:t>2.6</w:t>
            </w:r>
          </w:p>
        </w:tc>
        <w:tc>
          <w:tcPr>
            <w:tcW w:w="1731" w:type="dxa"/>
          </w:tcPr>
          <w:p w14:paraId="15C75DFB" w14:textId="762E8F9A" w:rsidR="000D15A6" w:rsidRPr="0099478A" w:rsidRDefault="009819CA" w:rsidP="000D15A6">
            <w:pPr>
              <w:spacing w:before="60" w:after="60"/>
              <w:rPr>
                <w:color w:val="auto"/>
                <w:sz w:val="22"/>
                <w:szCs w:val="22"/>
              </w:rPr>
            </w:pPr>
            <w:r w:rsidRPr="0099478A">
              <w:rPr>
                <w:color w:val="auto"/>
                <w:sz w:val="22"/>
                <w:szCs w:val="22"/>
              </w:rPr>
              <w:t>Common</w:t>
            </w:r>
          </w:p>
        </w:tc>
      </w:tr>
      <w:tr w:rsidR="000D15A6" w:rsidRPr="0099478A" w14:paraId="6DA79B2E" w14:textId="1C6D359C" w:rsidTr="0025583A">
        <w:tc>
          <w:tcPr>
            <w:tcW w:w="9016" w:type="dxa"/>
            <w:gridSpan w:val="6"/>
          </w:tcPr>
          <w:p w14:paraId="24AE69D4" w14:textId="6E002C0A" w:rsidR="000D15A6" w:rsidRPr="0099478A" w:rsidRDefault="000D15A6" w:rsidP="000D15A6">
            <w:pPr>
              <w:spacing w:before="60" w:after="60"/>
              <w:rPr>
                <w:b/>
                <w:color w:val="auto"/>
                <w:sz w:val="22"/>
                <w:szCs w:val="22"/>
              </w:rPr>
            </w:pPr>
            <w:r w:rsidRPr="0099478A">
              <w:rPr>
                <w:b/>
                <w:color w:val="auto"/>
                <w:sz w:val="22"/>
                <w:szCs w:val="22"/>
              </w:rPr>
              <w:t>Blood and lymphatic system disorders</w:t>
            </w:r>
          </w:p>
        </w:tc>
      </w:tr>
      <w:tr w:rsidR="000D15A6" w:rsidRPr="0099478A" w14:paraId="0CFF1312" w14:textId="521EC0C8" w:rsidTr="0016598C">
        <w:tc>
          <w:tcPr>
            <w:tcW w:w="2568" w:type="dxa"/>
          </w:tcPr>
          <w:p w14:paraId="21D863D2" w14:textId="2BAAAAFC" w:rsidR="000D15A6" w:rsidRPr="0099478A" w:rsidRDefault="000D15A6" w:rsidP="000D15A6">
            <w:pPr>
              <w:spacing w:before="60" w:after="60"/>
              <w:rPr>
                <w:color w:val="auto"/>
                <w:sz w:val="22"/>
                <w:szCs w:val="22"/>
              </w:rPr>
            </w:pPr>
            <w:r w:rsidRPr="0099478A">
              <w:rPr>
                <w:color w:val="auto"/>
                <w:sz w:val="22"/>
                <w:szCs w:val="22"/>
              </w:rPr>
              <w:t>Hypofibrinogenemia</w:t>
            </w:r>
          </w:p>
        </w:tc>
        <w:tc>
          <w:tcPr>
            <w:tcW w:w="1083" w:type="dxa"/>
          </w:tcPr>
          <w:p w14:paraId="057A27B7" w14:textId="30120A5B" w:rsidR="000D15A6" w:rsidRPr="0099478A" w:rsidRDefault="000D15A6" w:rsidP="000D15A6">
            <w:pPr>
              <w:spacing w:before="60" w:after="60"/>
              <w:rPr>
                <w:color w:val="auto"/>
                <w:sz w:val="22"/>
                <w:szCs w:val="22"/>
              </w:rPr>
            </w:pPr>
            <w:r w:rsidRPr="0099478A">
              <w:rPr>
                <w:color w:val="auto"/>
                <w:sz w:val="22"/>
                <w:szCs w:val="22"/>
              </w:rPr>
              <w:t>0</w:t>
            </w:r>
          </w:p>
        </w:tc>
        <w:tc>
          <w:tcPr>
            <w:tcW w:w="1238" w:type="dxa"/>
          </w:tcPr>
          <w:p w14:paraId="3A524257" w14:textId="638F8D4F" w:rsidR="000D15A6" w:rsidRPr="0099478A" w:rsidRDefault="000D15A6" w:rsidP="000D15A6">
            <w:pPr>
              <w:spacing w:before="60" w:after="60"/>
              <w:rPr>
                <w:color w:val="auto"/>
                <w:sz w:val="22"/>
                <w:szCs w:val="22"/>
              </w:rPr>
            </w:pPr>
            <w:r w:rsidRPr="0099478A">
              <w:rPr>
                <w:color w:val="auto"/>
                <w:sz w:val="22"/>
                <w:szCs w:val="22"/>
              </w:rPr>
              <w:t>1 (2.4%)</w:t>
            </w:r>
          </w:p>
        </w:tc>
        <w:tc>
          <w:tcPr>
            <w:tcW w:w="1167" w:type="dxa"/>
          </w:tcPr>
          <w:p w14:paraId="00C7D98D" w14:textId="715E159E" w:rsidR="000D15A6" w:rsidRPr="0099478A" w:rsidRDefault="000D15A6" w:rsidP="000D15A6">
            <w:pPr>
              <w:spacing w:before="60" w:after="60"/>
              <w:rPr>
                <w:color w:val="auto"/>
                <w:sz w:val="22"/>
                <w:szCs w:val="22"/>
              </w:rPr>
            </w:pPr>
            <w:r w:rsidRPr="0099478A">
              <w:rPr>
                <w:color w:val="auto"/>
                <w:sz w:val="22"/>
                <w:szCs w:val="22"/>
              </w:rPr>
              <w:t>0</w:t>
            </w:r>
          </w:p>
        </w:tc>
        <w:tc>
          <w:tcPr>
            <w:tcW w:w="1229" w:type="dxa"/>
          </w:tcPr>
          <w:p w14:paraId="0DF1B6D0" w14:textId="1FDDF072" w:rsidR="000D15A6" w:rsidRPr="0099478A" w:rsidRDefault="000D15A6" w:rsidP="000D15A6">
            <w:pPr>
              <w:spacing w:before="60" w:after="60"/>
              <w:rPr>
                <w:color w:val="auto"/>
                <w:sz w:val="22"/>
                <w:szCs w:val="22"/>
              </w:rPr>
            </w:pPr>
            <w:r w:rsidRPr="0099478A">
              <w:rPr>
                <w:color w:val="auto"/>
                <w:sz w:val="22"/>
                <w:szCs w:val="22"/>
              </w:rPr>
              <w:t>1.3</w:t>
            </w:r>
          </w:p>
        </w:tc>
        <w:tc>
          <w:tcPr>
            <w:tcW w:w="1731" w:type="dxa"/>
          </w:tcPr>
          <w:p w14:paraId="00D69F89" w14:textId="0F3B55F5" w:rsidR="000D15A6" w:rsidRPr="0099478A" w:rsidRDefault="009819CA" w:rsidP="000D15A6">
            <w:pPr>
              <w:spacing w:before="60" w:after="60"/>
              <w:rPr>
                <w:color w:val="auto"/>
                <w:sz w:val="22"/>
                <w:szCs w:val="22"/>
              </w:rPr>
            </w:pPr>
            <w:r w:rsidRPr="0099478A">
              <w:rPr>
                <w:color w:val="auto"/>
                <w:sz w:val="22"/>
                <w:szCs w:val="22"/>
              </w:rPr>
              <w:t>Common</w:t>
            </w:r>
          </w:p>
        </w:tc>
      </w:tr>
      <w:tr w:rsidR="00226EFF" w:rsidRPr="0099478A" w14:paraId="6913E1C4" w14:textId="77777777" w:rsidTr="00307DA9">
        <w:tc>
          <w:tcPr>
            <w:tcW w:w="9016" w:type="dxa"/>
            <w:gridSpan w:val="6"/>
          </w:tcPr>
          <w:p w14:paraId="611E78F9" w14:textId="180E2F1F" w:rsidR="00226EFF" w:rsidRPr="0099478A" w:rsidRDefault="00226EFF" w:rsidP="000D15A6">
            <w:pPr>
              <w:spacing w:before="60" w:after="60"/>
              <w:rPr>
                <w:color w:val="auto"/>
                <w:sz w:val="22"/>
                <w:szCs w:val="22"/>
              </w:rPr>
            </w:pPr>
            <w:r w:rsidRPr="0099478A">
              <w:rPr>
                <w:b/>
                <w:color w:val="auto"/>
                <w:sz w:val="22"/>
                <w:szCs w:val="22"/>
              </w:rPr>
              <w:t>Investigations</w:t>
            </w:r>
          </w:p>
        </w:tc>
      </w:tr>
      <w:tr w:rsidR="00226EFF" w:rsidRPr="0099478A" w14:paraId="5C33D275" w14:textId="77777777" w:rsidTr="0016598C">
        <w:tc>
          <w:tcPr>
            <w:tcW w:w="2568" w:type="dxa"/>
          </w:tcPr>
          <w:p w14:paraId="50047332" w14:textId="5A39CDCA" w:rsidR="00226EFF" w:rsidRPr="0099478A" w:rsidRDefault="00226EFF" w:rsidP="000D15A6">
            <w:pPr>
              <w:spacing w:before="60" w:after="60"/>
              <w:rPr>
                <w:color w:val="auto"/>
                <w:sz w:val="22"/>
                <w:szCs w:val="22"/>
              </w:rPr>
            </w:pPr>
            <w:r w:rsidRPr="0099478A">
              <w:rPr>
                <w:color w:val="auto"/>
                <w:sz w:val="22"/>
                <w:szCs w:val="22"/>
              </w:rPr>
              <w:t>White blood cell count decreased</w:t>
            </w:r>
          </w:p>
        </w:tc>
        <w:tc>
          <w:tcPr>
            <w:tcW w:w="1083" w:type="dxa"/>
          </w:tcPr>
          <w:p w14:paraId="55C4381A" w14:textId="7BEBA966" w:rsidR="00226EFF" w:rsidRPr="0099478A" w:rsidRDefault="0098625E" w:rsidP="000D15A6">
            <w:pPr>
              <w:spacing w:before="60" w:after="60"/>
              <w:rPr>
                <w:color w:val="auto"/>
                <w:sz w:val="22"/>
                <w:szCs w:val="22"/>
              </w:rPr>
            </w:pPr>
            <w:r w:rsidRPr="0099478A">
              <w:rPr>
                <w:color w:val="auto"/>
                <w:sz w:val="22"/>
                <w:szCs w:val="22"/>
              </w:rPr>
              <w:t>4 (9.5%)</w:t>
            </w:r>
          </w:p>
        </w:tc>
        <w:tc>
          <w:tcPr>
            <w:tcW w:w="1238" w:type="dxa"/>
          </w:tcPr>
          <w:p w14:paraId="63A92FB6" w14:textId="13D61A32" w:rsidR="00226EFF" w:rsidRPr="0099478A" w:rsidRDefault="0098625E" w:rsidP="000D15A6">
            <w:pPr>
              <w:spacing w:before="60" w:after="60"/>
              <w:rPr>
                <w:color w:val="auto"/>
                <w:sz w:val="22"/>
                <w:szCs w:val="22"/>
              </w:rPr>
            </w:pPr>
            <w:r w:rsidRPr="0099478A">
              <w:rPr>
                <w:color w:val="auto"/>
                <w:sz w:val="22"/>
                <w:szCs w:val="22"/>
              </w:rPr>
              <w:t>7 (17.1%)</w:t>
            </w:r>
          </w:p>
        </w:tc>
        <w:tc>
          <w:tcPr>
            <w:tcW w:w="1167" w:type="dxa"/>
          </w:tcPr>
          <w:p w14:paraId="6C983307" w14:textId="40449654" w:rsidR="00226EFF" w:rsidRPr="0099478A" w:rsidRDefault="0098625E" w:rsidP="000D15A6">
            <w:pPr>
              <w:spacing w:before="60" w:after="60"/>
              <w:rPr>
                <w:color w:val="auto"/>
                <w:sz w:val="22"/>
                <w:szCs w:val="22"/>
              </w:rPr>
            </w:pPr>
            <w:r w:rsidRPr="0099478A">
              <w:rPr>
                <w:color w:val="auto"/>
                <w:sz w:val="22"/>
                <w:szCs w:val="22"/>
              </w:rPr>
              <w:t>21.85</w:t>
            </w:r>
          </w:p>
        </w:tc>
        <w:tc>
          <w:tcPr>
            <w:tcW w:w="1229" w:type="dxa"/>
          </w:tcPr>
          <w:p w14:paraId="25EA928C" w14:textId="259385A3" w:rsidR="00226EFF" w:rsidRPr="0099478A" w:rsidRDefault="0098625E" w:rsidP="000D15A6">
            <w:pPr>
              <w:spacing w:before="60" w:after="60"/>
              <w:rPr>
                <w:color w:val="auto"/>
                <w:sz w:val="22"/>
                <w:szCs w:val="22"/>
              </w:rPr>
            </w:pPr>
            <w:r w:rsidRPr="0099478A">
              <w:rPr>
                <w:color w:val="auto"/>
                <w:sz w:val="22"/>
                <w:szCs w:val="22"/>
              </w:rPr>
              <w:t>14.01</w:t>
            </w:r>
          </w:p>
        </w:tc>
        <w:tc>
          <w:tcPr>
            <w:tcW w:w="1731" w:type="dxa"/>
          </w:tcPr>
          <w:p w14:paraId="3304DA34" w14:textId="54FB924E" w:rsidR="00226EFF" w:rsidRPr="0099478A" w:rsidRDefault="0098625E" w:rsidP="000D15A6">
            <w:pPr>
              <w:spacing w:before="60" w:after="60"/>
              <w:rPr>
                <w:color w:val="auto"/>
                <w:sz w:val="22"/>
                <w:szCs w:val="22"/>
              </w:rPr>
            </w:pPr>
            <w:r w:rsidRPr="0099478A">
              <w:rPr>
                <w:color w:val="auto"/>
                <w:sz w:val="22"/>
                <w:szCs w:val="22"/>
              </w:rPr>
              <w:t>Very common</w:t>
            </w:r>
          </w:p>
        </w:tc>
      </w:tr>
      <w:tr w:rsidR="00226EFF" w:rsidRPr="0099478A" w14:paraId="7AA22C20" w14:textId="77777777" w:rsidTr="0016598C">
        <w:tc>
          <w:tcPr>
            <w:tcW w:w="2568" w:type="dxa"/>
          </w:tcPr>
          <w:p w14:paraId="79C8C6AD" w14:textId="6E5BE70B" w:rsidR="00226EFF" w:rsidRPr="0099478A" w:rsidRDefault="00226EFF" w:rsidP="000D15A6">
            <w:pPr>
              <w:spacing w:before="60" w:after="60"/>
              <w:rPr>
                <w:color w:val="auto"/>
                <w:sz w:val="22"/>
                <w:szCs w:val="22"/>
              </w:rPr>
            </w:pPr>
            <w:r w:rsidRPr="0099478A">
              <w:rPr>
                <w:color w:val="auto"/>
                <w:sz w:val="22"/>
                <w:szCs w:val="22"/>
              </w:rPr>
              <w:t>Blood bilirubin increased</w:t>
            </w:r>
          </w:p>
        </w:tc>
        <w:tc>
          <w:tcPr>
            <w:tcW w:w="1083" w:type="dxa"/>
          </w:tcPr>
          <w:p w14:paraId="267ADDF9" w14:textId="06384418" w:rsidR="00226EFF" w:rsidRPr="0099478A" w:rsidRDefault="0098625E" w:rsidP="000D15A6">
            <w:pPr>
              <w:spacing w:before="60" w:after="60"/>
              <w:rPr>
                <w:color w:val="auto"/>
                <w:sz w:val="22"/>
                <w:szCs w:val="22"/>
              </w:rPr>
            </w:pPr>
            <w:r w:rsidRPr="0099478A">
              <w:rPr>
                <w:color w:val="auto"/>
                <w:sz w:val="22"/>
                <w:szCs w:val="22"/>
              </w:rPr>
              <w:t>0</w:t>
            </w:r>
          </w:p>
        </w:tc>
        <w:tc>
          <w:tcPr>
            <w:tcW w:w="1238" w:type="dxa"/>
          </w:tcPr>
          <w:p w14:paraId="52A26E80" w14:textId="09B0CB11" w:rsidR="00226EFF" w:rsidRPr="0099478A" w:rsidRDefault="0098625E" w:rsidP="000D15A6">
            <w:pPr>
              <w:spacing w:before="60" w:after="60"/>
              <w:rPr>
                <w:color w:val="auto"/>
                <w:sz w:val="22"/>
                <w:szCs w:val="22"/>
              </w:rPr>
            </w:pPr>
            <w:r w:rsidRPr="0099478A">
              <w:rPr>
                <w:color w:val="auto"/>
                <w:sz w:val="22"/>
                <w:szCs w:val="22"/>
              </w:rPr>
              <w:t>1 (2.4%)</w:t>
            </w:r>
          </w:p>
        </w:tc>
        <w:tc>
          <w:tcPr>
            <w:tcW w:w="1167" w:type="dxa"/>
          </w:tcPr>
          <w:p w14:paraId="3C76048F" w14:textId="68403EAB" w:rsidR="00226EFF" w:rsidRPr="0099478A" w:rsidRDefault="0098625E" w:rsidP="000D15A6">
            <w:pPr>
              <w:spacing w:before="60" w:after="60"/>
              <w:rPr>
                <w:color w:val="auto"/>
                <w:sz w:val="22"/>
                <w:szCs w:val="22"/>
              </w:rPr>
            </w:pPr>
            <w:r w:rsidRPr="0099478A">
              <w:rPr>
                <w:color w:val="auto"/>
                <w:sz w:val="22"/>
                <w:szCs w:val="22"/>
              </w:rPr>
              <w:t>0</w:t>
            </w:r>
          </w:p>
        </w:tc>
        <w:tc>
          <w:tcPr>
            <w:tcW w:w="1229" w:type="dxa"/>
          </w:tcPr>
          <w:p w14:paraId="1699B68C" w14:textId="13683872" w:rsidR="00226EFF" w:rsidRPr="0099478A" w:rsidRDefault="0098625E" w:rsidP="000D15A6">
            <w:pPr>
              <w:spacing w:before="60" w:after="60"/>
              <w:rPr>
                <w:color w:val="auto"/>
                <w:sz w:val="22"/>
                <w:szCs w:val="22"/>
              </w:rPr>
            </w:pPr>
            <w:r w:rsidRPr="0099478A">
              <w:rPr>
                <w:color w:val="auto"/>
                <w:sz w:val="22"/>
                <w:szCs w:val="22"/>
              </w:rPr>
              <w:t>11.46</w:t>
            </w:r>
          </w:p>
        </w:tc>
        <w:tc>
          <w:tcPr>
            <w:tcW w:w="1731" w:type="dxa"/>
          </w:tcPr>
          <w:p w14:paraId="21FCCF1C" w14:textId="29EB4726" w:rsidR="00226EFF" w:rsidRPr="0099478A" w:rsidRDefault="0098625E" w:rsidP="000D15A6">
            <w:pPr>
              <w:spacing w:before="60" w:after="60"/>
              <w:rPr>
                <w:color w:val="auto"/>
                <w:sz w:val="22"/>
                <w:szCs w:val="22"/>
              </w:rPr>
            </w:pPr>
            <w:r w:rsidRPr="0099478A">
              <w:rPr>
                <w:color w:val="auto"/>
                <w:sz w:val="22"/>
                <w:szCs w:val="22"/>
              </w:rPr>
              <w:t>Common</w:t>
            </w:r>
          </w:p>
        </w:tc>
      </w:tr>
    </w:tbl>
    <w:p w14:paraId="572D0585" w14:textId="70AB9E53" w:rsidR="00607998" w:rsidRPr="002C509D" w:rsidRDefault="00D353E4" w:rsidP="003C6AB8">
      <w:pPr>
        <w:rPr>
          <w:color w:val="auto"/>
          <w:sz w:val="20"/>
          <w:szCs w:val="20"/>
        </w:rPr>
      </w:pPr>
      <w:r w:rsidRPr="00F63D15">
        <w:rPr>
          <w:color w:val="auto"/>
          <w:sz w:val="20"/>
          <w:szCs w:val="20"/>
          <w:vertAlign w:val="superscript"/>
        </w:rPr>
        <w:lastRenderedPageBreak/>
        <w:t>*</w:t>
      </w:r>
      <w:r w:rsidRPr="00F63D15">
        <w:rPr>
          <w:color w:val="auto"/>
          <w:sz w:val="20"/>
          <w:szCs w:val="20"/>
        </w:rPr>
        <w:t xml:space="preserve"> </w:t>
      </w:r>
      <w:r w:rsidR="00607998" w:rsidRPr="00F63D15">
        <w:rPr>
          <w:color w:val="auto"/>
          <w:sz w:val="20"/>
          <w:szCs w:val="20"/>
        </w:rPr>
        <w:t xml:space="preserve">Defined </w:t>
      </w:r>
      <w:r w:rsidR="002C509D" w:rsidRPr="00F63D15">
        <w:rPr>
          <w:color w:val="auto"/>
          <w:sz w:val="20"/>
          <w:szCs w:val="20"/>
        </w:rPr>
        <w:t>based on medical review of all AEs which were</w:t>
      </w:r>
      <w:r w:rsidR="00607998" w:rsidRPr="00F63D15">
        <w:rPr>
          <w:color w:val="auto"/>
          <w:sz w:val="20"/>
          <w:szCs w:val="20"/>
        </w:rPr>
        <w:t xml:space="preserve"> ≥ 2% higher proportion of patients and ≥ 2 events/100 PY</w:t>
      </w:r>
      <w:r w:rsidRPr="00F63D15">
        <w:rPr>
          <w:color w:val="auto"/>
          <w:sz w:val="20"/>
          <w:szCs w:val="20"/>
        </w:rPr>
        <w:t xml:space="preserve"> higher in the </w:t>
      </w:r>
      <w:proofErr w:type="spellStart"/>
      <w:r w:rsidRPr="00F63D15">
        <w:rPr>
          <w:color w:val="auto"/>
          <w:sz w:val="20"/>
          <w:szCs w:val="20"/>
        </w:rPr>
        <w:t>Enspryng</w:t>
      </w:r>
      <w:proofErr w:type="spellEnd"/>
      <w:r w:rsidRPr="00F63D15">
        <w:rPr>
          <w:color w:val="auto"/>
          <w:sz w:val="20"/>
          <w:szCs w:val="20"/>
        </w:rPr>
        <w:t xml:space="preserve"> than in the control group</w:t>
      </w:r>
      <w:r w:rsidR="002C509D" w:rsidRPr="00F63D15">
        <w:rPr>
          <w:color w:val="auto"/>
          <w:sz w:val="20"/>
          <w:szCs w:val="20"/>
        </w:rPr>
        <w:t xml:space="preserve"> in pooled BN40898 and BN40900 data</w:t>
      </w:r>
    </w:p>
    <w:p w14:paraId="10FCA164" w14:textId="3336C4EA" w:rsidR="007E5DDF" w:rsidRPr="002C509D" w:rsidRDefault="00073752" w:rsidP="003C6AB8">
      <w:pPr>
        <w:rPr>
          <w:color w:val="auto"/>
          <w:sz w:val="20"/>
          <w:szCs w:val="20"/>
        </w:rPr>
      </w:pPr>
      <w:r w:rsidRPr="002C509D">
        <w:rPr>
          <w:color w:val="auto"/>
          <w:sz w:val="20"/>
          <w:szCs w:val="20"/>
        </w:rPr>
        <w:t>AE = adverse events; PY = patient years</w:t>
      </w:r>
    </w:p>
    <w:p w14:paraId="3C5461C0" w14:textId="77777777" w:rsidR="00073752" w:rsidRPr="0099478A" w:rsidRDefault="00073752" w:rsidP="003C6AB8">
      <w:pPr>
        <w:rPr>
          <w:color w:val="auto"/>
        </w:rPr>
      </w:pPr>
    </w:p>
    <w:p w14:paraId="15FED33C" w14:textId="4B238694" w:rsidR="000D15A6" w:rsidRPr="0099478A" w:rsidRDefault="000D15A6" w:rsidP="00B31326">
      <w:pPr>
        <w:ind w:left="1035" w:hanging="1035"/>
        <w:rPr>
          <w:color w:val="auto"/>
        </w:rPr>
      </w:pPr>
      <w:r w:rsidRPr="0099478A">
        <w:rPr>
          <w:b/>
          <w:color w:val="auto"/>
        </w:rPr>
        <w:t xml:space="preserve">Table </w:t>
      </w:r>
      <w:r w:rsidR="00F937E6">
        <w:rPr>
          <w:b/>
          <w:color w:val="auto"/>
        </w:rPr>
        <w:t>3</w:t>
      </w:r>
      <w:r w:rsidR="0016598C" w:rsidRPr="0099478A">
        <w:rPr>
          <w:b/>
          <w:color w:val="auto"/>
        </w:rPr>
        <w:t>b</w:t>
      </w:r>
      <w:r w:rsidRPr="0099478A">
        <w:rPr>
          <w:b/>
          <w:color w:val="auto"/>
        </w:rPr>
        <w:t xml:space="preserve">: Summary of adverse reaction occurring </w:t>
      </w:r>
      <w:r w:rsidR="00B71DF7" w:rsidRPr="00B71DF7">
        <w:rPr>
          <w:b/>
          <w:color w:val="auto"/>
        </w:rPr>
        <w:t xml:space="preserve">more commonly </w:t>
      </w:r>
      <w:r w:rsidRPr="0099478A">
        <w:rPr>
          <w:b/>
          <w:color w:val="auto"/>
        </w:rPr>
        <w:t xml:space="preserve">in patients treated with </w:t>
      </w:r>
      <w:proofErr w:type="spellStart"/>
      <w:r w:rsidRPr="0099478A">
        <w:rPr>
          <w:b/>
          <w:color w:val="auto"/>
        </w:rPr>
        <w:t>Enspryng</w:t>
      </w:r>
      <w:proofErr w:type="spellEnd"/>
      <w:r w:rsidRPr="0099478A">
        <w:rPr>
          <w:b/>
          <w:color w:val="auto"/>
        </w:rPr>
        <w:t xml:space="preserve"> </w:t>
      </w:r>
      <w:r w:rsidR="0016598C" w:rsidRPr="0099478A">
        <w:rPr>
          <w:b/>
          <w:color w:val="auto"/>
        </w:rPr>
        <w:t>monother</w:t>
      </w:r>
      <w:r w:rsidRPr="0099478A">
        <w:rPr>
          <w:b/>
          <w:color w:val="auto"/>
        </w:rPr>
        <w:t>apy</w:t>
      </w:r>
      <w:r w:rsidR="00B71DF7">
        <w:rPr>
          <w:b/>
          <w:color w:val="auto"/>
        </w:rPr>
        <w:t xml:space="preserve"> </w:t>
      </w:r>
      <w:r w:rsidR="00B71DF7" w:rsidRPr="00B71DF7">
        <w:rPr>
          <w:b/>
          <w:color w:val="auto"/>
        </w:rPr>
        <w:t>than in the control group</w:t>
      </w:r>
      <w:r w:rsidR="00B71DF7" w:rsidRPr="00304FFD">
        <w:rPr>
          <w:b/>
          <w:color w:val="auto"/>
          <w:vertAlign w:val="superscript"/>
        </w:rPr>
        <w:t>*</w:t>
      </w:r>
      <w:r w:rsidR="00B71DF7">
        <w:rPr>
          <w:b/>
          <w:color w:val="auto"/>
        </w:rPr>
        <w:t>:</w:t>
      </w:r>
      <w:r w:rsidRPr="0099478A">
        <w:rPr>
          <w:b/>
          <w:color w:val="auto"/>
        </w:rPr>
        <w:t xml:space="preserve"> </w:t>
      </w:r>
      <w:r w:rsidR="0016598C" w:rsidRPr="0099478A">
        <w:rPr>
          <w:b/>
          <w:color w:val="auto"/>
        </w:rPr>
        <w:t>BN40900</w:t>
      </w:r>
    </w:p>
    <w:tbl>
      <w:tblPr>
        <w:tblStyle w:val="TableGrid"/>
        <w:tblW w:w="0" w:type="auto"/>
        <w:tblInd w:w="0" w:type="dxa"/>
        <w:tblLook w:val="04A0" w:firstRow="1" w:lastRow="0" w:firstColumn="1" w:lastColumn="0" w:noHBand="0" w:noVBand="1"/>
      </w:tblPr>
      <w:tblGrid>
        <w:gridCol w:w="2457"/>
        <w:gridCol w:w="1103"/>
        <w:gridCol w:w="1243"/>
        <w:gridCol w:w="1167"/>
        <w:gridCol w:w="1387"/>
        <w:gridCol w:w="1659"/>
      </w:tblGrid>
      <w:tr w:rsidR="007E5DDF" w:rsidRPr="0099478A" w14:paraId="0BB06D33" w14:textId="77777777" w:rsidTr="007E5DDF">
        <w:tc>
          <w:tcPr>
            <w:tcW w:w="2457" w:type="dxa"/>
            <w:vMerge w:val="restart"/>
          </w:tcPr>
          <w:p w14:paraId="65B6AA5E" w14:textId="77777777" w:rsidR="000D15A6" w:rsidRPr="0099478A" w:rsidRDefault="000D15A6" w:rsidP="0025583A">
            <w:pPr>
              <w:spacing w:before="60" w:after="60"/>
              <w:rPr>
                <w:b/>
                <w:color w:val="auto"/>
                <w:sz w:val="22"/>
                <w:szCs w:val="22"/>
              </w:rPr>
            </w:pPr>
            <w:r w:rsidRPr="0099478A">
              <w:rPr>
                <w:b/>
                <w:color w:val="auto"/>
                <w:sz w:val="22"/>
                <w:szCs w:val="22"/>
              </w:rPr>
              <w:t>System organ class</w:t>
            </w:r>
          </w:p>
        </w:tc>
        <w:tc>
          <w:tcPr>
            <w:tcW w:w="2346" w:type="dxa"/>
            <w:gridSpan w:val="2"/>
          </w:tcPr>
          <w:p w14:paraId="2BB2CA0A" w14:textId="77777777" w:rsidR="000D15A6" w:rsidRPr="0099478A" w:rsidRDefault="000D15A6" w:rsidP="0025583A">
            <w:pPr>
              <w:spacing w:before="60" w:after="60"/>
              <w:jc w:val="center"/>
              <w:rPr>
                <w:b/>
                <w:color w:val="auto"/>
                <w:sz w:val="22"/>
                <w:szCs w:val="22"/>
              </w:rPr>
            </w:pPr>
            <w:r w:rsidRPr="0099478A">
              <w:rPr>
                <w:b/>
                <w:color w:val="auto"/>
                <w:sz w:val="22"/>
                <w:szCs w:val="22"/>
              </w:rPr>
              <w:t>Number of Patients n</w:t>
            </w:r>
          </w:p>
          <w:p w14:paraId="04FDBF13" w14:textId="77777777" w:rsidR="000D15A6" w:rsidRPr="0099478A" w:rsidRDefault="000D15A6" w:rsidP="0025583A">
            <w:pPr>
              <w:spacing w:before="60" w:after="60"/>
              <w:jc w:val="center"/>
              <w:rPr>
                <w:b/>
                <w:color w:val="auto"/>
                <w:sz w:val="22"/>
                <w:szCs w:val="22"/>
              </w:rPr>
            </w:pPr>
            <w:r w:rsidRPr="0099478A">
              <w:rPr>
                <w:b/>
                <w:color w:val="auto"/>
                <w:sz w:val="22"/>
                <w:szCs w:val="22"/>
              </w:rPr>
              <w:t>(%)</w:t>
            </w:r>
          </w:p>
        </w:tc>
        <w:tc>
          <w:tcPr>
            <w:tcW w:w="2554" w:type="dxa"/>
            <w:gridSpan w:val="2"/>
          </w:tcPr>
          <w:p w14:paraId="1597DC6D" w14:textId="77777777" w:rsidR="000D15A6" w:rsidRPr="0099478A" w:rsidRDefault="000D15A6" w:rsidP="0025583A">
            <w:pPr>
              <w:spacing w:before="60" w:after="60"/>
              <w:jc w:val="center"/>
              <w:rPr>
                <w:b/>
                <w:color w:val="auto"/>
                <w:sz w:val="22"/>
                <w:szCs w:val="22"/>
              </w:rPr>
            </w:pPr>
            <w:r w:rsidRPr="0099478A">
              <w:rPr>
                <w:b/>
                <w:color w:val="auto"/>
                <w:sz w:val="22"/>
                <w:szCs w:val="22"/>
              </w:rPr>
              <w:t>Rate of AE /100PY</w:t>
            </w:r>
          </w:p>
        </w:tc>
        <w:tc>
          <w:tcPr>
            <w:tcW w:w="1659" w:type="dxa"/>
            <w:vMerge w:val="restart"/>
          </w:tcPr>
          <w:p w14:paraId="7DEFEEA0" w14:textId="77777777" w:rsidR="000D15A6" w:rsidRPr="0099478A" w:rsidRDefault="000D15A6" w:rsidP="0025583A">
            <w:pPr>
              <w:spacing w:before="60" w:after="60"/>
              <w:rPr>
                <w:b/>
                <w:color w:val="auto"/>
                <w:sz w:val="22"/>
                <w:szCs w:val="22"/>
              </w:rPr>
            </w:pPr>
            <w:r w:rsidRPr="0099478A">
              <w:rPr>
                <w:b/>
                <w:color w:val="auto"/>
                <w:sz w:val="22"/>
                <w:szCs w:val="22"/>
              </w:rPr>
              <w:t>Frequency</w:t>
            </w:r>
          </w:p>
          <w:p w14:paraId="78A276B1" w14:textId="77777777" w:rsidR="000D15A6" w:rsidRPr="0099478A" w:rsidRDefault="000D15A6" w:rsidP="0025583A">
            <w:pPr>
              <w:spacing w:before="60" w:after="60"/>
              <w:rPr>
                <w:b/>
                <w:color w:val="auto"/>
                <w:sz w:val="22"/>
                <w:szCs w:val="22"/>
              </w:rPr>
            </w:pPr>
            <w:r w:rsidRPr="0099478A">
              <w:rPr>
                <w:b/>
                <w:color w:val="auto"/>
                <w:sz w:val="22"/>
                <w:szCs w:val="22"/>
              </w:rPr>
              <w:t>Category</w:t>
            </w:r>
          </w:p>
        </w:tc>
      </w:tr>
      <w:tr w:rsidR="0016598C" w:rsidRPr="0099478A" w14:paraId="447225CF" w14:textId="77777777" w:rsidTr="007E5DDF">
        <w:tc>
          <w:tcPr>
            <w:tcW w:w="2457" w:type="dxa"/>
            <w:vMerge/>
          </w:tcPr>
          <w:p w14:paraId="0A59EB9D" w14:textId="77777777" w:rsidR="000D15A6" w:rsidRPr="0099478A" w:rsidRDefault="000D15A6" w:rsidP="0025583A">
            <w:pPr>
              <w:spacing w:before="60" w:after="60"/>
              <w:rPr>
                <w:b/>
                <w:color w:val="auto"/>
                <w:sz w:val="22"/>
                <w:szCs w:val="22"/>
              </w:rPr>
            </w:pPr>
          </w:p>
        </w:tc>
        <w:tc>
          <w:tcPr>
            <w:tcW w:w="1103" w:type="dxa"/>
          </w:tcPr>
          <w:p w14:paraId="36B08E59" w14:textId="77777777" w:rsidR="000D15A6" w:rsidRPr="0099478A" w:rsidRDefault="000D15A6" w:rsidP="0025583A">
            <w:pPr>
              <w:spacing w:before="60" w:after="60"/>
              <w:jc w:val="center"/>
              <w:rPr>
                <w:b/>
                <w:color w:val="auto"/>
                <w:sz w:val="22"/>
                <w:szCs w:val="22"/>
              </w:rPr>
            </w:pPr>
            <w:r w:rsidRPr="0099478A">
              <w:rPr>
                <w:b/>
                <w:color w:val="auto"/>
                <w:sz w:val="22"/>
                <w:szCs w:val="22"/>
              </w:rPr>
              <w:t>Placebo</w:t>
            </w:r>
          </w:p>
          <w:p w14:paraId="2E51BB88" w14:textId="5604CF79" w:rsidR="000D15A6" w:rsidRPr="0099478A" w:rsidRDefault="0016598C" w:rsidP="0025583A">
            <w:pPr>
              <w:spacing w:before="60" w:after="60"/>
              <w:jc w:val="center"/>
              <w:rPr>
                <w:b/>
                <w:color w:val="auto"/>
                <w:sz w:val="22"/>
                <w:szCs w:val="22"/>
              </w:rPr>
            </w:pPr>
            <w:r w:rsidRPr="0099478A">
              <w:rPr>
                <w:b/>
                <w:color w:val="auto"/>
                <w:sz w:val="22"/>
                <w:szCs w:val="22"/>
              </w:rPr>
              <w:t>n=3</w:t>
            </w:r>
            <w:r w:rsidR="000D15A6" w:rsidRPr="0099478A">
              <w:rPr>
                <w:b/>
                <w:color w:val="auto"/>
                <w:sz w:val="22"/>
                <w:szCs w:val="22"/>
              </w:rPr>
              <w:t>2</w:t>
            </w:r>
          </w:p>
        </w:tc>
        <w:tc>
          <w:tcPr>
            <w:tcW w:w="1243" w:type="dxa"/>
          </w:tcPr>
          <w:p w14:paraId="10942A06" w14:textId="77777777" w:rsidR="000D15A6" w:rsidRPr="0099478A" w:rsidRDefault="000D15A6" w:rsidP="0025583A">
            <w:pPr>
              <w:spacing w:before="60" w:after="60"/>
              <w:jc w:val="center"/>
              <w:rPr>
                <w:b/>
                <w:color w:val="auto"/>
                <w:sz w:val="22"/>
                <w:szCs w:val="22"/>
              </w:rPr>
            </w:pPr>
            <w:proofErr w:type="spellStart"/>
            <w:r w:rsidRPr="0099478A">
              <w:rPr>
                <w:b/>
                <w:color w:val="auto"/>
                <w:sz w:val="22"/>
                <w:szCs w:val="22"/>
              </w:rPr>
              <w:t>Enspryng</w:t>
            </w:r>
            <w:proofErr w:type="spellEnd"/>
          </w:p>
          <w:p w14:paraId="1F1CE4F3" w14:textId="75D0327E" w:rsidR="000D15A6" w:rsidRPr="0099478A" w:rsidRDefault="000D15A6" w:rsidP="0025583A">
            <w:pPr>
              <w:spacing w:before="60" w:after="60"/>
              <w:jc w:val="center"/>
              <w:rPr>
                <w:b/>
                <w:color w:val="auto"/>
                <w:sz w:val="22"/>
                <w:szCs w:val="22"/>
              </w:rPr>
            </w:pPr>
            <w:r w:rsidRPr="0099478A">
              <w:rPr>
                <w:b/>
                <w:color w:val="auto"/>
                <w:sz w:val="22"/>
                <w:szCs w:val="22"/>
              </w:rPr>
              <w:t>n=</w:t>
            </w:r>
            <w:r w:rsidR="0016598C" w:rsidRPr="0099478A">
              <w:rPr>
                <w:b/>
                <w:color w:val="auto"/>
                <w:sz w:val="22"/>
                <w:szCs w:val="22"/>
              </w:rPr>
              <w:t>63</w:t>
            </w:r>
          </w:p>
        </w:tc>
        <w:tc>
          <w:tcPr>
            <w:tcW w:w="1167" w:type="dxa"/>
          </w:tcPr>
          <w:p w14:paraId="3287FDAB" w14:textId="77777777" w:rsidR="000D15A6" w:rsidRPr="0099478A" w:rsidRDefault="000D15A6" w:rsidP="0025583A">
            <w:pPr>
              <w:spacing w:before="60" w:after="60"/>
              <w:jc w:val="center"/>
              <w:rPr>
                <w:b/>
                <w:color w:val="auto"/>
                <w:sz w:val="22"/>
                <w:szCs w:val="22"/>
              </w:rPr>
            </w:pPr>
            <w:r w:rsidRPr="0099478A">
              <w:rPr>
                <w:b/>
                <w:color w:val="auto"/>
                <w:sz w:val="22"/>
                <w:szCs w:val="22"/>
              </w:rPr>
              <w:t>Placebo</w:t>
            </w:r>
          </w:p>
          <w:p w14:paraId="261B5639" w14:textId="3CB26D1A" w:rsidR="000D15A6" w:rsidRPr="0099478A" w:rsidRDefault="000D15A6" w:rsidP="0025583A">
            <w:pPr>
              <w:spacing w:before="60" w:after="60"/>
              <w:jc w:val="center"/>
              <w:rPr>
                <w:b/>
                <w:color w:val="auto"/>
                <w:sz w:val="22"/>
                <w:szCs w:val="22"/>
              </w:rPr>
            </w:pPr>
            <w:r w:rsidRPr="0099478A">
              <w:rPr>
                <w:b/>
                <w:color w:val="auto"/>
                <w:sz w:val="22"/>
                <w:szCs w:val="22"/>
              </w:rPr>
              <w:t>(PY=</w:t>
            </w:r>
            <w:r w:rsidR="0016598C" w:rsidRPr="0099478A">
              <w:rPr>
                <w:b/>
                <w:color w:val="auto"/>
                <w:sz w:val="22"/>
                <w:szCs w:val="22"/>
              </w:rPr>
              <w:t>40.6</w:t>
            </w:r>
            <w:r w:rsidRPr="0099478A">
              <w:rPr>
                <w:b/>
                <w:color w:val="auto"/>
                <w:sz w:val="22"/>
                <w:szCs w:val="22"/>
              </w:rPr>
              <w:t>)</w:t>
            </w:r>
          </w:p>
        </w:tc>
        <w:tc>
          <w:tcPr>
            <w:tcW w:w="1387" w:type="dxa"/>
          </w:tcPr>
          <w:p w14:paraId="01C79F07" w14:textId="77777777" w:rsidR="000D15A6" w:rsidRPr="0099478A" w:rsidRDefault="000D15A6" w:rsidP="0025583A">
            <w:pPr>
              <w:spacing w:before="60" w:after="60"/>
              <w:jc w:val="center"/>
              <w:rPr>
                <w:b/>
                <w:color w:val="auto"/>
                <w:sz w:val="22"/>
                <w:szCs w:val="22"/>
              </w:rPr>
            </w:pPr>
            <w:proofErr w:type="spellStart"/>
            <w:r w:rsidRPr="0099478A">
              <w:rPr>
                <w:b/>
                <w:color w:val="auto"/>
                <w:sz w:val="22"/>
                <w:szCs w:val="22"/>
              </w:rPr>
              <w:t>Enspryng</w:t>
            </w:r>
            <w:proofErr w:type="spellEnd"/>
          </w:p>
          <w:p w14:paraId="622C8C9C" w14:textId="22FB079B" w:rsidR="000D15A6" w:rsidRPr="0099478A" w:rsidRDefault="000D15A6" w:rsidP="0025583A">
            <w:pPr>
              <w:spacing w:before="60" w:after="60"/>
              <w:jc w:val="center"/>
              <w:rPr>
                <w:b/>
                <w:color w:val="auto"/>
                <w:sz w:val="22"/>
                <w:szCs w:val="22"/>
              </w:rPr>
            </w:pPr>
            <w:r w:rsidRPr="0099478A">
              <w:rPr>
                <w:b/>
                <w:color w:val="auto"/>
                <w:sz w:val="22"/>
                <w:szCs w:val="22"/>
              </w:rPr>
              <w:t>(PY=</w:t>
            </w:r>
            <w:r w:rsidR="0016598C" w:rsidRPr="0099478A">
              <w:rPr>
                <w:b/>
                <w:color w:val="auto"/>
                <w:sz w:val="22"/>
                <w:szCs w:val="22"/>
              </w:rPr>
              <w:t>115.21</w:t>
            </w:r>
            <w:r w:rsidRPr="0099478A">
              <w:rPr>
                <w:b/>
                <w:color w:val="auto"/>
                <w:sz w:val="22"/>
                <w:szCs w:val="22"/>
              </w:rPr>
              <w:t>)</w:t>
            </w:r>
          </w:p>
        </w:tc>
        <w:tc>
          <w:tcPr>
            <w:tcW w:w="1659" w:type="dxa"/>
            <w:vMerge/>
          </w:tcPr>
          <w:p w14:paraId="621B17EF" w14:textId="77777777" w:rsidR="000D15A6" w:rsidRPr="0099478A" w:rsidRDefault="000D15A6" w:rsidP="0025583A">
            <w:pPr>
              <w:spacing w:before="60" w:after="60"/>
              <w:rPr>
                <w:b/>
                <w:color w:val="auto"/>
                <w:sz w:val="22"/>
                <w:szCs w:val="22"/>
              </w:rPr>
            </w:pPr>
          </w:p>
        </w:tc>
      </w:tr>
      <w:tr w:rsidR="00307DA9" w:rsidRPr="0099478A" w14:paraId="020F0AB3" w14:textId="77777777" w:rsidTr="00307DA9">
        <w:tc>
          <w:tcPr>
            <w:tcW w:w="9016" w:type="dxa"/>
            <w:gridSpan w:val="6"/>
          </w:tcPr>
          <w:p w14:paraId="50164983" w14:textId="77777777" w:rsidR="00307DA9" w:rsidRPr="0099478A" w:rsidRDefault="00307DA9" w:rsidP="00307DA9">
            <w:pPr>
              <w:spacing w:before="60" w:after="60"/>
              <w:rPr>
                <w:b/>
                <w:color w:val="auto"/>
                <w:sz w:val="22"/>
                <w:szCs w:val="22"/>
              </w:rPr>
            </w:pPr>
            <w:r w:rsidRPr="0099478A">
              <w:rPr>
                <w:b/>
                <w:color w:val="auto"/>
                <w:sz w:val="22"/>
                <w:szCs w:val="22"/>
              </w:rPr>
              <w:t>Nervous system disorders</w:t>
            </w:r>
          </w:p>
        </w:tc>
      </w:tr>
      <w:tr w:rsidR="00307DA9" w:rsidRPr="0099478A" w14:paraId="5806D58E" w14:textId="77777777" w:rsidTr="00307DA9">
        <w:tc>
          <w:tcPr>
            <w:tcW w:w="2457" w:type="dxa"/>
          </w:tcPr>
          <w:p w14:paraId="161A1BEB" w14:textId="77777777" w:rsidR="00307DA9" w:rsidRPr="0099478A" w:rsidRDefault="00307DA9" w:rsidP="00307DA9">
            <w:pPr>
              <w:spacing w:before="60" w:after="60"/>
              <w:rPr>
                <w:color w:val="auto"/>
                <w:sz w:val="22"/>
                <w:szCs w:val="22"/>
              </w:rPr>
            </w:pPr>
            <w:r w:rsidRPr="0099478A">
              <w:rPr>
                <w:color w:val="auto"/>
                <w:sz w:val="22"/>
                <w:szCs w:val="22"/>
              </w:rPr>
              <w:t>Headache</w:t>
            </w:r>
          </w:p>
        </w:tc>
        <w:tc>
          <w:tcPr>
            <w:tcW w:w="1103" w:type="dxa"/>
          </w:tcPr>
          <w:p w14:paraId="02ADC445" w14:textId="77777777" w:rsidR="00307DA9" w:rsidRPr="0099478A" w:rsidRDefault="00307DA9" w:rsidP="00307DA9">
            <w:pPr>
              <w:spacing w:before="60" w:after="60"/>
              <w:rPr>
                <w:color w:val="auto"/>
                <w:sz w:val="22"/>
                <w:szCs w:val="22"/>
              </w:rPr>
            </w:pPr>
            <w:r w:rsidRPr="0099478A">
              <w:rPr>
                <w:color w:val="auto"/>
                <w:sz w:val="22"/>
                <w:szCs w:val="22"/>
              </w:rPr>
              <w:t>4 (12.5%)</w:t>
            </w:r>
          </w:p>
        </w:tc>
        <w:tc>
          <w:tcPr>
            <w:tcW w:w="1243" w:type="dxa"/>
          </w:tcPr>
          <w:p w14:paraId="5F4F3087" w14:textId="77777777" w:rsidR="00307DA9" w:rsidRPr="0099478A" w:rsidRDefault="00307DA9" w:rsidP="00307DA9">
            <w:pPr>
              <w:spacing w:before="60" w:after="60"/>
              <w:rPr>
                <w:color w:val="auto"/>
                <w:sz w:val="22"/>
                <w:szCs w:val="22"/>
              </w:rPr>
            </w:pPr>
            <w:r w:rsidRPr="0099478A">
              <w:rPr>
                <w:color w:val="auto"/>
                <w:sz w:val="22"/>
                <w:szCs w:val="22"/>
              </w:rPr>
              <w:t>10 (15.9%)</w:t>
            </w:r>
          </w:p>
        </w:tc>
        <w:tc>
          <w:tcPr>
            <w:tcW w:w="1167" w:type="dxa"/>
          </w:tcPr>
          <w:p w14:paraId="7C05A45A" w14:textId="77777777" w:rsidR="00307DA9" w:rsidRPr="0099478A" w:rsidRDefault="00307DA9" w:rsidP="00307DA9">
            <w:pPr>
              <w:spacing w:before="60" w:after="60"/>
              <w:rPr>
                <w:color w:val="auto"/>
                <w:sz w:val="22"/>
                <w:szCs w:val="22"/>
              </w:rPr>
            </w:pPr>
            <w:r w:rsidRPr="0099478A">
              <w:rPr>
                <w:color w:val="auto"/>
                <w:sz w:val="22"/>
                <w:szCs w:val="22"/>
              </w:rPr>
              <w:t>12.3</w:t>
            </w:r>
          </w:p>
        </w:tc>
        <w:tc>
          <w:tcPr>
            <w:tcW w:w="1387" w:type="dxa"/>
          </w:tcPr>
          <w:p w14:paraId="7F7F0475" w14:textId="77777777" w:rsidR="00307DA9" w:rsidRPr="0099478A" w:rsidRDefault="00307DA9" w:rsidP="00307DA9">
            <w:pPr>
              <w:spacing w:before="60" w:after="60"/>
              <w:rPr>
                <w:color w:val="auto"/>
                <w:sz w:val="22"/>
                <w:szCs w:val="22"/>
              </w:rPr>
            </w:pPr>
            <w:r w:rsidRPr="0099478A">
              <w:rPr>
                <w:color w:val="auto"/>
                <w:sz w:val="22"/>
                <w:szCs w:val="22"/>
              </w:rPr>
              <w:t>11.3</w:t>
            </w:r>
          </w:p>
        </w:tc>
        <w:tc>
          <w:tcPr>
            <w:tcW w:w="1659" w:type="dxa"/>
          </w:tcPr>
          <w:p w14:paraId="46DAEEC5" w14:textId="77777777" w:rsidR="00307DA9" w:rsidRPr="0099478A" w:rsidRDefault="00307DA9" w:rsidP="00307DA9">
            <w:pPr>
              <w:spacing w:before="60" w:after="60"/>
              <w:rPr>
                <w:color w:val="auto"/>
                <w:sz w:val="22"/>
                <w:szCs w:val="22"/>
              </w:rPr>
            </w:pPr>
            <w:r w:rsidRPr="0099478A">
              <w:rPr>
                <w:color w:val="auto"/>
                <w:sz w:val="22"/>
                <w:szCs w:val="22"/>
              </w:rPr>
              <w:t>Very common</w:t>
            </w:r>
          </w:p>
        </w:tc>
      </w:tr>
      <w:tr w:rsidR="00307DA9" w:rsidRPr="0099478A" w14:paraId="207A20C9" w14:textId="77777777" w:rsidTr="00307DA9">
        <w:tc>
          <w:tcPr>
            <w:tcW w:w="2457" w:type="dxa"/>
          </w:tcPr>
          <w:p w14:paraId="193B8832" w14:textId="77777777" w:rsidR="00307DA9" w:rsidRPr="0099478A" w:rsidRDefault="00307DA9" w:rsidP="00307DA9">
            <w:pPr>
              <w:spacing w:before="60" w:after="60"/>
              <w:rPr>
                <w:color w:val="auto"/>
                <w:sz w:val="22"/>
                <w:szCs w:val="22"/>
              </w:rPr>
            </w:pPr>
            <w:r w:rsidRPr="0099478A">
              <w:rPr>
                <w:color w:val="auto"/>
                <w:sz w:val="22"/>
                <w:szCs w:val="22"/>
              </w:rPr>
              <w:t>Migraine</w:t>
            </w:r>
          </w:p>
        </w:tc>
        <w:tc>
          <w:tcPr>
            <w:tcW w:w="1103" w:type="dxa"/>
          </w:tcPr>
          <w:p w14:paraId="1BE4B750"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243" w:type="dxa"/>
          </w:tcPr>
          <w:p w14:paraId="3059470A" w14:textId="77777777" w:rsidR="00307DA9" w:rsidRPr="0099478A" w:rsidRDefault="00307DA9" w:rsidP="00307DA9">
            <w:pPr>
              <w:spacing w:before="60" w:after="60"/>
              <w:rPr>
                <w:color w:val="auto"/>
                <w:sz w:val="22"/>
                <w:szCs w:val="22"/>
              </w:rPr>
            </w:pPr>
            <w:r w:rsidRPr="0099478A">
              <w:rPr>
                <w:color w:val="auto"/>
                <w:sz w:val="22"/>
                <w:szCs w:val="22"/>
              </w:rPr>
              <w:t>4 (6.3%)</w:t>
            </w:r>
          </w:p>
        </w:tc>
        <w:tc>
          <w:tcPr>
            <w:tcW w:w="1167" w:type="dxa"/>
          </w:tcPr>
          <w:p w14:paraId="6C070F57"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387" w:type="dxa"/>
          </w:tcPr>
          <w:p w14:paraId="65E46C19" w14:textId="77777777" w:rsidR="00307DA9" w:rsidRPr="0099478A" w:rsidRDefault="00307DA9" w:rsidP="00307DA9">
            <w:pPr>
              <w:spacing w:before="60" w:after="60"/>
              <w:rPr>
                <w:color w:val="auto"/>
                <w:sz w:val="22"/>
                <w:szCs w:val="22"/>
              </w:rPr>
            </w:pPr>
            <w:r w:rsidRPr="0099478A">
              <w:rPr>
                <w:color w:val="auto"/>
                <w:sz w:val="22"/>
                <w:szCs w:val="22"/>
              </w:rPr>
              <w:t>3.5</w:t>
            </w:r>
          </w:p>
        </w:tc>
        <w:tc>
          <w:tcPr>
            <w:tcW w:w="1659" w:type="dxa"/>
          </w:tcPr>
          <w:p w14:paraId="0713DFB7" w14:textId="77777777" w:rsidR="00307DA9" w:rsidRPr="0099478A" w:rsidRDefault="00307DA9" w:rsidP="00307DA9">
            <w:pPr>
              <w:spacing w:before="60" w:after="60"/>
              <w:rPr>
                <w:color w:val="auto"/>
                <w:sz w:val="22"/>
                <w:szCs w:val="22"/>
              </w:rPr>
            </w:pPr>
            <w:r w:rsidRPr="0099478A">
              <w:rPr>
                <w:color w:val="auto"/>
                <w:sz w:val="22"/>
                <w:szCs w:val="22"/>
              </w:rPr>
              <w:t>Common</w:t>
            </w:r>
          </w:p>
        </w:tc>
      </w:tr>
      <w:tr w:rsidR="00307DA9" w:rsidRPr="0099478A" w14:paraId="6159E168" w14:textId="77777777" w:rsidTr="00307DA9">
        <w:tc>
          <w:tcPr>
            <w:tcW w:w="9016" w:type="dxa"/>
            <w:gridSpan w:val="6"/>
          </w:tcPr>
          <w:p w14:paraId="0848866E" w14:textId="77777777" w:rsidR="00307DA9" w:rsidRPr="0099478A" w:rsidRDefault="00307DA9" w:rsidP="00307DA9">
            <w:pPr>
              <w:spacing w:before="60" w:after="60"/>
              <w:rPr>
                <w:b/>
                <w:color w:val="auto"/>
                <w:sz w:val="22"/>
                <w:szCs w:val="22"/>
              </w:rPr>
            </w:pPr>
            <w:r w:rsidRPr="0099478A">
              <w:rPr>
                <w:b/>
                <w:color w:val="auto"/>
                <w:sz w:val="22"/>
                <w:szCs w:val="22"/>
              </w:rPr>
              <w:t>Injury, poisoning and procedural complications</w:t>
            </w:r>
          </w:p>
        </w:tc>
      </w:tr>
      <w:tr w:rsidR="00307DA9" w:rsidRPr="0099478A" w14:paraId="43E3B4AB" w14:textId="77777777" w:rsidTr="00307DA9">
        <w:tc>
          <w:tcPr>
            <w:tcW w:w="2457" w:type="dxa"/>
          </w:tcPr>
          <w:p w14:paraId="50293C81" w14:textId="77777777" w:rsidR="00307DA9" w:rsidRPr="0099478A" w:rsidRDefault="00307DA9" w:rsidP="00307DA9">
            <w:pPr>
              <w:spacing w:before="60" w:after="60"/>
              <w:rPr>
                <w:color w:val="auto"/>
                <w:sz w:val="22"/>
                <w:szCs w:val="22"/>
              </w:rPr>
            </w:pPr>
            <w:r w:rsidRPr="0099478A">
              <w:rPr>
                <w:color w:val="auto"/>
                <w:sz w:val="22"/>
                <w:szCs w:val="22"/>
              </w:rPr>
              <w:t>Injection-related reactions</w:t>
            </w:r>
          </w:p>
        </w:tc>
        <w:tc>
          <w:tcPr>
            <w:tcW w:w="1103" w:type="dxa"/>
          </w:tcPr>
          <w:p w14:paraId="59030604" w14:textId="77777777" w:rsidR="00307DA9" w:rsidRPr="0099478A" w:rsidRDefault="00307DA9" w:rsidP="00307DA9">
            <w:pPr>
              <w:spacing w:before="60" w:after="60"/>
              <w:rPr>
                <w:color w:val="auto"/>
                <w:sz w:val="22"/>
                <w:szCs w:val="22"/>
              </w:rPr>
            </w:pPr>
            <w:r w:rsidRPr="0099478A">
              <w:rPr>
                <w:color w:val="auto"/>
                <w:sz w:val="22"/>
                <w:szCs w:val="22"/>
              </w:rPr>
              <w:t>5 (15.6%)</w:t>
            </w:r>
          </w:p>
        </w:tc>
        <w:tc>
          <w:tcPr>
            <w:tcW w:w="1243" w:type="dxa"/>
          </w:tcPr>
          <w:p w14:paraId="640AA988" w14:textId="77777777" w:rsidR="00307DA9" w:rsidRPr="0099478A" w:rsidRDefault="00307DA9" w:rsidP="00307DA9">
            <w:pPr>
              <w:spacing w:before="60" w:after="60"/>
              <w:rPr>
                <w:color w:val="auto"/>
                <w:sz w:val="22"/>
                <w:szCs w:val="22"/>
              </w:rPr>
            </w:pPr>
            <w:r w:rsidRPr="0099478A">
              <w:rPr>
                <w:color w:val="auto"/>
                <w:sz w:val="22"/>
                <w:szCs w:val="22"/>
              </w:rPr>
              <w:t>8 (12.7%)</w:t>
            </w:r>
          </w:p>
        </w:tc>
        <w:tc>
          <w:tcPr>
            <w:tcW w:w="1167" w:type="dxa"/>
          </w:tcPr>
          <w:p w14:paraId="0816BDB2" w14:textId="77777777" w:rsidR="00307DA9" w:rsidRPr="0099478A" w:rsidRDefault="00307DA9" w:rsidP="00307DA9">
            <w:pPr>
              <w:spacing w:before="60" w:after="60"/>
              <w:rPr>
                <w:color w:val="auto"/>
                <w:sz w:val="22"/>
                <w:szCs w:val="22"/>
              </w:rPr>
            </w:pPr>
            <w:r w:rsidRPr="0099478A">
              <w:rPr>
                <w:color w:val="auto"/>
                <w:sz w:val="22"/>
                <w:szCs w:val="22"/>
              </w:rPr>
              <w:t>17.3</w:t>
            </w:r>
          </w:p>
        </w:tc>
        <w:tc>
          <w:tcPr>
            <w:tcW w:w="1387" w:type="dxa"/>
          </w:tcPr>
          <w:p w14:paraId="6B780FBB" w14:textId="77777777" w:rsidR="00307DA9" w:rsidRPr="0099478A" w:rsidRDefault="00307DA9" w:rsidP="00307DA9">
            <w:pPr>
              <w:spacing w:before="60" w:after="60"/>
              <w:rPr>
                <w:color w:val="auto"/>
                <w:sz w:val="22"/>
                <w:szCs w:val="22"/>
              </w:rPr>
            </w:pPr>
            <w:r w:rsidRPr="0099478A">
              <w:rPr>
                <w:color w:val="auto"/>
                <w:sz w:val="22"/>
                <w:szCs w:val="22"/>
              </w:rPr>
              <w:t>13.9</w:t>
            </w:r>
          </w:p>
        </w:tc>
        <w:tc>
          <w:tcPr>
            <w:tcW w:w="1659" w:type="dxa"/>
          </w:tcPr>
          <w:p w14:paraId="7800705E" w14:textId="77777777" w:rsidR="00307DA9" w:rsidRPr="0099478A" w:rsidRDefault="00307DA9" w:rsidP="00307DA9">
            <w:pPr>
              <w:spacing w:before="60" w:after="60"/>
              <w:rPr>
                <w:color w:val="auto"/>
                <w:sz w:val="22"/>
                <w:szCs w:val="22"/>
              </w:rPr>
            </w:pPr>
            <w:r w:rsidRPr="0099478A">
              <w:rPr>
                <w:color w:val="auto"/>
                <w:sz w:val="22"/>
                <w:szCs w:val="22"/>
              </w:rPr>
              <w:t>Very common</w:t>
            </w:r>
          </w:p>
        </w:tc>
      </w:tr>
      <w:tr w:rsidR="00307DA9" w:rsidRPr="0099478A" w14:paraId="635AFD36" w14:textId="77777777" w:rsidTr="00307DA9">
        <w:tc>
          <w:tcPr>
            <w:tcW w:w="9016" w:type="dxa"/>
            <w:gridSpan w:val="6"/>
          </w:tcPr>
          <w:p w14:paraId="1196DAF7" w14:textId="77777777" w:rsidR="00307DA9" w:rsidRPr="0099478A" w:rsidRDefault="00307DA9" w:rsidP="00307DA9">
            <w:pPr>
              <w:spacing w:before="60" w:after="60"/>
              <w:rPr>
                <w:b/>
                <w:color w:val="auto"/>
                <w:sz w:val="22"/>
                <w:szCs w:val="22"/>
              </w:rPr>
            </w:pPr>
            <w:r w:rsidRPr="0099478A">
              <w:rPr>
                <w:b/>
                <w:color w:val="auto"/>
                <w:sz w:val="22"/>
                <w:szCs w:val="22"/>
              </w:rPr>
              <w:t>Musculoskeletal and connective tissue disorders</w:t>
            </w:r>
          </w:p>
        </w:tc>
      </w:tr>
      <w:tr w:rsidR="00307DA9" w:rsidRPr="0099478A" w14:paraId="45949741" w14:textId="77777777" w:rsidTr="00307DA9">
        <w:tc>
          <w:tcPr>
            <w:tcW w:w="2457" w:type="dxa"/>
          </w:tcPr>
          <w:p w14:paraId="34B0E566" w14:textId="77777777" w:rsidR="00307DA9" w:rsidRPr="0099478A" w:rsidRDefault="00307DA9" w:rsidP="00307DA9">
            <w:pPr>
              <w:spacing w:before="60" w:after="60"/>
              <w:rPr>
                <w:color w:val="auto"/>
                <w:sz w:val="22"/>
                <w:szCs w:val="22"/>
              </w:rPr>
            </w:pPr>
            <w:r w:rsidRPr="0099478A">
              <w:rPr>
                <w:color w:val="auto"/>
                <w:sz w:val="22"/>
                <w:szCs w:val="22"/>
              </w:rPr>
              <w:t>Arthralgia</w:t>
            </w:r>
          </w:p>
        </w:tc>
        <w:tc>
          <w:tcPr>
            <w:tcW w:w="1103" w:type="dxa"/>
          </w:tcPr>
          <w:p w14:paraId="015D394C" w14:textId="77777777" w:rsidR="00307DA9" w:rsidRPr="0099478A" w:rsidRDefault="00307DA9" w:rsidP="00307DA9">
            <w:pPr>
              <w:spacing w:before="60" w:after="60"/>
              <w:rPr>
                <w:color w:val="auto"/>
                <w:sz w:val="22"/>
                <w:szCs w:val="22"/>
              </w:rPr>
            </w:pPr>
            <w:r w:rsidRPr="0099478A">
              <w:rPr>
                <w:color w:val="auto"/>
                <w:sz w:val="22"/>
                <w:szCs w:val="22"/>
              </w:rPr>
              <w:t>1 (3.1%)</w:t>
            </w:r>
          </w:p>
        </w:tc>
        <w:tc>
          <w:tcPr>
            <w:tcW w:w="1243" w:type="dxa"/>
          </w:tcPr>
          <w:p w14:paraId="706BD7C5" w14:textId="77777777" w:rsidR="00307DA9" w:rsidRPr="0099478A" w:rsidRDefault="00307DA9" w:rsidP="00307DA9">
            <w:pPr>
              <w:spacing w:before="60" w:after="60"/>
              <w:rPr>
                <w:color w:val="auto"/>
                <w:sz w:val="22"/>
                <w:szCs w:val="22"/>
              </w:rPr>
            </w:pPr>
            <w:r w:rsidRPr="0099478A">
              <w:rPr>
                <w:color w:val="auto"/>
                <w:sz w:val="22"/>
                <w:szCs w:val="22"/>
              </w:rPr>
              <w:t>10 (15.9%)</w:t>
            </w:r>
          </w:p>
        </w:tc>
        <w:tc>
          <w:tcPr>
            <w:tcW w:w="1167" w:type="dxa"/>
          </w:tcPr>
          <w:p w14:paraId="7441A57D" w14:textId="77777777" w:rsidR="00307DA9" w:rsidRPr="0099478A" w:rsidRDefault="00307DA9" w:rsidP="00307DA9">
            <w:pPr>
              <w:spacing w:before="60" w:after="60"/>
              <w:rPr>
                <w:color w:val="auto"/>
                <w:sz w:val="22"/>
                <w:szCs w:val="22"/>
              </w:rPr>
            </w:pPr>
            <w:r w:rsidRPr="0099478A">
              <w:rPr>
                <w:color w:val="auto"/>
                <w:sz w:val="22"/>
                <w:szCs w:val="22"/>
              </w:rPr>
              <w:t>2.5</w:t>
            </w:r>
          </w:p>
        </w:tc>
        <w:tc>
          <w:tcPr>
            <w:tcW w:w="1387" w:type="dxa"/>
          </w:tcPr>
          <w:p w14:paraId="15769AA2" w14:textId="77777777" w:rsidR="00307DA9" w:rsidRPr="0099478A" w:rsidRDefault="00307DA9" w:rsidP="00307DA9">
            <w:pPr>
              <w:spacing w:before="60" w:after="60"/>
              <w:rPr>
                <w:color w:val="auto"/>
                <w:sz w:val="22"/>
                <w:szCs w:val="22"/>
              </w:rPr>
            </w:pPr>
            <w:r w:rsidRPr="0099478A">
              <w:rPr>
                <w:color w:val="auto"/>
                <w:sz w:val="22"/>
                <w:szCs w:val="22"/>
              </w:rPr>
              <w:t>8.7</w:t>
            </w:r>
          </w:p>
        </w:tc>
        <w:tc>
          <w:tcPr>
            <w:tcW w:w="1659" w:type="dxa"/>
          </w:tcPr>
          <w:p w14:paraId="0216F3D3" w14:textId="77777777" w:rsidR="00307DA9" w:rsidRPr="0099478A" w:rsidRDefault="00307DA9" w:rsidP="00307DA9">
            <w:pPr>
              <w:spacing w:before="60" w:after="60"/>
              <w:rPr>
                <w:color w:val="auto"/>
                <w:sz w:val="22"/>
                <w:szCs w:val="22"/>
              </w:rPr>
            </w:pPr>
            <w:r w:rsidRPr="0099478A">
              <w:rPr>
                <w:color w:val="auto"/>
                <w:sz w:val="22"/>
                <w:szCs w:val="22"/>
              </w:rPr>
              <w:t>Very common</w:t>
            </w:r>
          </w:p>
        </w:tc>
      </w:tr>
      <w:tr w:rsidR="00307DA9" w:rsidRPr="0099478A" w14:paraId="489D1CAE" w14:textId="77777777" w:rsidTr="00307DA9">
        <w:tc>
          <w:tcPr>
            <w:tcW w:w="2457" w:type="dxa"/>
          </w:tcPr>
          <w:p w14:paraId="707B7BE5" w14:textId="77777777" w:rsidR="00307DA9" w:rsidRPr="0099478A" w:rsidRDefault="00307DA9" w:rsidP="00307DA9">
            <w:pPr>
              <w:spacing w:before="60" w:after="60"/>
              <w:rPr>
                <w:color w:val="auto"/>
                <w:sz w:val="22"/>
                <w:szCs w:val="22"/>
              </w:rPr>
            </w:pPr>
            <w:r w:rsidRPr="0099478A">
              <w:rPr>
                <w:color w:val="auto"/>
                <w:sz w:val="22"/>
                <w:szCs w:val="22"/>
              </w:rPr>
              <w:t>Musculoskeletal stiffness</w:t>
            </w:r>
          </w:p>
        </w:tc>
        <w:tc>
          <w:tcPr>
            <w:tcW w:w="1103" w:type="dxa"/>
          </w:tcPr>
          <w:p w14:paraId="4C4CE485"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243" w:type="dxa"/>
          </w:tcPr>
          <w:p w14:paraId="3CE7A48C" w14:textId="77777777" w:rsidR="00307DA9" w:rsidRPr="0099478A" w:rsidRDefault="00307DA9" w:rsidP="00307DA9">
            <w:pPr>
              <w:spacing w:before="60" w:after="60"/>
              <w:rPr>
                <w:color w:val="auto"/>
                <w:sz w:val="22"/>
                <w:szCs w:val="22"/>
              </w:rPr>
            </w:pPr>
            <w:r w:rsidRPr="0099478A">
              <w:rPr>
                <w:color w:val="auto"/>
                <w:sz w:val="22"/>
                <w:szCs w:val="22"/>
              </w:rPr>
              <w:t>4 (6.3%)</w:t>
            </w:r>
          </w:p>
        </w:tc>
        <w:tc>
          <w:tcPr>
            <w:tcW w:w="1167" w:type="dxa"/>
          </w:tcPr>
          <w:p w14:paraId="1DA06DB9"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387" w:type="dxa"/>
          </w:tcPr>
          <w:p w14:paraId="2E9E0409" w14:textId="77777777" w:rsidR="00307DA9" w:rsidRPr="0099478A" w:rsidRDefault="00307DA9" w:rsidP="00307DA9">
            <w:pPr>
              <w:spacing w:before="60" w:after="60"/>
              <w:rPr>
                <w:color w:val="auto"/>
                <w:sz w:val="22"/>
                <w:szCs w:val="22"/>
              </w:rPr>
            </w:pPr>
            <w:r w:rsidRPr="0099478A">
              <w:rPr>
                <w:color w:val="auto"/>
                <w:sz w:val="22"/>
                <w:szCs w:val="22"/>
              </w:rPr>
              <w:t>3.5</w:t>
            </w:r>
          </w:p>
        </w:tc>
        <w:tc>
          <w:tcPr>
            <w:tcW w:w="1659" w:type="dxa"/>
          </w:tcPr>
          <w:p w14:paraId="7F0D9F16" w14:textId="77777777" w:rsidR="00307DA9" w:rsidRPr="0099478A" w:rsidRDefault="00307DA9" w:rsidP="00307DA9">
            <w:pPr>
              <w:spacing w:before="60" w:after="60"/>
              <w:rPr>
                <w:color w:val="auto"/>
                <w:sz w:val="22"/>
                <w:szCs w:val="22"/>
              </w:rPr>
            </w:pPr>
            <w:r w:rsidRPr="0099478A">
              <w:rPr>
                <w:color w:val="auto"/>
                <w:sz w:val="22"/>
                <w:szCs w:val="22"/>
              </w:rPr>
              <w:t>Common</w:t>
            </w:r>
          </w:p>
        </w:tc>
      </w:tr>
      <w:tr w:rsidR="00307DA9" w:rsidRPr="0099478A" w14:paraId="2730B953" w14:textId="77777777" w:rsidTr="00307DA9">
        <w:tc>
          <w:tcPr>
            <w:tcW w:w="9016" w:type="dxa"/>
            <w:gridSpan w:val="6"/>
          </w:tcPr>
          <w:p w14:paraId="4E622BA2" w14:textId="77777777" w:rsidR="00307DA9" w:rsidRPr="0099478A" w:rsidRDefault="00307DA9" w:rsidP="00307DA9">
            <w:pPr>
              <w:spacing w:before="60" w:after="60"/>
              <w:rPr>
                <w:b/>
                <w:color w:val="auto"/>
                <w:sz w:val="22"/>
                <w:szCs w:val="22"/>
              </w:rPr>
            </w:pPr>
            <w:r w:rsidRPr="0099478A">
              <w:rPr>
                <w:b/>
                <w:color w:val="auto"/>
                <w:sz w:val="22"/>
                <w:szCs w:val="22"/>
              </w:rPr>
              <w:t>Skin and subcutaneous tissue disorders</w:t>
            </w:r>
          </w:p>
        </w:tc>
      </w:tr>
      <w:tr w:rsidR="00307DA9" w:rsidRPr="0099478A" w14:paraId="64B52B67" w14:textId="77777777" w:rsidTr="00307DA9">
        <w:tc>
          <w:tcPr>
            <w:tcW w:w="2457" w:type="dxa"/>
          </w:tcPr>
          <w:p w14:paraId="134265F8" w14:textId="77777777" w:rsidR="00307DA9" w:rsidRPr="0099478A" w:rsidRDefault="00307DA9" w:rsidP="00307DA9">
            <w:pPr>
              <w:spacing w:before="60" w:after="60"/>
              <w:rPr>
                <w:color w:val="auto"/>
                <w:sz w:val="22"/>
                <w:szCs w:val="22"/>
              </w:rPr>
            </w:pPr>
            <w:r w:rsidRPr="0099478A">
              <w:rPr>
                <w:color w:val="auto"/>
                <w:sz w:val="22"/>
                <w:szCs w:val="22"/>
              </w:rPr>
              <w:t>Rash</w:t>
            </w:r>
          </w:p>
        </w:tc>
        <w:tc>
          <w:tcPr>
            <w:tcW w:w="1103" w:type="dxa"/>
          </w:tcPr>
          <w:p w14:paraId="754E9323" w14:textId="77777777" w:rsidR="00307DA9" w:rsidRPr="0099478A" w:rsidRDefault="00307DA9" w:rsidP="00307DA9">
            <w:pPr>
              <w:spacing w:before="60" w:after="60"/>
              <w:rPr>
                <w:color w:val="auto"/>
                <w:sz w:val="22"/>
                <w:szCs w:val="22"/>
              </w:rPr>
            </w:pPr>
            <w:r w:rsidRPr="0099478A">
              <w:rPr>
                <w:color w:val="auto"/>
                <w:sz w:val="22"/>
                <w:szCs w:val="22"/>
              </w:rPr>
              <w:t>1 (3.1%)</w:t>
            </w:r>
          </w:p>
        </w:tc>
        <w:tc>
          <w:tcPr>
            <w:tcW w:w="1243" w:type="dxa"/>
          </w:tcPr>
          <w:p w14:paraId="626FA0D2" w14:textId="77777777" w:rsidR="00307DA9" w:rsidRPr="0099478A" w:rsidRDefault="00307DA9" w:rsidP="00307DA9">
            <w:pPr>
              <w:spacing w:before="60" w:after="60"/>
              <w:rPr>
                <w:color w:val="auto"/>
                <w:sz w:val="22"/>
                <w:szCs w:val="22"/>
              </w:rPr>
            </w:pPr>
            <w:r w:rsidRPr="0099478A">
              <w:rPr>
                <w:color w:val="auto"/>
                <w:sz w:val="22"/>
                <w:szCs w:val="22"/>
              </w:rPr>
              <w:t>9 (14.3%)</w:t>
            </w:r>
          </w:p>
        </w:tc>
        <w:tc>
          <w:tcPr>
            <w:tcW w:w="1167" w:type="dxa"/>
          </w:tcPr>
          <w:p w14:paraId="6F7982E9" w14:textId="77777777" w:rsidR="00307DA9" w:rsidRPr="0099478A" w:rsidRDefault="00307DA9" w:rsidP="00307DA9">
            <w:pPr>
              <w:spacing w:before="60" w:after="60"/>
              <w:rPr>
                <w:color w:val="auto"/>
                <w:sz w:val="22"/>
                <w:szCs w:val="22"/>
              </w:rPr>
            </w:pPr>
            <w:r w:rsidRPr="0099478A">
              <w:rPr>
                <w:color w:val="auto"/>
                <w:sz w:val="22"/>
                <w:szCs w:val="22"/>
              </w:rPr>
              <w:t>4.9</w:t>
            </w:r>
          </w:p>
        </w:tc>
        <w:tc>
          <w:tcPr>
            <w:tcW w:w="1387" w:type="dxa"/>
          </w:tcPr>
          <w:p w14:paraId="23A010B1" w14:textId="77777777" w:rsidR="00307DA9" w:rsidRPr="0099478A" w:rsidRDefault="00307DA9" w:rsidP="00307DA9">
            <w:pPr>
              <w:spacing w:before="60" w:after="60"/>
              <w:rPr>
                <w:color w:val="auto"/>
                <w:sz w:val="22"/>
                <w:szCs w:val="22"/>
              </w:rPr>
            </w:pPr>
            <w:r w:rsidRPr="0099478A">
              <w:rPr>
                <w:color w:val="auto"/>
                <w:sz w:val="22"/>
                <w:szCs w:val="22"/>
              </w:rPr>
              <w:t>12.2</w:t>
            </w:r>
          </w:p>
        </w:tc>
        <w:tc>
          <w:tcPr>
            <w:tcW w:w="1659" w:type="dxa"/>
          </w:tcPr>
          <w:p w14:paraId="4EAD2D71" w14:textId="77777777" w:rsidR="00307DA9" w:rsidRPr="0099478A" w:rsidRDefault="00307DA9" w:rsidP="00307DA9">
            <w:pPr>
              <w:spacing w:before="60" w:after="60"/>
              <w:rPr>
                <w:color w:val="auto"/>
                <w:sz w:val="22"/>
                <w:szCs w:val="22"/>
              </w:rPr>
            </w:pPr>
            <w:r w:rsidRPr="0099478A">
              <w:rPr>
                <w:color w:val="auto"/>
                <w:sz w:val="22"/>
                <w:szCs w:val="22"/>
              </w:rPr>
              <w:t>Very common</w:t>
            </w:r>
          </w:p>
        </w:tc>
      </w:tr>
      <w:tr w:rsidR="00307DA9" w:rsidRPr="0099478A" w14:paraId="35081A58" w14:textId="77777777" w:rsidTr="00307DA9">
        <w:tc>
          <w:tcPr>
            <w:tcW w:w="2457" w:type="dxa"/>
          </w:tcPr>
          <w:p w14:paraId="154F0914" w14:textId="77777777" w:rsidR="00307DA9" w:rsidRPr="0099478A" w:rsidRDefault="00307DA9" w:rsidP="00307DA9">
            <w:pPr>
              <w:spacing w:before="60" w:after="60"/>
              <w:rPr>
                <w:color w:val="auto"/>
                <w:sz w:val="22"/>
                <w:szCs w:val="22"/>
              </w:rPr>
            </w:pPr>
            <w:r w:rsidRPr="0099478A">
              <w:rPr>
                <w:color w:val="auto"/>
                <w:sz w:val="22"/>
                <w:szCs w:val="22"/>
              </w:rPr>
              <w:t>Pruritus</w:t>
            </w:r>
          </w:p>
        </w:tc>
        <w:tc>
          <w:tcPr>
            <w:tcW w:w="1103" w:type="dxa"/>
          </w:tcPr>
          <w:p w14:paraId="141C0502"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243" w:type="dxa"/>
          </w:tcPr>
          <w:p w14:paraId="11F8CECF" w14:textId="77777777" w:rsidR="00307DA9" w:rsidRPr="0099478A" w:rsidRDefault="00307DA9" w:rsidP="00307DA9">
            <w:pPr>
              <w:spacing w:before="60" w:after="60"/>
              <w:rPr>
                <w:color w:val="auto"/>
                <w:sz w:val="22"/>
                <w:szCs w:val="22"/>
              </w:rPr>
            </w:pPr>
            <w:r w:rsidRPr="0099478A">
              <w:rPr>
                <w:color w:val="auto"/>
                <w:sz w:val="22"/>
                <w:szCs w:val="22"/>
              </w:rPr>
              <w:t>6 (9.5%)</w:t>
            </w:r>
          </w:p>
        </w:tc>
        <w:tc>
          <w:tcPr>
            <w:tcW w:w="1167" w:type="dxa"/>
          </w:tcPr>
          <w:p w14:paraId="11228DB4"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387" w:type="dxa"/>
          </w:tcPr>
          <w:p w14:paraId="75A2F633" w14:textId="77777777" w:rsidR="00307DA9" w:rsidRPr="0099478A" w:rsidRDefault="00307DA9" w:rsidP="00307DA9">
            <w:pPr>
              <w:spacing w:before="60" w:after="60"/>
              <w:rPr>
                <w:color w:val="auto"/>
                <w:sz w:val="22"/>
                <w:szCs w:val="22"/>
              </w:rPr>
            </w:pPr>
            <w:r w:rsidRPr="0099478A">
              <w:rPr>
                <w:color w:val="auto"/>
                <w:sz w:val="22"/>
                <w:szCs w:val="22"/>
              </w:rPr>
              <w:t>6.9</w:t>
            </w:r>
          </w:p>
        </w:tc>
        <w:tc>
          <w:tcPr>
            <w:tcW w:w="1659" w:type="dxa"/>
          </w:tcPr>
          <w:p w14:paraId="07CBEB22" w14:textId="77777777" w:rsidR="00307DA9" w:rsidRPr="0099478A" w:rsidRDefault="00307DA9" w:rsidP="00307DA9">
            <w:pPr>
              <w:spacing w:before="60" w:after="60"/>
              <w:rPr>
                <w:color w:val="auto"/>
                <w:sz w:val="22"/>
                <w:szCs w:val="22"/>
              </w:rPr>
            </w:pPr>
            <w:r w:rsidRPr="0099478A">
              <w:rPr>
                <w:color w:val="auto"/>
                <w:sz w:val="22"/>
                <w:szCs w:val="22"/>
              </w:rPr>
              <w:t>Common</w:t>
            </w:r>
          </w:p>
        </w:tc>
      </w:tr>
      <w:tr w:rsidR="00307DA9" w:rsidRPr="0099478A" w14:paraId="5485B161" w14:textId="77777777" w:rsidTr="00307DA9">
        <w:tc>
          <w:tcPr>
            <w:tcW w:w="9016" w:type="dxa"/>
            <w:gridSpan w:val="6"/>
          </w:tcPr>
          <w:p w14:paraId="12E77524" w14:textId="77777777" w:rsidR="00307DA9" w:rsidRPr="0099478A" w:rsidRDefault="00307DA9" w:rsidP="00307DA9">
            <w:pPr>
              <w:spacing w:before="60" w:after="60"/>
              <w:rPr>
                <w:b/>
                <w:color w:val="auto"/>
                <w:sz w:val="22"/>
                <w:szCs w:val="22"/>
              </w:rPr>
            </w:pPr>
            <w:r w:rsidRPr="0099478A">
              <w:rPr>
                <w:b/>
                <w:color w:val="auto"/>
                <w:sz w:val="22"/>
                <w:szCs w:val="22"/>
              </w:rPr>
              <w:t>Psychiatric disorders</w:t>
            </w:r>
          </w:p>
        </w:tc>
      </w:tr>
      <w:tr w:rsidR="00307DA9" w:rsidRPr="0099478A" w14:paraId="45C1659A" w14:textId="77777777" w:rsidTr="00307DA9">
        <w:tc>
          <w:tcPr>
            <w:tcW w:w="2457" w:type="dxa"/>
          </w:tcPr>
          <w:p w14:paraId="27F2C522" w14:textId="77777777" w:rsidR="00307DA9" w:rsidRPr="0099478A" w:rsidRDefault="00307DA9" w:rsidP="00307DA9">
            <w:pPr>
              <w:spacing w:before="60" w:after="60"/>
              <w:rPr>
                <w:color w:val="auto"/>
                <w:sz w:val="22"/>
                <w:szCs w:val="22"/>
              </w:rPr>
            </w:pPr>
            <w:r w:rsidRPr="0099478A">
              <w:rPr>
                <w:color w:val="auto"/>
                <w:sz w:val="22"/>
                <w:szCs w:val="22"/>
              </w:rPr>
              <w:t>Insomnia</w:t>
            </w:r>
          </w:p>
        </w:tc>
        <w:tc>
          <w:tcPr>
            <w:tcW w:w="1103" w:type="dxa"/>
          </w:tcPr>
          <w:p w14:paraId="27817C99" w14:textId="77777777" w:rsidR="00307DA9" w:rsidRPr="0099478A" w:rsidRDefault="00307DA9" w:rsidP="00307DA9">
            <w:pPr>
              <w:spacing w:before="60" w:after="60"/>
              <w:rPr>
                <w:color w:val="auto"/>
                <w:sz w:val="22"/>
                <w:szCs w:val="22"/>
              </w:rPr>
            </w:pPr>
            <w:r w:rsidRPr="0099478A">
              <w:rPr>
                <w:color w:val="auto"/>
                <w:sz w:val="22"/>
                <w:szCs w:val="22"/>
              </w:rPr>
              <w:t>1 (3.1%)</w:t>
            </w:r>
          </w:p>
        </w:tc>
        <w:tc>
          <w:tcPr>
            <w:tcW w:w="1243" w:type="dxa"/>
          </w:tcPr>
          <w:p w14:paraId="2D95CBDB" w14:textId="77777777" w:rsidR="00307DA9" w:rsidRPr="0099478A" w:rsidRDefault="00307DA9" w:rsidP="00307DA9">
            <w:pPr>
              <w:spacing w:before="60" w:after="60"/>
              <w:rPr>
                <w:color w:val="auto"/>
                <w:sz w:val="22"/>
                <w:szCs w:val="22"/>
              </w:rPr>
            </w:pPr>
            <w:r w:rsidRPr="0099478A">
              <w:rPr>
                <w:color w:val="auto"/>
                <w:sz w:val="22"/>
                <w:szCs w:val="22"/>
              </w:rPr>
              <w:t>5 (7.9%)</w:t>
            </w:r>
          </w:p>
        </w:tc>
        <w:tc>
          <w:tcPr>
            <w:tcW w:w="1167" w:type="dxa"/>
          </w:tcPr>
          <w:p w14:paraId="66BA54F7" w14:textId="77777777" w:rsidR="00307DA9" w:rsidRPr="0099478A" w:rsidRDefault="00307DA9" w:rsidP="00307DA9">
            <w:pPr>
              <w:spacing w:before="60" w:after="60"/>
              <w:rPr>
                <w:color w:val="auto"/>
                <w:sz w:val="22"/>
                <w:szCs w:val="22"/>
              </w:rPr>
            </w:pPr>
            <w:r w:rsidRPr="0099478A">
              <w:rPr>
                <w:color w:val="auto"/>
                <w:sz w:val="22"/>
                <w:szCs w:val="22"/>
              </w:rPr>
              <w:t>2.5</w:t>
            </w:r>
          </w:p>
        </w:tc>
        <w:tc>
          <w:tcPr>
            <w:tcW w:w="1387" w:type="dxa"/>
          </w:tcPr>
          <w:p w14:paraId="155A81B7" w14:textId="77777777" w:rsidR="00307DA9" w:rsidRPr="0099478A" w:rsidRDefault="00307DA9" w:rsidP="00307DA9">
            <w:pPr>
              <w:spacing w:before="60" w:after="60"/>
              <w:rPr>
                <w:color w:val="auto"/>
                <w:sz w:val="22"/>
                <w:szCs w:val="22"/>
              </w:rPr>
            </w:pPr>
            <w:r w:rsidRPr="0099478A">
              <w:rPr>
                <w:color w:val="auto"/>
                <w:sz w:val="22"/>
                <w:szCs w:val="22"/>
              </w:rPr>
              <w:t>4.3</w:t>
            </w:r>
          </w:p>
        </w:tc>
        <w:tc>
          <w:tcPr>
            <w:tcW w:w="1659" w:type="dxa"/>
          </w:tcPr>
          <w:p w14:paraId="4C2F183B" w14:textId="77777777" w:rsidR="00307DA9" w:rsidRPr="0099478A" w:rsidRDefault="00307DA9" w:rsidP="00307DA9">
            <w:pPr>
              <w:spacing w:before="60" w:after="60"/>
              <w:rPr>
                <w:color w:val="auto"/>
                <w:sz w:val="22"/>
                <w:szCs w:val="22"/>
              </w:rPr>
            </w:pPr>
            <w:r w:rsidRPr="0099478A">
              <w:rPr>
                <w:color w:val="auto"/>
                <w:sz w:val="22"/>
                <w:szCs w:val="22"/>
              </w:rPr>
              <w:t>Common</w:t>
            </w:r>
          </w:p>
        </w:tc>
      </w:tr>
      <w:tr w:rsidR="00307DA9" w:rsidRPr="0099478A" w14:paraId="33289E32" w14:textId="77777777" w:rsidTr="00307DA9">
        <w:tc>
          <w:tcPr>
            <w:tcW w:w="9016" w:type="dxa"/>
            <w:gridSpan w:val="6"/>
          </w:tcPr>
          <w:p w14:paraId="27639A71" w14:textId="77777777" w:rsidR="00307DA9" w:rsidRPr="0099478A" w:rsidRDefault="00307DA9" w:rsidP="00307DA9">
            <w:pPr>
              <w:spacing w:before="60" w:after="60"/>
              <w:rPr>
                <w:b/>
                <w:color w:val="auto"/>
                <w:sz w:val="22"/>
                <w:szCs w:val="22"/>
              </w:rPr>
            </w:pPr>
            <w:r w:rsidRPr="0099478A">
              <w:rPr>
                <w:b/>
                <w:color w:val="auto"/>
                <w:sz w:val="22"/>
                <w:szCs w:val="22"/>
              </w:rPr>
              <w:t>General disorders and administration site conditions</w:t>
            </w:r>
          </w:p>
        </w:tc>
      </w:tr>
      <w:tr w:rsidR="00307DA9" w:rsidRPr="0099478A" w14:paraId="013F8553" w14:textId="77777777" w:rsidTr="00307DA9">
        <w:tc>
          <w:tcPr>
            <w:tcW w:w="2457" w:type="dxa"/>
          </w:tcPr>
          <w:p w14:paraId="511B32DA" w14:textId="77777777" w:rsidR="00307DA9" w:rsidRPr="0099478A" w:rsidRDefault="00307DA9" w:rsidP="00307DA9">
            <w:pPr>
              <w:spacing w:before="60" w:after="60"/>
              <w:rPr>
                <w:color w:val="auto"/>
                <w:sz w:val="22"/>
                <w:szCs w:val="22"/>
              </w:rPr>
            </w:pPr>
            <w:r w:rsidRPr="0099478A">
              <w:rPr>
                <w:color w:val="auto"/>
                <w:sz w:val="22"/>
                <w:szCs w:val="22"/>
              </w:rPr>
              <w:t>Oedema peripheral</w:t>
            </w:r>
          </w:p>
        </w:tc>
        <w:tc>
          <w:tcPr>
            <w:tcW w:w="1103" w:type="dxa"/>
          </w:tcPr>
          <w:p w14:paraId="1B7AA7D8"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243" w:type="dxa"/>
          </w:tcPr>
          <w:p w14:paraId="4B85CA5B" w14:textId="77777777" w:rsidR="00307DA9" w:rsidRPr="0099478A" w:rsidRDefault="00307DA9" w:rsidP="00307DA9">
            <w:pPr>
              <w:spacing w:before="60" w:after="60"/>
              <w:rPr>
                <w:color w:val="auto"/>
                <w:sz w:val="22"/>
                <w:szCs w:val="22"/>
              </w:rPr>
            </w:pPr>
            <w:r w:rsidRPr="0099478A">
              <w:rPr>
                <w:color w:val="auto"/>
                <w:sz w:val="22"/>
                <w:szCs w:val="22"/>
              </w:rPr>
              <w:t>4 (6.3%)</w:t>
            </w:r>
          </w:p>
        </w:tc>
        <w:tc>
          <w:tcPr>
            <w:tcW w:w="1167" w:type="dxa"/>
          </w:tcPr>
          <w:p w14:paraId="66B0EA6F"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387" w:type="dxa"/>
          </w:tcPr>
          <w:p w14:paraId="2C1E9B50" w14:textId="77777777" w:rsidR="00307DA9" w:rsidRPr="0099478A" w:rsidRDefault="00307DA9" w:rsidP="00307DA9">
            <w:pPr>
              <w:spacing w:before="60" w:after="60"/>
              <w:rPr>
                <w:color w:val="auto"/>
                <w:sz w:val="22"/>
                <w:szCs w:val="22"/>
              </w:rPr>
            </w:pPr>
            <w:r w:rsidRPr="0099478A">
              <w:rPr>
                <w:color w:val="auto"/>
                <w:sz w:val="22"/>
                <w:szCs w:val="22"/>
              </w:rPr>
              <w:t>3.5</w:t>
            </w:r>
          </w:p>
        </w:tc>
        <w:tc>
          <w:tcPr>
            <w:tcW w:w="1659" w:type="dxa"/>
          </w:tcPr>
          <w:p w14:paraId="2D3910A0" w14:textId="77777777" w:rsidR="00307DA9" w:rsidRPr="0099478A" w:rsidRDefault="00307DA9" w:rsidP="00307DA9">
            <w:pPr>
              <w:spacing w:before="60" w:after="60"/>
              <w:rPr>
                <w:color w:val="auto"/>
                <w:sz w:val="22"/>
                <w:szCs w:val="22"/>
              </w:rPr>
            </w:pPr>
            <w:r w:rsidRPr="0099478A">
              <w:rPr>
                <w:color w:val="auto"/>
                <w:sz w:val="22"/>
                <w:szCs w:val="22"/>
              </w:rPr>
              <w:t>Common</w:t>
            </w:r>
          </w:p>
        </w:tc>
      </w:tr>
      <w:tr w:rsidR="00307DA9" w:rsidRPr="0099478A" w14:paraId="46A37787" w14:textId="77777777" w:rsidTr="00307DA9">
        <w:tc>
          <w:tcPr>
            <w:tcW w:w="9016" w:type="dxa"/>
            <w:gridSpan w:val="6"/>
          </w:tcPr>
          <w:p w14:paraId="7CEA614B" w14:textId="77777777" w:rsidR="00307DA9" w:rsidRPr="0099478A" w:rsidRDefault="00307DA9" w:rsidP="00307DA9">
            <w:pPr>
              <w:spacing w:before="60" w:after="60"/>
              <w:rPr>
                <w:b/>
                <w:color w:val="auto"/>
                <w:sz w:val="22"/>
                <w:szCs w:val="22"/>
              </w:rPr>
            </w:pPr>
            <w:r w:rsidRPr="0099478A">
              <w:rPr>
                <w:b/>
                <w:color w:val="auto"/>
                <w:sz w:val="22"/>
                <w:szCs w:val="22"/>
              </w:rPr>
              <w:t xml:space="preserve">Respiratory, </w:t>
            </w:r>
            <w:proofErr w:type="gramStart"/>
            <w:r w:rsidRPr="0099478A">
              <w:rPr>
                <w:b/>
                <w:color w:val="auto"/>
                <w:sz w:val="22"/>
                <w:szCs w:val="22"/>
              </w:rPr>
              <w:t>thoracic</w:t>
            </w:r>
            <w:proofErr w:type="gramEnd"/>
            <w:r w:rsidRPr="0099478A">
              <w:rPr>
                <w:b/>
                <w:color w:val="auto"/>
                <w:sz w:val="22"/>
                <w:szCs w:val="22"/>
              </w:rPr>
              <w:t xml:space="preserve"> and mediastinal disorders</w:t>
            </w:r>
          </w:p>
        </w:tc>
      </w:tr>
      <w:tr w:rsidR="00307DA9" w:rsidRPr="0099478A" w14:paraId="57BAF5A0" w14:textId="77777777" w:rsidTr="00307DA9">
        <w:tc>
          <w:tcPr>
            <w:tcW w:w="2457" w:type="dxa"/>
          </w:tcPr>
          <w:p w14:paraId="082D5009" w14:textId="77777777" w:rsidR="00307DA9" w:rsidRPr="0099478A" w:rsidRDefault="00307DA9" w:rsidP="00307DA9">
            <w:pPr>
              <w:spacing w:before="60" w:after="60"/>
              <w:rPr>
                <w:color w:val="auto"/>
                <w:sz w:val="22"/>
                <w:szCs w:val="22"/>
              </w:rPr>
            </w:pPr>
            <w:r w:rsidRPr="0099478A">
              <w:rPr>
                <w:color w:val="auto"/>
                <w:sz w:val="22"/>
                <w:szCs w:val="22"/>
              </w:rPr>
              <w:t>Rhinitis allergic</w:t>
            </w:r>
          </w:p>
        </w:tc>
        <w:tc>
          <w:tcPr>
            <w:tcW w:w="1103" w:type="dxa"/>
          </w:tcPr>
          <w:p w14:paraId="4D642284"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243" w:type="dxa"/>
          </w:tcPr>
          <w:p w14:paraId="158CF31A" w14:textId="77777777" w:rsidR="00307DA9" w:rsidRPr="0099478A" w:rsidRDefault="00307DA9" w:rsidP="00307DA9">
            <w:pPr>
              <w:spacing w:before="60" w:after="60"/>
              <w:rPr>
                <w:color w:val="auto"/>
                <w:sz w:val="22"/>
                <w:szCs w:val="22"/>
              </w:rPr>
            </w:pPr>
            <w:r w:rsidRPr="0099478A">
              <w:rPr>
                <w:color w:val="auto"/>
                <w:sz w:val="22"/>
                <w:szCs w:val="22"/>
              </w:rPr>
              <w:t>2 (3.2%)</w:t>
            </w:r>
          </w:p>
        </w:tc>
        <w:tc>
          <w:tcPr>
            <w:tcW w:w="1167" w:type="dxa"/>
          </w:tcPr>
          <w:p w14:paraId="5B56FB6B"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387" w:type="dxa"/>
          </w:tcPr>
          <w:p w14:paraId="32F822F2" w14:textId="77777777" w:rsidR="00307DA9" w:rsidRPr="0099478A" w:rsidRDefault="00307DA9" w:rsidP="00307DA9">
            <w:pPr>
              <w:spacing w:before="60" w:after="60"/>
              <w:rPr>
                <w:color w:val="auto"/>
                <w:sz w:val="22"/>
                <w:szCs w:val="22"/>
              </w:rPr>
            </w:pPr>
            <w:r w:rsidRPr="0099478A">
              <w:rPr>
                <w:color w:val="auto"/>
                <w:sz w:val="22"/>
                <w:szCs w:val="22"/>
              </w:rPr>
              <w:t>1.7</w:t>
            </w:r>
          </w:p>
        </w:tc>
        <w:tc>
          <w:tcPr>
            <w:tcW w:w="1659" w:type="dxa"/>
          </w:tcPr>
          <w:p w14:paraId="7461670B" w14:textId="77777777" w:rsidR="00307DA9" w:rsidRPr="0099478A" w:rsidRDefault="00307DA9" w:rsidP="00307DA9">
            <w:pPr>
              <w:spacing w:before="60" w:after="60"/>
              <w:rPr>
                <w:color w:val="auto"/>
                <w:sz w:val="22"/>
                <w:szCs w:val="22"/>
              </w:rPr>
            </w:pPr>
            <w:r w:rsidRPr="0099478A">
              <w:rPr>
                <w:color w:val="auto"/>
                <w:sz w:val="22"/>
                <w:szCs w:val="22"/>
              </w:rPr>
              <w:t>Common</w:t>
            </w:r>
          </w:p>
        </w:tc>
      </w:tr>
      <w:tr w:rsidR="00307DA9" w:rsidRPr="0099478A" w14:paraId="223F5D07" w14:textId="77777777" w:rsidTr="00307DA9">
        <w:tc>
          <w:tcPr>
            <w:tcW w:w="9016" w:type="dxa"/>
            <w:gridSpan w:val="6"/>
          </w:tcPr>
          <w:p w14:paraId="3A6DD2DE" w14:textId="77777777" w:rsidR="00307DA9" w:rsidRPr="0099478A" w:rsidRDefault="00307DA9" w:rsidP="00307DA9">
            <w:pPr>
              <w:spacing w:before="60" w:after="60"/>
              <w:rPr>
                <w:b/>
                <w:color w:val="auto"/>
                <w:sz w:val="22"/>
                <w:szCs w:val="22"/>
              </w:rPr>
            </w:pPr>
            <w:r w:rsidRPr="0099478A">
              <w:rPr>
                <w:b/>
                <w:color w:val="auto"/>
                <w:sz w:val="22"/>
                <w:szCs w:val="22"/>
              </w:rPr>
              <w:t>Blood and lymphatic system disorders</w:t>
            </w:r>
          </w:p>
        </w:tc>
      </w:tr>
      <w:tr w:rsidR="00307DA9" w:rsidRPr="0099478A" w14:paraId="2183F96D" w14:textId="77777777" w:rsidTr="00307DA9">
        <w:tc>
          <w:tcPr>
            <w:tcW w:w="2457" w:type="dxa"/>
          </w:tcPr>
          <w:p w14:paraId="73E088DE" w14:textId="77777777" w:rsidR="00307DA9" w:rsidRPr="0099478A" w:rsidRDefault="00307DA9" w:rsidP="00307DA9">
            <w:pPr>
              <w:spacing w:before="60" w:after="60"/>
              <w:rPr>
                <w:color w:val="auto"/>
                <w:sz w:val="22"/>
                <w:szCs w:val="22"/>
              </w:rPr>
            </w:pPr>
            <w:r w:rsidRPr="0099478A">
              <w:rPr>
                <w:color w:val="auto"/>
                <w:sz w:val="22"/>
                <w:szCs w:val="22"/>
              </w:rPr>
              <w:t>Hypofibrinogenemia</w:t>
            </w:r>
          </w:p>
        </w:tc>
        <w:tc>
          <w:tcPr>
            <w:tcW w:w="1103" w:type="dxa"/>
          </w:tcPr>
          <w:p w14:paraId="07EF96C0"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243" w:type="dxa"/>
          </w:tcPr>
          <w:p w14:paraId="0D76FF06" w14:textId="77777777" w:rsidR="00307DA9" w:rsidRPr="0099478A" w:rsidRDefault="00307DA9" w:rsidP="00307DA9">
            <w:pPr>
              <w:spacing w:before="60" w:after="60"/>
              <w:rPr>
                <w:color w:val="auto"/>
                <w:sz w:val="22"/>
                <w:szCs w:val="22"/>
              </w:rPr>
            </w:pPr>
            <w:r w:rsidRPr="0099478A">
              <w:rPr>
                <w:color w:val="auto"/>
                <w:sz w:val="22"/>
                <w:szCs w:val="22"/>
              </w:rPr>
              <w:t>2 (3.2%)</w:t>
            </w:r>
          </w:p>
        </w:tc>
        <w:tc>
          <w:tcPr>
            <w:tcW w:w="1167" w:type="dxa"/>
          </w:tcPr>
          <w:p w14:paraId="2922304B" w14:textId="77777777" w:rsidR="00307DA9" w:rsidRPr="0099478A" w:rsidRDefault="00307DA9" w:rsidP="00307DA9">
            <w:pPr>
              <w:spacing w:before="60" w:after="60"/>
              <w:rPr>
                <w:color w:val="auto"/>
                <w:sz w:val="22"/>
                <w:szCs w:val="22"/>
              </w:rPr>
            </w:pPr>
            <w:r w:rsidRPr="0099478A">
              <w:rPr>
                <w:color w:val="auto"/>
                <w:sz w:val="22"/>
                <w:szCs w:val="22"/>
              </w:rPr>
              <w:t>0</w:t>
            </w:r>
          </w:p>
        </w:tc>
        <w:tc>
          <w:tcPr>
            <w:tcW w:w="1387" w:type="dxa"/>
          </w:tcPr>
          <w:p w14:paraId="1FA3800B" w14:textId="77777777" w:rsidR="00307DA9" w:rsidRPr="0099478A" w:rsidRDefault="00307DA9" w:rsidP="00307DA9">
            <w:pPr>
              <w:spacing w:before="60" w:after="60"/>
              <w:rPr>
                <w:color w:val="auto"/>
                <w:sz w:val="22"/>
                <w:szCs w:val="22"/>
              </w:rPr>
            </w:pPr>
            <w:r w:rsidRPr="0099478A">
              <w:rPr>
                <w:color w:val="auto"/>
                <w:sz w:val="22"/>
                <w:szCs w:val="22"/>
              </w:rPr>
              <w:t>1.7</w:t>
            </w:r>
          </w:p>
        </w:tc>
        <w:tc>
          <w:tcPr>
            <w:tcW w:w="1659" w:type="dxa"/>
          </w:tcPr>
          <w:p w14:paraId="5E73F4D2" w14:textId="77777777" w:rsidR="00307DA9" w:rsidRPr="0099478A" w:rsidRDefault="00307DA9" w:rsidP="00307DA9">
            <w:pPr>
              <w:spacing w:before="60" w:after="60"/>
              <w:rPr>
                <w:color w:val="auto"/>
                <w:sz w:val="22"/>
                <w:szCs w:val="22"/>
              </w:rPr>
            </w:pPr>
            <w:r w:rsidRPr="0099478A">
              <w:rPr>
                <w:color w:val="auto"/>
                <w:sz w:val="22"/>
                <w:szCs w:val="22"/>
              </w:rPr>
              <w:t>Common</w:t>
            </w:r>
          </w:p>
        </w:tc>
      </w:tr>
      <w:tr w:rsidR="00226EFF" w:rsidRPr="0099478A" w14:paraId="5CEDAC2D" w14:textId="77777777" w:rsidTr="00307DA9">
        <w:tc>
          <w:tcPr>
            <w:tcW w:w="9016" w:type="dxa"/>
            <w:gridSpan w:val="6"/>
          </w:tcPr>
          <w:p w14:paraId="3F8498FB" w14:textId="77777777" w:rsidR="00226EFF" w:rsidRPr="0099478A" w:rsidRDefault="00226EFF" w:rsidP="00307DA9">
            <w:pPr>
              <w:spacing w:before="60" w:after="60"/>
              <w:rPr>
                <w:color w:val="auto"/>
                <w:sz w:val="22"/>
                <w:szCs w:val="22"/>
              </w:rPr>
            </w:pPr>
            <w:r w:rsidRPr="0099478A">
              <w:rPr>
                <w:b/>
                <w:color w:val="auto"/>
                <w:sz w:val="22"/>
                <w:szCs w:val="22"/>
              </w:rPr>
              <w:t>Investigations</w:t>
            </w:r>
          </w:p>
        </w:tc>
      </w:tr>
      <w:tr w:rsidR="00226EFF" w:rsidRPr="0099478A" w14:paraId="271EB7D2" w14:textId="77777777" w:rsidTr="00226EFF">
        <w:tc>
          <w:tcPr>
            <w:tcW w:w="2457" w:type="dxa"/>
          </w:tcPr>
          <w:p w14:paraId="24F30FC5" w14:textId="77777777" w:rsidR="00226EFF" w:rsidRPr="0099478A" w:rsidRDefault="00226EFF" w:rsidP="00307DA9">
            <w:pPr>
              <w:spacing w:before="60" w:after="60"/>
              <w:rPr>
                <w:color w:val="auto"/>
                <w:sz w:val="22"/>
                <w:szCs w:val="22"/>
              </w:rPr>
            </w:pPr>
            <w:r w:rsidRPr="0099478A">
              <w:rPr>
                <w:color w:val="auto"/>
                <w:sz w:val="22"/>
                <w:szCs w:val="22"/>
              </w:rPr>
              <w:t>White blood cell count decreased</w:t>
            </w:r>
          </w:p>
        </w:tc>
        <w:tc>
          <w:tcPr>
            <w:tcW w:w="1103" w:type="dxa"/>
          </w:tcPr>
          <w:p w14:paraId="1BB0AEBE" w14:textId="083BA5AD" w:rsidR="00226EFF" w:rsidRPr="0099478A" w:rsidRDefault="0098625E" w:rsidP="00307DA9">
            <w:pPr>
              <w:spacing w:before="60" w:after="60"/>
              <w:rPr>
                <w:color w:val="auto"/>
                <w:sz w:val="22"/>
                <w:szCs w:val="22"/>
              </w:rPr>
            </w:pPr>
            <w:r w:rsidRPr="0099478A">
              <w:rPr>
                <w:color w:val="auto"/>
                <w:sz w:val="22"/>
                <w:szCs w:val="22"/>
              </w:rPr>
              <w:t>0</w:t>
            </w:r>
          </w:p>
        </w:tc>
        <w:tc>
          <w:tcPr>
            <w:tcW w:w="1243" w:type="dxa"/>
          </w:tcPr>
          <w:p w14:paraId="642C6F03" w14:textId="50D4A816" w:rsidR="00226EFF" w:rsidRPr="0099478A" w:rsidRDefault="0098625E" w:rsidP="00307DA9">
            <w:pPr>
              <w:spacing w:before="60" w:after="60"/>
              <w:rPr>
                <w:color w:val="auto"/>
                <w:sz w:val="22"/>
                <w:szCs w:val="22"/>
              </w:rPr>
            </w:pPr>
            <w:r w:rsidRPr="0099478A">
              <w:rPr>
                <w:color w:val="auto"/>
                <w:sz w:val="22"/>
                <w:szCs w:val="22"/>
              </w:rPr>
              <w:t>7 (11.1%)</w:t>
            </w:r>
          </w:p>
        </w:tc>
        <w:tc>
          <w:tcPr>
            <w:tcW w:w="1167" w:type="dxa"/>
          </w:tcPr>
          <w:p w14:paraId="17ABA494" w14:textId="09AB5EBE" w:rsidR="00226EFF" w:rsidRPr="0099478A" w:rsidRDefault="0098625E" w:rsidP="00307DA9">
            <w:pPr>
              <w:spacing w:before="60" w:after="60"/>
              <w:rPr>
                <w:color w:val="auto"/>
                <w:sz w:val="22"/>
                <w:szCs w:val="22"/>
              </w:rPr>
            </w:pPr>
            <w:r w:rsidRPr="0099478A">
              <w:rPr>
                <w:color w:val="auto"/>
                <w:sz w:val="22"/>
                <w:szCs w:val="22"/>
              </w:rPr>
              <w:t>0</w:t>
            </w:r>
          </w:p>
        </w:tc>
        <w:tc>
          <w:tcPr>
            <w:tcW w:w="1387" w:type="dxa"/>
          </w:tcPr>
          <w:p w14:paraId="2ED5771E" w14:textId="41C97841" w:rsidR="00226EFF" w:rsidRPr="0099478A" w:rsidRDefault="0098625E" w:rsidP="00307DA9">
            <w:pPr>
              <w:spacing w:before="60" w:after="60"/>
              <w:rPr>
                <w:color w:val="auto"/>
                <w:sz w:val="22"/>
                <w:szCs w:val="22"/>
              </w:rPr>
            </w:pPr>
            <w:r w:rsidRPr="0099478A">
              <w:rPr>
                <w:color w:val="auto"/>
                <w:sz w:val="22"/>
                <w:szCs w:val="22"/>
              </w:rPr>
              <w:t>9.55</w:t>
            </w:r>
          </w:p>
        </w:tc>
        <w:tc>
          <w:tcPr>
            <w:tcW w:w="1659" w:type="dxa"/>
          </w:tcPr>
          <w:p w14:paraId="4E4779F6" w14:textId="0FC425A5" w:rsidR="00226EFF" w:rsidRPr="0099478A" w:rsidRDefault="0098625E" w:rsidP="00307DA9">
            <w:pPr>
              <w:spacing w:before="60" w:after="60"/>
              <w:rPr>
                <w:color w:val="auto"/>
                <w:sz w:val="22"/>
                <w:szCs w:val="22"/>
              </w:rPr>
            </w:pPr>
            <w:r w:rsidRPr="0099478A">
              <w:rPr>
                <w:color w:val="auto"/>
                <w:sz w:val="22"/>
                <w:szCs w:val="22"/>
              </w:rPr>
              <w:t>Very common</w:t>
            </w:r>
          </w:p>
        </w:tc>
      </w:tr>
      <w:tr w:rsidR="00226EFF" w:rsidRPr="0099478A" w14:paraId="02291615" w14:textId="77777777" w:rsidTr="00226EFF">
        <w:tc>
          <w:tcPr>
            <w:tcW w:w="2457" w:type="dxa"/>
          </w:tcPr>
          <w:p w14:paraId="607ECAE1" w14:textId="77777777" w:rsidR="00226EFF" w:rsidRPr="0099478A" w:rsidRDefault="00226EFF" w:rsidP="00307DA9">
            <w:pPr>
              <w:spacing w:before="60" w:after="60"/>
              <w:rPr>
                <w:color w:val="auto"/>
                <w:sz w:val="22"/>
                <w:szCs w:val="22"/>
              </w:rPr>
            </w:pPr>
            <w:r w:rsidRPr="0099478A">
              <w:rPr>
                <w:color w:val="auto"/>
                <w:sz w:val="22"/>
                <w:szCs w:val="22"/>
              </w:rPr>
              <w:t>Blood bilirubin increased</w:t>
            </w:r>
          </w:p>
        </w:tc>
        <w:tc>
          <w:tcPr>
            <w:tcW w:w="1103" w:type="dxa"/>
          </w:tcPr>
          <w:p w14:paraId="7B3A0089" w14:textId="674555F3" w:rsidR="00226EFF" w:rsidRPr="0099478A" w:rsidRDefault="0098625E" w:rsidP="00307DA9">
            <w:pPr>
              <w:spacing w:before="60" w:after="60"/>
              <w:rPr>
                <w:color w:val="auto"/>
                <w:sz w:val="22"/>
                <w:szCs w:val="22"/>
              </w:rPr>
            </w:pPr>
            <w:r w:rsidRPr="0099478A">
              <w:rPr>
                <w:color w:val="auto"/>
                <w:sz w:val="22"/>
                <w:szCs w:val="22"/>
              </w:rPr>
              <w:t>0</w:t>
            </w:r>
          </w:p>
        </w:tc>
        <w:tc>
          <w:tcPr>
            <w:tcW w:w="1243" w:type="dxa"/>
          </w:tcPr>
          <w:p w14:paraId="7B339010" w14:textId="2FBDFFF9" w:rsidR="00226EFF" w:rsidRPr="0099478A" w:rsidRDefault="0098625E" w:rsidP="00307DA9">
            <w:pPr>
              <w:spacing w:before="60" w:after="60"/>
              <w:rPr>
                <w:color w:val="auto"/>
                <w:sz w:val="22"/>
                <w:szCs w:val="22"/>
              </w:rPr>
            </w:pPr>
            <w:r w:rsidRPr="0099478A">
              <w:rPr>
                <w:color w:val="auto"/>
                <w:sz w:val="22"/>
                <w:szCs w:val="22"/>
              </w:rPr>
              <w:t>1 (1.6%)</w:t>
            </w:r>
          </w:p>
        </w:tc>
        <w:tc>
          <w:tcPr>
            <w:tcW w:w="1167" w:type="dxa"/>
          </w:tcPr>
          <w:p w14:paraId="042A9F3E" w14:textId="6B52D37D" w:rsidR="00226EFF" w:rsidRPr="0099478A" w:rsidRDefault="0098625E" w:rsidP="00307DA9">
            <w:pPr>
              <w:spacing w:before="60" w:after="60"/>
              <w:rPr>
                <w:color w:val="auto"/>
                <w:sz w:val="22"/>
                <w:szCs w:val="22"/>
              </w:rPr>
            </w:pPr>
            <w:r w:rsidRPr="0099478A">
              <w:rPr>
                <w:color w:val="auto"/>
                <w:sz w:val="22"/>
                <w:szCs w:val="22"/>
              </w:rPr>
              <w:t>0</w:t>
            </w:r>
          </w:p>
        </w:tc>
        <w:tc>
          <w:tcPr>
            <w:tcW w:w="1387" w:type="dxa"/>
          </w:tcPr>
          <w:p w14:paraId="722BB083" w14:textId="41E82C2A" w:rsidR="00226EFF" w:rsidRPr="0099478A" w:rsidRDefault="0098625E" w:rsidP="00307DA9">
            <w:pPr>
              <w:spacing w:before="60" w:after="60"/>
              <w:rPr>
                <w:color w:val="auto"/>
                <w:sz w:val="22"/>
                <w:szCs w:val="22"/>
              </w:rPr>
            </w:pPr>
            <w:r w:rsidRPr="0099478A">
              <w:rPr>
                <w:color w:val="auto"/>
                <w:sz w:val="22"/>
                <w:szCs w:val="22"/>
              </w:rPr>
              <w:t>0.87</w:t>
            </w:r>
          </w:p>
        </w:tc>
        <w:tc>
          <w:tcPr>
            <w:tcW w:w="1659" w:type="dxa"/>
          </w:tcPr>
          <w:p w14:paraId="111F8B20" w14:textId="762DE603" w:rsidR="00226EFF" w:rsidRPr="0099478A" w:rsidRDefault="0098625E" w:rsidP="00307DA9">
            <w:pPr>
              <w:spacing w:before="60" w:after="60"/>
              <w:rPr>
                <w:color w:val="auto"/>
                <w:sz w:val="22"/>
                <w:szCs w:val="22"/>
              </w:rPr>
            </w:pPr>
            <w:r w:rsidRPr="0099478A">
              <w:rPr>
                <w:color w:val="auto"/>
                <w:sz w:val="22"/>
                <w:szCs w:val="22"/>
              </w:rPr>
              <w:t>Common</w:t>
            </w:r>
          </w:p>
        </w:tc>
      </w:tr>
    </w:tbl>
    <w:p w14:paraId="4A64D90D" w14:textId="2F138177" w:rsidR="00607998" w:rsidRPr="002C509D" w:rsidRDefault="00D353E4" w:rsidP="00073752">
      <w:pPr>
        <w:rPr>
          <w:color w:val="auto"/>
          <w:sz w:val="20"/>
          <w:szCs w:val="20"/>
        </w:rPr>
      </w:pPr>
      <w:r w:rsidRPr="00F63D15">
        <w:rPr>
          <w:color w:val="auto"/>
          <w:sz w:val="20"/>
          <w:szCs w:val="20"/>
          <w:vertAlign w:val="superscript"/>
        </w:rPr>
        <w:t xml:space="preserve">* </w:t>
      </w:r>
      <w:r w:rsidR="002C509D" w:rsidRPr="00F63D15">
        <w:rPr>
          <w:color w:val="auto"/>
          <w:sz w:val="20"/>
          <w:szCs w:val="20"/>
        </w:rPr>
        <w:t xml:space="preserve">Defined based on medical review of all AEs which were ≥ 2% higher proportion of patients and ≥ 2 events/100 PY higher in the </w:t>
      </w:r>
      <w:proofErr w:type="spellStart"/>
      <w:r w:rsidR="002C509D" w:rsidRPr="00F63D15">
        <w:rPr>
          <w:color w:val="auto"/>
          <w:sz w:val="20"/>
          <w:szCs w:val="20"/>
        </w:rPr>
        <w:t>Enspryng</w:t>
      </w:r>
      <w:proofErr w:type="spellEnd"/>
      <w:r w:rsidR="002C509D" w:rsidRPr="00F63D15">
        <w:rPr>
          <w:color w:val="auto"/>
          <w:sz w:val="20"/>
          <w:szCs w:val="20"/>
        </w:rPr>
        <w:t xml:space="preserve"> than in the control group in pooled BN40898 and BN40900 data</w:t>
      </w:r>
    </w:p>
    <w:p w14:paraId="595656A8" w14:textId="3C98BBAE" w:rsidR="00073752" w:rsidRPr="00B71DF7" w:rsidRDefault="00073752" w:rsidP="00073752">
      <w:pPr>
        <w:rPr>
          <w:color w:val="auto"/>
          <w:sz w:val="20"/>
          <w:szCs w:val="20"/>
        </w:rPr>
      </w:pPr>
      <w:r w:rsidRPr="00B71DF7">
        <w:rPr>
          <w:color w:val="auto"/>
          <w:sz w:val="20"/>
          <w:szCs w:val="20"/>
        </w:rPr>
        <w:t>AE = adverse events; PY = patient years</w:t>
      </w:r>
    </w:p>
    <w:p w14:paraId="3889B83A" w14:textId="04E50C35" w:rsidR="005C4066" w:rsidRDefault="005C4066" w:rsidP="00670494">
      <w:pPr>
        <w:rPr>
          <w:color w:val="auto"/>
        </w:rPr>
      </w:pPr>
    </w:p>
    <w:p w14:paraId="621211F6" w14:textId="3BAD0AE7" w:rsidR="003E065E" w:rsidRDefault="003E065E" w:rsidP="00670494">
      <w:pPr>
        <w:rPr>
          <w:color w:val="auto"/>
        </w:rPr>
      </w:pPr>
    </w:p>
    <w:p w14:paraId="788804EC" w14:textId="6050E325" w:rsidR="003E065E" w:rsidRDefault="003E065E" w:rsidP="00670494">
      <w:pPr>
        <w:rPr>
          <w:color w:val="auto"/>
        </w:rPr>
      </w:pPr>
    </w:p>
    <w:p w14:paraId="1A26DEAE" w14:textId="603983B0" w:rsidR="00622F00" w:rsidRDefault="00622F00" w:rsidP="00670494">
      <w:pPr>
        <w:rPr>
          <w:color w:val="auto"/>
        </w:rPr>
      </w:pPr>
    </w:p>
    <w:p w14:paraId="197DE5E9" w14:textId="77777777" w:rsidR="00622F00" w:rsidRPr="0099478A" w:rsidRDefault="00622F00" w:rsidP="00670494">
      <w:pPr>
        <w:rPr>
          <w:color w:val="auto"/>
        </w:rPr>
      </w:pPr>
    </w:p>
    <w:p w14:paraId="43098EE0" w14:textId="4CE96407" w:rsidR="00670494" w:rsidRPr="0099478A" w:rsidRDefault="00670494" w:rsidP="00670494">
      <w:pPr>
        <w:pStyle w:val="Heading3"/>
        <w:rPr>
          <w:color w:val="auto"/>
        </w:rPr>
      </w:pPr>
      <w:r w:rsidRPr="0099478A">
        <w:rPr>
          <w:color w:val="auto"/>
        </w:rPr>
        <w:lastRenderedPageBreak/>
        <w:t>Description of selected adverse reactions</w:t>
      </w:r>
    </w:p>
    <w:p w14:paraId="5CF0154A" w14:textId="3A669EE0" w:rsidR="006A3076" w:rsidRPr="0099478A" w:rsidRDefault="006A3076" w:rsidP="00670494">
      <w:pPr>
        <w:pStyle w:val="Heading4"/>
        <w:rPr>
          <w:color w:val="auto"/>
        </w:rPr>
      </w:pPr>
      <w:r w:rsidRPr="0099478A">
        <w:rPr>
          <w:color w:val="auto"/>
        </w:rPr>
        <w:t xml:space="preserve">Injection-related </w:t>
      </w:r>
      <w:r w:rsidR="00506B83" w:rsidRPr="0099478A">
        <w:rPr>
          <w:color w:val="auto"/>
        </w:rPr>
        <w:t>r</w:t>
      </w:r>
      <w:r w:rsidRPr="0099478A">
        <w:rPr>
          <w:color w:val="auto"/>
        </w:rPr>
        <w:t>eactions</w:t>
      </w:r>
    </w:p>
    <w:p w14:paraId="4E442479" w14:textId="16FDCF77" w:rsidR="006A3076" w:rsidRPr="0099478A" w:rsidRDefault="006A3076" w:rsidP="00506B83">
      <w:pPr>
        <w:rPr>
          <w:color w:val="auto"/>
        </w:rPr>
      </w:pPr>
      <w:r w:rsidRPr="0099478A">
        <w:rPr>
          <w:color w:val="auto"/>
        </w:rPr>
        <w:t xml:space="preserve">Injection-related reactions reported in patients treated with </w:t>
      </w:r>
      <w:proofErr w:type="spellStart"/>
      <w:r w:rsidRPr="0099478A">
        <w:rPr>
          <w:color w:val="auto"/>
        </w:rPr>
        <w:t>E</w:t>
      </w:r>
      <w:r w:rsidR="00506B83" w:rsidRPr="0099478A">
        <w:rPr>
          <w:color w:val="auto"/>
        </w:rPr>
        <w:t>nspryng</w:t>
      </w:r>
      <w:proofErr w:type="spellEnd"/>
      <w:r w:rsidRPr="0099478A">
        <w:rPr>
          <w:color w:val="auto"/>
        </w:rPr>
        <w:t xml:space="preserve"> as monotherapy or in combination with IST were predominantly mild to moderate, and most occurred within 24 hours after injections. The </w:t>
      </w:r>
      <w:proofErr w:type="gramStart"/>
      <w:r w:rsidRPr="0099478A">
        <w:rPr>
          <w:color w:val="auto"/>
        </w:rPr>
        <w:t>most commonly reported</w:t>
      </w:r>
      <w:proofErr w:type="gramEnd"/>
      <w:r w:rsidRPr="0099478A">
        <w:rPr>
          <w:color w:val="auto"/>
        </w:rPr>
        <w:t xml:space="preserve"> systemic symptoms were diarrh</w:t>
      </w:r>
      <w:r w:rsidR="00506B83" w:rsidRPr="0099478A">
        <w:rPr>
          <w:color w:val="auto"/>
        </w:rPr>
        <w:t>o</w:t>
      </w:r>
      <w:r w:rsidRPr="0099478A">
        <w:rPr>
          <w:color w:val="auto"/>
        </w:rPr>
        <w:t xml:space="preserve">ea and headache. The </w:t>
      </w:r>
      <w:proofErr w:type="gramStart"/>
      <w:r w:rsidRPr="0099478A">
        <w:rPr>
          <w:color w:val="auto"/>
        </w:rPr>
        <w:t>most commonly reported</w:t>
      </w:r>
      <w:proofErr w:type="gramEnd"/>
      <w:r w:rsidRPr="0099478A">
        <w:rPr>
          <w:color w:val="auto"/>
        </w:rPr>
        <w:t xml:space="preserve"> local injection site reactions were flushing, erythema, pruritus, rash and pain.</w:t>
      </w:r>
      <w:r w:rsidR="00506B83" w:rsidRPr="0099478A">
        <w:rPr>
          <w:color w:val="auto"/>
        </w:rPr>
        <w:t xml:space="preserve"> None of the injection related reactions required dose interruption or discontinuation.</w:t>
      </w:r>
    </w:p>
    <w:p w14:paraId="1A041058" w14:textId="66E76C43" w:rsidR="000365FD" w:rsidRPr="0099478A" w:rsidRDefault="000365FD" w:rsidP="00670494">
      <w:pPr>
        <w:pStyle w:val="Heading4"/>
        <w:rPr>
          <w:color w:val="auto"/>
        </w:rPr>
      </w:pPr>
      <w:r w:rsidRPr="0099478A">
        <w:rPr>
          <w:color w:val="auto"/>
        </w:rPr>
        <w:t>Infections</w:t>
      </w:r>
    </w:p>
    <w:p w14:paraId="6E032549" w14:textId="0FA31178" w:rsidR="00506B83" w:rsidRPr="0099478A" w:rsidRDefault="00506B83" w:rsidP="00506B83">
      <w:pPr>
        <w:rPr>
          <w:color w:val="auto"/>
        </w:rPr>
      </w:pPr>
      <w:r w:rsidRPr="0099478A">
        <w:rPr>
          <w:color w:val="auto"/>
        </w:rPr>
        <w:t xml:space="preserve">In the </w:t>
      </w:r>
      <w:proofErr w:type="spellStart"/>
      <w:r w:rsidRPr="0099478A">
        <w:rPr>
          <w:color w:val="auto"/>
        </w:rPr>
        <w:t>Enspryng</w:t>
      </w:r>
      <w:proofErr w:type="spellEnd"/>
      <w:r w:rsidRPr="0099478A">
        <w:rPr>
          <w:color w:val="auto"/>
        </w:rPr>
        <w:t xml:space="preserve"> monotherapy study, the rate of infections was lower in patients treated with </w:t>
      </w:r>
      <w:proofErr w:type="spellStart"/>
      <w:r w:rsidRPr="0099478A">
        <w:rPr>
          <w:color w:val="auto"/>
        </w:rPr>
        <w:t>Enspryng</w:t>
      </w:r>
      <w:proofErr w:type="spellEnd"/>
      <w:r w:rsidRPr="0099478A">
        <w:rPr>
          <w:color w:val="auto"/>
        </w:rPr>
        <w:t xml:space="preserve"> (99.8 events/100 PY [95% CI: 82.4, 119.8]) compared with patients receiving placebo (162.6 events/100 PY [95% CI: 125.8, 206.9]). The rate of serious infections was 5.2 events/100 PY (95% CI: 1.9, 11.3) in patients treated with </w:t>
      </w:r>
      <w:proofErr w:type="spellStart"/>
      <w:r w:rsidRPr="0099478A">
        <w:rPr>
          <w:color w:val="auto"/>
        </w:rPr>
        <w:t>Enspryng</w:t>
      </w:r>
      <w:proofErr w:type="spellEnd"/>
      <w:r w:rsidRPr="0099478A">
        <w:rPr>
          <w:color w:val="auto"/>
        </w:rPr>
        <w:t xml:space="preserve"> compared with 9.9 events/100 PY (95% CI: 2.7, 25.2) in patients receiving placebo.</w:t>
      </w:r>
    </w:p>
    <w:p w14:paraId="3E49F621" w14:textId="77777777" w:rsidR="00506B83" w:rsidRPr="0099478A" w:rsidRDefault="00506B83" w:rsidP="00506B83">
      <w:pPr>
        <w:rPr>
          <w:color w:val="auto"/>
        </w:rPr>
      </w:pPr>
    </w:p>
    <w:p w14:paraId="515263F8" w14:textId="367192B3" w:rsidR="00825955" w:rsidRDefault="00506B83" w:rsidP="00506B83">
      <w:pPr>
        <w:rPr>
          <w:color w:val="auto"/>
        </w:rPr>
      </w:pPr>
      <w:r w:rsidRPr="0099478A">
        <w:rPr>
          <w:color w:val="auto"/>
        </w:rPr>
        <w:t xml:space="preserve">In patients treated with </w:t>
      </w:r>
      <w:proofErr w:type="spellStart"/>
      <w:r w:rsidRPr="0099478A">
        <w:rPr>
          <w:color w:val="auto"/>
        </w:rPr>
        <w:t>Enspryng</w:t>
      </w:r>
      <w:proofErr w:type="spellEnd"/>
      <w:r w:rsidRPr="0099478A">
        <w:rPr>
          <w:color w:val="auto"/>
        </w:rPr>
        <w:t xml:space="preserve"> in combination with IST, the rate of infections was 132.5 events/100 PY (95% CI: 108.2, 160.5) compared with 149.6 events/100 PY (95% CI: 120.1, 184.1) in patients receiving placebo in combination with IST; the rate of serious infections was 2.6 events/100 PY (95% CI: 0.3, 9.2) compared with 5.0 events/100 PY (95% CI: 1.0, 14.7) in patients receiving placebo in combination with IST.</w:t>
      </w:r>
    </w:p>
    <w:p w14:paraId="2D3B9104" w14:textId="77777777" w:rsidR="00825955" w:rsidRPr="0099478A" w:rsidRDefault="00825955" w:rsidP="00825955">
      <w:pPr>
        <w:pStyle w:val="Heading4"/>
        <w:rPr>
          <w:color w:val="auto"/>
        </w:rPr>
      </w:pPr>
      <w:r w:rsidRPr="0099478A">
        <w:rPr>
          <w:color w:val="auto"/>
        </w:rPr>
        <w:t>Body weight increase</w:t>
      </w:r>
    </w:p>
    <w:p w14:paraId="17E70A11" w14:textId="715D418D" w:rsidR="00607998" w:rsidRDefault="00825955" w:rsidP="00825955">
      <w:pPr>
        <w:rPr>
          <w:color w:val="auto"/>
        </w:rPr>
      </w:pPr>
      <w:r w:rsidRPr="0099478A">
        <w:rPr>
          <w:color w:val="auto"/>
        </w:rPr>
        <w:t xml:space="preserve">In the double-blinded treatment period, body weight increase ≥15% from baseline </w:t>
      </w:r>
      <w:proofErr w:type="gramStart"/>
      <w:r w:rsidRPr="0099478A">
        <w:rPr>
          <w:color w:val="auto"/>
        </w:rPr>
        <w:t>were</w:t>
      </w:r>
      <w:proofErr w:type="gramEnd"/>
      <w:r w:rsidRPr="0099478A">
        <w:rPr>
          <w:color w:val="auto"/>
        </w:rPr>
        <w:t xml:space="preserve"> observed in </w:t>
      </w:r>
      <w:r w:rsidR="005611D0">
        <w:rPr>
          <w:color w:val="auto"/>
        </w:rPr>
        <w:t>3.8</w:t>
      </w:r>
      <w:r w:rsidRPr="0099478A">
        <w:rPr>
          <w:color w:val="auto"/>
        </w:rPr>
        <w:t xml:space="preserve">% of patients treated with </w:t>
      </w:r>
      <w:proofErr w:type="spellStart"/>
      <w:r w:rsidRPr="0099478A">
        <w:rPr>
          <w:color w:val="auto"/>
        </w:rPr>
        <w:t>Enspryng</w:t>
      </w:r>
      <w:proofErr w:type="spellEnd"/>
      <w:r w:rsidRPr="0099478A">
        <w:rPr>
          <w:color w:val="auto"/>
        </w:rPr>
        <w:t xml:space="preserve"> (monotherapy or in combination with IST) as compared with 2.7% of patients receiving placebo (or</w:t>
      </w:r>
      <w:r w:rsidR="00307DA9" w:rsidRPr="0099478A">
        <w:rPr>
          <w:color w:val="auto"/>
        </w:rPr>
        <w:t xml:space="preserve"> placebo</w:t>
      </w:r>
      <w:r w:rsidRPr="0099478A">
        <w:rPr>
          <w:color w:val="auto"/>
        </w:rPr>
        <w:t xml:space="preserve"> plus IST).</w:t>
      </w:r>
    </w:p>
    <w:p w14:paraId="43C2753F" w14:textId="3AA9B420" w:rsidR="00D353E4" w:rsidRPr="00F63D15" w:rsidRDefault="00D353E4" w:rsidP="00D353E4">
      <w:pPr>
        <w:pStyle w:val="Heading4"/>
        <w:rPr>
          <w:color w:val="auto"/>
        </w:rPr>
      </w:pPr>
      <w:r w:rsidRPr="00F63D15">
        <w:rPr>
          <w:color w:val="auto"/>
        </w:rPr>
        <w:t>Paediatrics</w:t>
      </w:r>
    </w:p>
    <w:p w14:paraId="30C016EB" w14:textId="70F648D5" w:rsidR="00CE7F13" w:rsidRPr="00304FFD" w:rsidRDefault="00D353E4" w:rsidP="00607998">
      <w:pPr>
        <w:rPr>
          <w:color w:val="auto"/>
        </w:rPr>
      </w:pPr>
      <w:r w:rsidRPr="00F63D15">
        <w:rPr>
          <w:color w:val="auto"/>
        </w:rPr>
        <w:t xml:space="preserve">The safety of </w:t>
      </w:r>
      <w:proofErr w:type="spellStart"/>
      <w:r w:rsidRPr="00F63D15">
        <w:rPr>
          <w:color w:val="auto"/>
        </w:rPr>
        <w:t>E</w:t>
      </w:r>
      <w:r w:rsidR="00945B73" w:rsidRPr="00F63D15">
        <w:rPr>
          <w:color w:val="auto"/>
        </w:rPr>
        <w:t>nspryng</w:t>
      </w:r>
      <w:proofErr w:type="spellEnd"/>
      <w:r w:rsidRPr="00F63D15">
        <w:rPr>
          <w:color w:val="auto"/>
        </w:rPr>
        <w:t xml:space="preserve"> has been studied in a limited number of paediatric patients’ ≥12 years of age. Safety results were consistent with those in adults.</w:t>
      </w:r>
    </w:p>
    <w:p w14:paraId="179739FD" w14:textId="71B99C08" w:rsidR="000365FD" w:rsidRPr="0099478A" w:rsidRDefault="000365FD" w:rsidP="00506B83">
      <w:pPr>
        <w:pStyle w:val="Heading4"/>
        <w:rPr>
          <w:color w:val="auto"/>
        </w:rPr>
      </w:pPr>
      <w:r w:rsidRPr="0099478A">
        <w:rPr>
          <w:color w:val="auto"/>
        </w:rPr>
        <w:t>Laboratory Abnormalities</w:t>
      </w:r>
    </w:p>
    <w:p w14:paraId="1F986964" w14:textId="7C7A3861" w:rsidR="000365FD" w:rsidRPr="0099478A" w:rsidRDefault="0005554E" w:rsidP="00670494">
      <w:pPr>
        <w:pStyle w:val="Heading5"/>
        <w:rPr>
          <w:color w:val="auto"/>
        </w:rPr>
      </w:pPr>
      <w:r w:rsidRPr="0099478A">
        <w:rPr>
          <w:color w:val="auto"/>
        </w:rPr>
        <w:t>N</w:t>
      </w:r>
      <w:r w:rsidR="000365FD" w:rsidRPr="0099478A">
        <w:rPr>
          <w:color w:val="auto"/>
        </w:rPr>
        <w:t>eutrophil</w:t>
      </w:r>
      <w:r w:rsidRPr="0099478A">
        <w:rPr>
          <w:color w:val="auto"/>
        </w:rPr>
        <w:t xml:space="preserve">s </w:t>
      </w:r>
    </w:p>
    <w:p w14:paraId="6D97ACCD" w14:textId="5FEDFD78" w:rsidR="000365FD" w:rsidRPr="0099478A" w:rsidRDefault="000365FD" w:rsidP="000365FD">
      <w:pPr>
        <w:rPr>
          <w:color w:val="auto"/>
        </w:rPr>
      </w:pPr>
      <w:r w:rsidRPr="0099478A">
        <w:rPr>
          <w:color w:val="auto"/>
        </w:rPr>
        <w:t xml:space="preserve">In the double-blinded treatment period, decreased neutrophils were observed in 31.7% of patients treated with </w:t>
      </w:r>
      <w:proofErr w:type="spellStart"/>
      <w:r w:rsidRPr="0099478A">
        <w:rPr>
          <w:color w:val="auto"/>
        </w:rPr>
        <w:t>E</w:t>
      </w:r>
      <w:r w:rsidR="00506B83" w:rsidRPr="0099478A">
        <w:rPr>
          <w:color w:val="auto"/>
        </w:rPr>
        <w:t>nspryng</w:t>
      </w:r>
      <w:proofErr w:type="spellEnd"/>
      <w:r w:rsidRPr="0099478A">
        <w:rPr>
          <w:color w:val="auto"/>
        </w:rPr>
        <w:t xml:space="preserve"> (monotherapy or in combination with IST) compared with 21.6% of patients receiving placebo (or </w:t>
      </w:r>
      <w:r w:rsidR="00506B83" w:rsidRPr="0099478A">
        <w:rPr>
          <w:color w:val="auto"/>
        </w:rPr>
        <w:t>placebo plus</w:t>
      </w:r>
      <w:r w:rsidRPr="0099478A">
        <w:rPr>
          <w:color w:val="auto"/>
        </w:rPr>
        <w:t xml:space="preserve"> IST). </w:t>
      </w:r>
      <w:proofErr w:type="gramStart"/>
      <w:r w:rsidRPr="0099478A">
        <w:rPr>
          <w:color w:val="auto"/>
        </w:rPr>
        <w:t>The majority of</w:t>
      </w:r>
      <w:proofErr w:type="gramEnd"/>
      <w:r w:rsidRPr="0099478A">
        <w:rPr>
          <w:color w:val="auto"/>
        </w:rPr>
        <w:t xml:space="preserve"> neutrophil decreases were transient or intermittent.</w:t>
      </w:r>
    </w:p>
    <w:p w14:paraId="5415ACBB" w14:textId="77777777" w:rsidR="000365FD" w:rsidRPr="0099478A" w:rsidRDefault="000365FD" w:rsidP="000365FD">
      <w:pPr>
        <w:rPr>
          <w:color w:val="auto"/>
        </w:rPr>
      </w:pPr>
    </w:p>
    <w:p w14:paraId="4E4C0E69" w14:textId="34F76650" w:rsidR="000365FD" w:rsidRPr="0099478A" w:rsidRDefault="000365FD" w:rsidP="00506B83">
      <w:pPr>
        <w:rPr>
          <w:color w:val="auto"/>
        </w:rPr>
      </w:pPr>
      <w:r w:rsidRPr="0099478A">
        <w:rPr>
          <w:color w:val="auto"/>
        </w:rPr>
        <w:t xml:space="preserve">Of the patients in the </w:t>
      </w:r>
      <w:proofErr w:type="spellStart"/>
      <w:r w:rsidRPr="0099478A">
        <w:rPr>
          <w:color w:val="auto"/>
        </w:rPr>
        <w:t>E</w:t>
      </w:r>
      <w:r w:rsidR="00506B83" w:rsidRPr="0099478A">
        <w:rPr>
          <w:color w:val="auto"/>
        </w:rPr>
        <w:t>nspryng</w:t>
      </w:r>
      <w:proofErr w:type="spellEnd"/>
      <w:r w:rsidRPr="0099478A">
        <w:rPr>
          <w:color w:val="auto"/>
        </w:rPr>
        <w:t xml:space="preserve"> group, 9.6% had neutrophils below 1 x 10</w:t>
      </w:r>
      <w:r w:rsidRPr="0099478A">
        <w:rPr>
          <w:color w:val="auto"/>
          <w:vertAlign w:val="superscript"/>
        </w:rPr>
        <w:t>9</w:t>
      </w:r>
      <w:r w:rsidRPr="0099478A">
        <w:rPr>
          <w:color w:val="auto"/>
        </w:rPr>
        <w:t xml:space="preserve">/L compared with 5.4% in placebo or placebo </w:t>
      </w:r>
      <w:r w:rsidR="00506B83" w:rsidRPr="0099478A">
        <w:rPr>
          <w:color w:val="auto"/>
        </w:rPr>
        <w:t>plus</w:t>
      </w:r>
      <w:r w:rsidRPr="0099478A">
        <w:rPr>
          <w:color w:val="auto"/>
        </w:rPr>
        <w:t xml:space="preserve"> IST</w:t>
      </w:r>
      <w:r w:rsidR="00506B83" w:rsidRPr="0099478A">
        <w:rPr>
          <w:color w:val="auto"/>
        </w:rPr>
        <w:t xml:space="preserve"> groups. These neutrophil levels were not temporally associated with any serious infections.</w:t>
      </w:r>
    </w:p>
    <w:p w14:paraId="200E9ACA" w14:textId="0742E329" w:rsidR="000365FD" w:rsidRPr="0099478A" w:rsidRDefault="0005554E" w:rsidP="00506B83">
      <w:pPr>
        <w:pStyle w:val="Heading5"/>
        <w:rPr>
          <w:color w:val="auto"/>
        </w:rPr>
      </w:pPr>
      <w:r w:rsidRPr="0099478A">
        <w:rPr>
          <w:color w:val="auto"/>
        </w:rPr>
        <w:t>P</w:t>
      </w:r>
      <w:r w:rsidR="000365FD" w:rsidRPr="0099478A">
        <w:rPr>
          <w:color w:val="auto"/>
        </w:rPr>
        <w:t>latelet</w:t>
      </w:r>
      <w:r w:rsidRPr="0099478A">
        <w:rPr>
          <w:color w:val="auto"/>
        </w:rPr>
        <w:t>s</w:t>
      </w:r>
      <w:r w:rsidR="000365FD" w:rsidRPr="0099478A">
        <w:rPr>
          <w:color w:val="auto"/>
        </w:rPr>
        <w:t xml:space="preserve"> count</w:t>
      </w:r>
    </w:p>
    <w:p w14:paraId="0B2B6F81" w14:textId="7217120B" w:rsidR="000365FD" w:rsidRPr="0099478A" w:rsidRDefault="000365FD" w:rsidP="000365FD">
      <w:pPr>
        <w:rPr>
          <w:color w:val="auto"/>
        </w:rPr>
      </w:pPr>
      <w:r w:rsidRPr="0099478A">
        <w:rPr>
          <w:color w:val="auto"/>
        </w:rPr>
        <w:t xml:space="preserve">In the double-blinded treatment period, decreases in platelet counts occurred in 24% of patients on </w:t>
      </w:r>
      <w:proofErr w:type="spellStart"/>
      <w:r w:rsidRPr="0099478A">
        <w:rPr>
          <w:color w:val="auto"/>
        </w:rPr>
        <w:t>E</w:t>
      </w:r>
      <w:r w:rsidR="00506B83" w:rsidRPr="0099478A">
        <w:rPr>
          <w:color w:val="auto"/>
        </w:rPr>
        <w:t>nspryng</w:t>
      </w:r>
      <w:proofErr w:type="spellEnd"/>
      <w:r w:rsidRPr="0099478A">
        <w:rPr>
          <w:color w:val="auto"/>
        </w:rPr>
        <w:t xml:space="preserve"> (monotherapy or in combination with IST) compared with 9.5% of patients receiving placebo or placebo </w:t>
      </w:r>
      <w:r w:rsidR="00506B83" w:rsidRPr="0099478A">
        <w:rPr>
          <w:color w:val="auto"/>
        </w:rPr>
        <w:t>plus</w:t>
      </w:r>
      <w:r w:rsidRPr="0099478A">
        <w:rPr>
          <w:color w:val="auto"/>
        </w:rPr>
        <w:t xml:space="preserve"> IST. The decreased platelet counts were not associated with bleeding events.</w:t>
      </w:r>
    </w:p>
    <w:p w14:paraId="41FCCA92" w14:textId="77777777" w:rsidR="000365FD" w:rsidRPr="0099478A" w:rsidRDefault="000365FD" w:rsidP="000365FD">
      <w:pPr>
        <w:rPr>
          <w:color w:val="auto"/>
        </w:rPr>
      </w:pPr>
    </w:p>
    <w:p w14:paraId="1C61642F" w14:textId="287595B3" w:rsidR="000365FD" w:rsidRPr="0099478A" w:rsidRDefault="000365FD" w:rsidP="000365FD">
      <w:pPr>
        <w:rPr>
          <w:color w:val="auto"/>
        </w:rPr>
      </w:pPr>
      <w:proofErr w:type="gramStart"/>
      <w:r w:rsidRPr="0099478A">
        <w:rPr>
          <w:color w:val="auto"/>
        </w:rPr>
        <w:t>The majority of</w:t>
      </w:r>
      <w:proofErr w:type="gramEnd"/>
      <w:r w:rsidRPr="0099478A">
        <w:rPr>
          <w:color w:val="auto"/>
        </w:rPr>
        <w:t xml:space="preserve"> the decreased platelets were transient and not below 75× 10</w:t>
      </w:r>
      <w:r w:rsidRPr="0099478A">
        <w:rPr>
          <w:color w:val="auto"/>
          <w:vertAlign w:val="superscript"/>
        </w:rPr>
        <w:t>9</w:t>
      </w:r>
      <w:r w:rsidRPr="0099478A">
        <w:rPr>
          <w:color w:val="auto"/>
        </w:rPr>
        <w:t>/L. None of the</w:t>
      </w:r>
    </w:p>
    <w:p w14:paraId="5F4D1B04" w14:textId="77777777" w:rsidR="000365FD" w:rsidRPr="0099478A" w:rsidRDefault="000365FD" w:rsidP="000365FD">
      <w:pPr>
        <w:rPr>
          <w:color w:val="auto"/>
        </w:rPr>
      </w:pPr>
      <w:r w:rsidRPr="0099478A">
        <w:rPr>
          <w:color w:val="auto"/>
        </w:rPr>
        <w:t>patients had a decrease in platelet count to ≤50 × 10</w:t>
      </w:r>
      <w:r w:rsidRPr="0099478A">
        <w:rPr>
          <w:color w:val="auto"/>
          <w:vertAlign w:val="superscript"/>
        </w:rPr>
        <w:t>9</w:t>
      </w:r>
      <w:r w:rsidRPr="0099478A">
        <w:rPr>
          <w:color w:val="auto"/>
        </w:rPr>
        <w:t>/L.</w:t>
      </w:r>
    </w:p>
    <w:p w14:paraId="2C124E48" w14:textId="463270A7" w:rsidR="000365FD" w:rsidRPr="0099478A" w:rsidRDefault="0005554E" w:rsidP="00506B83">
      <w:pPr>
        <w:pStyle w:val="Heading5"/>
        <w:rPr>
          <w:color w:val="auto"/>
        </w:rPr>
      </w:pPr>
      <w:r w:rsidRPr="0099478A">
        <w:rPr>
          <w:color w:val="auto"/>
        </w:rPr>
        <w:lastRenderedPageBreak/>
        <w:t>L</w:t>
      </w:r>
      <w:r w:rsidR="000365FD" w:rsidRPr="0099478A">
        <w:rPr>
          <w:color w:val="auto"/>
        </w:rPr>
        <w:t>iver enzymes</w:t>
      </w:r>
    </w:p>
    <w:p w14:paraId="5E560BC7" w14:textId="35D74AE4" w:rsidR="000365FD" w:rsidRDefault="000365FD" w:rsidP="000365FD">
      <w:pPr>
        <w:rPr>
          <w:color w:val="auto"/>
        </w:rPr>
      </w:pPr>
      <w:r w:rsidRPr="0099478A">
        <w:rPr>
          <w:color w:val="auto"/>
        </w:rPr>
        <w:t xml:space="preserve">In the double-blinded treatment period, elevations in ALT or AST occurred in 27.9 % and 18.3% of patients treated with </w:t>
      </w:r>
      <w:proofErr w:type="spellStart"/>
      <w:r w:rsidRPr="0099478A">
        <w:rPr>
          <w:color w:val="auto"/>
        </w:rPr>
        <w:t>E</w:t>
      </w:r>
      <w:r w:rsidR="00CA1A58" w:rsidRPr="0099478A">
        <w:rPr>
          <w:color w:val="auto"/>
        </w:rPr>
        <w:t>nspryng</w:t>
      </w:r>
      <w:proofErr w:type="spellEnd"/>
      <w:r w:rsidRPr="0099478A">
        <w:rPr>
          <w:color w:val="auto"/>
        </w:rPr>
        <w:t xml:space="preserve"> (monotherapy or in combination with IST) respectively, compared with 12.2% and 13.5%</w:t>
      </w:r>
      <w:r w:rsidR="00CA1A58" w:rsidRPr="0099478A">
        <w:rPr>
          <w:color w:val="auto"/>
        </w:rPr>
        <w:t xml:space="preserve"> of patients receiving placebo </w:t>
      </w:r>
      <w:r w:rsidRPr="0099478A">
        <w:rPr>
          <w:color w:val="auto"/>
        </w:rPr>
        <w:t xml:space="preserve">or </w:t>
      </w:r>
      <w:r w:rsidR="00CA1A58" w:rsidRPr="0099478A">
        <w:rPr>
          <w:color w:val="auto"/>
        </w:rPr>
        <w:t>placebo plus</w:t>
      </w:r>
      <w:r w:rsidRPr="0099478A">
        <w:rPr>
          <w:color w:val="auto"/>
        </w:rPr>
        <w:t xml:space="preserve"> IST. </w:t>
      </w:r>
      <w:proofErr w:type="gramStart"/>
      <w:r w:rsidRPr="0099478A">
        <w:rPr>
          <w:color w:val="auto"/>
        </w:rPr>
        <w:t>The majority of</w:t>
      </w:r>
      <w:proofErr w:type="gramEnd"/>
      <w:r w:rsidRPr="0099478A">
        <w:rPr>
          <w:color w:val="auto"/>
        </w:rPr>
        <w:t xml:space="preserve"> the elevations were below 3x ULN, were transient and resolved without interruption of </w:t>
      </w:r>
      <w:proofErr w:type="spellStart"/>
      <w:r w:rsidRPr="0099478A">
        <w:rPr>
          <w:color w:val="auto"/>
        </w:rPr>
        <w:t>E</w:t>
      </w:r>
      <w:r w:rsidR="00CA1A58" w:rsidRPr="0099478A">
        <w:rPr>
          <w:color w:val="auto"/>
        </w:rPr>
        <w:t>nspryng</w:t>
      </w:r>
      <w:proofErr w:type="spellEnd"/>
      <w:r w:rsidRPr="0099478A">
        <w:rPr>
          <w:color w:val="auto"/>
        </w:rPr>
        <w:t>.</w:t>
      </w:r>
    </w:p>
    <w:p w14:paraId="1F60DD3A" w14:textId="77777777" w:rsidR="005611D0" w:rsidRPr="0099478A" w:rsidRDefault="005611D0" w:rsidP="000365FD">
      <w:pPr>
        <w:rPr>
          <w:color w:val="auto"/>
        </w:rPr>
      </w:pPr>
    </w:p>
    <w:p w14:paraId="4422E1CC" w14:textId="63471311" w:rsidR="000365FD" w:rsidRPr="0099478A" w:rsidRDefault="000365FD" w:rsidP="000365FD">
      <w:pPr>
        <w:rPr>
          <w:color w:val="auto"/>
        </w:rPr>
      </w:pPr>
      <w:r w:rsidRPr="0099478A">
        <w:rPr>
          <w:color w:val="auto"/>
        </w:rPr>
        <w:t>Elevations in ALT or AST &gt;3x ULN occurred in 2.9% and 1.9% of patients treated with</w:t>
      </w:r>
    </w:p>
    <w:p w14:paraId="54864DD2" w14:textId="14FE7135" w:rsidR="00CA1A58" w:rsidRPr="0099478A" w:rsidRDefault="000365FD" w:rsidP="000365FD">
      <w:pPr>
        <w:rPr>
          <w:color w:val="auto"/>
        </w:rPr>
      </w:pPr>
      <w:proofErr w:type="spellStart"/>
      <w:r w:rsidRPr="0099478A">
        <w:rPr>
          <w:color w:val="auto"/>
        </w:rPr>
        <w:t>E</w:t>
      </w:r>
      <w:r w:rsidR="00CA1A58" w:rsidRPr="0099478A">
        <w:rPr>
          <w:color w:val="auto"/>
        </w:rPr>
        <w:t>nspryng</w:t>
      </w:r>
      <w:proofErr w:type="spellEnd"/>
      <w:r w:rsidRPr="0099478A">
        <w:rPr>
          <w:color w:val="auto"/>
        </w:rPr>
        <w:t xml:space="preserve"> (monotherapy or in combination with IST) </w:t>
      </w:r>
      <w:proofErr w:type="gramStart"/>
      <w:r w:rsidRPr="0099478A">
        <w:rPr>
          <w:color w:val="auto"/>
        </w:rPr>
        <w:t>respectively, and</w:t>
      </w:r>
      <w:proofErr w:type="gramEnd"/>
      <w:r w:rsidRPr="0099478A">
        <w:rPr>
          <w:color w:val="auto"/>
        </w:rPr>
        <w:t xml:space="preserve"> were not associated with increases in total bilirubin. </w:t>
      </w:r>
    </w:p>
    <w:p w14:paraId="57194496" w14:textId="77777777" w:rsidR="00CA1A58" w:rsidRPr="0099478A" w:rsidRDefault="00CA1A58" w:rsidP="000365FD">
      <w:pPr>
        <w:rPr>
          <w:color w:val="auto"/>
        </w:rPr>
      </w:pPr>
    </w:p>
    <w:p w14:paraId="3AA45816" w14:textId="7F9ED249" w:rsidR="00F63D15" w:rsidRPr="0099478A" w:rsidRDefault="00CA1A58" w:rsidP="000365FD">
      <w:pPr>
        <w:rPr>
          <w:color w:val="auto"/>
        </w:rPr>
      </w:pPr>
      <w:r w:rsidRPr="0099478A">
        <w:rPr>
          <w:color w:val="auto"/>
        </w:rPr>
        <w:t>Elevation of ALT above 5x ULN were</w:t>
      </w:r>
      <w:r w:rsidR="000365FD" w:rsidRPr="0099478A">
        <w:rPr>
          <w:color w:val="auto"/>
        </w:rPr>
        <w:t xml:space="preserve"> observed 4 weeks after initiation of therapy</w:t>
      </w:r>
      <w:r w:rsidRPr="0099478A">
        <w:rPr>
          <w:color w:val="auto"/>
        </w:rPr>
        <w:t xml:space="preserve"> in one patient receiving </w:t>
      </w:r>
      <w:proofErr w:type="spellStart"/>
      <w:r w:rsidRPr="0099478A">
        <w:rPr>
          <w:color w:val="auto"/>
        </w:rPr>
        <w:t>Enspryng</w:t>
      </w:r>
      <w:proofErr w:type="spellEnd"/>
      <w:r w:rsidRPr="0099478A">
        <w:rPr>
          <w:color w:val="auto"/>
        </w:rPr>
        <w:t xml:space="preserve"> in combination with IST;</w:t>
      </w:r>
      <w:r w:rsidR="000365FD" w:rsidRPr="0099478A">
        <w:rPr>
          <w:color w:val="auto"/>
        </w:rPr>
        <w:t xml:space="preserve"> normalising after discontinuation of </w:t>
      </w:r>
      <w:proofErr w:type="spellStart"/>
      <w:r w:rsidR="000365FD" w:rsidRPr="0099478A">
        <w:rPr>
          <w:color w:val="auto"/>
        </w:rPr>
        <w:t>E</w:t>
      </w:r>
      <w:r w:rsidRPr="0099478A">
        <w:rPr>
          <w:color w:val="auto"/>
        </w:rPr>
        <w:t>nspryng</w:t>
      </w:r>
      <w:proofErr w:type="spellEnd"/>
      <w:r w:rsidRPr="0099478A">
        <w:rPr>
          <w:color w:val="auto"/>
        </w:rPr>
        <w:t xml:space="preserve"> (see sections 4.2 and 4.4)</w:t>
      </w:r>
      <w:r w:rsidR="000365FD" w:rsidRPr="0099478A">
        <w:rPr>
          <w:color w:val="auto"/>
        </w:rPr>
        <w:t>.</w:t>
      </w:r>
    </w:p>
    <w:p w14:paraId="78A769E7" w14:textId="64E67FC8" w:rsidR="000365FD" w:rsidRPr="0099478A" w:rsidRDefault="000365FD" w:rsidP="00506B83">
      <w:pPr>
        <w:pStyle w:val="Heading5"/>
        <w:rPr>
          <w:color w:val="auto"/>
        </w:rPr>
      </w:pPr>
      <w:r w:rsidRPr="0099478A">
        <w:rPr>
          <w:color w:val="auto"/>
        </w:rPr>
        <w:t xml:space="preserve">Lipid </w:t>
      </w:r>
      <w:r w:rsidR="0005554E" w:rsidRPr="0099478A">
        <w:rPr>
          <w:color w:val="auto"/>
        </w:rPr>
        <w:t>parameters</w:t>
      </w:r>
    </w:p>
    <w:p w14:paraId="471EAE73" w14:textId="5CFAB50E" w:rsidR="00A52C5C" w:rsidRDefault="000365FD" w:rsidP="00276575">
      <w:pPr>
        <w:spacing w:after="240"/>
        <w:rPr>
          <w:color w:val="auto"/>
        </w:rPr>
      </w:pPr>
      <w:r w:rsidRPr="0099478A">
        <w:rPr>
          <w:color w:val="auto"/>
        </w:rPr>
        <w:t xml:space="preserve">In the double-blinded treatment period, 10.6% of patients receiving </w:t>
      </w:r>
      <w:proofErr w:type="spellStart"/>
      <w:r w:rsidRPr="0099478A">
        <w:rPr>
          <w:color w:val="auto"/>
        </w:rPr>
        <w:t>E</w:t>
      </w:r>
      <w:r w:rsidR="00CA1A58" w:rsidRPr="0099478A">
        <w:rPr>
          <w:color w:val="auto"/>
        </w:rPr>
        <w:t>nspryng</w:t>
      </w:r>
      <w:proofErr w:type="spellEnd"/>
      <w:r w:rsidRPr="0099478A">
        <w:rPr>
          <w:color w:val="auto"/>
        </w:rPr>
        <w:t xml:space="preserve"> (monotherapy or in combination with IST) experienced elevations in total cholesterol above 7.75 mmol/L as compared with 1.4% of patients receiving placebo (</w:t>
      </w:r>
      <w:r w:rsidR="00CA1A58" w:rsidRPr="0099478A">
        <w:rPr>
          <w:color w:val="auto"/>
        </w:rPr>
        <w:t>or placebo plus</w:t>
      </w:r>
      <w:r w:rsidRPr="0099478A">
        <w:rPr>
          <w:color w:val="auto"/>
        </w:rPr>
        <w:t xml:space="preserve"> IST); </w:t>
      </w:r>
      <w:r w:rsidR="005611D0">
        <w:rPr>
          <w:color w:val="auto"/>
        </w:rPr>
        <w:t>20.2</w:t>
      </w:r>
      <w:r w:rsidRPr="0099478A">
        <w:rPr>
          <w:color w:val="auto"/>
        </w:rPr>
        <w:t xml:space="preserve">% of patients receiving </w:t>
      </w:r>
      <w:proofErr w:type="spellStart"/>
      <w:r w:rsidRPr="0099478A">
        <w:rPr>
          <w:color w:val="auto"/>
        </w:rPr>
        <w:t>E</w:t>
      </w:r>
      <w:r w:rsidR="00CA1A58" w:rsidRPr="0099478A">
        <w:rPr>
          <w:color w:val="auto"/>
        </w:rPr>
        <w:t>nspryng</w:t>
      </w:r>
      <w:proofErr w:type="spellEnd"/>
      <w:r w:rsidRPr="0099478A">
        <w:rPr>
          <w:color w:val="auto"/>
        </w:rPr>
        <w:t xml:space="preserve"> experienced elevations in triglycerides above 3.42 mmol/L as compared with </w:t>
      </w:r>
      <w:r w:rsidR="005611D0">
        <w:rPr>
          <w:color w:val="auto"/>
        </w:rPr>
        <w:t>10.8</w:t>
      </w:r>
      <w:r w:rsidRPr="0099478A">
        <w:rPr>
          <w:color w:val="auto"/>
        </w:rPr>
        <w:t>% of patients receiving placebo. The elevations in lipid parameters did not require dose interruption.</w:t>
      </w:r>
    </w:p>
    <w:p w14:paraId="3AF73EE7" w14:textId="77777777" w:rsidR="00276575" w:rsidRPr="00F63D15" w:rsidRDefault="00276575" w:rsidP="00276575">
      <w:pPr>
        <w:pStyle w:val="Heading4"/>
        <w:rPr>
          <w:color w:val="auto"/>
        </w:rPr>
      </w:pPr>
      <w:r w:rsidRPr="00F63D15">
        <w:rPr>
          <w:color w:val="auto"/>
        </w:rPr>
        <w:t>Fibrinogen</w:t>
      </w:r>
    </w:p>
    <w:p w14:paraId="54D63563" w14:textId="63F522E5" w:rsidR="00276575" w:rsidRPr="0099478A" w:rsidRDefault="00276575" w:rsidP="00A66A6E">
      <w:pPr>
        <w:spacing w:after="240"/>
        <w:rPr>
          <w:color w:val="auto"/>
        </w:rPr>
      </w:pPr>
      <w:r w:rsidRPr="00F63D15">
        <w:rPr>
          <w:color w:val="auto"/>
        </w:rPr>
        <w:t xml:space="preserve">Decreased fibrinogen is a known effect of </w:t>
      </w:r>
      <w:proofErr w:type="spellStart"/>
      <w:r w:rsidRPr="00F63D15">
        <w:rPr>
          <w:color w:val="auto"/>
        </w:rPr>
        <w:t>Enspryng</w:t>
      </w:r>
      <w:proofErr w:type="spellEnd"/>
      <w:r w:rsidRPr="00F63D15">
        <w:rPr>
          <w:color w:val="auto"/>
        </w:rPr>
        <w:t xml:space="preserve"> related to its mechanism of action. In the double-blinded treatment period of clinical trials, 71.2% of </w:t>
      </w:r>
      <w:proofErr w:type="spellStart"/>
      <w:r w:rsidRPr="00F63D15">
        <w:rPr>
          <w:color w:val="auto"/>
        </w:rPr>
        <w:t>Enspryng</w:t>
      </w:r>
      <w:proofErr w:type="spellEnd"/>
      <w:r w:rsidRPr="00F63D15">
        <w:rPr>
          <w:color w:val="auto"/>
        </w:rPr>
        <w:t>-treated patients and 20.3% of patients receiving placebo had downward shifts from baseline fibrinogen levels. There were no bleeding events among patients with decreased fibrinogen levels.</w:t>
      </w:r>
    </w:p>
    <w:p w14:paraId="7DAA7A04" w14:textId="77777777" w:rsidR="006F052E" w:rsidRPr="0099478A" w:rsidRDefault="006F052E" w:rsidP="00CC6729">
      <w:pPr>
        <w:pStyle w:val="Heading3"/>
        <w:rPr>
          <w:color w:val="auto"/>
        </w:rPr>
      </w:pPr>
      <w:r w:rsidRPr="0099478A">
        <w:rPr>
          <w:color w:val="auto"/>
        </w:rPr>
        <w:t>Reporting of suspected adverse reactions</w:t>
      </w:r>
    </w:p>
    <w:p w14:paraId="1017F091" w14:textId="7045C03E" w:rsidR="00E21CCD" w:rsidRPr="0099478A" w:rsidRDefault="00E21CCD">
      <w:pPr>
        <w:rPr>
          <w:color w:val="auto"/>
        </w:rPr>
      </w:pPr>
      <w:r w:rsidRPr="0099478A">
        <w:rPr>
          <w:color w:val="auto"/>
        </w:rPr>
        <w:t xml:space="preserve">Reporting suspected adverse reactions after registration of the medicinal product is important. It allows continued monitoring of the benefit-risk balance of the medicinal product. Healthcare professionals are asked to report </w:t>
      </w:r>
      <w:r w:rsidR="00CA1A58" w:rsidRPr="0099478A">
        <w:rPr>
          <w:color w:val="auto"/>
        </w:rPr>
        <w:t>any suspected adverse reactions a</w:t>
      </w:r>
      <w:r w:rsidRPr="0099478A">
        <w:rPr>
          <w:color w:val="auto"/>
        </w:rPr>
        <w:t>t </w:t>
      </w:r>
      <w:hyperlink r:id="rId8" w:history="1">
        <w:r w:rsidR="00B1134D" w:rsidRPr="0099478A">
          <w:rPr>
            <w:rStyle w:val="Hyperlink"/>
            <w:color w:val="auto"/>
          </w:rPr>
          <w:t>www.tga.gov.au/reporting-problems</w:t>
        </w:r>
      </w:hyperlink>
      <w:r w:rsidR="00B1134D" w:rsidRPr="0099478A">
        <w:rPr>
          <w:color w:val="auto"/>
        </w:rPr>
        <w:t>.</w:t>
      </w:r>
    </w:p>
    <w:p w14:paraId="0174A559" w14:textId="77777777" w:rsidR="009F4C5B" w:rsidRPr="0099478A" w:rsidRDefault="009F4C5B">
      <w:pPr>
        <w:rPr>
          <w:color w:val="auto"/>
        </w:rPr>
      </w:pPr>
    </w:p>
    <w:p w14:paraId="72F8036C" w14:textId="77777777" w:rsidR="00D52399" w:rsidRPr="0099478A" w:rsidRDefault="00902EBE" w:rsidP="009F4C5B">
      <w:pPr>
        <w:pStyle w:val="Heading2"/>
        <w:spacing w:before="0"/>
        <w:rPr>
          <w:color w:val="auto"/>
        </w:rPr>
      </w:pPr>
      <w:r w:rsidRPr="0099478A">
        <w:rPr>
          <w:color w:val="auto"/>
        </w:rPr>
        <w:t>4.9</w:t>
      </w:r>
      <w:r w:rsidRPr="0099478A">
        <w:rPr>
          <w:color w:val="auto"/>
        </w:rPr>
        <w:tab/>
        <w:t xml:space="preserve">OVERDOSE </w:t>
      </w:r>
    </w:p>
    <w:p w14:paraId="4FAEE25D" w14:textId="6274D4E9" w:rsidR="00CA1A58" w:rsidRPr="0099478A" w:rsidRDefault="00CA1A58" w:rsidP="00CA1A58">
      <w:pPr>
        <w:rPr>
          <w:color w:val="auto"/>
        </w:rPr>
      </w:pPr>
      <w:r w:rsidRPr="0099478A">
        <w:rPr>
          <w:color w:val="auto"/>
        </w:rPr>
        <w:t>There</w:t>
      </w:r>
      <w:r w:rsidR="00532A2C" w:rsidRPr="0099478A">
        <w:rPr>
          <w:color w:val="auto"/>
        </w:rPr>
        <w:t xml:space="preserve"> is no experience with overdos</w:t>
      </w:r>
      <w:r w:rsidRPr="0099478A">
        <w:rPr>
          <w:color w:val="auto"/>
        </w:rPr>
        <w:t>e in human clinical trials. A single dose of up to 240</w:t>
      </w:r>
      <w:r w:rsidR="00532A2C" w:rsidRPr="0099478A">
        <w:rPr>
          <w:color w:val="auto"/>
        </w:rPr>
        <w:t xml:space="preserve"> </w:t>
      </w:r>
      <w:r w:rsidRPr="0099478A">
        <w:rPr>
          <w:color w:val="auto"/>
        </w:rPr>
        <w:t xml:space="preserve">mg </w:t>
      </w:r>
      <w:proofErr w:type="spellStart"/>
      <w:r w:rsidRPr="0099478A">
        <w:rPr>
          <w:color w:val="auto"/>
        </w:rPr>
        <w:t>Enspryng</w:t>
      </w:r>
      <w:proofErr w:type="spellEnd"/>
      <w:r w:rsidRPr="0099478A">
        <w:rPr>
          <w:color w:val="auto"/>
        </w:rPr>
        <w:t xml:space="preserve"> was administered subcutaneously to healthy adult volunteers in a Phase I study and no serious or severe adverse events were observed in the study.</w:t>
      </w:r>
    </w:p>
    <w:p w14:paraId="04D3E326" w14:textId="77777777" w:rsidR="00CA1A58" w:rsidRPr="0099478A" w:rsidRDefault="00CA1A58" w:rsidP="00CA1A58">
      <w:pPr>
        <w:rPr>
          <w:color w:val="auto"/>
        </w:rPr>
      </w:pPr>
    </w:p>
    <w:p w14:paraId="2FA83A00" w14:textId="135424EC" w:rsidR="008903F2" w:rsidRPr="0099478A" w:rsidRDefault="00CA1A58" w:rsidP="00CA1A58">
      <w:pPr>
        <w:rPr>
          <w:color w:val="auto"/>
        </w:rPr>
      </w:pPr>
      <w:r w:rsidRPr="0099478A">
        <w:rPr>
          <w:color w:val="auto"/>
        </w:rPr>
        <w:t>In the event of an overdose, the patient should</w:t>
      </w:r>
      <w:r w:rsidR="000D5E02" w:rsidRPr="0099478A">
        <w:rPr>
          <w:color w:val="auto"/>
        </w:rPr>
        <w:t xml:space="preserve"> be closely supervised, treated </w:t>
      </w:r>
      <w:r w:rsidRPr="0099478A">
        <w:rPr>
          <w:color w:val="auto"/>
        </w:rPr>
        <w:t>symptomatically, and supportive measures instituted as required.</w:t>
      </w:r>
    </w:p>
    <w:p w14:paraId="591F5DD5" w14:textId="0BD77BEB" w:rsidR="00CA1A58" w:rsidRPr="0099478A" w:rsidRDefault="00CA1A58" w:rsidP="00CA1A58">
      <w:pPr>
        <w:rPr>
          <w:color w:val="auto"/>
        </w:rPr>
      </w:pPr>
    </w:p>
    <w:p w14:paraId="3A996CEB" w14:textId="77777777" w:rsidR="008903F2" w:rsidRPr="0099478A" w:rsidRDefault="008903F2" w:rsidP="00B1498F">
      <w:pPr>
        <w:spacing w:after="240"/>
        <w:rPr>
          <w:color w:val="auto"/>
        </w:rPr>
      </w:pPr>
      <w:r w:rsidRPr="0099478A">
        <w:rPr>
          <w:color w:val="auto"/>
        </w:rPr>
        <w:t>For information on the management of overdose, contact the Poisons Information Centre on 13 11 26 (Australia).</w:t>
      </w:r>
      <w:r w:rsidR="00BA0878" w:rsidRPr="0099478A">
        <w:rPr>
          <w:color w:val="auto"/>
        </w:rPr>
        <w:t xml:space="preserve"> </w:t>
      </w:r>
    </w:p>
    <w:p w14:paraId="2AF4372F" w14:textId="77777777" w:rsidR="00D52399" w:rsidRPr="0099478A" w:rsidRDefault="00615052" w:rsidP="0087549F">
      <w:pPr>
        <w:pStyle w:val="Heading1"/>
        <w:numPr>
          <w:ilvl w:val="0"/>
          <w:numId w:val="2"/>
        </w:numPr>
        <w:spacing w:before="0"/>
        <w:rPr>
          <w:color w:val="auto"/>
        </w:rPr>
      </w:pPr>
      <w:r w:rsidRPr="0099478A">
        <w:rPr>
          <w:color w:val="auto"/>
        </w:rPr>
        <w:t>PHARMACOLOGICAL PROPERTIES</w:t>
      </w:r>
    </w:p>
    <w:p w14:paraId="75F5C84F" w14:textId="77777777" w:rsidR="00D52399" w:rsidRPr="0099478A" w:rsidRDefault="00CC6729" w:rsidP="0087549F">
      <w:pPr>
        <w:pStyle w:val="Heading2"/>
        <w:spacing w:before="0"/>
        <w:rPr>
          <w:color w:val="auto"/>
        </w:rPr>
      </w:pPr>
      <w:r w:rsidRPr="0099478A">
        <w:rPr>
          <w:color w:val="auto"/>
        </w:rPr>
        <w:t xml:space="preserve">5.1 </w:t>
      </w:r>
      <w:r w:rsidRPr="0099478A">
        <w:rPr>
          <w:color w:val="auto"/>
        </w:rPr>
        <w:tab/>
      </w:r>
      <w:r w:rsidR="00902EBE" w:rsidRPr="0099478A">
        <w:rPr>
          <w:color w:val="auto"/>
        </w:rPr>
        <w:t>PHARMACODYNAMIC PROPERTIES</w:t>
      </w:r>
    </w:p>
    <w:p w14:paraId="71126E6A" w14:textId="48D2F15F" w:rsidR="00D52399" w:rsidRPr="0099478A" w:rsidRDefault="00615052">
      <w:pPr>
        <w:rPr>
          <w:color w:val="auto"/>
          <w:szCs w:val="22"/>
        </w:rPr>
      </w:pPr>
      <w:r w:rsidRPr="0099478A">
        <w:rPr>
          <w:color w:val="auto"/>
          <w:szCs w:val="22"/>
        </w:rPr>
        <w:t xml:space="preserve">Pharmacotherapeutic group: </w:t>
      </w:r>
      <w:r w:rsidR="000F71E0" w:rsidRPr="0099478A">
        <w:rPr>
          <w:color w:val="auto"/>
          <w:szCs w:val="22"/>
        </w:rPr>
        <w:t>Immunosuppressants, Interleukin inhibitors</w:t>
      </w:r>
      <w:r w:rsidR="005452B0" w:rsidRPr="0099478A">
        <w:rPr>
          <w:color w:val="auto"/>
          <w:szCs w:val="22"/>
        </w:rPr>
        <w:t>;</w:t>
      </w:r>
      <w:r w:rsidRPr="0099478A">
        <w:rPr>
          <w:color w:val="auto"/>
          <w:szCs w:val="22"/>
        </w:rPr>
        <w:t xml:space="preserve"> ATC code:</w:t>
      </w:r>
      <w:r w:rsidR="00825955" w:rsidRPr="0099478A">
        <w:rPr>
          <w:color w:val="auto"/>
        </w:rPr>
        <w:t xml:space="preserve"> </w:t>
      </w:r>
      <w:r w:rsidR="00825955" w:rsidRPr="0099478A">
        <w:rPr>
          <w:color w:val="auto"/>
          <w:szCs w:val="22"/>
        </w:rPr>
        <w:t>L04AC19</w:t>
      </w:r>
      <w:r w:rsidR="00A52C5C" w:rsidRPr="0099478A">
        <w:rPr>
          <w:color w:val="auto"/>
          <w:szCs w:val="22"/>
        </w:rPr>
        <w:t>.</w:t>
      </w:r>
    </w:p>
    <w:p w14:paraId="5CB42B43" w14:textId="77777777" w:rsidR="003E065E" w:rsidRDefault="003E065E">
      <w:pPr>
        <w:pStyle w:val="Heading3"/>
        <w:rPr>
          <w:color w:val="auto"/>
        </w:rPr>
      </w:pPr>
    </w:p>
    <w:p w14:paraId="6B22D21D" w14:textId="32D62773" w:rsidR="00D52399" w:rsidRPr="0099478A" w:rsidRDefault="00615052">
      <w:pPr>
        <w:pStyle w:val="Heading3"/>
        <w:rPr>
          <w:color w:val="auto"/>
        </w:rPr>
      </w:pPr>
      <w:r w:rsidRPr="0099478A">
        <w:rPr>
          <w:color w:val="auto"/>
        </w:rPr>
        <w:lastRenderedPageBreak/>
        <w:t>Mechanism of Action</w:t>
      </w:r>
    </w:p>
    <w:p w14:paraId="65D0FBAB" w14:textId="2BE74137" w:rsidR="000F71E0" w:rsidRPr="0099478A" w:rsidRDefault="000F71E0" w:rsidP="000F71E0">
      <w:pPr>
        <w:rPr>
          <w:color w:val="auto"/>
        </w:rPr>
      </w:pPr>
      <w:proofErr w:type="spellStart"/>
      <w:r w:rsidRPr="0099478A">
        <w:rPr>
          <w:color w:val="auto"/>
        </w:rPr>
        <w:t>Satralizumab</w:t>
      </w:r>
      <w:proofErr w:type="spellEnd"/>
      <w:r w:rsidRPr="0099478A">
        <w:rPr>
          <w:color w:val="auto"/>
        </w:rPr>
        <w:t xml:space="preserve"> is a humanised IgG2 monoclonal antibody (</w:t>
      </w:r>
      <w:proofErr w:type="spellStart"/>
      <w:r w:rsidRPr="0099478A">
        <w:rPr>
          <w:color w:val="auto"/>
        </w:rPr>
        <w:t>mAb</w:t>
      </w:r>
      <w:proofErr w:type="spellEnd"/>
      <w:r w:rsidRPr="0099478A">
        <w:rPr>
          <w:color w:val="auto"/>
        </w:rPr>
        <w:t>) that binds to soluble and membrane</w:t>
      </w:r>
      <w:r w:rsidR="004D7848" w:rsidRPr="0099478A">
        <w:rPr>
          <w:color w:val="auto"/>
        </w:rPr>
        <w:t>-</w:t>
      </w:r>
      <w:r w:rsidRPr="0099478A">
        <w:rPr>
          <w:color w:val="auto"/>
        </w:rPr>
        <w:t>bound human IL-6 receptor (IL-6R) and thereby prevents IL-6 downstream signalling through these receptors.</w:t>
      </w:r>
    </w:p>
    <w:p w14:paraId="02D9A617" w14:textId="77777777" w:rsidR="000F71E0" w:rsidRPr="0099478A" w:rsidRDefault="000F71E0" w:rsidP="000F71E0">
      <w:pPr>
        <w:rPr>
          <w:color w:val="auto"/>
        </w:rPr>
      </w:pPr>
    </w:p>
    <w:p w14:paraId="31E39B3F" w14:textId="4CD6E6AA" w:rsidR="00D52399" w:rsidRDefault="000F71E0" w:rsidP="000F71E0">
      <w:pPr>
        <w:rPr>
          <w:color w:val="auto"/>
        </w:rPr>
      </w:pPr>
      <w:r w:rsidRPr="0099478A">
        <w:rPr>
          <w:color w:val="auto"/>
        </w:rPr>
        <w:t xml:space="preserve">IL-6 is a pleiotropic cytokine produced by a variety of cell types and is involved in diverse processes such as B-cell activation, differentiation of B-cells to </w:t>
      </w:r>
      <w:proofErr w:type="spellStart"/>
      <w:r w:rsidRPr="0099478A">
        <w:rPr>
          <w:color w:val="auto"/>
        </w:rPr>
        <w:t>plasmablasts</w:t>
      </w:r>
      <w:proofErr w:type="spellEnd"/>
      <w:r w:rsidRPr="0099478A">
        <w:rPr>
          <w:color w:val="auto"/>
        </w:rPr>
        <w:t xml:space="preserve"> and production of autoantibodies, Th17-cell activation and differentiation, T-regulatory cell inhibition, and changes in blood-brain barrier permeability. IL-6 levels are increased in cerebrospinal fluid and serum of patients with NMO and NMOSD during periods of disease activity. Some IL-6 functions have been implicated in the pathogenesis of NMO and NMOSD, including production of pathological autoantibodies against Aquaporin-4 (AQP4), a water channel protein mainly expressed by astrocytes in the </w:t>
      </w:r>
      <w:r w:rsidR="004D7848" w:rsidRPr="0099478A">
        <w:rPr>
          <w:color w:val="auto"/>
        </w:rPr>
        <w:t>central nervous system (</w:t>
      </w:r>
      <w:r w:rsidRPr="0099478A">
        <w:rPr>
          <w:color w:val="auto"/>
        </w:rPr>
        <w:t>CNS</w:t>
      </w:r>
      <w:r w:rsidR="004D7848" w:rsidRPr="0099478A">
        <w:rPr>
          <w:color w:val="auto"/>
        </w:rPr>
        <w:t>)</w:t>
      </w:r>
      <w:r w:rsidRPr="0099478A">
        <w:rPr>
          <w:color w:val="auto"/>
        </w:rPr>
        <w:t>.</w:t>
      </w:r>
    </w:p>
    <w:p w14:paraId="6B5BE51E" w14:textId="77777777" w:rsidR="005611D0" w:rsidRPr="0099478A" w:rsidRDefault="005611D0" w:rsidP="000F71E0">
      <w:pPr>
        <w:rPr>
          <w:color w:val="auto"/>
        </w:rPr>
      </w:pPr>
    </w:p>
    <w:p w14:paraId="03C78B58" w14:textId="77777777" w:rsidR="00D52399" w:rsidRPr="0099478A" w:rsidRDefault="00615052">
      <w:pPr>
        <w:pStyle w:val="Heading3"/>
        <w:rPr>
          <w:color w:val="auto"/>
        </w:rPr>
      </w:pPr>
      <w:r w:rsidRPr="0099478A">
        <w:rPr>
          <w:color w:val="auto"/>
        </w:rPr>
        <w:t>Pharmacodynamic effect</w:t>
      </w:r>
    </w:p>
    <w:p w14:paraId="19395F13" w14:textId="5582C27F" w:rsidR="00D52399" w:rsidRPr="0099478A" w:rsidRDefault="000F71E0" w:rsidP="000F71E0">
      <w:pPr>
        <w:rPr>
          <w:color w:val="auto"/>
        </w:rPr>
      </w:pPr>
      <w:r w:rsidRPr="0099478A">
        <w:rPr>
          <w:color w:val="auto"/>
        </w:rPr>
        <w:t xml:space="preserve">In clinical studies with </w:t>
      </w:r>
      <w:proofErr w:type="spellStart"/>
      <w:r w:rsidRPr="0099478A">
        <w:rPr>
          <w:color w:val="auto"/>
        </w:rPr>
        <w:t>satralizumab</w:t>
      </w:r>
      <w:proofErr w:type="spellEnd"/>
      <w:r w:rsidRPr="0099478A">
        <w:rPr>
          <w:color w:val="auto"/>
        </w:rPr>
        <w:t xml:space="preserve"> in NMO and NMOSD, decreases in C-reactive protein (CRP), fibrinogen and complement (C3, C4 and CH50) were observed.</w:t>
      </w:r>
    </w:p>
    <w:p w14:paraId="146C6C17" w14:textId="77777777" w:rsidR="00A52C5C" w:rsidRPr="0099478A" w:rsidRDefault="00A52C5C" w:rsidP="000F71E0">
      <w:pPr>
        <w:rPr>
          <w:color w:val="auto"/>
        </w:rPr>
      </w:pPr>
    </w:p>
    <w:p w14:paraId="490126E8" w14:textId="77777777" w:rsidR="00D52399" w:rsidRPr="0099478A" w:rsidRDefault="00615052">
      <w:pPr>
        <w:pStyle w:val="Heading3"/>
        <w:rPr>
          <w:color w:val="auto"/>
        </w:rPr>
      </w:pPr>
      <w:r w:rsidRPr="0099478A">
        <w:rPr>
          <w:color w:val="auto"/>
        </w:rPr>
        <w:t xml:space="preserve">Clinical </w:t>
      </w:r>
      <w:r w:rsidR="00594C19" w:rsidRPr="0099478A">
        <w:rPr>
          <w:color w:val="auto"/>
        </w:rPr>
        <w:t>trials</w:t>
      </w:r>
    </w:p>
    <w:p w14:paraId="11278333" w14:textId="67FD837D" w:rsidR="00085297" w:rsidRPr="0099478A" w:rsidRDefault="00085297" w:rsidP="00085297">
      <w:pPr>
        <w:rPr>
          <w:color w:val="auto"/>
        </w:rPr>
      </w:pPr>
      <w:r w:rsidRPr="0099478A">
        <w:rPr>
          <w:color w:val="auto"/>
        </w:rPr>
        <w:t xml:space="preserve">The efficacy and safety of </w:t>
      </w:r>
      <w:proofErr w:type="spellStart"/>
      <w:r w:rsidRPr="0099478A">
        <w:rPr>
          <w:color w:val="auto"/>
        </w:rPr>
        <w:t>Enspryng</w:t>
      </w:r>
      <w:proofErr w:type="spellEnd"/>
      <w:r w:rsidRPr="0099478A">
        <w:rPr>
          <w:color w:val="auto"/>
        </w:rPr>
        <w:t xml:space="preserve"> was evaluated in two pivotal phase III clinical trials (BN40898 and BN40900) in patients with a diagnosis of AQP4-IgG seropositive or seronegative NMO (</w:t>
      </w:r>
      <w:proofErr w:type="spellStart"/>
      <w:r w:rsidRPr="0099478A">
        <w:rPr>
          <w:color w:val="auto"/>
        </w:rPr>
        <w:t>Wingerchuck</w:t>
      </w:r>
      <w:proofErr w:type="spellEnd"/>
      <w:r w:rsidRPr="0099478A">
        <w:rPr>
          <w:color w:val="auto"/>
        </w:rPr>
        <w:t xml:space="preserve"> 2006 criteria), or with a diagnosis of AQP4-IgG seropositive NMOSD (</w:t>
      </w:r>
      <w:proofErr w:type="spellStart"/>
      <w:r w:rsidRPr="0099478A">
        <w:rPr>
          <w:color w:val="auto"/>
        </w:rPr>
        <w:t>Wingerchuk</w:t>
      </w:r>
      <w:proofErr w:type="spellEnd"/>
      <w:r w:rsidRPr="0099478A">
        <w:rPr>
          <w:color w:val="auto"/>
        </w:rPr>
        <w:t xml:space="preserve"> 2007 criteria). In retrospect, these patients also met the latest criteria proposed by the international panel for NMO diagnosis. The effect of </w:t>
      </w:r>
      <w:proofErr w:type="spellStart"/>
      <w:r w:rsidRPr="0099478A">
        <w:rPr>
          <w:color w:val="auto"/>
        </w:rPr>
        <w:t>Enspryng</w:t>
      </w:r>
      <w:proofErr w:type="spellEnd"/>
      <w:r w:rsidRPr="0099478A">
        <w:rPr>
          <w:color w:val="auto"/>
        </w:rPr>
        <w:t xml:space="preserve"> was studied in adult (studies BN40898 and BN40900) and adolescent (aged ≥ 12 to &lt; 18 years) patients (study BN40898). The inclusion of AQP4-IgG seronegative adult NMO patients was limited to approximately 30% in both studies </w:t>
      </w:r>
      <w:proofErr w:type="gramStart"/>
      <w:r w:rsidRPr="0099478A">
        <w:rPr>
          <w:color w:val="auto"/>
        </w:rPr>
        <w:t>in order for</w:t>
      </w:r>
      <w:proofErr w:type="gramEnd"/>
      <w:r w:rsidRPr="0099478A">
        <w:rPr>
          <w:color w:val="auto"/>
        </w:rPr>
        <w:t xml:space="preserve"> the study population to reflect the real-world NMO patient population.</w:t>
      </w:r>
    </w:p>
    <w:p w14:paraId="7B492D06" w14:textId="0A49F343" w:rsidR="00085297" w:rsidRPr="0099478A" w:rsidRDefault="00085297" w:rsidP="00085297">
      <w:pPr>
        <w:rPr>
          <w:color w:val="auto"/>
        </w:rPr>
      </w:pPr>
      <w:r w:rsidRPr="0099478A">
        <w:rPr>
          <w:color w:val="auto"/>
        </w:rPr>
        <w:t>The primary efficacy measure in both studies was protocol-defined relapses (PDR), based on a prespecified worsening in the Expanded Disability Status Scale (EDSS) and Functional System Score (FSS) and confirmed by an independent Clinical Endpoint Committee (CEC). The primary endpoint analysis was time to first CEC-confirmed PDR with EDSS/FSS assessment performed within 7 days after symptoms were reported by the</w:t>
      </w:r>
      <w:r w:rsidR="00A52C5C" w:rsidRPr="0099478A">
        <w:rPr>
          <w:color w:val="auto"/>
        </w:rPr>
        <w:t xml:space="preserve"> patient (adjudicated relapse).</w:t>
      </w:r>
    </w:p>
    <w:p w14:paraId="53644F16" w14:textId="212749DB" w:rsidR="00085297" w:rsidRPr="0099478A" w:rsidRDefault="00085297" w:rsidP="00085297">
      <w:pPr>
        <w:pStyle w:val="Heading4"/>
        <w:rPr>
          <w:color w:val="auto"/>
        </w:rPr>
      </w:pPr>
      <w:r w:rsidRPr="0099478A">
        <w:rPr>
          <w:color w:val="auto"/>
        </w:rPr>
        <w:t xml:space="preserve">Study BN40898 (also known as SA-307JG or </w:t>
      </w:r>
      <w:proofErr w:type="spellStart"/>
      <w:r w:rsidRPr="0099478A">
        <w:rPr>
          <w:color w:val="auto"/>
        </w:rPr>
        <w:t>SAkuraSky</w:t>
      </w:r>
      <w:proofErr w:type="spellEnd"/>
      <w:r w:rsidRPr="0099478A">
        <w:rPr>
          <w:color w:val="auto"/>
        </w:rPr>
        <w:t>)</w:t>
      </w:r>
    </w:p>
    <w:p w14:paraId="674194E0" w14:textId="020EFE0C" w:rsidR="00085297" w:rsidRPr="0099478A" w:rsidRDefault="00085297" w:rsidP="00085297">
      <w:pPr>
        <w:rPr>
          <w:color w:val="auto"/>
        </w:rPr>
      </w:pPr>
      <w:r w:rsidRPr="0099478A">
        <w:rPr>
          <w:color w:val="auto"/>
        </w:rPr>
        <w:t xml:space="preserve">Study BN40898 was a randomised, multicentre, double-blind, placebo-controlled clinical trial to evaluate the effect of </w:t>
      </w:r>
      <w:proofErr w:type="spellStart"/>
      <w:r w:rsidRPr="0099478A">
        <w:rPr>
          <w:color w:val="auto"/>
        </w:rPr>
        <w:t>Enspryng</w:t>
      </w:r>
      <w:proofErr w:type="spellEnd"/>
      <w:r w:rsidRPr="0099478A">
        <w:rPr>
          <w:color w:val="auto"/>
        </w:rPr>
        <w:t xml:space="preserve"> in combination with stable IST (OCs up to 15 mg/day [prednisolone equivalent], AZA up to 3 mg/kg/day or MMF up to 3000 mg/day; adolescents received a combination of AZA and OCs or MMF and OCs). The study included 83 AQP4-IgG seropositive and seronegative patients (including 7 adolescents). Patients received the first 3 single doses of </w:t>
      </w:r>
      <w:proofErr w:type="spellStart"/>
      <w:r w:rsidRPr="0099478A">
        <w:rPr>
          <w:color w:val="auto"/>
        </w:rPr>
        <w:t>Enspryng</w:t>
      </w:r>
      <w:proofErr w:type="spellEnd"/>
      <w:r w:rsidRPr="0099478A">
        <w:rPr>
          <w:color w:val="auto"/>
        </w:rPr>
        <w:t xml:space="preserve"> 120 mg or matching placebo by SC injection in the abdominal or femoral region every 2 weeks for the first 4 weeks and once every 4 weeks thereafter.</w:t>
      </w:r>
    </w:p>
    <w:p w14:paraId="798F5F7F" w14:textId="77777777" w:rsidR="00085297" w:rsidRPr="0099478A" w:rsidRDefault="00085297" w:rsidP="00085297">
      <w:pPr>
        <w:rPr>
          <w:color w:val="auto"/>
        </w:rPr>
      </w:pPr>
    </w:p>
    <w:p w14:paraId="688375B4" w14:textId="1E161EAD" w:rsidR="004D7848" w:rsidRPr="0099478A" w:rsidRDefault="00085297" w:rsidP="00085297">
      <w:pPr>
        <w:rPr>
          <w:color w:val="auto"/>
        </w:rPr>
      </w:pPr>
      <w:r w:rsidRPr="0099478A">
        <w:rPr>
          <w:color w:val="auto"/>
        </w:rPr>
        <w:t xml:space="preserve">Study design and baseline characteristics of the study population are presented in Table </w:t>
      </w:r>
      <w:r w:rsidR="00F937E6">
        <w:rPr>
          <w:color w:val="auto"/>
        </w:rPr>
        <w:t>4</w:t>
      </w:r>
      <w:r w:rsidRPr="0099478A">
        <w:rPr>
          <w:color w:val="auto"/>
        </w:rPr>
        <w:t xml:space="preserve">. </w:t>
      </w:r>
    </w:p>
    <w:p w14:paraId="5ECB7202" w14:textId="77777777" w:rsidR="004D7848" w:rsidRPr="0099478A" w:rsidRDefault="004D7848" w:rsidP="00085297">
      <w:pPr>
        <w:rPr>
          <w:color w:val="auto"/>
        </w:rPr>
      </w:pPr>
    </w:p>
    <w:p w14:paraId="06BF2F3B" w14:textId="7A25F73E" w:rsidR="00331E93" w:rsidRPr="0099478A" w:rsidRDefault="00085297" w:rsidP="00085297">
      <w:pPr>
        <w:rPr>
          <w:color w:val="auto"/>
        </w:rPr>
      </w:pPr>
      <w:r w:rsidRPr="0099478A">
        <w:rPr>
          <w:color w:val="auto"/>
        </w:rPr>
        <w:t>The study was event-driven and the double-blind study period for efficacy evaluation ended when a total of 26 adjudicated relapses were observed.</w:t>
      </w:r>
      <w:r w:rsidR="004276BB" w:rsidRPr="0099478A">
        <w:rPr>
          <w:color w:val="auto"/>
        </w:rPr>
        <w:t xml:space="preserve"> Patients who experienced a CEC-confirmed PDR or received rescue therapy for a relapse during the double-blind period or </w:t>
      </w:r>
      <w:r w:rsidR="004276BB" w:rsidRPr="0099478A">
        <w:rPr>
          <w:color w:val="auto"/>
        </w:rPr>
        <w:lastRenderedPageBreak/>
        <w:t xml:space="preserve">completed the double-blind period could enter the open-label extension period where all patients received open-label treatment with </w:t>
      </w:r>
      <w:proofErr w:type="spellStart"/>
      <w:r w:rsidR="004276BB" w:rsidRPr="0099478A">
        <w:rPr>
          <w:color w:val="auto"/>
        </w:rPr>
        <w:t>Enspryng</w:t>
      </w:r>
      <w:proofErr w:type="spellEnd"/>
      <w:r w:rsidR="004276BB" w:rsidRPr="0099478A">
        <w:rPr>
          <w:color w:val="auto"/>
        </w:rPr>
        <w:t>.</w:t>
      </w:r>
    </w:p>
    <w:p w14:paraId="4848CD7E" w14:textId="4D71F8B4" w:rsidR="00085297" w:rsidRPr="0099478A" w:rsidRDefault="00085297" w:rsidP="00085297">
      <w:pPr>
        <w:rPr>
          <w:color w:val="auto"/>
        </w:rPr>
      </w:pPr>
    </w:p>
    <w:p w14:paraId="25E45CDB" w14:textId="0EBE683B" w:rsidR="00085297" w:rsidRPr="0099478A" w:rsidRDefault="00B7788C" w:rsidP="0022796C">
      <w:pPr>
        <w:spacing w:after="120"/>
        <w:rPr>
          <w:b/>
          <w:color w:val="auto"/>
        </w:rPr>
      </w:pPr>
      <w:r w:rsidRPr="0099478A">
        <w:rPr>
          <w:b/>
          <w:color w:val="auto"/>
        </w:rPr>
        <w:t xml:space="preserve">Table </w:t>
      </w:r>
      <w:r w:rsidR="00F937E6">
        <w:rPr>
          <w:b/>
          <w:color w:val="auto"/>
        </w:rPr>
        <w:t>4</w:t>
      </w:r>
      <w:r w:rsidR="00085297" w:rsidRPr="0099478A">
        <w:rPr>
          <w:b/>
          <w:color w:val="auto"/>
        </w:rPr>
        <w:t xml:space="preserve">: Study </w:t>
      </w:r>
      <w:r w:rsidR="00A13D49" w:rsidRPr="0099478A">
        <w:rPr>
          <w:b/>
          <w:color w:val="auto"/>
        </w:rPr>
        <w:t>design and baseline c</w:t>
      </w:r>
      <w:r w:rsidR="00085297" w:rsidRPr="0099478A">
        <w:rPr>
          <w:b/>
          <w:color w:val="auto"/>
        </w:rPr>
        <w:t>haracteristics for Study BN40898</w:t>
      </w:r>
    </w:p>
    <w:tbl>
      <w:tblPr>
        <w:tblStyle w:val="TableGrid"/>
        <w:tblW w:w="0" w:type="auto"/>
        <w:tblInd w:w="0" w:type="dxa"/>
        <w:tblLook w:val="04A0" w:firstRow="1" w:lastRow="0" w:firstColumn="1" w:lastColumn="0" w:noHBand="0" w:noVBand="1"/>
      </w:tblPr>
      <w:tblGrid>
        <w:gridCol w:w="3595"/>
        <w:gridCol w:w="2700"/>
        <w:gridCol w:w="2721"/>
      </w:tblGrid>
      <w:tr w:rsidR="00085297" w:rsidRPr="0099478A" w14:paraId="31BC8F0C" w14:textId="77777777" w:rsidTr="004A5A18">
        <w:tc>
          <w:tcPr>
            <w:tcW w:w="3595" w:type="dxa"/>
          </w:tcPr>
          <w:p w14:paraId="4AF5E3C8" w14:textId="6005AE59" w:rsidR="00085297" w:rsidRPr="0099478A" w:rsidRDefault="00085297" w:rsidP="00B7788C">
            <w:pPr>
              <w:spacing w:before="60" w:after="60"/>
              <w:jc w:val="center"/>
              <w:rPr>
                <w:b/>
                <w:color w:val="auto"/>
                <w:sz w:val="22"/>
                <w:szCs w:val="22"/>
              </w:rPr>
            </w:pPr>
            <w:r w:rsidRPr="0099478A">
              <w:rPr>
                <w:b/>
                <w:color w:val="auto"/>
                <w:sz w:val="22"/>
                <w:szCs w:val="22"/>
              </w:rPr>
              <w:t>Study Name</w:t>
            </w:r>
          </w:p>
        </w:tc>
        <w:tc>
          <w:tcPr>
            <w:tcW w:w="5421" w:type="dxa"/>
            <w:gridSpan w:val="2"/>
          </w:tcPr>
          <w:p w14:paraId="1646B5E3" w14:textId="74AC3811" w:rsidR="00085297" w:rsidRPr="0099478A" w:rsidRDefault="00085297" w:rsidP="00B7788C">
            <w:pPr>
              <w:spacing w:before="60" w:after="60"/>
              <w:jc w:val="center"/>
              <w:rPr>
                <w:b/>
                <w:color w:val="auto"/>
                <w:sz w:val="22"/>
                <w:szCs w:val="22"/>
              </w:rPr>
            </w:pPr>
            <w:r w:rsidRPr="0099478A">
              <w:rPr>
                <w:b/>
                <w:color w:val="auto"/>
                <w:sz w:val="22"/>
                <w:szCs w:val="22"/>
              </w:rPr>
              <w:t>Study BN40898 (</w:t>
            </w:r>
            <w:r w:rsidR="001D5552" w:rsidRPr="0099478A">
              <w:rPr>
                <w:b/>
                <w:color w:val="auto"/>
                <w:sz w:val="22"/>
                <w:szCs w:val="22"/>
              </w:rPr>
              <w:t>n</w:t>
            </w:r>
            <w:r w:rsidRPr="0099478A">
              <w:rPr>
                <w:b/>
                <w:color w:val="auto"/>
                <w:sz w:val="22"/>
                <w:szCs w:val="22"/>
              </w:rPr>
              <w:t>=83)</w:t>
            </w:r>
          </w:p>
        </w:tc>
      </w:tr>
      <w:tr w:rsidR="00085297" w:rsidRPr="0099478A" w14:paraId="61D4304E" w14:textId="77777777" w:rsidTr="00595DAE">
        <w:tc>
          <w:tcPr>
            <w:tcW w:w="9016" w:type="dxa"/>
            <w:gridSpan w:val="3"/>
          </w:tcPr>
          <w:p w14:paraId="54EB4C1F" w14:textId="7963C85E" w:rsidR="00085297" w:rsidRPr="0099478A" w:rsidRDefault="00085297" w:rsidP="00B7788C">
            <w:pPr>
              <w:spacing w:before="60" w:after="60"/>
              <w:jc w:val="center"/>
              <w:rPr>
                <w:b/>
                <w:color w:val="auto"/>
                <w:sz w:val="22"/>
                <w:szCs w:val="22"/>
              </w:rPr>
            </w:pPr>
            <w:r w:rsidRPr="0099478A">
              <w:rPr>
                <w:b/>
                <w:color w:val="auto"/>
                <w:sz w:val="22"/>
                <w:szCs w:val="22"/>
              </w:rPr>
              <w:t>Study Design</w:t>
            </w:r>
          </w:p>
        </w:tc>
      </w:tr>
      <w:tr w:rsidR="00085297" w:rsidRPr="0099478A" w14:paraId="0973FA5B" w14:textId="77777777" w:rsidTr="004A5A18">
        <w:tc>
          <w:tcPr>
            <w:tcW w:w="3595" w:type="dxa"/>
          </w:tcPr>
          <w:p w14:paraId="244E0185" w14:textId="71ACD73C" w:rsidR="00085297" w:rsidRPr="0099478A" w:rsidRDefault="00085297" w:rsidP="00085297">
            <w:pPr>
              <w:rPr>
                <w:color w:val="auto"/>
                <w:sz w:val="22"/>
                <w:szCs w:val="22"/>
              </w:rPr>
            </w:pPr>
            <w:r w:rsidRPr="0099478A">
              <w:rPr>
                <w:color w:val="auto"/>
                <w:sz w:val="22"/>
                <w:szCs w:val="22"/>
              </w:rPr>
              <w:t>Study population</w:t>
            </w:r>
          </w:p>
        </w:tc>
        <w:tc>
          <w:tcPr>
            <w:tcW w:w="5421" w:type="dxa"/>
            <w:gridSpan w:val="2"/>
          </w:tcPr>
          <w:p w14:paraId="67B1A504" w14:textId="50EE685D" w:rsidR="00085297" w:rsidRPr="0099478A" w:rsidRDefault="00085297" w:rsidP="00085297">
            <w:pPr>
              <w:jc w:val="center"/>
              <w:rPr>
                <w:color w:val="auto"/>
                <w:sz w:val="22"/>
                <w:szCs w:val="22"/>
              </w:rPr>
            </w:pPr>
            <w:r w:rsidRPr="0099478A">
              <w:rPr>
                <w:color w:val="auto"/>
                <w:sz w:val="22"/>
                <w:szCs w:val="22"/>
              </w:rPr>
              <w:t>Adolescent and adult patients with NMO or NMOSD, treated with stable IST</w:t>
            </w:r>
          </w:p>
          <w:p w14:paraId="2848BC7E" w14:textId="7891A03C" w:rsidR="00085297" w:rsidRPr="0099478A" w:rsidRDefault="00085297" w:rsidP="00085297">
            <w:pPr>
              <w:jc w:val="center"/>
              <w:rPr>
                <w:color w:val="auto"/>
                <w:sz w:val="22"/>
                <w:szCs w:val="22"/>
              </w:rPr>
            </w:pPr>
            <w:r w:rsidRPr="0099478A">
              <w:rPr>
                <w:color w:val="auto"/>
                <w:sz w:val="22"/>
                <w:szCs w:val="22"/>
              </w:rPr>
              <w:t xml:space="preserve">Age 12-74 years, ≥ 2 relapses in </w:t>
            </w:r>
            <w:r w:rsidR="002F3A92">
              <w:rPr>
                <w:color w:val="auto"/>
                <w:sz w:val="22"/>
                <w:szCs w:val="22"/>
              </w:rPr>
              <w:t xml:space="preserve">the </w:t>
            </w:r>
            <w:r w:rsidRPr="0099478A">
              <w:rPr>
                <w:color w:val="auto"/>
                <w:sz w:val="22"/>
                <w:szCs w:val="22"/>
              </w:rPr>
              <w:t>last 2 years prior screening (with at least one relapse in the 12 months prior to screening), EDSS of 0 to 6.5</w:t>
            </w:r>
          </w:p>
        </w:tc>
      </w:tr>
      <w:tr w:rsidR="00085297" w:rsidRPr="0099478A" w14:paraId="6C09C8A2" w14:textId="77777777" w:rsidTr="004A5A18">
        <w:tc>
          <w:tcPr>
            <w:tcW w:w="3595" w:type="dxa"/>
          </w:tcPr>
          <w:p w14:paraId="46E7E8F2" w14:textId="77777777" w:rsidR="00085297" w:rsidRPr="0099478A" w:rsidRDefault="00085297" w:rsidP="00085297">
            <w:pPr>
              <w:rPr>
                <w:color w:val="auto"/>
                <w:sz w:val="22"/>
                <w:szCs w:val="22"/>
              </w:rPr>
            </w:pPr>
            <w:r w:rsidRPr="0099478A">
              <w:rPr>
                <w:color w:val="auto"/>
                <w:sz w:val="22"/>
                <w:szCs w:val="22"/>
              </w:rPr>
              <w:t>Study duration for efficacy</w:t>
            </w:r>
          </w:p>
          <w:p w14:paraId="41581A99" w14:textId="49E05CE9" w:rsidR="00085297" w:rsidRPr="0099478A" w:rsidRDefault="00085297" w:rsidP="00085297">
            <w:pPr>
              <w:rPr>
                <w:color w:val="auto"/>
                <w:sz w:val="22"/>
                <w:szCs w:val="22"/>
              </w:rPr>
            </w:pPr>
            <w:r w:rsidRPr="0099478A">
              <w:rPr>
                <w:color w:val="auto"/>
                <w:sz w:val="22"/>
                <w:szCs w:val="22"/>
              </w:rPr>
              <w:t>evaluation</w:t>
            </w:r>
          </w:p>
        </w:tc>
        <w:tc>
          <w:tcPr>
            <w:tcW w:w="5421" w:type="dxa"/>
            <w:gridSpan w:val="2"/>
          </w:tcPr>
          <w:p w14:paraId="5C3884A6" w14:textId="71DB9144" w:rsidR="00085297" w:rsidRPr="0099478A" w:rsidRDefault="00085297" w:rsidP="00085297">
            <w:pPr>
              <w:jc w:val="center"/>
              <w:rPr>
                <w:color w:val="auto"/>
                <w:sz w:val="22"/>
                <w:szCs w:val="22"/>
              </w:rPr>
            </w:pPr>
            <w:r w:rsidRPr="0099478A">
              <w:rPr>
                <w:color w:val="auto"/>
                <w:sz w:val="22"/>
                <w:szCs w:val="22"/>
              </w:rPr>
              <w:t>Event-driven (26 CEC confirmed protocol-defined relapses)</w:t>
            </w:r>
          </w:p>
          <w:p w14:paraId="7F45BE53" w14:textId="77777777" w:rsidR="00085297" w:rsidRPr="0099478A" w:rsidRDefault="00085297" w:rsidP="00085297">
            <w:pPr>
              <w:jc w:val="center"/>
              <w:rPr>
                <w:color w:val="auto"/>
                <w:sz w:val="22"/>
                <w:szCs w:val="22"/>
              </w:rPr>
            </w:pPr>
            <w:r w:rsidRPr="0099478A">
              <w:rPr>
                <w:color w:val="auto"/>
                <w:sz w:val="22"/>
                <w:szCs w:val="22"/>
              </w:rPr>
              <w:t xml:space="preserve">Median follow-up time: </w:t>
            </w:r>
            <w:proofErr w:type="spellStart"/>
            <w:r w:rsidRPr="0099478A">
              <w:rPr>
                <w:color w:val="auto"/>
                <w:sz w:val="22"/>
                <w:szCs w:val="22"/>
              </w:rPr>
              <w:t>Enspryng</w:t>
            </w:r>
            <w:proofErr w:type="spellEnd"/>
            <w:r w:rsidRPr="0099478A">
              <w:rPr>
                <w:color w:val="auto"/>
                <w:sz w:val="22"/>
                <w:szCs w:val="22"/>
              </w:rPr>
              <w:t xml:space="preserve"> 100 weeks, placebo 74</w:t>
            </w:r>
          </w:p>
          <w:p w14:paraId="060795C8" w14:textId="31A3772E" w:rsidR="00085297" w:rsidRPr="0099478A" w:rsidRDefault="00085297" w:rsidP="00085297">
            <w:pPr>
              <w:jc w:val="center"/>
              <w:rPr>
                <w:color w:val="auto"/>
                <w:sz w:val="22"/>
                <w:szCs w:val="22"/>
              </w:rPr>
            </w:pPr>
            <w:r w:rsidRPr="0099478A">
              <w:rPr>
                <w:color w:val="auto"/>
                <w:sz w:val="22"/>
                <w:szCs w:val="22"/>
              </w:rPr>
              <w:t>weeks</w:t>
            </w:r>
          </w:p>
        </w:tc>
      </w:tr>
      <w:tr w:rsidR="00085297" w:rsidRPr="0099478A" w14:paraId="79F7CF18" w14:textId="77777777" w:rsidTr="004A5A18">
        <w:tc>
          <w:tcPr>
            <w:tcW w:w="3595" w:type="dxa"/>
          </w:tcPr>
          <w:p w14:paraId="312E3000" w14:textId="77777777" w:rsidR="00085297" w:rsidRPr="0099478A" w:rsidRDefault="00085297" w:rsidP="00085297">
            <w:pPr>
              <w:rPr>
                <w:color w:val="auto"/>
                <w:sz w:val="22"/>
                <w:szCs w:val="22"/>
              </w:rPr>
            </w:pPr>
            <w:r w:rsidRPr="0099478A">
              <w:rPr>
                <w:color w:val="auto"/>
                <w:sz w:val="22"/>
                <w:szCs w:val="22"/>
              </w:rPr>
              <w:t>Treatment groups, in 1:1</w:t>
            </w:r>
          </w:p>
          <w:p w14:paraId="4E62EAC8" w14:textId="53F43815" w:rsidR="00085297" w:rsidRPr="0099478A" w:rsidRDefault="00085297" w:rsidP="00085297">
            <w:pPr>
              <w:rPr>
                <w:color w:val="auto"/>
                <w:sz w:val="22"/>
                <w:szCs w:val="22"/>
              </w:rPr>
            </w:pPr>
            <w:r w:rsidRPr="0099478A">
              <w:rPr>
                <w:color w:val="auto"/>
                <w:sz w:val="22"/>
                <w:szCs w:val="22"/>
              </w:rPr>
              <w:t>randomisation</w:t>
            </w:r>
          </w:p>
        </w:tc>
        <w:tc>
          <w:tcPr>
            <w:tcW w:w="5421" w:type="dxa"/>
            <w:gridSpan w:val="2"/>
          </w:tcPr>
          <w:p w14:paraId="52BF4B3B" w14:textId="77777777" w:rsidR="00085297" w:rsidRPr="0099478A" w:rsidRDefault="00085297" w:rsidP="00085297">
            <w:pPr>
              <w:jc w:val="center"/>
              <w:rPr>
                <w:color w:val="auto"/>
                <w:sz w:val="22"/>
                <w:szCs w:val="22"/>
              </w:rPr>
            </w:pPr>
            <w:r w:rsidRPr="0099478A">
              <w:rPr>
                <w:color w:val="auto"/>
                <w:sz w:val="22"/>
                <w:szCs w:val="22"/>
              </w:rPr>
              <w:t xml:space="preserve">Group A: </w:t>
            </w:r>
            <w:proofErr w:type="spellStart"/>
            <w:r w:rsidRPr="0099478A">
              <w:rPr>
                <w:color w:val="auto"/>
                <w:sz w:val="22"/>
                <w:szCs w:val="22"/>
              </w:rPr>
              <w:t>Enspryng</w:t>
            </w:r>
            <w:proofErr w:type="spellEnd"/>
            <w:r w:rsidRPr="0099478A">
              <w:rPr>
                <w:color w:val="auto"/>
                <w:sz w:val="22"/>
                <w:szCs w:val="22"/>
              </w:rPr>
              <w:t xml:space="preserve"> 120 mg SC</w:t>
            </w:r>
          </w:p>
          <w:p w14:paraId="7FC9C0D6" w14:textId="0FB60003" w:rsidR="00085297" w:rsidRPr="0099478A" w:rsidRDefault="00085297" w:rsidP="00085297">
            <w:pPr>
              <w:jc w:val="center"/>
              <w:rPr>
                <w:color w:val="auto"/>
                <w:sz w:val="22"/>
                <w:szCs w:val="22"/>
              </w:rPr>
            </w:pPr>
            <w:r w:rsidRPr="0099478A">
              <w:rPr>
                <w:color w:val="auto"/>
                <w:sz w:val="22"/>
                <w:szCs w:val="22"/>
              </w:rPr>
              <w:t>Group B: placebo</w:t>
            </w:r>
          </w:p>
        </w:tc>
      </w:tr>
      <w:tr w:rsidR="00085297" w:rsidRPr="0099478A" w14:paraId="4611D557" w14:textId="77777777" w:rsidTr="004A5A18">
        <w:tc>
          <w:tcPr>
            <w:tcW w:w="3595" w:type="dxa"/>
          </w:tcPr>
          <w:p w14:paraId="32D0C794" w14:textId="1149EA4E" w:rsidR="00085297" w:rsidRPr="0099478A" w:rsidRDefault="00085297" w:rsidP="00B7788C">
            <w:pPr>
              <w:spacing w:before="60" w:after="60"/>
              <w:rPr>
                <w:b/>
                <w:color w:val="auto"/>
                <w:sz w:val="22"/>
                <w:szCs w:val="22"/>
              </w:rPr>
            </w:pPr>
            <w:r w:rsidRPr="0099478A">
              <w:rPr>
                <w:b/>
                <w:color w:val="auto"/>
                <w:sz w:val="22"/>
                <w:szCs w:val="22"/>
              </w:rPr>
              <w:t>Baseline characteristics</w:t>
            </w:r>
          </w:p>
        </w:tc>
        <w:tc>
          <w:tcPr>
            <w:tcW w:w="2700" w:type="dxa"/>
          </w:tcPr>
          <w:p w14:paraId="0E8535FC" w14:textId="523E6C78" w:rsidR="00085297" w:rsidRPr="0099478A" w:rsidRDefault="00085297" w:rsidP="00B7788C">
            <w:pPr>
              <w:spacing w:before="60" w:after="60"/>
              <w:rPr>
                <w:b/>
                <w:color w:val="auto"/>
                <w:sz w:val="22"/>
                <w:szCs w:val="22"/>
              </w:rPr>
            </w:pPr>
            <w:proofErr w:type="spellStart"/>
            <w:r w:rsidRPr="0099478A">
              <w:rPr>
                <w:b/>
                <w:color w:val="auto"/>
                <w:sz w:val="22"/>
                <w:szCs w:val="22"/>
              </w:rPr>
              <w:t>Enspryng</w:t>
            </w:r>
            <w:proofErr w:type="spellEnd"/>
            <w:r w:rsidRPr="0099478A">
              <w:rPr>
                <w:b/>
                <w:color w:val="auto"/>
                <w:sz w:val="22"/>
                <w:szCs w:val="22"/>
              </w:rPr>
              <w:t xml:space="preserve"> + IST (n=41)</w:t>
            </w:r>
          </w:p>
        </w:tc>
        <w:tc>
          <w:tcPr>
            <w:tcW w:w="2721" w:type="dxa"/>
          </w:tcPr>
          <w:p w14:paraId="2774C762" w14:textId="479C9C03" w:rsidR="00085297" w:rsidRPr="0099478A" w:rsidRDefault="00085297" w:rsidP="00B7788C">
            <w:pPr>
              <w:spacing w:before="60" w:after="60"/>
              <w:rPr>
                <w:b/>
                <w:color w:val="auto"/>
                <w:sz w:val="22"/>
                <w:szCs w:val="22"/>
              </w:rPr>
            </w:pPr>
            <w:r w:rsidRPr="0099478A">
              <w:rPr>
                <w:b/>
                <w:color w:val="auto"/>
                <w:sz w:val="22"/>
                <w:szCs w:val="22"/>
              </w:rPr>
              <w:t>Placebo + IST (n=42)</w:t>
            </w:r>
          </w:p>
        </w:tc>
      </w:tr>
      <w:tr w:rsidR="00085297" w:rsidRPr="0099478A" w14:paraId="2F864E62" w14:textId="77777777" w:rsidTr="004A5A18">
        <w:tc>
          <w:tcPr>
            <w:tcW w:w="3595" w:type="dxa"/>
          </w:tcPr>
          <w:p w14:paraId="53259617" w14:textId="77777777" w:rsidR="00085297" w:rsidRPr="0099478A" w:rsidRDefault="00085297" w:rsidP="00085297">
            <w:pPr>
              <w:rPr>
                <w:color w:val="auto"/>
                <w:sz w:val="22"/>
                <w:szCs w:val="22"/>
              </w:rPr>
            </w:pPr>
            <w:r w:rsidRPr="0099478A">
              <w:rPr>
                <w:color w:val="auto"/>
                <w:sz w:val="22"/>
                <w:szCs w:val="22"/>
              </w:rPr>
              <w:t>Diagnosis, n (%):</w:t>
            </w:r>
          </w:p>
          <w:p w14:paraId="63FBC433" w14:textId="2709ABFF" w:rsidR="00085297" w:rsidRPr="0099478A" w:rsidRDefault="004D7848" w:rsidP="00085297">
            <w:pPr>
              <w:rPr>
                <w:color w:val="auto"/>
                <w:sz w:val="22"/>
                <w:szCs w:val="22"/>
              </w:rPr>
            </w:pPr>
            <w:r w:rsidRPr="0099478A">
              <w:rPr>
                <w:color w:val="auto"/>
                <w:sz w:val="22"/>
                <w:szCs w:val="22"/>
              </w:rPr>
              <w:t xml:space="preserve">  </w:t>
            </w:r>
            <w:r w:rsidR="00085297" w:rsidRPr="0099478A">
              <w:rPr>
                <w:color w:val="auto"/>
                <w:sz w:val="22"/>
                <w:szCs w:val="22"/>
              </w:rPr>
              <w:t>NMO</w:t>
            </w:r>
          </w:p>
          <w:p w14:paraId="3532432C" w14:textId="2DFD3E1F" w:rsidR="00085297" w:rsidRPr="0099478A" w:rsidRDefault="004D7848" w:rsidP="00085297">
            <w:pPr>
              <w:rPr>
                <w:color w:val="auto"/>
                <w:sz w:val="22"/>
                <w:szCs w:val="22"/>
              </w:rPr>
            </w:pPr>
            <w:r w:rsidRPr="0099478A">
              <w:rPr>
                <w:color w:val="auto"/>
                <w:sz w:val="22"/>
                <w:szCs w:val="22"/>
              </w:rPr>
              <w:t xml:space="preserve">  </w:t>
            </w:r>
            <w:r w:rsidR="00085297" w:rsidRPr="0099478A">
              <w:rPr>
                <w:color w:val="auto"/>
                <w:sz w:val="22"/>
                <w:szCs w:val="22"/>
              </w:rPr>
              <w:t>NMOSD</w:t>
            </w:r>
          </w:p>
        </w:tc>
        <w:tc>
          <w:tcPr>
            <w:tcW w:w="2700" w:type="dxa"/>
          </w:tcPr>
          <w:p w14:paraId="6661D94E" w14:textId="77777777" w:rsidR="00085297" w:rsidRPr="0099478A" w:rsidRDefault="00085297" w:rsidP="004A5A18">
            <w:pPr>
              <w:jc w:val="center"/>
              <w:rPr>
                <w:color w:val="auto"/>
                <w:sz w:val="22"/>
                <w:szCs w:val="22"/>
              </w:rPr>
            </w:pPr>
          </w:p>
          <w:p w14:paraId="0F0F772C"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33 (80.5)</w:t>
            </w:r>
          </w:p>
          <w:p w14:paraId="6447BD48" w14:textId="5F5B979E" w:rsidR="004A5A18" w:rsidRPr="0099478A" w:rsidRDefault="004A5A18" w:rsidP="004A5A18">
            <w:pPr>
              <w:jc w:val="center"/>
              <w:rPr>
                <w:color w:val="auto"/>
                <w:sz w:val="22"/>
                <w:szCs w:val="22"/>
              </w:rPr>
            </w:pPr>
            <w:r w:rsidRPr="0099478A">
              <w:rPr>
                <w:color w:val="auto"/>
                <w:sz w:val="22"/>
                <w:szCs w:val="22"/>
                <w:lang w:val="en-AU"/>
              </w:rPr>
              <w:t>8 (19.5)</w:t>
            </w:r>
          </w:p>
        </w:tc>
        <w:tc>
          <w:tcPr>
            <w:tcW w:w="2721" w:type="dxa"/>
          </w:tcPr>
          <w:p w14:paraId="262AEDDA" w14:textId="77777777" w:rsidR="00085297" w:rsidRPr="0099478A" w:rsidRDefault="00085297" w:rsidP="004A5A18">
            <w:pPr>
              <w:jc w:val="center"/>
              <w:rPr>
                <w:color w:val="auto"/>
                <w:sz w:val="22"/>
                <w:szCs w:val="22"/>
              </w:rPr>
            </w:pPr>
          </w:p>
          <w:p w14:paraId="3C2F124B"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28 (66.7)</w:t>
            </w:r>
          </w:p>
          <w:p w14:paraId="2F356C3E" w14:textId="74DDA01C" w:rsidR="004A5A18" w:rsidRPr="0099478A" w:rsidRDefault="004A5A18" w:rsidP="004A5A18">
            <w:pPr>
              <w:jc w:val="center"/>
              <w:rPr>
                <w:color w:val="auto"/>
                <w:sz w:val="22"/>
                <w:szCs w:val="22"/>
              </w:rPr>
            </w:pPr>
            <w:r w:rsidRPr="0099478A">
              <w:rPr>
                <w:color w:val="auto"/>
                <w:sz w:val="22"/>
                <w:szCs w:val="22"/>
                <w:lang w:val="en-AU"/>
              </w:rPr>
              <w:t>14 (33.3)</w:t>
            </w:r>
          </w:p>
        </w:tc>
      </w:tr>
      <w:tr w:rsidR="00085297" w:rsidRPr="0099478A" w14:paraId="39247D11" w14:textId="77777777" w:rsidTr="004A5A18">
        <w:tc>
          <w:tcPr>
            <w:tcW w:w="3595" w:type="dxa"/>
          </w:tcPr>
          <w:p w14:paraId="4E79C07F" w14:textId="5E57C5E3" w:rsidR="00085297" w:rsidRPr="0099478A" w:rsidRDefault="00085297" w:rsidP="00085297">
            <w:pPr>
              <w:rPr>
                <w:color w:val="auto"/>
                <w:sz w:val="22"/>
                <w:szCs w:val="22"/>
              </w:rPr>
            </w:pPr>
            <w:r w:rsidRPr="0099478A">
              <w:rPr>
                <w:color w:val="auto"/>
                <w:sz w:val="22"/>
                <w:szCs w:val="22"/>
              </w:rPr>
              <w:t>AQP4-IgG seropositive status, n (%)</w:t>
            </w:r>
          </w:p>
        </w:tc>
        <w:tc>
          <w:tcPr>
            <w:tcW w:w="2700" w:type="dxa"/>
          </w:tcPr>
          <w:p w14:paraId="2FDA9923" w14:textId="556F7E0A" w:rsidR="00085297" w:rsidRPr="0099478A" w:rsidRDefault="004A5A18" w:rsidP="004A5A18">
            <w:pPr>
              <w:jc w:val="center"/>
              <w:rPr>
                <w:color w:val="auto"/>
                <w:sz w:val="22"/>
                <w:szCs w:val="22"/>
              </w:rPr>
            </w:pPr>
            <w:r w:rsidRPr="0099478A">
              <w:rPr>
                <w:color w:val="auto"/>
                <w:sz w:val="22"/>
                <w:szCs w:val="22"/>
              </w:rPr>
              <w:t>27 (65.9)</w:t>
            </w:r>
          </w:p>
        </w:tc>
        <w:tc>
          <w:tcPr>
            <w:tcW w:w="2721" w:type="dxa"/>
          </w:tcPr>
          <w:p w14:paraId="703194C0" w14:textId="335CF3DD" w:rsidR="00085297" w:rsidRPr="0099478A" w:rsidRDefault="004A5A18" w:rsidP="004A5A18">
            <w:pPr>
              <w:jc w:val="center"/>
              <w:rPr>
                <w:color w:val="auto"/>
                <w:sz w:val="22"/>
                <w:szCs w:val="22"/>
              </w:rPr>
            </w:pPr>
            <w:r w:rsidRPr="0099478A">
              <w:rPr>
                <w:color w:val="auto"/>
                <w:sz w:val="22"/>
                <w:szCs w:val="22"/>
              </w:rPr>
              <w:t>28 (66.7)</w:t>
            </w:r>
          </w:p>
        </w:tc>
      </w:tr>
      <w:tr w:rsidR="00085297" w:rsidRPr="0099478A" w14:paraId="441139FD" w14:textId="77777777" w:rsidTr="004A5A18">
        <w:tc>
          <w:tcPr>
            <w:tcW w:w="3595" w:type="dxa"/>
          </w:tcPr>
          <w:p w14:paraId="16893DE6" w14:textId="77777777" w:rsidR="00085297" w:rsidRPr="0099478A" w:rsidRDefault="00085297" w:rsidP="00085297">
            <w:pPr>
              <w:rPr>
                <w:color w:val="auto"/>
                <w:sz w:val="22"/>
                <w:szCs w:val="22"/>
              </w:rPr>
            </w:pPr>
            <w:r w:rsidRPr="0099478A">
              <w:rPr>
                <w:color w:val="auto"/>
                <w:sz w:val="22"/>
                <w:szCs w:val="22"/>
              </w:rPr>
              <w:t>Mean Age in years (SD)</w:t>
            </w:r>
          </w:p>
          <w:p w14:paraId="0D790046" w14:textId="51F5EBD1" w:rsidR="00085297" w:rsidRPr="0099478A" w:rsidRDefault="004D7848" w:rsidP="00085297">
            <w:pPr>
              <w:rPr>
                <w:color w:val="auto"/>
                <w:sz w:val="22"/>
                <w:szCs w:val="22"/>
              </w:rPr>
            </w:pPr>
            <w:r w:rsidRPr="0099478A">
              <w:rPr>
                <w:color w:val="auto"/>
                <w:sz w:val="22"/>
                <w:szCs w:val="22"/>
              </w:rPr>
              <w:t xml:space="preserve">  </w:t>
            </w:r>
            <w:r w:rsidR="00085297" w:rsidRPr="0099478A">
              <w:rPr>
                <w:color w:val="auto"/>
                <w:sz w:val="22"/>
                <w:szCs w:val="22"/>
              </w:rPr>
              <w:t>(Min-Max)</w:t>
            </w:r>
          </w:p>
        </w:tc>
        <w:tc>
          <w:tcPr>
            <w:tcW w:w="2700" w:type="dxa"/>
          </w:tcPr>
          <w:p w14:paraId="38698193" w14:textId="77777777" w:rsidR="004A5A18" w:rsidRPr="0099478A" w:rsidRDefault="004A5A18" w:rsidP="004A5A18">
            <w:pPr>
              <w:jc w:val="center"/>
              <w:rPr>
                <w:color w:val="auto"/>
                <w:sz w:val="22"/>
                <w:szCs w:val="22"/>
              </w:rPr>
            </w:pPr>
            <w:r w:rsidRPr="0099478A">
              <w:rPr>
                <w:color w:val="auto"/>
                <w:sz w:val="22"/>
                <w:szCs w:val="22"/>
              </w:rPr>
              <w:t>40.8 (16.1)</w:t>
            </w:r>
          </w:p>
          <w:p w14:paraId="760C2297" w14:textId="429CB5B3" w:rsidR="00085297" w:rsidRPr="0099478A" w:rsidRDefault="004A5A18" w:rsidP="004A5A18">
            <w:pPr>
              <w:jc w:val="center"/>
              <w:rPr>
                <w:color w:val="auto"/>
                <w:sz w:val="22"/>
                <w:szCs w:val="22"/>
              </w:rPr>
            </w:pPr>
            <w:r w:rsidRPr="0099478A">
              <w:rPr>
                <w:color w:val="auto"/>
                <w:sz w:val="22"/>
                <w:szCs w:val="22"/>
              </w:rPr>
              <w:t>(13 – 73)</w:t>
            </w:r>
          </w:p>
        </w:tc>
        <w:tc>
          <w:tcPr>
            <w:tcW w:w="2721" w:type="dxa"/>
          </w:tcPr>
          <w:p w14:paraId="2DD37802" w14:textId="77777777" w:rsidR="004A5A18" w:rsidRPr="0099478A" w:rsidRDefault="004A5A18" w:rsidP="004A5A18">
            <w:pPr>
              <w:jc w:val="center"/>
              <w:rPr>
                <w:color w:val="auto"/>
                <w:sz w:val="22"/>
                <w:szCs w:val="22"/>
              </w:rPr>
            </w:pPr>
            <w:r w:rsidRPr="0099478A">
              <w:rPr>
                <w:color w:val="auto"/>
                <w:sz w:val="22"/>
                <w:szCs w:val="22"/>
              </w:rPr>
              <w:t>43.4 (12.0)</w:t>
            </w:r>
          </w:p>
          <w:p w14:paraId="4A97FEA7" w14:textId="24AFBDF8" w:rsidR="00085297" w:rsidRPr="0099478A" w:rsidRDefault="004A5A18" w:rsidP="004A5A18">
            <w:pPr>
              <w:jc w:val="center"/>
              <w:rPr>
                <w:color w:val="auto"/>
                <w:sz w:val="22"/>
                <w:szCs w:val="22"/>
              </w:rPr>
            </w:pPr>
            <w:r w:rsidRPr="0099478A">
              <w:rPr>
                <w:color w:val="auto"/>
                <w:sz w:val="22"/>
                <w:szCs w:val="22"/>
              </w:rPr>
              <w:t>(14 – 65)</w:t>
            </w:r>
          </w:p>
        </w:tc>
      </w:tr>
      <w:tr w:rsidR="00085297" w:rsidRPr="0099478A" w14:paraId="32713585" w14:textId="77777777" w:rsidTr="004A5A18">
        <w:tc>
          <w:tcPr>
            <w:tcW w:w="3595" w:type="dxa"/>
          </w:tcPr>
          <w:p w14:paraId="58A2CB0E" w14:textId="60BEA70F" w:rsidR="00085297" w:rsidRPr="0099478A" w:rsidRDefault="00085297" w:rsidP="00085297">
            <w:pPr>
              <w:rPr>
                <w:color w:val="auto"/>
                <w:sz w:val="22"/>
                <w:szCs w:val="22"/>
              </w:rPr>
            </w:pPr>
            <w:r w:rsidRPr="0099478A">
              <w:rPr>
                <w:color w:val="auto"/>
                <w:sz w:val="22"/>
                <w:szCs w:val="22"/>
              </w:rPr>
              <w:t>Adolescents (≥12 to &lt;18 years), n (%)</w:t>
            </w:r>
          </w:p>
        </w:tc>
        <w:tc>
          <w:tcPr>
            <w:tcW w:w="2700" w:type="dxa"/>
          </w:tcPr>
          <w:p w14:paraId="7854B871" w14:textId="1EE3BBCF" w:rsidR="00085297" w:rsidRPr="0099478A" w:rsidRDefault="004A5A18" w:rsidP="004A5A18">
            <w:pPr>
              <w:jc w:val="center"/>
              <w:rPr>
                <w:color w:val="auto"/>
                <w:sz w:val="22"/>
                <w:szCs w:val="22"/>
              </w:rPr>
            </w:pPr>
            <w:r w:rsidRPr="0099478A">
              <w:rPr>
                <w:color w:val="auto"/>
                <w:sz w:val="22"/>
                <w:szCs w:val="22"/>
              </w:rPr>
              <w:t>4 (9.8)</w:t>
            </w:r>
          </w:p>
        </w:tc>
        <w:tc>
          <w:tcPr>
            <w:tcW w:w="2721" w:type="dxa"/>
          </w:tcPr>
          <w:p w14:paraId="6534B784" w14:textId="1246160E" w:rsidR="00085297" w:rsidRPr="0099478A" w:rsidRDefault="004A5A18" w:rsidP="004A5A18">
            <w:pPr>
              <w:jc w:val="center"/>
              <w:rPr>
                <w:color w:val="auto"/>
                <w:sz w:val="22"/>
                <w:szCs w:val="22"/>
              </w:rPr>
            </w:pPr>
            <w:r w:rsidRPr="0099478A">
              <w:rPr>
                <w:color w:val="auto"/>
                <w:sz w:val="22"/>
                <w:szCs w:val="22"/>
              </w:rPr>
              <w:t>3 (7.1)</w:t>
            </w:r>
          </w:p>
        </w:tc>
      </w:tr>
      <w:tr w:rsidR="00085297" w:rsidRPr="0099478A" w14:paraId="2265B7A3" w14:textId="77777777" w:rsidTr="004A5A18">
        <w:tc>
          <w:tcPr>
            <w:tcW w:w="3595" w:type="dxa"/>
          </w:tcPr>
          <w:p w14:paraId="14B739C0" w14:textId="77777777" w:rsidR="00085297" w:rsidRPr="0099478A" w:rsidRDefault="00085297" w:rsidP="00085297">
            <w:pPr>
              <w:rPr>
                <w:color w:val="auto"/>
                <w:sz w:val="22"/>
                <w:szCs w:val="22"/>
              </w:rPr>
            </w:pPr>
            <w:r w:rsidRPr="0099478A">
              <w:rPr>
                <w:color w:val="auto"/>
                <w:sz w:val="22"/>
                <w:szCs w:val="22"/>
              </w:rPr>
              <w:t>Gender distribution,</w:t>
            </w:r>
          </w:p>
          <w:p w14:paraId="47DEBDA2" w14:textId="542F2815" w:rsidR="00085297" w:rsidRPr="0099478A" w:rsidRDefault="00085297" w:rsidP="00085297">
            <w:pPr>
              <w:rPr>
                <w:color w:val="auto"/>
                <w:sz w:val="22"/>
                <w:szCs w:val="22"/>
              </w:rPr>
            </w:pPr>
            <w:r w:rsidRPr="0099478A">
              <w:rPr>
                <w:color w:val="auto"/>
                <w:sz w:val="22"/>
                <w:szCs w:val="22"/>
              </w:rPr>
              <w:t>n (%) male/ n (%) female</w:t>
            </w:r>
          </w:p>
        </w:tc>
        <w:tc>
          <w:tcPr>
            <w:tcW w:w="2700" w:type="dxa"/>
          </w:tcPr>
          <w:p w14:paraId="59166CD9" w14:textId="77777777" w:rsidR="004A5A18" w:rsidRPr="0099478A" w:rsidRDefault="004A5A18" w:rsidP="004A5A18">
            <w:pPr>
              <w:jc w:val="center"/>
              <w:rPr>
                <w:color w:val="auto"/>
                <w:sz w:val="22"/>
                <w:szCs w:val="22"/>
              </w:rPr>
            </w:pPr>
          </w:p>
          <w:p w14:paraId="471DBC21" w14:textId="61A02E20" w:rsidR="00085297" w:rsidRPr="0099478A" w:rsidRDefault="004A5A18" w:rsidP="004A5A18">
            <w:pPr>
              <w:jc w:val="center"/>
              <w:rPr>
                <w:color w:val="auto"/>
                <w:sz w:val="22"/>
                <w:szCs w:val="22"/>
              </w:rPr>
            </w:pPr>
            <w:r w:rsidRPr="0099478A">
              <w:rPr>
                <w:color w:val="auto"/>
                <w:sz w:val="22"/>
                <w:szCs w:val="22"/>
              </w:rPr>
              <w:t>4 (9.8) / 37 (90.2)</w:t>
            </w:r>
          </w:p>
        </w:tc>
        <w:tc>
          <w:tcPr>
            <w:tcW w:w="2721" w:type="dxa"/>
          </w:tcPr>
          <w:p w14:paraId="3DCFABCD" w14:textId="77777777" w:rsidR="004A5A18" w:rsidRPr="0099478A" w:rsidRDefault="004A5A18" w:rsidP="004A5A18">
            <w:pPr>
              <w:jc w:val="center"/>
              <w:rPr>
                <w:color w:val="auto"/>
                <w:sz w:val="22"/>
                <w:szCs w:val="22"/>
              </w:rPr>
            </w:pPr>
          </w:p>
          <w:p w14:paraId="5AC71461" w14:textId="056CE667" w:rsidR="00085297" w:rsidRPr="0099478A" w:rsidRDefault="004A5A18" w:rsidP="004A5A18">
            <w:pPr>
              <w:jc w:val="center"/>
              <w:rPr>
                <w:color w:val="auto"/>
                <w:sz w:val="22"/>
                <w:szCs w:val="22"/>
              </w:rPr>
            </w:pPr>
            <w:r w:rsidRPr="0099478A">
              <w:rPr>
                <w:color w:val="auto"/>
                <w:sz w:val="22"/>
                <w:szCs w:val="22"/>
              </w:rPr>
              <w:t>2 (4.8) / 40 (95.2)</w:t>
            </w:r>
          </w:p>
        </w:tc>
      </w:tr>
      <w:tr w:rsidR="00085297" w:rsidRPr="0099478A" w14:paraId="20E4AE94" w14:textId="77777777" w:rsidTr="004A5A18">
        <w:tc>
          <w:tcPr>
            <w:tcW w:w="3595" w:type="dxa"/>
          </w:tcPr>
          <w:p w14:paraId="5928D3B0" w14:textId="77777777" w:rsidR="00085297" w:rsidRPr="0099478A" w:rsidRDefault="00085297" w:rsidP="00085297">
            <w:pPr>
              <w:rPr>
                <w:color w:val="auto"/>
                <w:sz w:val="22"/>
                <w:szCs w:val="22"/>
              </w:rPr>
            </w:pPr>
            <w:r w:rsidRPr="0099478A">
              <w:rPr>
                <w:color w:val="auto"/>
                <w:sz w:val="22"/>
                <w:szCs w:val="22"/>
              </w:rPr>
              <w:t>Immunosuppressive therapy (IST),</w:t>
            </w:r>
          </w:p>
          <w:p w14:paraId="0E4DF323" w14:textId="77777777" w:rsidR="00085297" w:rsidRPr="0099478A" w:rsidRDefault="00085297" w:rsidP="00085297">
            <w:pPr>
              <w:rPr>
                <w:color w:val="auto"/>
                <w:sz w:val="22"/>
                <w:szCs w:val="22"/>
              </w:rPr>
            </w:pPr>
            <w:r w:rsidRPr="0099478A">
              <w:rPr>
                <w:color w:val="auto"/>
                <w:sz w:val="22"/>
                <w:szCs w:val="22"/>
              </w:rPr>
              <w:t>n (%):</w:t>
            </w:r>
          </w:p>
          <w:p w14:paraId="5F754447" w14:textId="77777777" w:rsidR="00085297" w:rsidRPr="0099478A" w:rsidRDefault="00085297" w:rsidP="00085297">
            <w:pPr>
              <w:rPr>
                <w:color w:val="auto"/>
                <w:sz w:val="22"/>
                <w:szCs w:val="22"/>
              </w:rPr>
            </w:pPr>
            <w:r w:rsidRPr="0099478A">
              <w:rPr>
                <w:color w:val="auto"/>
                <w:sz w:val="22"/>
                <w:szCs w:val="22"/>
              </w:rPr>
              <w:t>Oral corticosteroids (OCs)</w:t>
            </w:r>
          </w:p>
          <w:p w14:paraId="30C94B55" w14:textId="77777777" w:rsidR="00085297" w:rsidRPr="0099478A" w:rsidRDefault="00085297" w:rsidP="00085297">
            <w:pPr>
              <w:rPr>
                <w:color w:val="auto"/>
                <w:sz w:val="22"/>
                <w:szCs w:val="22"/>
              </w:rPr>
            </w:pPr>
            <w:r w:rsidRPr="0099478A">
              <w:rPr>
                <w:color w:val="auto"/>
                <w:sz w:val="22"/>
                <w:szCs w:val="22"/>
              </w:rPr>
              <w:t>Azathioprine (AZA)</w:t>
            </w:r>
          </w:p>
          <w:p w14:paraId="355BD92A" w14:textId="77777777" w:rsidR="00085297" w:rsidRPr="0099478A" w:rsidRDefault="00085297" w:rsidP="00085297">
            <w:pPr>
              <w:rPr>
                <w:color w:val="auto"/>
                <w:sz w:val="22"/>
                <w:szCs w:val="22"/>
              </w:rPr>
            </w:pPr>
            <w:r w:rsidRPr="0099478A">
              <w:rPr>
                <w:color w:val="auto"/>
                <w:sz w:val="22"/>
                <w:szCs w:val="22"/>
              </w:rPr>
              <w:t>Mycophenolate mofetil (MMF)</w:t>
            </w:r>
          </w:p>
          <w:p w14:paraId="1FA6FF92" w14:textId="77777777" w:rsidR="00085297" w:rsidRPr="0099478A" w:rsidRDefault="00085297" w:rsidP="00085297">
            <w:pPr>
              <w:rPr>
                <w:color w:val="auto"/>
                <w:sz w:val="22"/>
                <w:szCs w:val="22"/>
              </w:rPr>
            </w:pPr>
            <w:r w:rsidRPr="0099478A">
              <w:rPr>
                <w:color w:val="auto"/>
                <w:sz w:val="22"/>
                <w:szCs w:val="22"/>
              </w:rPr>
              <w:t>AZA + OCs*</w:t>
            </w:r>
          </w:p>
          <w:p w14:paraId="3342BF5C" w14:textId="64A73950" w:rsidR="00085297" w:rsidRPr="0099478A" w:rsidRDefault="00085297" w:rsidP="00085297">
            <w:pPr>
              <w:rPr>
                <w:color w:val="auto"/>
                <w:sz w:val="22"/>
                <w:szCs w:val="22"/>
              </w:rPr>
            </w:pPr>
            <w:r w:rsidRPr="0099478A">
              <w:rPr>
                <w:color w:val="auto"/>
                <w:sz w:val="22"/>
                <w:szCs w:val="22"/>
              </w:rPr>
              <w:t>MMF + OCs*</w:t>
            </w:r>
          </w:p>
        </w:tc>
        <w:tc>
          <w:tcPr>
            <w:tcW w:w="2700" w:type="dxa"/>
          </w:tcPr>
          <w:p w14:paraId="4F8B009B" w14:textId="77777777" w:rsidR="00085297" w:rsidRPr="0099478A" w:rsidRDefault="00085297" w:rsidP="004A5A18">
            <w:pPr>
              <w:jc w:val="center"/>
              <w:rPr>
                <w:color w:val="auto"/>
                <w:sz w:val="22"/>
                <w:szCs w:val="22"/>
              </w:rPr>
            </w:pPr>
          </w:p>
          <w:p w14:paraId="413B0F88" w14:textId="77777777" w:rsidR="004A5A18" w:rsidRPr="0099478A" w:rsidRDefault="004A5A18" w:rsidP="004A5A18">
            <w:pPr>
              <w:jc w:val="center"/>
              <w:rPr>
                <w:color w:val="auto"/>
                <w:sz w:val="22"/>
                <w:szCs w:val="22"/>
              </w:rPr>
            </w:pPr>
          </w:p>
          <w:p w14:paraId="24F1DDEC"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17 (41.5)</w:t>
            </w:r>
          </w:p>
          <w:p w14:paraId="6DDB782E"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16 (39.0)</w:t>
            </w:r>
          </w:p>
          <w:p w14:paraId="179E6790"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4 (9.8)</w:t>
            </w:r>
          </w:p>
          <w:p w14:paraId="32F7B3B0"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3 (7.3)</w:t>
            </w:r>
          </w:p>
          <w:p w14:paraId="22B3E96A" w14:textId="63B53F80" w:rsidR="004A5A18" w:rsidRPr="0099478A" w:rsidRDefault="004A5A18" w:rsidP="004A5A18">
            <w:pPr>
              <w:jc w:val="center"/>
              <w:rPr>
                <w:color w:val="auto"/>
                <w:sz w:val="22"/>
                <w:szCs w:val="22"/>
              </w:rPr>
            </w:pPr>
            <w:r w:rsidRPr="0099478A">
              <w:rPr>
                <w:color w:val="auto"/>
                <w:sz w:val="22"/>
                <w:szCs w:val="22"/>
                <w:lang w:val="en-AU"/>
              </w:rPr>
              <w:t>1 (2.4)</w:t>
            </w:r>
          </w:p>
        </w:tc>
        <w:tc>
          <w:tcPr>
            <w:tcW w:w="2721" w:type="dxa"/>
          </w:tcPr>
          <w:p w14:paraId="7A1D1CCC" w14:textId="77777777" w:rsidR="00085297" w:rsidRPr="0099478A" w:rsidRDefault="00085297" w:rsidP="004A5A18">
            <w:pPr>
              <w:jc w:val="center"/>
              <w:rPr>
                <w:color w:val="auto"/>
                <w:sz w:val="22"/>
                <w:szCs w:val="22"/>
              </w:rPr>
            </w:pPr>
          </w:p>
          <w:p w14:paraId="2921B92D" w14:textId="77777777" w:rsidR="004A5A18" w:rsidRPr="0099478A" w:rsidRDefault="004A5A18" w:rsidP="004A5A18">
            <w:pPr>
              <w:jc w:val="center"/>
              <w:rPr>
                <w:color w:val="auto"/>
                <w:sz w:val="22"/>
                <w:szCs w:val="22"/>
              </w:rPr>
            </w:pPr>
          </w:p>
          <w:p w14:paraId="70329539"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20 (47.6)</w:t>
            </w:r>
          </w:p>
          <w:p w14:paraId="5F93A610"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13 (31.0)</w:t>
            </w:r>
          </w:p>
          <w:p w14:paraId="3E56A57B"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8 (19.0)</w:t>
            </w:r>
          </w:p>
          <w:p w14:paraId="1D172837" w14:textId="77777777" w:rsidR="004A5A18" w:rsidRPr="0099478A" w:rsidRDefault="004A5A18" w:rsidP="004A5A18">
            <w:pPr>
              <w:autoSpaceDE w:val="0"/>
              <w:autoSpaceDN w:val="0"/>
              <w:adjustRightInd w:val="0"/>
              <w:jc w:val="center"/>
              <w:rPr>
                <w:color w:val="auto"/>
                <w:sz w:val="22"/>
                <w:szCs w:val="22"/>
                <w:lang w:val="en-AU"/>
              </w:rPr>
            </w:pPr>
            <w:r w:rsidRPr="0099478A">
              <w:rPr>
                <w:color w:val="auto"/>
                <w:sz w:val="22"/>
                <w:szCs w:val="22"/>
                <w:lang w:val="en-AU"/>
              </w:rPr>
              <w:t>0</w:t>
            </w:r>
          </w:p>
          <w:p w14:paraId="6B0E5BCD" w14:textId="1C6E993A" w:rsidR="004A5A18" w:rsidRPr="0099478A" w:rsidRDefault="004A5A18" w:rsidP="004A5A18">
            <w:pPr>
              <w:jc w:val="center"/>
              <w:rPr>
                <w:color w:val="auto"/>
                <w:sz w:val="22"/>
                <w:szCs w:val="22"/>
              </w:rPr>
            </w:pPr>
            <w:r w:rsidRPr="0099478A">
              <w:rPr>
                <w:color w:val="auto"/>
                <w:sz w:val="22"/>
                <w:szCs w:val="22"/>
                <w:lang w:val="en-AU"/>
              </w:rPr>
              <w:t>1 (2.4)</w:t>
            </w:r>
          </w:p>
        </w:tc>
      </w:tr>
    </w:tbl>
    <w:p w14:paraId="0CDB0AD5" w14:textId="1CBDD057" w:rsidR="004A5A18" w:rsidRPr="0099478A" w:rsidRDefault="004A5A18" w:rsidP="00085297">
      <w:pPr>
        <w:rPr>
          <w:color w:val="auto"/>
          <w:sz w:val="22"/>
          <w:szCs w:val="22"/>
        </w:rPr>
      </w:pPr>
      <w:r w:rsidRPr="0099478A">
        <w:rPr>
          <w:color w:val="auto"/>
          <w:sz w:val="22"/>
          <w:szCs w:val="22"/>
        </w:rPr>
        <w:t>* Combination allowed for adolescent patients</w:t>
      </w:r>
    </w:p>
    <w:p w14:paraId="4C6A0F6D" w14:textId="77777777" w:rsidR="004A5A18" w:rsidRPr="0099478A" w:rsidRDefault="004A5A18" w:rsidP="00B7788C">
      <w:pPr>
        <w:pStyle w:val="Heading4"/>
        <w:rPr>
          <w:color w:val="auto"/>
        </w:rPr>
      </w:pPr>
      <w:r w:rsidRPr="0099478A">
        <w:rPr>
          <w:color w:val="auto"/>
        </w:rPr>
        <w:t xml:space="preserve">Study BN40900 (also known as SA-309JG or </w:t>
      </w:r>
      <w:proofErr w:type="spellStart"/>
      <w:r w:rsidRPr="0099478A">
        <w:rPr>
          <w:color w:val="auto"/>
        </w:rPr>
        <w:t>SAkuraStar</w:t>
      </w:r>
      <w:proofErr w:type="spellEnd"/>
      <w:r w:rsidRPr="0099478A">
        <w:rPr>
          <w:color w:val="auto"/>
        </w:rPr>
        <w:t>)</w:t>
      </w:r>
    </w:p>
    <w:p w14:paraId="0F7931A0" w14:textId="30D4AF28" w:rsidR="004A5A18" w:rsidRPr="0099478A" w:rsidRDefault="004A5A18" w:rsidP="004A5A18">
      <w:pPr>
        <w:rPr>
          <w:color w:val="auto"/>
        </w:rPr>
      </w:pPr>
      <w:r w:rsidRPr="0099478A">
        <w:rPr>
          <w:color w:val="auto"/>
        </w:rPr>
        <w:t xml:space="preserve">Study BN40900 was a randomised, multicentre, double-blind, placebo-controlled clinical trial to evaluate the effect of </w:t>
      </w:r>
      <w:proofErr w:type="spellStart"/>
      <w:r w:rsidRPr="0099478A">
        <w:rPr>
          <w:color w:val="auto"/>
        </w:rPr>
        <w:t>Enspryng</w:t>
      </w:r>
      <w:proofErr w:type="spellEnd"/>
      <w:r w:rsidRPr="0099478A">
        <w:rPr>
          <w:color w:val="auto"/>
        </w:rPr>
        <w:t xml:space="preserve"> monotherapy compared to placebo. The study included 95 AQP4-IgG seropositive and seronegative adult patients. Patients received the first 3 single doses of </w:t>
      </w:r>
      <w:proofErr w:type="spellStart"/>
      <w:r w:rsidRPr="0099478A">
        <w:rPr>
          <w:color w:val="auto"/>
        </w:rPr>
        <w:t>Enspryng</w:t>
      </w:r>
      <w:proofErr w:type="spellEnd"/>
      <w:r w:rsidRPr="0099478A">
        <w:rPr>
          <w:color w:val="auto"/>
        </w:rPr>
        <w:t xml:space="preserve"> 120 mg or matching placebo by SC injection in the abdominal or femoral region every 2 weeks for the first 4 weeks and once every 4 weeks thereafter.</w:t>
      </w:r>
    </w:p>
    <w:p w14:paraId="6EE0935F" w14:textId="77777777" w:rsidR="004A5A18" w:rsidRPr="0099478A" w:rsidRDefault="004A5A18" w:rsidP="004A5A18">
      <w:pPr>
        <w:rPr>
          <w:color w:val="auto"/>
        </w:rPr>
      </w:pPr>
    </w:p>
    <w:p w14:paraId="464C7AA2" w14:textId="43D85E62" w:rsidR="004D7848" w:rsidRPr="0099478A" w:rsidRDefault="004A5A18" w:rsidP="004A5A18">
      <w:pPr>
        <w:rPr>
          <w:color w:val="auto"/>
        </w:rPr>
      </w:pPr>
      <w:r w:rsidRPr="0099478A">
        <w:rPr>
          <w:color w:val="auto"/>
        </w:rPr>
        <w:t xml:space="preserve">Study design and baseline characteristics of the study population are presented in Table </w:t>
      </w:r>
      <w:r w:rsidR="00F937E6">
        <w:rPr>
          <w:color w:val="auto"/>
        </w:rPr>
        <w:t>5</w:t>
      </w:r>
      <w:r w:rsidRPr="0099478A">
        <w:rPr>
          <w:color w:val="auto"/>
        </w:rPr>
        <w:t xml:space="preserve">. </w:t>
      </w:r>
    </w:p>
    <w:p w14:paraId="543971CE" w14:textId="77777777" w:rsidR="004D7848" w:rsidRPr="0099478A" w:rsidRDefault="004D7848" w:rsidP="004A5A18">
      <w:pPr>
        <w:rPr>
          <w:color w:val="auto"/>
        </w:rPr>
      </w:pPr>
    </w:p>
    <w:p w14:paraId="59B8A8B9" w14:textId="17A2B62C" w:rsidR="004A5A18" w:rsidRPr="0099478A" w:rsidRDefault="004A5A18" w:rsidP="004A5A18">
      <w:pPr>
        <w:rPr>
          <w:color w:val="auto"/>
        </w:rPr>
      </w:pPr>
      <w:r w:rsidRPr="0099478A">
        <w:rPr>
          <w:color w:val="auto"/>
        </w:rPr>
        <w:t>The double-blind study period for efficacy evaluation ended 1.5 years after the date of randomisation of the last enrolled patient.</w:t>
      </w:r>
      <w:r w:rsidR="004276BB" w:rsidRPr="0099478A">
        <w:rPr>
          <w:color w:val="auto"/>
        </w:rPr>
        <w:t xml:space="preserve"> Patients who experienced a CEC-confirmed PDR during the double-blind period or completed the double-blind period could enter the open-label extension period where all patients received open-label treatment with </w:t>
      </w:r>
      <w:proofErr w:type="spellStart"/>
      <w:r w:rsidR="004276BB" w:rsidRPr="0099478A">
        <w:rPr>
          <w:color w:val="auto"/>
        </w:rPr>
        <w:t>Enspryng</w:t>
      </w:r>
      <w:proofErr w:type="spellEnd"/>
      <w:r w:rsidR="004276BB" w:rsidRPr="0099478A">
        <w:rPr>
          <w:color w:val="auto"/>
        </w:rPr>
        <w:t>.</w:t>
      </w:r>
    </w:p>
    <w:p w14:paraId="452881F3" w14:textId="3549116C" w:rsidR="004A5A18" w:rsidRDefault="004A5A18" w:rsidP="004A5A18">
      <w:pPr>
        <w:rPr>
          <w:color w:val="auto"/>
        </w:rPr>
      </w:pPr>
    </w:p>
    <w:p w14:paraId="4F2E230A" w14:textId="77777777" w:rsidR="003E065E" w:rsidRPr="0099478A" w:rsidRDefault="003E065E" w:rsidP="004A5A18">
      <w:pPr>
        <w:rPr>
          <w:color w:val="auto"/>
        </w:rPr>
      </w:pPr>
    </w:p>
    <w:p w14:paraId="19D21AAE" w14:textId="435A370F" w:rsidR="004A5A18" w:rsidRPr="0099478A" w:rsidRDefault="00B7788C" w:rsidP="0022796C">
      <w:pPr>
        <w:spacing w:after="120"/>
        <w:rPr>
          <w:b/>
          <w:color w:val="auto"/>
        </w:rPr>
      </w:pPr>
      <w:r w:rsidRPr="0099478A">
        <w:rPr>
          <w:b/>
          <w:color w:val="auto"/>
        </w:rPr>
        <w:lastRenderedPageBreak/>
        <w:t xml:space="preserve">Table </w:t>
      </w:r>
      <w:r w:rsidR="00F937E6">
        <w:rPr>
          <w:b/>
          <w:color w:val="auto"/>
        </w:rPr>
        <w:t>5</w:t>
      </w:r>
      <w:r w:rsidR="00A13D49" w:rsidRPr="0099478A">
        <w:rPr>
          <w:b/>
          <w:color w:val="auto"/>
        </w:rPr>
        <w:t>: Study design and baseline c</w:t>
      </w:r>
      <w:r w:rsidR="004A5A18" w:rsidRPr="0099478A">
        <w:rPr>
          <w:b/>
          <w:color w:val="auto"/>
        </w:rPr>
        <w:t>haracteristics for Study BN40900</w:t>
      </w:r>
    </w:p>
    <w:tbl>
      <w:tblPr>
        <w:tblStyle w:val="TableGrid"/>
        <w:tblW w:w="0" w:type="auto"/>
        <w:tblInd w:w="0" w:type="dxa"/>
        <w:tblLook w:val="04A0" w:firstRow="1" w:lastRow="0" w:firstColumn="1" w:lastColumn="0" w:noHBand="0" w:noVBand="1"/>
      </w:tblPr>
      <w:tblGrid>
        <w:gridCol w:w="3595"/>
        <w:gridCol w:w="2700"/>
        <w:gridCol w:w="2721"/>
      </w:tblGrid>
      <w:tr w:rsidR="004A5A18" w:rsidRPr="0099478A" w14:paraId="53843CBC" w14:textId="77777777" w:rsidTr="00595DAE">
        <w:tc>
          <w:tcPr>
            <w:tcW w:w="3595" w:type="dxa"/>
          </w:tcPr>
          <w:p w14:paraId="2C5638EA" w14:textId="77777777" w:rsidR="004A5A18" w:rsidRPr="0099478A" w:rsidRDefault="004A5A18" w:rsidP="00B7788C">
            <w:pPr>
              <w:spacing w:before="60" w:after="60"/>
              <w:jc w:val="center"/>
              <w:rPr>
                <w:b/>
                <w:color w:val="auto"/>
                <w:sz w:val="22"/>
                <w:szCs w:val="22"/>
              </w:rPr>
            </w:pPr>
            <w:r w:rsidRPr="0099478A">
              <w:rPr>
                <w:b/>
                <w:color w:val="auto"/>
                <w:sz w:val="22"/>
                <w:szCs w:val="22"/>
              </w:rPr>
              <w:t>Study Name</w:t>
            </w:r>
          </w:p>
        </w:tc>
        <w:tc>
          <w:tcPr>
            <w:tcW w:w="5421" w:type="dxa"/>
            <w:gridSpan w:val="2"/>
          </w:tcPr>
          <w:p w14:paraId="02D2293A" w14:textId="23A09691" w:rsidR="004A5A18" w:rsidRPr="0099478A" w:rsidRDefault="004A5A18" w:rsidP="00B7788C">
            <w:pPr>
              <w:spacing w:before="60" w:after="60"/>
              <w:jc w:val="center"/>
              <w:rPr>
                <w:b/>
                <w:color w:val="auto"/>
                <w:sz w:val="22"/>
                <w:szCs w:val="22"/>
              </w:rPr>
            </w:pPr>
            <w:r w:rsidRPr="0099478A">
              <w:rPr>
                <w:b/>
                <w:color w:val="auto"/>
                <w:sz w:val="22"/>
                <w:szCs w:val="22"/>
              </w:rPr>
              <w:t>Study BN40900 (</w:t>
            </w:r>
            <w:r w:rsidR="001D5552" w:rsidRPr="0099478A">
              <w:rPr>
                <w:b/>
                <w:color w:val="auto"/>
                <w:sz w:val="22"/>
                <w:szCs w:val="22"/>
              </w:rPr>
              <w:t>n</w:t>
            </w:r>
            <w:r w:rsidRPr="0099478A">
              <w:rPr>
                <w:b/>
                <w:color w:val="auto"/>
                <w:sz w:val="22"/>
                <w:szCs w:val="22"/>
              </w:rPr>
              <w:t>=95)</w:t>
            </w:r>
          </w:p>
        </w:tc>
      </w:tr>
      <w:tr w:rsidR="004A5A18" w:rsidRPr="0099478A" w14:paraId="056A0380" w14:textId="77777777" w:rsidTr="00595DAE">
        <w:tc>
          <w:tcPr>
            <w:tcW w:w="9016" w:type="dxa"/>
            <w:gridSpan w:val="3"/>
          </w:tcPr>
          <w:p w14:paraId="131AC7A7" w14:textId="77777777" w:rsidR="004A5A18" w:rsidRPr="0099478A" w:rsidRDefault="004A5A18" w:rsidP="00B7788C">
            <w:pPr>
              <w:spacing w:before="60" w:after="60"/>
              <w:jc w:val="center"/>
              <w:rPr>
                <w:b/>
                <w:color w:val="auto"/>
                <w:sz w:val="22"/>
                <w:szCs w:val="22"/>
              </w:rPr>
            </w:pPr>
            <w:r w:rsidRPr="0099478A">
              <w:rPr>
                <w:b/>
                <w:color w:val="auto"/>
                <w:sz w:val="22"/>
                <w:szCs w:val="22"/>
              </w:rPr>
              <w:t>Study Design</w:t>
            </w:r>
          </w:p>
        </w:tc>
      </w:tr>
      <w:tr w:rsidR="004A5A18" w:rsidRPr="0099478A" w14:paraId="5141E2F0" w14:textId="77777777" w:rsidTr="00595DAE">
        <w:tc>
          <w:tcPr>
            <w:tcW w:w="3595" w:type="dxa"/>
          </w:tcPr>
          <w:p w14:paraId="4F14F0F5" w14:textId="77777777" w:rsidR="004A5A18" w:rsidRPr="0099478A" w:rsidRDefault="004A5A18" w:rsidP="00595DAE">
            <w:pPr>
              <w:rPr>
                <w:color w:val="auto"/>
                <w:sz w:val="22"/>
                <w:szCs w:val="22"/>
              </w:rPr>
            </w:pPr>
            <w:r w:rsidRPr="0099478A">
              <w:rPr>
                <w:color w:val="auto"/>
                <w:sz w:val="22"/>
                <w:szCs w:val="22"/>
              </w:rPr>
              <w:t>Study population</w:t>
            </w:r>
          </w:p>
        </w:tc>
        <w:tc>
          <w:tcPr>
            <w:tcW w:w="5421" w:type="dxa"/>
            <w:gridSpan w:val="2"/>
          </w:tcPr>
          <w:p w14:paraId="3609F3A4" w14:textId="77777777" w:rsidR="004A5A18" w:rsidRPr="0099478A" w:rsidRDefault="004A5A18" w:rsidP="004A5A18">
            <w:pPr>
              <w:jc w:val="center"/>
              <w:rPr>
                <w:color w:val="auto"/>
                <w:sz w:val="22"/>
                <w:szCs w:val="22"/>
              </w:rPr>
            </w:pPr>
            <w:r w:rsidRPr="0099478A">
              <w:rPr>
                <w:color w:val="auto"/>
                <w:sz w:val="22"/>
                <w:szCs w:val="22"/>
              </w:rPr>
              <w:t>Adult patients with NMO or NMOSD</w:t>
            </w:r>
          </w:p>
          <w:p w14:paraId="763458DC" w14:textId="3D346E34" w:rsidR="004A5A18" w:rsidRPr="0099478A" w:rsidRDefault="004A5A18" w:rsidP="004A5A18">
            <w:pPr>
              <w:jc w:val="center"/>
              <w:rPr>
                <w:color w:val="auto"/>
                <w:sz w:val="22"/>
                <w:szCs w:val="22"/>
              </w:rPr>
            </w:pPr>
            <w:r w:rsidRPr="0099478A">
              <w:rPr>
                <w:color w:val="auto"/>
                <w:sz w:val="22"/>
                <w:szCs w:val="22"/>
              </w:rPr>
              <w:t>Age 18-74 years, ≥ 1 relapse or first attack in last 12 months prior to screening, EDSS of 0 to 6.5. Patients either received prior relapse prevention treatment for NMOSD or were treatment naïve.</w:t>
            </w:r>
          </w:p>
        </w:tc>
      </w:tr>
      <w:tr w:rsidR="004A5A18" w:rsidRPr="0099478A" w14:paraId="191FA318" w14:textId="77777777" w:rsidTr="00595DAE">
        <w:tc>
          <w:tcPr>
            <w:tcW w:w="3595" w:type="dxa"/>
          </w:tcPr>
          <w:p w14:paraId="67ABE422" w14:textId="77777777" w:rsidR="004A5A18" w:rsidRPr="0099478A" w:rsidRDefault="004A5A18" w:rsidP="00595DAE">
            <w:pPr>
              <w:rPr>
                <w:color w:val="auto"/>
                <w:sz w:val="22"/>
                <w:szCs w:val="22"/>
              </w:rPr>
            </w:pPr>
            <w:r w:rsidRPr="0099478A">
              <w:rPr>
                <w:color w:val="auto"/>
                <w:sz w:val="22"/>
                <w:szCs w:val="22"/>
              </w:rPr>
              <w:t>Study duration for efficacy</w:t>
            </w:r>
          </w:p>
          <w:p w14:paraId="485BC91D" w14:textId="77777777" w:rsidR="004A5A18" w:rsidRPr="0099478A" w:rsidRDefault="004A5A18" w:rsidP="00595DAE">
            <w:pPr>
              <w:rPr>
                <w:color w:val="auto"/>
                <w:sz w:val="22"/>
                <w:szCs w:val="22"/>
              </w:rPr>
            </w:pPr>
            <w:r w:rsidRPr="0099478A">
              <w:rPr>
                <w:color w:val="auto"/>
                <w:sz w:val="22"/>
                <w:szCs w:val="22"/>
              </w:rPr>
              <w:t>evaluation</w:t>
            </w:r>
          </w:p>
        </w:tc>
        <w:tc>
          <w:tcPr>
            <w:tcW w:w="5421" w:type="dxa"/>
            <w:gridSpan w:val="2"/>
          </w:tcPr>
          <w:p w14:paraId="043F326F" w14:textId="0D0B4036" w:rsidR="004A5A18" w:rsidRPr="0099478A" w:rsidRDefault="004A5A18" w:rsidP="004A5A18">
            <w:pPr>
              <w:jc w:val="center"/>
              <w:rPr>
                <w:color w:val="auto"/>
                <w:sz w:val="22"/>
                <w:szCs w:val="22"/>
              </w:rPr>
            </w:pPr>
            <w:r w:rsidRPr="0099478A">
              <w:rPr>
                <w:color w:val="auto"/>
                <w:sz w:val="22"/>
                <w:szCs w:val="22"/>
              </w:rPr>
              <w:t>Event-driven (44 CEC confirmed protocol-defined relapses, or 1.5</w:t>
            </w:r>
            <w:r w:rsidRPr="0099478A">
              <w:rPr>
                <w:color w:val="auto"/>
              </w:rPr>
              <w:t xml:space="preserve"> </w:t>
            </w:r>
            <w:r w:rsidRPr="0099478A">
              <w:rPr>
                <w:color w:val="auto"/>
                <w:sz w:val="22"/>
                <w:szCs w:val="22"/>
              </w:rPr>
              <w:t>years after the date of randomisation of the last patient enrolled, whichever comes first)</w:t>
            </w:r>
          </w:p>
          <w:p w14:paraId="19D19A78" w14:textId="63B5C87A" w:rsidR="004A5A18" w:rsidRPr="0099478A" w:rsidRDefault="004A5A18" w:rsidP="004A5A18">
            <w:pPr>
              <w:jc w:val="center"/>
              <w:rPr>
                <w:color w:val="auto"/>
                <w:sz w:val="22"/>
                <w:szCs w:val="22"/>
              </w:rPr>
            </w:pPr>
            <w:r w:rsidRPr="0099478A">
              <w:rPr>
                <w:color w:val="auto"/>
                <w:sz w:val="22"/>
                <w:szCs w:val="22"/>
              </w:rPr>
              <w:t xml:space="preserve">Median follow-up time: </w:t>
            </w:r>
            <w:proofErr w:type="spellStart"/>
            <w:r w:rsidRPr="0099478A">
              <w:rPr>
                <w:color w:val="auto"/>
                <w:sz w:val="22"/>
                <w:szCs w:val="22"/>
              </w:rPr>
              <w:t>Enspryng</w:t>
            </w:r>
            <w:proofErr w:type="spellEnd"/>
            <w:r w:rsidRPr="0099478A">
              <w:rPr>
                <w:color w:val="auto"/>
                <w:sz w:val="22"/>
                <w:szCs w:val="22"/>
              </w:rPr>
              <w:t xml:space="preserve"> 95.4 weeks, placebo 60.5 weeks</w:t>
            </w:r>
          </w:p>
        </w:tc>
      </w:tr>
      <w:tr w:rsidR="004A5A18" w:rsidRPr="0099478A" w14:paraId="08F2594C" w14:textId="77777777" w:rsidTr="00595DAE">
        <w:tc>
          <w:tcPr>
            <w:tcW w:w="3595" w:type="dxa"/>
          </w:tcPr>
          <w:p w14:paraId="6DC09DB7" w14:textId="78B0CB2B" w:rsidR="004A5A18" w:rsidRPr="0099478A" w:rsidRDefault="004A5A18" w:rsidP="00595DAE">
            <w:pPr>
              <w:rPr>
                <w:color w:val="auto"/>
                <w:sz w:val="22"/>
                <w:szCs w:val="22"/>
              </w:rPr>
            </w:pPr>
            <w:r w:rsidRPr="0099478A">
              <w:rPr>
                <w:color w:val="auto"/>
                <w:sz w:val="22"/>
                <w:szCs w:val="22"/>
              </w:rPr>
              <w:t>Treatment groups, in 2:1</w:t>
            </w:r>
          </w:p>
          <w:p w14:paraId="116F790F" w14:textId="77777777" w:rsidR="004A5A18" w:rsidRPr="0099478A" w:rsidRDefault="004A5A18" w:rsidP="00595DAE">
            <w:pPr>
              <w:rPr>
                <w:color w:val="auto"/>
                <w:sz w:val="22"/>
                <w:szCs w:val="22"/>
              </w:rPr>
            </w:pPr>
            <w:r w:rsidRPr="0099478A">
              <w:rPr>
                <w:color w:val="auto"/>
                <w:sz w:val="22"/>
                <w:szCs w:val="22"/>
              </w:rPr>
              <w:t>randomisation</w:t>
            </w:r>
          </w:p>
        </w:tc>
        <w:tc>
          <w:tcPr>
            <w:tcW w:w="5421" w:type="dxa"/>
            <w:gridSpan w:val="2"/>
          </w:tcPr>
          <w:p w14:paraId="78DF56AE" w14:textId="77777777" w:rsidR="004A5A18" w:rsidRPr="0099478A" w:rsidRDefault="004A5A18" w:rsidP="004A5A18">
            <w:pPr>
              <w:jc w:val="center"/>
              <w:rPr>
                <w:color w:val="auto"/>
                <w:sz w:val="22"/>
                <w:szCs w:val="22"/>
              </w:rPr>
            </w:pPr>
            <w:r w:rsidRPr="0099478A">
              <w:rPr>
                <w:color w:val="auto"/>
                <w:sz w:val="22"/>
                <w:szCs w:val="22"/>
              </w:rPr>
              <w:t>Monotherapy:</w:t>
            </w:r>
          </w:p>
          <w:p w14:paraId="2B0D3731" w14:textId="77777777" w:rsidR="004A5A18" w:rsidRPr="0099478A" w:rsidRDefault="004A5A18" w:rsidP="004A5A18">
            <w:pPr>
              <w:jc w:val="center"/>
              <w:rPr>
                <w:color w:val="auto"/>
                <w:sz w:val="22"/>
                <w:szCs w:val="22"/>
              </w:rPr>
            </w:pPr>
            <w:r w:rsidRPr="0099478A">
              <w:rPr>
                <w:color w:val="auto"/>
                <w:sz w:val="22"/>
                <w:szCs w:val="22"/>
              </w:rPr>
              <w:t xml:space="preserve">Group A: </w:t>
            </w:r>
            <w:proofErr w:type="spellStart"/>
            <w:r w:rsidRPr="0099478A">
              <w:rPr>
                <w:color w:val="auto"/>
                <w:sz w:val="22"/>
                <w:szCs w:val="22"/>
              </w:rPr>
              <w:t>Enspryng</w:t>
            </w:r>
            <w:proofErr w:type="spellEnd"/>
            <w:r w:rsidRPr="0099478A">
              <w:rPr>
                <w:color w:val="auto"/>
                <w:sz w:val="22"/>
                <w:szCs w:val="22"/>
              </w:rPr>
              <w:t xml:space="preserve"> 120 mg SC</w:t>
            </w:r>
          </w:p>
          <w:p w14:paraId="6B2BC35B" w14:textId="350B0E85" w:rsidR="004A5A18" w:rsidRPr="0099478A" w:rsidRDefault="004A5A18" w:rsidP="004A5A18">
            <w:pPr>
              <w:jc w:val="center"/>
              <w:rPr>
                <w:color w:val="auto"/>
                <w:sz w:val="22"/>
                <w:szCs w:val="22"/>
              </w:rPr>
            </w:pPr>
            <w:r w:rsidRPr="0099478A">
              <w:rPr>
                <w:color w:val="auto"/>
                <w:sz w:val="22"/>
                <w:szCs w:val="22"/>
              </w:rPr>
              <w:t>Group B: placebo</w:t>
            </w:r>
          </w:p>
        </w:tc>
      </w:tr>
      <w:tr w:rsidR="004A5A18" w:rsidRPr="0099478A" w14:paraId="4E353A3E" w14:textId="77777777" w:rsidTr="00595DAE">
        <w:tc>
          <w:tcPr>
            <w:tcW w:w="3595" w:type="dxa"/>
          </w:tcPr>
          <w:p w14:paraId="545866FD" w14:textId="77777777" w:rsidR="004A5A18" w:rsidRPr="0099478A" w:rsidRDefault="004A5A18" w:rsidP="00B7788C">
            <w:pPr>
              <w:spacing w:before="60" w:after="60"/>
              <w:rPr>
                <w:b/>
                <w:color w:val="auto"/>
                <w:sz w:val="22"/>
                <w:szCs w:val="22"/>
              </w:rPr>
            </w:pPr>
            <w:r w:rsidRPr="0099478A">
              <w:rPr>
                <w:b/>
                <w:color w:val="auto"/>
                <w:sz w:val="22"/>
                <w:szCs w:val="22"/>
              </w:rPr>
              <w:t>Baseline characteristics</w:t>
            </w:r>
          </w:p>
        </w:tc>
        <w:tc>
          <w:tcPr>
            <w:tcW w:w="2700" w:type="dxa"/>
          </w:tcPr>
          <w:p w14:paraId="5E73E275" w14:textId="209CD549" w:rsidR="004A5A18" w:rsidRPr="0099478A" w:rsidRDefault="004A5A18" w:rsidP="00B7788C">
            <w:pPr>
              <w:spacing w:before="60" w:after="60"/>
              <w:jc w:val="center"/>
              <w:rPr>
                <w:b/>
                <w:color w:val="auto"/>
                <w:sz w:val="22"/>
                <w:szCs w:val="22"/>
              </w:rPr>
            </w:pPr>
            <w:proofErr w:type="spellStart"/>
            <w:r w:rsidRPr="0099478A">
              <w:rPr>
                <w:b/>
                <w:color w:val="auto"/>
                <w:sz w:val="22"/>
                <w:szCs w:val="22"/>
              </w:rPr>
              <w:t>Enspryng</w:t>
            </w:r>
            <w:proofErr w:type="spellEnd"/>
            <w:r w:rsidRPr="0099478A">
              <w:rPr>
                <w:b/>
                <w:color w:val="auto"/>
                <w:sz w:val="22"/>
                <w:szCs w:val="22"/>
              </w:rPr>
              <w:t xml:space="preserve"> (</w:t>
            </w:r>
            <w:r w:rsidR="00B7788C" w:rsidRPr="0099478A">
              <w:rPr>
                <w:b/>
                <w:color w:val="auto"/>
                <w:sz w:val="22"/>
                <w:szCs w:val="22"/>
              </w:rPr>
              <w:t>n=</w:t>
            </w:r>
            <w:r w:rsidRPr="0099478A">
              <w:rPr>
                <w:b/>
                <w:color w:val="auto"/>
                <w:sz w:val="22"/>
                <w:szCs w:val="22"/>
              </w:rPr>
              <w:t>63)</w:t>
            </w:r>
          </w:p>
        </w:tc>
        <w:tc>
          <w:tcPr>
            <w:tcW w:w="2721" w:type="dxa"/>
          </w:tcPr>
          <w:p w14:paraId="1EC38796" w14:textId="3307C706" w:rsidR="004A5A18" w:rsidRPr="0099478A" w:rsidRDefault="004A5A18" w:rsidP="00B7788C">
            <w:pPr>
              <w:spacing w:before="60" w:after="60"/>
              <w:jc w:val="center"/>
              <w:rPr>
                <w:b/>
                <w:color w:val="auto"/>
                <w:sz w:val="22"/>
                <w:szCs w:val="22"/>
              </w:rPr>
            </w:pPr>
            <w:r w:rsidRPr="0099478A">
              <w:rPr>
                <w:b/>
                <w:color w:val="auto"/>
                <w:sz w:val="22"/>
                <w:szCs w:val="22"/>
              </w:rPr>
              <w:t>Placebo (n=32)</w:t>
            </w:r>
          </w:p>
        </w:tc>
      </w:tr>
      <w:tr w:rsidR="004A5A18" w:rsidRPr="0099478A" w14:paraId="2F9C9D45" w14:textId="77777777" w:rsidTr="00595DAE">
        <w:tc>
          <w:tcPr>
            <w:tcW w:w="3595" w:type="dxa"/>
          </w:tcPr>
          <w:p w14:paraId="6B083191" w14:textId="77777777" w:rsidR="004A5A18" w:rsidRPr="0099478A" w:rsidRDefault="004A5A18" w:rsidP="00595DAE">
            <w:pPr>
              <w:rPr>
                <w:color w:val="auto"/>
                <w:sz w:val="22"/>
                <w:szCs w:val="22"/>
              </w:rPr>
            </w:pPr>
            <w:r w:rsidRPr="0099478A">
              <w:rPr>
                <w:color w:val="auto"/>
                <w:sz w:val="22"/>
                <w:szCs w:val="22"/>
              </w:rPr>
              <w:t>Diagnosis, n (%):</w:t>
            </w:r>
          </w:p>
          <w:p w14:paraId="346267BC" w14:textId="2F76578C" w:rsidR="004A5A18" w:rsidRPr="0099478A" w:rsidRDefault="004A5A18" w:rsidP="00595DAE">
            <w:pPr>
              <w:rPr>
                <w:color w:val="auto"/>
                <w:sz w:val="22"/>
                <w:szCs w:val="22"/>
              </w:rPr>
            </w:pPr>
            <w:r w:rsidRPr="0099478A">
              <w:rPr>
                <w:color w:val="auto"/>
                <w:sz w:val="22"/>
                <w:szCs w:val="22"/>
              </w:rPr>
              <w:t xml:space="preserve">  NMO</w:t>
            </w:r>
          </w:p>
          <w:p w14:paraId="3E326C0B" w14:textId="5B27B59E" w:rsidR="004A5A18" w:rsidRPr="0099478A" w:rsidRDefault="004A5A18" w:rsidP="00595DAE">
            <w:pPr>
              <w:rPr>
                <w:color w:val="auto"/>
                <w:sz w:val="22"/>
                <w:szCs w:val="22"/>
              </w:rPr>
            </w:pPr>
            <w:r w:rsidRPr="0099478A">
              <w:rPr>
                <w:color w:val="auto"/>
                <w:sz w:val="22"/>
                <w:szCs w:val="22"/>
              </w:rPr>
              <w:t xml:space="preserve">  NMOSD</w:t>
            </w:r>
          </w:p>
        </w:tc>
        <w:tc>
          <w:tcPr>
            <w:tcW w:w="2700" w:type="dxa"/>
          </w:tcPr>
          <w:p w14:paraId="3090EC23" w14:textId="77777777" w:rsidR="004A5A18" w:rsidRPr="0099478A" w:rsidRDefault="004A5A18" w:rsidP="004A5A18">
            <w:pPr>
              <w:rPr>
                <w:color w:val="auto"/>
                <w:sz w:val="22"/>
                <w:szCs w:val="22"/>
              </w:rPr>
            </w:pPr>
          </w:p>
          <w:p w14:paraId="5EA46F76" w14:textId="77777777" w:rsidR="004A5A18" w:rsidRPr="0099478A" w:rsidRDefault="004A5A18" w:rsidP="004A5A18">
            <w:pPr>
              <w:jc w:val="center"/>
              <w:rPr>
                <w:color w:val="auto"/>
                <w:sz w:val="22"/>
                <w:szCs w:val="22"/>
              </w:rPr>
            </w:pPr>
            <w:r w:rsidRPr="0099478A">
              <w:rPr>
                <w:color w:val="auto"/>
                <w:sz w:val="22"/>
                <w:szCs w:val="22"/>
              </w:rPr>
              <w:t>47 (74.6)</w:t>
            </w:r>
          </w:p>
          <w:p w14:paraId="79207B7E" w14:textId="6554DA5B" w:rsidR="004A5A18" w:rsidRPr="0099478A" w:rsidRDefault="004A5A18" w:rsidP="004A5A18">
            <w:pPr>
              <w:jc w:val="center"/>
              <w:rPr>
                <w:color w:val="auto"/>
                <w:sz w:val="22"/>
                <w:szCs w:val="22"/>
              </w:rPr>
            </w:pPr>
            <w:r w:rsidRPr="0099478A">
              <w:rPr>
                <w:color w:val="auto"/>
                <w:sz w:val="22"/>
                <w:szCs w:val="22"/>
              </w:rPr>
              <w:t>16 (25.4)</w:t>
            </w:r>
          </w:p>
        </w:tc>
        <w:tc>
          <w:tcPr>
            <w:tcW w:w="2721" w:type="dxa"/>
          </w:tcPr>
          <w:p w14:paraId="5C1548AA" w14:textId="77777777" w:rsidR="004A5A18" w:rsidRPr="0099478A" w:rsidRDefault="004A5A18" w:rsidP="00595DAE">
            <w:pPr>
              <w:jc w:val="center"/>
              <w:rPr>
                <w:color w:val="auto"/>
                <w:sz w:val="22"/>
                <w:szCs w:val="22"/>
              </w:rPr>
            </w:pPr>
          </w:p>
          <w:p w14:paraId="22631E20" w14:textId="77777777" w:rsidR="004A5A18" w:rsidRPr="0099478A" w:rsidRDefault="004A5A18" w:rsidP="004A5A18">
            <w:pPr>
              <w:jc w:val="center"/>
              <w:rPr>
                <w:color w:val="auto"/>
                <w:sz w:val="22"/>
                <w:szCs w:val="22"/>
              </w:rPr>
            </w:pPr>
            <w:r w:rsidRPr="0099478A">
              <w:rPr>
                <w:color w:val="auto"/>
                <w:sz w:val="22"/>
                <w:szCs w:val="22"/>
              </w:rPr>
              <w:t>24 (75.0)</w:t>
            </w:r>
          </w:p>
          <w:p w14:paraId="345B5A1B" w14:textId="4F876CF8" w:rsidR="004A5A18" w:rsidRPr="0099478A" w:rsidRDefault="004A5A18" w:rsidP="004A5A18">
            <w:pPr>
              <w:jc w:val="center"/>
              <w:rPr>
                <w:color w:val="auto"/>
                <w:sz w:val="22"/>
                <w:szCs w:val="22"/>
              </w:rPr>
            </w:pPr>
            <w:r w:rsidRPr="0099478A">
              <w:rPr>
                <w:color w:val="auto"/>
                <w:sz w:val="22"/>
                <w:szCs w:val="22"/>
              </w:rPr>
              <w:t>8 (25.0)</w:t>
            </w:r>
          </w:p>
        </w:tc>
      </w:tr>
      <w:tr w:rsidR="004A5A18" w:rsidRPr="0099478A" w14:paraId="490EFFE5" w14:textId="77777777" w:rsidTr="00595DAE">
        <w:tc>
          <w:tcPr>
            <w:tcW w:w="3595" w:type="dxa"/>
          </w:tcPr>
          <w:p w14:paraId="264A2347" w14:textId="77777777" w:rsidR="004A5A18" w:rsidRPr="0099478A" w:rsidRDefault="004A5A18" w:rsidP="00595DAE">
            <w:pPr>
              <w:rPr>
                <w:color w:val="auto"/>
                <w:sz w:val="22"/>
                <w:szCs w:val="22"/>
              </w:rPr>
            </w:pPr>
            <w:r w:rsidRPr="0099478A">
              <w:rPr>
                <w:color w:val="auto"/>
                <w:sz w:val="22"/>
                <w:szCs w:val="22"/>
              </w:rPr>
              <w:t>AQP4-IgG seropositive status, n (%)</w:t>
            </w:r>
          </w:p>
        </w:tc>
        <w:tc>
          <w:tcPr>
            <w:tcW w:w="2700" w:type="dxa"/>
          </w:tcPr>
          <w:p w14:paraId="05383203" w14:textId="28D92F2E" w:rsidR="004A5A18" w:rsidRPr="0099478A" w:rsidRDefault="004A5A18" w:rsidP="00595DAE">
            <w:pPr>
              <w:jc w:val="center"/>
              <w:rPr>
                <w:color w:val="auto"/>
                <w:sz w:val="22"/>
                <w:szCs w:val="22"/>
              </w:rPr>
            </w:pPr>
            <w:r w:rsidRPr="0099478A">
              <w:rPr>
                <w:color w:val="auto"/>
                <w:sz w:val="22"/>
                <w:szCs w:val="22"/>
              </w:rPr>
              <w:t>41 (65.1)</w:t>
            </w:r>
          </w:p>
        </w:tc>
        <w:tc>
          <w:tcPr>
            <w:tcW w:w="2721" w:type="dxa"/>
          </w:tcPr>
          <w:p w14:paraId="57E3610C" w14:textId="4048DE97" w:rsidR="004A5A18" w:rsidRPr="0099478A" w:rsidRDefault="004A5A18" w:rsidP="00595DAE">
            <w:pPr>
              <w:jc w:val="center"/>
              <w:rPr>
                <w:color w:val="auto"/>
                <w:sz w:val="22"/>
                <w:szCs w:val="22"/>
              </w:rPr>
            </w:pPr>
            <w:r w:rsidRPr="0099478A">
              <w:rPr>
                <w:color w:val="auto"/>
                <w:sz w:val="22"/>
                <w:szCs w:val="22"/>
              </w:rPr>
              <w:t>23 (71.9)</w:t>
            </w:r>
          </w:p>
        </w:tc>
      </w:tr>
      <w:tr w:rsidR="004A5A18" w:rsidRPr="0099478A" w14:paraId="5DC8F6CA" w14:textId="77777777" w:rsidTr="00595DAE">
        <w:tc>
          <w:tcPr>
            <w:tcW w:w="3595" w:type="dxa"/>
          </w:tcPr>
          <w:p w14:paraId="5F7BDBAA" w14:textId="77777777" w:rsidR="004A5A18" w:rsidRPr="0099478A" w:rsidRDefault="004A5A18" w:rsidP="00595DAE">
            <w:pPr>
              <w:rPr>
                <w:color w:val="auto"/>
                <w:sz w:val="22"/>
                <w:szCs w:val="22"/>
              </w:rPr>
            </w:pPr>
            <w:r w:rsidRPr="0099478A">
              <w:rPr>
                <w:color w:val="auto"/>
                <w:sz w:val="22"/>
                <w:szCs w:val="22"/>
              </w:rPr>
              <w:t>Mean Age in years (SD)</w:t>
            </w:r>
          </w:p>
          <w:p w14:paraId="2DA7030B" w14:textId="2E28E13C" w:rsidR="004A5A18" w:rsidRPr="0099478A" w:rsidRDefault="004D7848" w:rsidP="00595DAE">
            <w:pPr>
              <w:rPr>
                <w:color w:val="auto"/>
                <w:sz w:val="22"/>
                <w:szCs w:val="22"/>
              </w:rPr>
            </w:pPr>
            <w:r w:rsidRPr="0099478A">
              <w:rPr>
                <w:color w:val="auto"/>
                <w:sz w:val="22"/>
                <w:szCs w:val="22"/>
              </w:rPr>
              <w:t xml:space="preserve">  </w:t>
            </w:r>
            <w:r w:rsidR="004A5A18" w:rsidRPr="0099478A">
              <w:rPr>
                <w:color w:val="auto"/>
                <w:sz w:val="22"/>
                <w:szCs w:val="22"/>
              </w:rPr>
              <w:t>(Min-Max)</w:t>
            </w:r>
          </w:p>
        </w:tc>
        <w:tc>
          <w:tcPr>
            <w:tcW w:w="2700" w:type="dxa"/>
          </w:tcPr>
          <w:p w14:paraId="7ABFBD7E" w14:textId="77777777" w:rsidR="004A5A18" w:rsidRPr="0099478A" w:rsidRDefault="004A5A18" w:rsidP="004A5A18">
            <w:pPr>
              <w:jc w:val="center"/>
              <w:rPr>
                <w:color w:val="auto"/>
                <w:sz w:val="22"/>
                <w:szCs w:val="22"/>
              </w:rPr>
            </w:pPr>
            <w:r w:rsidRPr="0099478A">
              <w:rPr>
                <w:color w:val="auto"/>
                <w:sz w:val="22"/>
                <w:szCs w:val="22"/>
              </w:rPr>
              <w:t>45.3 (12.0)</w:t>
            </w:r>
          </w:p>
          <w:p w14:paraId="756786A8" w14:textId="28D58E20" w:rsidR="004A5A18" w:rsidRPr="0099478A" w:rsidRDefault="004A5A18" w:rsidP="004A5A18">
            <w:pPr>
              <w:jc w:val="center"/>
              <w:rPr>
                <w:color w:val="auto"/>
                <w:sz w:val="22"/>
                <w:szCs w:val="22"/>
              </w:rPr>
            </w:pPr>
            <w:r w:rsidRPr="0099478A">
              <w:rPr>
                <w:color w:val="auto"/>
                <w:sz w:val="22"/>
                <w:szCs w:val="22"/>
              </w:rPr>
              <w:t>(21 – 70)</w:t>
            </w:r>
          </w:p>
        </w:tc>
        <w:tc>
          <w:tcPr>
            <w:tcW w:w="2721" w:type="dxa"/>
          </w:tcPr>
          <w:p w14:paraId="0F845E97" w14:textId="77777777" w:rsidR="004A5A18" w:rsidRPr="0099478A" w:rsidRDefault="004A5A18" w:rsidP="004A5A18">
            <w:pPr>
              <w:jc w:val="center"/>
              <w:rPr>
                <w:color w:val="auto"/>
                <w:sz w:val="22"/>
                <w:szCs w:val="22"/>
              </w:rPr>
            </w:pPr>
            <w:r w:rsidRPr="0099478A">
              <w:rPr>
                <w:color w:val="auto"/>
                <w:sz w:val="22"/>
                <w:szCs w:val="22"/>
              </w:rPr>
              <w:t>40.5 (10.5)</w:t>
            </w:r>
          </w:p>
          <w:p w14:paraId="3870E333" w14:textId="642D6F9D" w:rsidR="004A5A18" w:rsidRPr="0099478A" w:rsidRDefault="004A5A18" w:rsidP="004A5A18">
            <w:pPr>
              <w:jc w:val="center"/>
              <w:rPr>
                <w:color w:val="auto"/>
                <w:sz w:val="22"/>
                <w:szCs w:val="22"/>
              </w:rPr>
            </w:pPr>
            <w:r w:rsidRPr="0099478A">
              <w:rPr>
                <w:color w:val="auto"/>
                <w:sz w:val="22"/>
                <w:szCs w:val="22"/>
              </w:rPr>
              <w:t>(20 – 56)</w:t>
            </w:r>
          </w:p>
        </w:tc>
      </w:tr>
      <w:tr w:rsidR="004A5A18" w:rsidRPr="0099478A" w14:paraId="60008C5B" w14:textId="77777777" w:rsidTr="00595DAE">
        <w:tc>
          <w:tcPr>
            <w:tcW w:w="3595" w:type="dxa"/>
          </w:tcPr>
          <w:p w14:paraId="4B85948C" w14:textId="77777777" w:rsidR="004A5A18" w:rsidRPr="0099478A" w:rsidRDefault="004A5A18" w:rsidP="00595DAE">
            <w:pPr>
              <w:rPr>
                <w:color w:val="auto"/>
                <w:sz w:val="22"/>
                <w:szCs w:val="22"/>
              </w:rPr>
            </w:pPr>
            <w:r w:rsidRPr="0099478A">
              <w:rPr>
                <w:color w:val="auto"/>
                <w:sz w:val="22"/>
                <w:szCs w:val="22"/>
              </w:rPr>
              <w:t>Gender distribution,</w:t>
            </w:r>
          </w:p>
          <w:p w14:paraId="5EA09DCB" w14:textId="77777777" w:rsidR="004A5A18" w:rsidRPr="0099478A" w:rsidRDefault="004A5A18" w:rsidP="00595DAE">
            <w:pPr>
              <w:rPr>
                <w:color w:val="auto"/>
                <w:sz w:val="22"/>
                <w:szCs w:val="22"/>
              </w:rPr>
            </w:pPr>
            <w:r w:rsidRPr="0099478A">
              <w:rPr>
                <w:color w:val="auto"/>
                <w:sz w:val="22"/>
                <w:szCs w:val="22"/>
              </w:rPr>
              <w:t>n (%) male/ n (%) female</w:t>
            </w:r>
          </w:p>
        </w:tc>
        <w:tc>
          <w:tcPr>
            <w:tcW w:w="2700" w:type="dxa"/>
          </w:tcPr>
          <w:p w14:paraId="0F6BC434" w14:textId="77777777" w:rsidR="004A5A18" w:rsidRPr="0099478A" w:rsidRDefault="004A5A18" w:rsidP="00595DAE">
            <w:pPr>
              <w:jc w:val="center"/>
              <w:rPr>
                <w:color w:val="auto"/>
                <w:sz w:val="22"/>
                <w:szCs w:val="22"/>
              </w:rPr>
            </w:pPr>
          </w:p>
          <w:p w14:paraId="69E9B8FB" w14:textId="0A378812" w:rsidR="004A5A18" w:rsidRPr="0099478A" w:rsidRDefault="004A5A18" w:rsidP="00595DAE">
            <w:pPr>
              <w:jc w:val="center"/>
              <w:rPr>
                <w:color w:val="auto"/>
                <w:sz w:val="22"/>
                <w:szCs w:val="22"/>
              </w:rPr>
            </w:pPr>
            <w:r w:rsidRPr="0099478A">
              <w:rPr>
                <w:color w:val="auto"/>
                <w:sz w:val="22"/>
                <w:szCs w:val="22"/>
              </w:rPr>
              <w:t>17 (27.0) / 46 (73.0)</w:t>
            </w:r>
          </w:p>
        </w:tc>
        <w:tc>
          <w:tcPr>
            <w:tcW w:w="2721" w:type="dxa"/>
          </w:tcPr>
          <w:p w14:paraId="4ADAD96B" w14:textId="77777777" w:rsidR="004A5A18" w:rsidRPr="0099478A" w:rsidRDefault="004A5A18" w:rsidP="00595DAE">
            <w:pPr>
              <w:jc w:val="center"/>
              <w:rPr>
                <w:color w:val="auto"/>
                <w:sz w:val="22"/>
                <w:szCs w:val="22"/>
              </w:rPr>
            </w:pPr>
          </w:p>
          <w:p w14:paraId="797A32EC" w14:textId="3152A6EF" w:rsidR="004A5A18" w:rsidRPr="0099478A" w:rsidRDefault="004A5A18" w:rsidP="00595DAE">
            <w:pPr>
              <w:jc w:val="center"/>
              <w:rPr>
                <w:color w:val="auto"/>
                <w:sz w:val="22"/>
                <w:szCs w:val="22"/>
              </w:rPr>
            </w:pPr>
            <w:r w:rsidRPr="0099478A">
              <w:rPr>
                <w:color w:val="auto"/>
                <w:sz w:val="22"/>
                <w:szCs w:val="22"/>
              </w:rPr>
              <w:t>1 (3.1) / 31 (96.9)</w:t>
            </w:r>
          </w:p>
        </w:tc>
      </w:tr>
    </w:tbl>
    <w:p w14:paraId="66EE8C09" w14:textId="0B0CE58F" w:rsidR="004276BB" w:rsidRPr="0099478A" w:rsidRDefault="00B7788C" w:rsidP="00B7788C">
      <w:pPr>
        <w:pStyle w:val="Heading5"/>
        <w:rPr>
          <w:color w:val="auto"/>
        </w:rPr>
      </w:pPr>
      <w:r w:rsidRPr="0099478A">
        <w:rPr>
          <w:color w:val="auto"/>
        </w:rPr>
        <w:t>Primary efficacy</w:t>
      </w:r>
    </w:p>
    <w:p w14:paraId="7F2A59C0" w14:textId="5CEF647A" w:rsidR="00B7788C" w:rsidRPr="0099478A" w:rsidRDefault="004276BB" w:rsidP="004276BB">
      <w:pPr>
        <w:pStyle w:val="Heading6"/>
        <w:rPr>
          <w:color w:val="auto"/>
        </w:rPr>
      </w:pPr>
      <w:r w:rsidRPr="0099478A">
        <w:rPr>
          <w:color w:val="auto"/>
        </w:rPr>
        <w:t>Double-blind period</w:t>
      </w:r>
    </w:p>
    <w:p w14:paraId="16C20A2C" w14:textId="77777777" w:rsidR="00B7788C" w:rsidRPr="0099478A" w:rsidRDefault="00B7788C" w:rsidP="00B7788C">
      <w:pPr>
        <w:rPr>
          <w:color w:val="auto"/>
        </w:rPr>
      </w:pPr>
      <w:r w:rsidRPr="0099478A">
        <w:rPr>
          <w:color w:val="auto"/>
        </w:rPr>
        <w:t xml:space="preserve">Treatment with </w:t>
      </w:r>
      <w:proofErr w:type="spellStart"/>
      <w:r w:rsidRPr="0099478A">
        <w:rPr>
          <w:color w:val="auto"/>
        </w:rPr>
        <w:t>Enspryng</w:t>
      </w:r>
      <w:proofErr w:type="spellEnd"/>
      <w:r w:rsidRPr="0099478A">
        <w:rPr>
          <w:color w:val="auto"/>
        </w:rPr>
        <w:t xml:space="preserve"> resulted in a statistically significant 62% reduction in the risk of</w:t>
      </w:r>
    </w:p>
    <w:p w14:paraId="3CB45973" w14:textId="0507EE7D" w:rsidR="00B7788C" w:rsidRPr="0099478A" w:rsidRDefault="00B7788C" w:rsidP="00B7788C">
      <w:pPr>
        <w:rPr>
          <w:color w:val="auto"/>
        </w:rPr>
      </w:pPr>
      <w:r w:rsidRPr="0099478A">
        <w:rPr>
          <w:color w:val="auto"/>
        </w:rPr>
        <w:t>experiencing an adjudicated relapse (Hazard ratio [HR] [95% CI]: 0.38 [0.16, 0.88]; p [log rank] = 0.0184) when administered in combination with stable IST (study BN40898) and 55% reduction in the risk of adjudicated relapse (HR [95% CI]: 0.45 [0.23, 0.89]; p [log rank] = 0.0184) when used as monotherapy (study BN40900), when compared to placebo.</w:t>
      </w:r>
    </w:p>
    <w:p w14:paraId="4496EA42" w14:textId="77777777" w:rsidR="00B7788C" w:rsidRPr="0099478A" w:rsidRDefault="00B7788C" w:rsidP="00B7788C">
      <w:pPr>
        <w:rPr>
          <w:color w:val="auto"/>
        </w:rPr>
      </w:pPr>
    </w:p>
    <w:p w14:paraId="3C424029" w14:textId="2EC45D7C" w:rsidR="00B7788C" w:rsidRPr="0099478A" w:rsidRDefault="00B7788C" w:rsidP="00B7788C">
      <w:pPr>
        <w:rPr>
          <w:color w:val="auto"/>
        </w:rPr>
      </w:pPr>
      <w:r w:rsidRPr="0099478A">
        <w:rPr>
          <w:color w:val="auto"/>
        </w:rPr>
        <w:t xml:space="preserve">At 48 weeks, 88.9% and 76.1% of </w:t>
      </w:r>
      <w:proofErr w:type="spellStart"/>
      <w:r w:rsidRPr="0099478A">
        <w:rPr>
          <w:color w:val="auto"/>
        </w:rPr>
        <w:t>Enspryng</w:t>
      </w:r>
      <w:proofErr w:type="spellEnd"/>
      <w:r w:rsidRPr="0099478A">
        <w:rPr>
          <w:color w:val="auto"/>
        </w:rPr>
        <w:t>-treated patients</w:t>
      </w:r>
      <w:r w:rsidR="009D2217">
        <w:rPr>
          <w:color w:val="auto"/>
        </w:rPr>
        <w:t xml:space="preserve"> </w:t>
      </w:r>
      <w:r w:rsidR="009D2217" w:rsidRPr="009D2217">
        <w:rPr>
          <w:color w:val="auto"/>
        </w:rPr>
        <w:t>(66.0% and 61.</w:t>
      </w:r>
      <w:r w:rsidR="009D2217">
        <w:rPr>
          <w:color w:val="auto"/>
        </w:rPr>
        <w:t>9% of placebo-treated patients)</w:t>
      </w:r>
      <w:r w:rsidRPr="0099478A">
        <w:rPr>
          <w:color w:val="auto"/>
        </w:rPr>
        <w:t xml:space="preserve"> remained adjudicated relapse-free when used in combination with IST or as monotherapy, respectively. At 96 weeks 77.6% and 72.</w:t>
      </w:r>
      <w:r w:rsidR="009D2217">
        <w:rPr>
          <w:color w:val="auto"/>
        </w:rPr>
        <w:t xml:space="preserve">1% of </w:t>
      </w:r>
      <w:proofErr w:type="spellStart"/>
      <w:r w:rsidR="009D2217">
        <w:rPr>
          <w:color w:val="auto"/>
        </w:rPr>
        <w:t>Enspryng</w:t>
      </w:r>
      <w:proofErr w:type="spellEnd"/>
      <w:r w:rsidR="009D2217">
        <w:rPr>
          <w:color w:val="auto"/>
        </w:rPr>
        <w:t xml:space="preserve">-treated patients </w:t>
      </w:r>
      <w:r w:rsidR="009D2217" w:rsidRPr="009D2217">
        <w:rPr>
          <w:color w:val="auto"/>
        </w:rPr>
        <w:t xml:space="preserve">(58.7% and 51.2% of placebo-treated patients) </w:t>
      </w:r>
      <w:r w:rsidRPr="0099478A">
        <w:rPr>
          <w:color w:val="auto"/>
        </w:rPr>
        <w:t xml:space="preserve">remained adjudicated relapse -free when used in combination with IST or as monotherapy, respectively. When data from the two studies were pooled, </w:t>
      </w:r>
      <w:proofErr w:type="spellStart"/>
      <w:r w:rsidRPr="0099478A">
        <w:rPr>
          <w:color w:val="auto"/>
        </w:rPr>
        <w:t>Enspryng</w:t>
      </w:r>
      <w:proofErr w:type="spellEnd"/>
      <w:r w:rsidRPr="0099478A">
        <w:rPr>
          <w:color w:val="auto"/>
        </w:rPr>
        <w:t xml:space="preserve"> treatment resulted in a 58% reduction in risk of adjudicated relapse compared to placebo (HR [95% CI]: 0.42 [0.25-0.71]; p [log rank] = 0.0008) (see Table </w:t>
      </w:r>
      <w:r w:rsidR="00F937E6">
        <w:rPr>
          <w:color w:val="auto"/>
        </w:rPr>
        <w:t>6</w:t>
      </w:r>
      <w:r w:rsidRPr="0099478A">
        <w:rPr>
          <w:color w:val="auto"/>
        </w:rPr>
        <w:t>, Figure 1, Figure 2).</w:t>
      </w:r>
    </w:p>
    <w:p w14:paraId="0BEB1335" w14:textId="77777777" w:rsidR="00B7788C" w:rsidRPr="0099478A" w:rsidRDefault="00B7788C" w:rsidP="00B7788C">
      <w:pPr>
        <w:rPr>
          <w:color w:val="auto"/>
        </w:rPr>
      </w:pPr>
    </w:p>
    <w:p w14:paraId="5B2F5A0E" w14:textId="13AFADA8" w:rsidR="00682EDB" w:rsidRPr="0099478A" w:rsidRDefault="00B7788C" w:rsidP="00B7788C">
      <w:pPr>
        <w:rPr>
          <w:color w:val="auto"/>
        </w:rPr>
      </w:pPr>
      <w:r w:rsidRPr="0099478A">
        <w:rPr>
          <w:color w:val="auto"/>
        </w:rPr>
        <w:t xml:space="preserve">The strongest subgroup effect was observed in AQP4-IgG seropositive patients. In AQP4-IgG seropositive patients the relative risk of experiencing an adjudicated relapse in Study BN40898 was reduced by 79% (HR [95% CI]: 0.21 [0.06-0.75]), in Study BN40900 by 74% (HR [95% CI]: 0.26 [0.11-0.63]). At 48 weeks, 91.5% and 82.9% of </w:t>
      </w:r>
      <w:proofErr w:type="spellStart"/>
      <w:r w:rsidRPr="0099478A">
        <w:rPr>
          <w:color w:val="auto"/>
        </w:rPr>
        <w:t>Enspryng</w:t>
      </w:r>
      <w:proofErr w:type="spellEnd"/>
      <w:r w:rsidRPr="0099478A">
        <w:rPr>
          <w:color w:val="auto"/>
        </w:rPr>
        <w:t xml:space="preserve">-treated AQP4-IgG seropositive patients </w:t>
      </w:r>
      <w:r w:rsidR="009D2217" w:rsidRPr="009D2217">
        <w:rPr>
          <w:color w:val="auto"/>
        </w:rPr>
        <w:t>(59.9% and 54.4% of placebo-treated AQP4-IgG seropositive patients)</w:t>
      </w:r>
      <w:r w:rsidR="009D2217">
        <w:rPr>
          <w:color w:val="auto"/>
        </w:rPr>
        <w:t xml:space="preserve"> </w:t>
      </w:r>
      <w:r w:rsidRPr="0099478A">
        <w:rPr>
          <w:color w:val="auto"/>
        </w:rPr>
        <w:t>remained adjudicated relapse-free when used in combination with IST or as monotherapy, respectively.</w:t>
      </w:r>
      <w:r w:rsidR="004D7848" w:rsidRPr="0099478A">
        <w:rPr>
          <w:color w:val="auto"/>
        </w:rPr>
        <w:t xml:space="preserve"> </w:t>
      </w:r>
      <w:r w:rsidRPr="0099478A">
        <w:rPr>
          <w:color w:val="auto"/>
        </w:rPr>
        <w:t xml:space="preserve">At 96 weeks 91.5% and 76.5% of </w:t>
      </w:r>
      <w:proofErr w:type="spellStart"/>
      <w:r w:rsidRPr="0099478A">
        <w:rPr>
          <w:color w:val="auto"/>
        </w:rPr>
        <w:t>Enspryng</w:t>
      </w:r>
      <w:proofErr w:type="spellEnd"/>
      <w:r w:rsidRPr="0099478A">
        <w:rPr>
          <w:color w:val="auto"/>
        </w:rPr>
        <w:t xml:space="preserve">-treated AQP4-IgG </w:t>
      </w:r>
      <w:r w:rsidRPr="0099478A">
        <w:rPr>
          <w:color w:val="auto"/>
        </w:rPr>
        <w:lastRenderedPageBreak/>
        <w:t xml:space="preserve">seropositive patients </w:t>
      </w:r>
      <w:r w:rsidR="009D2217" w:rsidRPr="009D2217">
        <w:rPr>
          <w:color w:val="auto"/>
        </w:rPr>
        <w:t>(53.3% and 41.1% of placebo-treated AQP4-IgG seropositive patients)</w:t>
      </w:r>
      <w:r w:rsidR="009D2217">
        <w:rPr>
          <w:color w:val="auto"/>
        </w:rPr>
        <w:t xml:space="preserve"> </w:t>
      </w:r>
      <w:r w:rsidRPr="0099478A">
        <w:rPr>
          <w:color w:val="auto"/>
        </w:rPr>
        <w:t xml:space="preserve">remained adjudicated relapse-free when used in combination with IST or as monotherapy, respectively. When data across studies BN40898 and BN40900 were pooled, treatment with </w:t>
      </w:r>
      <w:proofErr w:type="spellStart"/>
      <w:r w:rsidRPr="0099478A">
        <w:rPr>
          <w:color w:val="auto"/>
        </w:rPr>
        <w:t>Enspryng</w:t>
      </w:r>
      <w:proofErr w:type="spellEnd"/>
      <w:r w:rsidRPr="0099478A">
        <w:rPr>
          <w:color w:val="auto"/>
        </w:rPr>
        <w:t xml:space="preserve"> with or without IST led to an overall risk reduction of 75% (HR [95% CI]; 0.25 (0.12-0.50]) in AQP4-IgG seropositive patients (see Table 4, Figure 3, Figure 4). Differences in the time to first adjudicated relapse in AQP4-IgG seronegative patients between those patients receiving </w:t>
      </w:r>
      <w:proofErr w:type="spellStart"/>
      <w:r w:rsidRPr="0099478A">
        <w:rPr>
          <w:color w:val="auto"/>
        </w:rPr>
        <w:t>Enspryng</w:t>
      </w:r>
      <w:proofErr w:type="spellEnd"/>
      <w:r w:rsidRPr="0099478A">
        <w:rPr>
          <w:color w:val="auto"/>
        </w:rPr>
        <w:t xml:space="preserve"> with or without IST and those receiving placebo with or without IST were not significant (BN40898 and BN40900 pooled: HR [95% CI]: 0.97 [0.41-2.33]).</w:t>
      </w:r>
    </w:p>
    <w:p w14:paraId="79230F40" w14:textId="6E7B76D6" w:rsidR="004A5A18" w:rsidRPr="0099478A" w:rsidRDefault="004A5A18" w:rsidP="004A5A18">
      <w:pPr>
        <w:rPr>
          <w:color w:val="auto"/>
        </w:rPr>
      </w:pPr>
    </w:p>
    <w:p w14:paraId="1FFCEB19" w14:textId="6F40952A" w:rsidR="00E90BE4" w:rsidRPr="0099478A" w:rsidRDefault="00A13D49" w:rsidP="0022796C">
      <w:pPr>
        <w:spacing w:after="120"/>
        <w:rPr>
          <w:b/>
          <w:color w:val="auto"/>
        </w:rPr>
      </w:pPr>
      <w:r w:rsidRPr="0099478A">
        <w:rPr>
          <w:b/>
          <w:color w:val="auto"/>
        </w:rPr>
        <w:t xml:space="preserve">Table </w:t>
      </w:r>
      <w:r w:rsidR="00F937E6">
        <w:rPr>
          <w:b/>
          <w:color w:val="auto"/>
        </w:rPr>
        <w:t>6</w:t>
      </w:r>
      <w:r w:rsidRPr="0099478A">
        <w:rPr>
          <w:b/>
          <w:color w:val="auto"/>
        </w:rPr>
        <w:t>: Key e</w:t>
      </w:r>
      <w:r w:rsidR="00E90BE4" w:rsidRPr="0099478A">
        <w:rPr>
          <w:b/>
          <w:color w:val="auto"/>
        </w:rPr>
        <w:t xml:space="preserve">fficacy </w:t>
      </w:r>
      <w:r w:rsidRPr="0099478A">
        <w:rPr>
          <w:b/>
          <w:color w:val="auto"/>
        </w:rPr>
        <w:t>endpoints from Studies</w:t>
      </w:r>
      <w:r w:rsidR="00E90BE4" w:rsidRPr="0099478A">
        <w:rPr>
          <w:b/>
          <w:color w:val="auto"/>
        </w:rPr>
        <w:t xml:space="preserve"> BN40898 and BN40900</w:t>
      </w:r>
    </w:p>
    <w:tbl>
      <w:tblPr>
        <w:tblStyle w:val="TableGrid"/>
        <w:tblW w:w="0" w:type="auto"/>
        <w:tblInd w:w="0" w:type="dxa"/>
        <w:tblLook w:val="04A0" w:firstRow="1" w:lastRow="0" w:firstColumn="1" w:lastColumn="0" w:noHBand="0" w:noVBand="1"/>
      </w:tblPr>
      <w:tblGrid>
        <w:gridCol w:w="2333"/>
        <w:gridCol w:w="1638"/>
        <w:gridCol w:w="1640"/>
        <w:gridCol w:w="1764"/>
        <w:gridCol w:w="1641"/>
      </w:tblGrid>
      <w:tr w:rsidR="00E90BE4" w:rsidRPr="0099478A" w14:paraId="01BB0B6D" w14:textId="77777777" w:rsidTr="004D7848">
        <w:tc>
          <w:tcPr>
            <w:tcW w:w="2333" w:type="dxa"/>
            <w:vMerge w:val="restart"/>
          </w:tcPr>
          <w:p w14:paraId="21684FF7" w14:textId="77777777" w:rsidR="00E90BE4" w:rsidRPr="0099478A" w:rsidRDefault="00E90BE4" w:rsidP="0051581B">
            <w:pPr>
              <w:spacing w:before="60" w:after="60"/>
              <w:rPr>
                <w:color w:val="auto"/>
                <w:sz w:val="22"/>
                <w:szCs w:val="22"/>
              </w:rPr>
            </w:pPr>
          </w:p>
        </w:tc>
        <w:tc>
          <w:tcPr>
            <w:tcW w:w="3278" w:type="dxa"/>
            <w:gridSpan w:val="2"/>
          </w:tcPr>
          <w:p w14:paraId="104A0E18" w14:textId="06AB8BCE" w:rsidR="00E90BE4" w:rsidRPr="0099478A" w:rsidRDefault="00E90BE4" w:rsidP="0051581B">
            <w:pPr>
              <w:spacing w:before="60" w:after="60"/>
              <w:jc w:val="center"/>
              <w:rPr>
                <w:b/>
                <w:color w:val="auto"/>
                <w:sz w:val="22"/>
                <w:szCs w:val="22"/>
              </w:rPr>
            </w:pPr>
            <w:r w:rsidRPr="0099478A">
              <w:rPr>
                <w:b/>
                <w:color w:val="auto"/>
                <w:sz w:val="22"/>
                <w:szCs w:val="22"/>
              </w:rPr>
              <w:t>BN40898</w:t>
            </w:r>
          </w:p>
        </w:tc>
        <w:tc>
          <w:tcPr>
            <w:tcW w:w="3405" w:type="dxa"/>
            <w:gridSpan w:val="2"/>
          </w:tcPr>
          <w:p w14:paraId="464C8C9C" w14:textId="03173434" w:rsidR="00E90BE4" w:rsidRPr="0099478A" w:rsidRDefault="00E90BE4" w:rsidP="0051581B">
            <w:pPr>
              <w:spacing w:before="60" w:after="60"/>
              <w:jc w:val="center"/>
              <w:rPr>
                <w:b/>
                <w:color w:val="auto"/>
                <w:sz w:val="22"/>
                <w:szCs w:val="22"/>
              </w:rPr>
            </w:pPr>
            <w:r w:rsidRPr="0099478A">
              <w:rPr>
                <w:b/>
                <w:color w:val="auto"/>
                <w:sz w:val="22"/>
                <w:szCs w:val="22"/>
              </w:rPr>
              <w:t>BN40900</w:t>
            </w:r>
          </w:p>
        </w:tc>
      </w:tr>
      <w:tr w:rsidR="00E90BE4" w:rsidRPr="0099478A" w14:paraId="2A3D2C52" w14:textId="77777777" w:rsidTr="004D7848">
        <w:tc>
          <w:tcPr>
            <w:tcW w:w="2333" w:type="dxa"/>
            <w:vMerge/>
          </w:tcPr>
          <w:p w14:paraId="7FB20466" w14:textId="77777777" w:rsidR="00E90BE4" w:rsidRPr="0099478A" w:rsidRDefault="00E90BE4" w:rsidP="0051581B">
            <w:pPr>
              <w:spacing w:before="60" w:after="60"/>
              <w:rPr>
                <w:color w:val="auto"/>
                <w:sz w:val="22"/>
                <w:szCs w:val="22"/>
              </w:rPr>
            </w:pPr>
          </w:p>
        </w:tc>
        <w:tc>
          <w:tcPr>
            <w:tcW w:w="1638" w:type="dxa"/>
          </w:tcPr>
          <w:p w14:paraId="7785DC08" w14:textId="77777777" w:rsidR="00E90BE4" w:rsidRPr="0099478A" w:rsidRDefault="00E90BE4" w:rsidP="0051581B">
            <w:pPr>
              <w:spacing w:before="60" w:after="60"/>
              <w:jc w:val="center"/>
              <w:rPr>
                <w:b/>
                <w:color w:val="auto"/>
                <w:sz w:val="22"/>
                <w:szCs w:val="22"/>
                <w:lang w:val="de-DE"/>
              </w:rPr>
            </w:pPr>
            <w:r w:rsidRPr="0099478A">
              <w:rPr>
                <w:b/>
                <w:color w:val="auto"/>
                <w:sz w:val="22"/>
                <w:szCs w:val="22"/>
                <w:lang w:val="de-DE"/>
              </w:rPr>
              <w:t>Enspryng</w:t>
            </w:r>
          </w:p>
          <w:p w14:paraId="6B5FB8E9" w14:textId="0FB04FC2" w:rsidR="00E90BE4" w:rsidRPr="0099478A" w:rsidRDefault="00E90BE4" w:rsidP="0051581B">
            <w:pPr>
              <w:spacing w:before="60" w:after="60"/>
              <w:jc w:val="center"/>
              <w:rPr>
                <w:b/>
                <w:color w:val="auto"/>
                <w:sz w:val="22"/>
                <w:szCs w:val="22"/>
              </w:rPr>
            </w:pPr>
            <w:r w:rsidRPr="0099478A">
              <w:rPr>
                <w:b/>
                <w:color w:val="auto"/>
                <w:sz w:val="22"/>
                <w:szCs w:val="22"/>
                <w:lang w:val="de-DE"/>
              </w:rPr>
              <w:t>+ IST</w:t>
            </w:r>
            <w:r w:rsidRPr="0099478A">
              <w:rPr>
                <w:b/>
                <w:color w:val="auto"/>
                <w:sz w:val="22"/>
                <w:szCs w:val="22"/>
              </w:rPr>
              <w:t xml:space="preserve"> (n=41)</w:t>
            </w:r>
          </w:p>
        </w:tc>
        <w:tc>
          <w:tcPr>
            <w:tcW w:w="1640" w:type="dxa"/>
          </w:tcPr>
          <w:p w14:paraId="4D8AD123" w14:textId="77777777" w:rsidR="00E90BE4" w:rsidRPr="0099478A" w:rsidRDefault="00E90BE4" w:rsidP="0051581B">
            <w:pPr>
              <w:spacing w:before="60" w:after="60"/>
              <w:jc w:val="center"/>
              <w:rPr>
                <w:b/>
                <w:color w:val="auto"/>
                <w:sz w:val="22"/>
                <w:szCs w:val="22"/>
                <w:lang w:val="de-DE"/>
              </w:rPr>
            </w:pPr>
            <w:r w:rsidRPr="0099478A">
              <w:rPr>
                <w:b/>
                <w:color w:val="auto"/>
                <w:sz w:val="22"/>
                <w:szCs w:val="22"/>
                <w:lang w:val="de-DE"/>
              </w:rPr>
              <w:t>Placebo</w:t>
            </w:r>
          </w:p>
          <w:p w14:paraId="5245BD27" w14:textId="0B6D9F8B" w:rsidR="00E90BE4" w:rsidRPr="0099478A" w:rsidRDefault="005F49B8" w:rsidP="0051581B">
            <w:pPr>
              <w:spacing w:before="60" w:after="60"/>
              <w:jc w:val="center"/>
              <w:rPr>
                <w:b/>
                <w:color w:val="auto"/>
                <w:sz w:val="22"/>
                <w:szCs w:val="22"/>
                <w:lang w:val="de-DE"/>
              </w:rPr>
            </w:pPr>
            <w:r w:rsidRPr="0099478A">
              <w:rPr>
                <w:b/>
                <w:color w:val="auto"/>
                <w:sz w:val="22"/>
                <w:szCs w:val="22"/>
                <w:lang w:val="de-DE"/>
              </w:rPr>
              <w:t>+ IST (n=42)</w:t>
            </w:r>
          </w:p>
        </w:tc>
        <w:tc>
          <w:tcPr>
            <w:tcW w:w="1764" w:type="dxa"/>
          </w:tcPr>
          <w:p w14:paraId="0A76DE77" w14:textId="76781265" w:rsidR="00E90BE4" w:rsidRPr="0099478A" w:rsidRDefault="00E90BE4" w:rsidP="0051581B">
            <w:pPr>
              <w:spacing w:before="60" w:after="60"/>
              <w:jc w:val="center"/>
              <w:rPr>
                <w:b/>
                <w:color w:val="auto"/>
                <w:sz w:val="22"/>
                <w:szCs w:val="22"/>
                <w:lang w:val="de-DE"/>
              </w:rPr>
            </w:pPr>
            <w:r w:rsidRPr="0099478A">
              <w:rPr>
                <w:b/>
                <w:color w:val="auto"/>
                <w:sz w:val="22"/>
                <w:szCs w:val="22"/>
                <w:lang w:val="de-DE"/>
              </w:rPr>
              <w:t>Enspryng</w:t>
            </w:r>
          </w:p>
          <w:p w14:paraId="58765A68" w14:textId="17829E0E" w:rsidR="00E90BE4" w:rsidRPr="0099478A" w:rsidRDefault="00E90BE4" w:rsidP="0051581B">
            <w:pPr>
              <w:spacing w:before="60" w:after="60"/>
              <w:jc w:val="center"/>
              <w:rPr>
                <w:b/>
                <w:color w:val="auto"/>
                <w:sz w:val="22"/>
                <w:szCs w:val="22"/>
              </w:rPr>
            </w:pPr>
            <w:r w:rsidRPr="0099478A">
              <w:rPr>
                <w:b/>
                <w:color w:val="auto"/>
                <w:sz w:val="22"/>
                <w:szCs w:val="22"/>
              </w:rPr>
              <w:t>(n=63)</w:t>
            </w:r>
          </w:p>
        </w:tc>
        <w:tc>
          <w:tcPr>
            <w:tcW w:w="1641" w:type="dxa"/>
          </w:tcPr>
          <w:p w14:paraId="48877EFD" w14:textId="77669237" w:rsidR="00E90BE4" w:rsidRPr="0099478A" w:rsidRDefault="00E90BE4" w:rsidP="0051581B">
            <w:pPr>
              <w:spacing w:before="60" w:after="60"/>
              <w:jc w:val="center"/>
              <w:rPr>
                <w:b/>
                <w:color w:val="auto"/>
                <w:sz w:val="22"/>
                <w:szCs w:val="22"/>
                <w:lang w:val="de-DE"/>
              </w:rPr>
            </w:pPr>
            <w:r w:rsidRPr="0099478A">
              <w:rPr>
                <w:b/>
                <w:color w:val="auto"/>
                <w:sz w:val="22"/>
                <w:szCs w:val="22"/>
                <w:lang w:val="de-DE"/>
              </w:rPr>
              <w:t>Placebo</w:t>
            </w:r>
          </w:p>
          <w:p w14:paraId="4F772E6F" w14:textId="0833DBE4" w:rsidR="00E90BE4" w:rsidRPr="0099478A" w:rsidRDefault="00E90BE4" w:rsidP="0051581B">
            <w:pPr>
              <w:spacing w:before="60" w:after="60"/>
              <w:jc w:val="center"/>
              <w:rPr>
                <w:b/>
                <w:color w:val="auto"/>
                <w:sz w:val="22"/>
                <w:szCs w:val="22"/>
              </w:rPr>
            </w:pPr>
            <w:r w:rsidRPr="0099478A">
              <w:rPr>
                <w:b/>
                <w:color w:val="auto"/>
                <w:sz w:val="22"/>
                <w:szCs w:val="22"/>
                <w:lang w:val="de-DE"/>
              </w:rPr>
              <w:t>(n=32)</w:t>
            </w:r>
          </w:p>
        </w:tc>
      </w:tr>
      <w:tr w:rsidR="00E90BE4" w:rsidRPr="0099478A" w14:paraId="0C0E824E" w14:textId="77777777" w:rsidTr="00595DAE">
        <w:tc>
          <w:tcPr>
            <w:tcW w:w="9016" w:type="dxa"/>
            <w:gridSpan w:val="5"/>
          </w:tcPr>
          <w:p w14:paraId="1C3DDB30" w14:textId="153D64BF" w:rsidR="00E90BE4" w:rsidRPr="0099478A" w:rsidRDefault="00E90BE4" w:rsidP="0051581B">
            <w:pPr>
              <w:spacing w:before="60" w:after="60"/>
              <w:rPr>
                <w:b/>
                <w:color w:val="auto"/>
                <w:sz w:val="22"/>
                <w:szCs w:val="22"/>
              </w:rPr>
            </w:pPr>
            <w:r w:rsidRPr="0099478A">
              <w:rPr>
                <w:b/>
                <w:color w:val="auto"/>
                <w:sz w:val="22"/>
                <w:szCs w:val="22"/>
              </w:rPr>
              <w:t>Primary endpoint</w:t>
            </w:r>
          </w:p>
        </w:tc>
      </w:tr>
      <w:tr w:rsidR="0051581B" w:rsidRPr="0099478A" w14:paraId="49C040B0" w14:textId="77777777" w:rsidTr="004D7848">
        <w:tc>
          <w:tcPr>
            <w:tcW w:w="2333" w:type="dxa"/>
            <w:vMerge w:val="restart"/>
          </w:tcPr>
          <w:p w14:paraId="71B1646A" w14:textId="77777777" w:rsidR="0051581B" w:rsidRPr="0099478A" w:rsidRDefault="0051581B" w:rsidP="0051581B">
            <w:pPr>
              <w:spacing w:before="60" w:after="60"/>
              <w:rPr>
                <w:color w:val="auto"/>
                <w:sz w:val="22"/>
                <w:szCs w:val="22"/>
              </w:rPr>
            </w:pPr>
            <w:r w:rsidRPr="0099478A">
              <w:rPr>
                <w:color w:val="auto"/>
                <w:sz w:val="22"/>
                <w:szCs w:val="22"/>
              </w:rPr>
              <w:t>Risk Reduction</w:t>
            </w:r>
          </w:p>
          <w:p w14:paraId="62B33394" w14:textId="2416EB1F" w:rsidR="0051581B" w:rsidRPr="0099478A" w:rsidRDefault="0051581B" w:rsidP="0051581B">
            <w:pPr>
              <w:spacing w:before="60" w:after="60"/>
              <w:rPr>
                <w:color w:val="auto"/>
                <w:sz w:val="22"/>
                <w:szCs w:val="22"/>
              </w:rPr>
            </w:pPr>
            <w:r w:rsidRPr="0099478A">
              <w:rPr>
                <w:color w:val="auto"/>
                <w:sz w:val="22"/>
                <w:szCs w:val="22"/>
              </w:rPr>
              <w:t>(Individual Studies)</w:t>
            </w:r>
          </w:p>
          <w:p w14:paraId="1E46C0A8" w14:textId="77777777" w:rsidR="0051581B" w:rsidRPr="0099478A" w:rsidRDefault="0051581B" w:rsidP="0051581B">
            <w:pPr>
              <w:spacing w:before="60" w:after="60"/>
              <w:rPr>
                <w:color w:val="auto"/>
                <w:sz w:val="22"/>
                <w:szCs w:val="22"/>
              </w:rPr>
            </w:pPr>
          </w:p>
          <w:p w14:paraId="3BAB11C9" w14:textId="77777777" w:rsidR="004D7848" w:rsidRPr="0099478A" w:rsidRDefault="0051581B" w:rsidP="0051581B">
            <w:pPr>
              <w:spacing w:before="60" w:after="60"/>
              <w:rPr>
                <w:color w:val="auto"/>
                <w:sz w:val="22"/>
                <w:szCs w:val="22"/>
              </w:rPr>
            </w:pPr>
            <w:r w:rsidRPr="0099478A">
              <w:rPr>
                <w:color w:val="auto"/>
                <w:sz w:val="22"/>
                <w:szCs w:val="22"/>
              </w:rPr>
              <w:t xml:space="preserve">Risk Reduction </w:t>
            </w:r>
          </w:p>
          <w:p w14:paraId="23A99C5A" w14:textId="62637A40" w:rsidR="0051581B" w:rsidRPr="0099478A" w:rsidRDefault="0051581B" w:rsidP="004D7848">
            <w:pPr>
              <w:spacing w:before="60" w:after="60"/>
              <w:rPr>
                <w:color w:val="auto"/>
                <w:sz w:val="22"/>
                <w:szCs w:val="22"/>
              </w:rPr>
            </w:pPr>
            <w:r w:rsidRPr="0099478A">
              <w:rPr>
                <w:color w:val="auto"/>
                <w:sz w:val="22"/>
                <w:szCs w:val="22"/>
              </w:rPr>
              <w:t>(Pooled</w:t>
            </w:r>
            <w:r w:rsidR="004D7848" w:rsidRPr="0099478A">
              <w:rPr>
                <w:color w:val="auto"/>
                <w:sz w:val="22"/>
                <w:szCs w:val="22"/>
              </w:rPr>
              <w:t xml:space="preserve"> </w:t>
            </w:r>
            <w:r w:rsidRPr="0099478A">
              <w:rPr>
                <w:color w:val="auto"/>
                <w:sz w:val="22"/>
                <w:szCs w:val="22"/>
              </w:rPr>
              <w:t>Analysis)</w:t>
            </w:r>
          </w:p>
        </w:tc>
        <w:tc>
          <w:tcPr>
            <w:tcW w:w="3278" w:type="dxa"/>
            <w:gridSpan w:val="2"/>
          </w:tcPr>
          <w:p w14:paraId="60FEC9E1" w14:textId="77777777" w:rsidR="0051581B" w:rsidRPr="0099478A" w:rsidRDefault="0051581B" w:rsidP="0051581B">
            <w:pPr>
              <w:spacing w:before="60" w:after="60"/>
              <w:jc w:val="center"/>
              <w:rPr>
                <w:color w:val="auto"/>
                <w:sz w:val="22"/>
                <w:szCs w:val="22"/>
              </w:rPr>
            </w:pPr>
            <w:r w:rsidRPr="0099478A">
              <w:rPr>
                <w:color w:val="auto"/>
                <w:sz w:val="22"/>
                <w:szCs w:val="22"/>
              </w:rPr>
              <w:t>62%</w:t>
            </w:r>
          </w:p>
          <w:p w14:paraId="2993A75D" w14:textId="77777777" w:rsidR="0051581B" w:rsidRPr="0099478A" w:rsidRDefault="0051581B" w:rsidP="0051581B">
            <w:pPr>
              <w:spacing w:before="60" w:after="60"/>
              <w:jc w:val="center"/>
              <w:rPr>
                <w:color w:val="auto"/>
                <w:sz w:val="22"/>
                <w:szCs w:val="22"/>
              </w:rPr>
            </w:pPr>
            <w:r w:rsidRPr="0099478A">
              <w:rPr>
                <w:color w:val="auto"/>
                <w:sz w:val="22"/>
                <w:szCs w:val="22"/>
              </w:rPr>
              <w:t xml:space="preserve">(HR: 0.38; 95% CI: 0.16, </w:t>
            </w:r>
            <w:proofErr w:type="gramStart"/>
            <w:r w:rsidRPr="0099478A">
              <w:rPr>
                <w:color w:val="auto"/>
                <w:sz w:val="22"/>
                <w:szCs w:val="22"/>
              </w:rPr>
              <w:t>0.88;</w:t>
            </w:r>
            <w:proofErr w:type="gramEnd"/>
          </w:p>
          <w:p w14:paraId="7756F451" w14:textId="20886079" w:rsidR="0051581B" w:rsidRPr="0099478A" w:rsidRDefault="0051581B" w:rsidP="0051581B">
            <w:pPr>
              <w:spacing w:before="60" w:after="60"/>
              <w:jc w:val="center"/>
              <w:rPr>
                <w:color w:val="auto"/>
                <w:sz w:val="22"/>
                <w:szCs w:val="22"/>
              </w:rPr>
            </w:pPr>
            <w:r w:rsidRPr="0099478A">
              <w:rPr>
                <w:color w:val="auto"/>
                <w:sz w:val="22"/>
                <w:szCs w:val="22"/>
              </w:rPr>
              <w:t>p=0.0184)</w:t>
            </w:r>
          </w:p>
        </w:tc>
        <w:tc>
          <w:tcPr>
            <w:tcW w:w="3405" w:type="dxa"/>
            <w:gridSpan w:val="2"/>
          </w:tcPr>
          <w:p w14:paraId="61FCDC83" w14:textId="77777777" w:rsidR="0051581B" w:rsidRPr="0099478A" w:rsidRDefault="0051581B" w:rsidP="0051581B">
            <w:pPr>
              <w:spacing w:before="60" w:after="60"/>
              <w:jc w:val="center"/>
              <w:rPr>
                <w:color w:val="auto"/>
                <w:sz w:val="22"/>
                <w:szCs w:val="22"/>
              </w:rPr>
            </w:pPr>
            <w:r w:rsidRPr="0099478A">
              <w:rPr>
                <w:color w:val="auto"/>
                <w:sz w:val="22"/>
                <w:szCs w:val="22"/>
              </w:rPr>
              <w:t>55%</w:t>
            </w:r>
          </w:p>
          <w:p w14:paraId="3CA46B7A" w14:textId="77777777" w:rsidR="0051581B" w:rsidRPr="0099478A" w:rsidRDefault="0051581B" w:rsidP="0051581B">
            <w:pPr>
              <w:spacing w:before="60" w:after="60"/>
              <w:jc w:val="center"/>
              <w:rPr>
                <w:color w:val="auto"/>
                <w:sz w:val="22"/>
                <w:szCs w:val="22"/>
              </w:rPr>
            </w:pPr>
            <w:r w:rsidRPr="0099478A">
              <w:rPr>
                <w:color w:val="auto"/>
                <w:sz w:val="22"/>
                <w:szCs w:val="22"/>
              </w:rPr>
              <w:t xml:space="preserve">(HR:0.45; 95% CI: 0.23, </w:t>
            </w:r>
            <w:proofErr w:type="gramStart"/>
            <w:r w:rsidRPr="0099478A">
              <w:rPr>
                <w:color w:val="auto"/>
                <w:sz w:val="22"/>
                <w:szCs w:val="22"/>
              </w:rPr>
              <w:t>0.89;</w:t>
            </w:r>
            <w:proofErr w:type="gramEnd"/>
          </w:p>
          <w:p w14:paraId="1D0AFE08" w14:textId="0ABBF1A7" w:rsidR="0051581B" w:rsidRPr="0099478A" w:rsidRDefault="0051581B" w:rsidP="0051581B">
            <w:pPr>
              <w:spacing w:before="60" w:after="60"/>
              <w:jc w:val="center"/>
              <w:rPr>
                <w:color w:val="auto"/>
                <w:sz w:val="22"/>
                <w:szCs w:val="22"/>
              </w:rPr>
            </w:pPr>
            <w:r w:rsidRPr="0099478A">
              <w:rPr>
                <w:color w:val="auto"/>
                <w:sz w:val="22"/>
                <w:szCs w:val="22"/>
              </w:rPr>
              <w:t>p=0.0184)</w:t>
            </w:r>
          </w:p>
        </w:tc>
      </w:tr>
      <w:tr w:rsidR="0051581B" w:rsidRPr="0099478A" w14:paraId="758867AC" w14:textId="77777777" w:rsidTr="004D7848">
        <w:tc>
          <w:tcPr>
            <w:tcW w:w="2333" w:type="dxa"/>
            <w:vMerge/>
          </w:tcPr>
          <w:p w14:paraId="6F7E7A39" w14:textId="3CD2166D" w:rsidR="0051581B" w:rsidRPr="0099478A" w:rsidRDefault="0051581B" w:rsidP="0051581B">
            <w:pPr>
              <w:spacing w:before="60" w:after="60"/>
              <w:rPr>
                <w:color w:val="auto"/>
                <w:sz w:val="22"/>
                <w:szCs w:val="22"/>
              </w:rPr>
            </w:pPr>
          </w:p>
        </w:tc>
        <w:tc>
          <w:tcPr>
            <w:tcW w:w="6683" w:type="dxa"/>
            <w:gridSpan w:val="4"/>
          </w:tcPr>
          <w:p w14:paraId="47C5F2BD" w14:textId="1A405CEE" w:rsidR="0051581B"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58%</w:t>
            </w:r>
          </w:p>
          <w:p w14:paraId="75B9D760" w14:textId="0FFE2962" w:rsidR="0051581B" w:rsidRPr="0099478A" w:rsidRDefault="0051581B" w:rsidP="0051581B">
            <w:pPr>
              <w:spacing w:before="60" w:after="60"/>
              <w:jc w:val="center"/>
              <w:rPr>
                <w:color w:val="auto"/>
                <w:sz w:val="22"/>
                <w:szCs w:val="22"/>
              </w:rPr>
            </w:pPr>
            <w:r w:rsidRPr="0099478A">
              <w:rPr>
                <w:color w:val="auto"/>
                <w:sz w:val="22"/>
                <w:szCs w:val="22"/>
                <w:lang w:val="en-AU"/>
              </w:rPr>
              <w:t>(HR: 0.42; 95% CI: 0.25, 0.71; p=0.0008)</w:t>
            </w:r>
          </w:p>
        </w:tc>
      </w:tr>
      <w:tr w:rsidR="00E90BE4" w:rsidRPr="0099478A" w14:paraId="42600163" w14:textId="77777777" w:rsidTr="004D7848">
        <w:tc>
          <w:tcPr>
            <w:tcW w:w="2333" w:type="dxa"/>
          </w:tcPr>
          <w:p w14:paraId="0CFE1D9C" w14:textId="07B71F39" w:rsidR="00E90BE4" w:rsidRPr="0099478A" w:rsidRDefault="0051581B" w:rsidP="0051581B">
            <w:pPr>
              <w:spacing w:before="60" w:after="60"/>
              <w:rPr>
                <w:color w:val="auto"/>
                <w:sz w:val="22"/>
                <w:szCs w:val="22"/>
              </w:rPr>
            </w:pPr>
            <w:r w:rsidRPr="0099478A">
              <w:rPr>
                <w:color w:val="auto"/>
                <w:sz w:val="22"/>
                <w:szCs w:val="22"/>
              </w:rPr>
              <w:t>Proportion of adjudicated relapse-free patients at 48 weeks</w:t>
            </w:r>
          </w:p>
        </w:tc>
        <w:tc>
          <w:tcPr>
            <w:tcW w:w="1638" w:type="dxa"/>
          </w:tcPr>
          <w:p w14:paraId="1A0AD055" w14:textId="77777777" w:rsidR="0051581B" w:rsidRPr="0099478A" w:rsidRDefault="0051581B" w:rsidP="0051581B">
            <w:pPr>
              <w:spacing w:before="60" w:after="60"/>
              <w:jc w:val="center"/>
              <w:rPr>
                <w:color w:val="auto"/>
                <w:sz w:val="22"/>
                <w:szCs w:val="22"/>
              </w:rPr>
            </w:pPr>
            <w:r w:rsidRPr="0099478A">
              <w:rPr>
                <w:color w:val="auto"/>
                <w:sz w:val="22"/>
                <w:szCs w:val="22"/>
              </w:rPr>
              <w:t>88.9%</w:t>
            </w:r>
          </w:p>
          <w:p w14:paraId="0BC2A159" w14:textId="1B2FA4C3" w:rsidR="00E90BE4" w:rsidRPr="0099478A" w:rsidRDefault="0051581B" w:rsidP="0051581B">
            <w:pPr>
              <w:spacing w:before="60" w:after="60"/>
              <w:jc w:val="center"/>
              <w:rPr>
                <w:color w:val="auto"/>
                <w:sz w:val="22"/>
                <w:szCs w:val="22"/>
              </w:rPr>
            </w:pPr>
            <w:r w:rsidRPr="0099478A">
              <w:rPr>
                <w:color w:val="auto"/>
                <w:sz w:val="22"/>
                <w:szCs w:val="22"/>
              </w:rPr>
              <w:t>(95% CI: 72.81, 95.70)</w:t>
            </w:r>
          </w:p>
        </w:tc>
        <w:tc>
          <w:tcPr>
            <w:tcW w:w="1640" w:type="dxa"/>
          </w:tcPr>
          <w:p w14:paraId="6FA273E8" w14:textId="77777777" w:rsidR="0051581B" w:rsidRPr="0099478A" w:rsidRDefault="0051581B" w:rsidP="0051581B">
            <w:pPr>
              <w:spacing w:before="60" w:after="60"/>
              <w:jc w:val="center"/>
              <w:rPr>
                <w:color w:val="auto"/>
                <w:sz w:val="22"/>
                <w:szCs w:val="22"/>
              </w:rPr>
            </w:pPr>
            <w:r w:rsidRPr="0099478A">
              <w:rPr>
                <w:color w:val="auto"/>
                <w:sz w:val="22"/>
                <w:szCs w:val="22"/>
              </w:rPr>
              <w:t>66.0%</w:t>
            </w:r>
          </w:p>
          <w:p w14:paraId="44B4853C" w14:textId="6979798B" w:rsidR="00E90BE4" w:rsidRPr="0099478A" w:rsidRDefault="0051581B" w:rsidP="0051581B">
            <w:pPr>
              <w:spacing w:before="60" w:after="60"/>
              <w:jc w:val="center"/>
              <w:rPr>
                <w:color w:val="auto"/>
                <w:sz w:val="22"/>
                <w:szCs w:val="22"/>
              </w:rPr>
            </w:pPr>
            <w:r w:rsidRPr="0099478A">
              <w:rPr>
                <w:color w:val="auto"/>
                <w:sz w:val="22"/>
                <w:szCs w:val="22"/>
              </w:rPr>
              <w:t>(95% CI: 47.65, 79.25)</w:t>
            </w:r>
          </w:p>
        </w:tc>
        <w:tc>
          <w:tcPr>
            <w:tcW w:w="1764" w:type="dxa"/>
          </w:tcPr>
          <w:p w14:paraId="4102A23F" w14:textId="77777777" w:rsidR="0051581B" w:rsidRPr="0099478A" w:rsidRDefault="0051581B" w:rsidP="0051581B">
            <w:pPr>
              <w:spacing w:before="60" w:after="60"/>
              <w:jc w:val="center"/>
              <w:rPr>
                <w:color w:val="auto"/>
                <w:sz w:val="22"/>
                <w:szCs w:val="22"/>
              </w:rPr>
            </w:pPr>
            <w:r w:rsidRPr="0099478A">
              <w:rPr>
                <w:color w:val="auto"/>
                <w:sz w:val="22"/>
                <w:szCs w:val="22"/>
              </w:rPr>
              <w:t>76.1%</w:t>
            </w:r>
          </w:p>
          <w:p w14:paraId="5C682796" w14:textId="4BA6FD23" w:rsidR="00E90BE4" w:rsidRPr="0099478A" w:rsidRDefault="0051581B" w:rsidP="0051581B">
            <w:pPr>
              <w:spacing w:before="60" w:after="60"/>
              <w:jc w:val="center"/>
              <w:rPr>
                <w:color w:val="auto"/>
                <w:sz w:val="22"/>
                <w:szCs w:val="22"/>
              </w:rPr>
            </w:pPr>
            <w:r w:rsidRPr="0099478A">
              <w:rPr>
                <w:color w:val="auto"/>
                <w:sz w:val="22"/>
                <w:szCs w:val="22"/>
              </w:rPr>
              <w:t>(95% CI: 63.55, 84.86)</w:t>
            </w:r>
          </w:p>
        </w:tc>
        <w:tc>
          <w:tcPr>
            <w:tcW w:w="1641" w:type="dxa"/>
          </w:tcPr>
          <w:p w14:paraId="6FAB8B9A" w14:textId="77777777" w:rsidR="0051581B" w:rsidRPr="0099478A" w:rsidRDefault="0051581B" w:rsidP="0051581B">
            <w:pPr>
              <w:spacing w:before="60" w:after="60"/>
              <w:jc w:val="center"/>
              <w:rPr>
                <w:color w:val="auto"/>
                <w:sz w:val="22"/>
                <w:szCs w:val="22"/>
              </w:rPr>
            </w:pPr>
            <w:r w:rsidRPr="0099478A">
              <w:rPr>
                <w:color w:val="auto"/>
                <w:sz w:val="22"/>
                <w:szCs w:val="22"/>
              </w:rPr>
              <w:t>61.9%</w:t>
            </w:r>
          </w:p>
          <w:p w14:paraId="22C388B3" w14:textId="5EC1431E" w:rsidR="00E90BE4" w:rsidRPr="0099478A" w:rsidRDefault="0051581B" w:rsidP="0051581B">
            <w:pPr>
              <w:spacing w:before="60" w:after="60"/>
              <w:jc w:val="center"/>
              <w:rPr>
                <w:color w:val="auto"/>
                <w:sz w:val="22"/>
                <w:szCs w:val="22"/>
              </w:rPr>
            </w:pPr>
            <w:r w:rsidRPr="0099478A">
              <w:rPr>
                <w:color w:val="auto"/>
                <w:sz w:val="22"/>
                <w:szCs w:val="22"/>
              </w:rPr>
              <w:t>(95% CI: 42.66, 76.26)</w:t>
            </w:r>
          </w:p>
        </w:tc>
      </w:tr>
      <w:tr w:rsidR="00E90BE4" w:rsidRPr="0099478A" w14:paraId="79B899F7" w14:textId="77777777" w:rsidTr="004D7848">
        <w:tc>
          <w:tcPr>
            <w:tcW w:w="2333" w:type="dxa"/>
          </w:tcPr>
          <w:p w14:paraId="7821FBF1" w14:textId="49326879" w:rsidR="00E90BE4" w:rsidRPr="0099478A" w:rsidRDefault="0051581B" w:rsidP="0051581B">
            <w:pPr>
              <w:spacing w:before="60" w:after="60"/>
              <w:rPr>
                <w:color w:val="auto"/>
                <w:sz w:val="22"/>
                <w:szCs w:val="22"/>
              </w:rPr>
            </w:pPr>
            <w:r w:rsidRPr="0099478A">
              <w:rPr>
                <w:color w:val="auto"/>
                <w:sz w:val="22"/>
                <w:szCs w:val="22"/>
              </w:rPr>
              <w:t>Proportion of adjudicated relapse-free patients at 96 weeks</w:t>
            </w:r>
          </w:p>
        </w:tc>
        <w:tc>
          <w:tcPr>
            <w:tcW w:w="1638" w:type="dxa"/>
          </w:tcPr>
          <w:p w14:paraId="4E9D999F" w14:textId="77777777" w:rsidR="0051581B"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77.6%</w:t>
            </w:r>
          </w:p>
          <w:p w14:paraId="4ACB499B" w14:textId="39212735" w:rsidR="00E90BE4"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(95% CI: 58.08, 88.82)</w:t>
            </w:r>
          </w:p>
        </w:tc>
        <w:tc>
          <w:tcPr>
            <w:tcW w:w="1640" w:type="dxa"/>
          </w:tcPr>
          <w:p w14:paraId="1DEDCABE" w14:textId="77777777" w:rsidR="0051581B"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58.7%</w:t>
            </w:r>
          </w:p>
          <w:p w14:paraId="73D39F4A" w14:textId="5D886A02" w:rsidR="00E90BE4"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(95% CI: 39.85, 73.43)</w:t>
            </w:r>
          </w:p>
        </w:tc>
        <w:tc>
          <w:tcPr>
            <w:tcW w:w="1764" w:type="dxa"/>
          </w:tcPr>
          <w:p w14:paraId="75DC1753" w14:textId="77777777" w:rsidR="0051581B"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72.1%</w:t>
            </w:r>
          </w:p>
          <w:p w14:paraId="1892CDE0" w14:textId="5F71113E" w:rsidR="00E90BE4"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(95% CI: 58.91, 81.75)</w:t>
            </w:r>
          </w:p>
        </w:tc>
        <w:tc>
          <w:tcPr>
            <w:tcW w:w="1641" w:type="dxa"/>
          </w:tcPr>
          <w:p w14:paraId="2E316EC3" w14:textId="77777777" w:rsidR="0051581B"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51.2%</w:t>
            </w:r>
          </w:p>
          <w:p w14:paraId="52F0C4BE" w14:textId="3FE1E573" w:rsidR="00E90BE4" w:rsidRPr="0099478A" w:rsidRDefault="0051581B" w:rsidP="0051581B">
            <w:pPr>
              <w:autoSpaceDE w:val="0"/>
              <w:autoSpaceDN w:val="0"/>
              <w:adjustRightInd w:val="0"/>
              <w:spacing w:before="60" w:after="60"/>
              <w:jc w:val="center"/>
              <w:rPr>
                <w:color w:val="auto"/>
                <w:sz w:val="22"/>
                <w:szCs w:val="22"/>
                <w:lang w:val="en-AU"/>
              </w:rPr>
            </w:pPr>
            <w:r w:rsidRPr="0099478A">
              <w:rPr>
                <w:color w:val="auto"/>
                <w:sz w:val="22"/>
                <w:szCs w:val="22"/>
                <w:lang w:val="en-AU"/>
              </w:rPr>
              <w:t>(95% CI: 32.36, 67.23)</w:t>
            </w:r>
          </w:p>
        </w:tc>
      </w:tr>
      <w:tr w:rsidR="0051581B" w:rsidRPr="0099478A" w14:paraId="49890295" w14:textId="77777777" w:rsidTr="00595DAE">
        <w:tc>
          <w:tcPr>
            <w:tcW w:w="9016" w:type="dxa"/>
            <w:gridSpan w:val="5"/>
          </w:tcPr>
          <w:p w14:paraId="789A10F2" w14:textId="0A337A32" w:rsidR="0051581B" w:rsidRPr="0099478A" w:rsidRDefault="0051581B" w:rsidP="0051581B">
            <w:pPr>
              <w:spacing w:before="60" w:after="60"/>
              <w:rPr>
                <w:b/>
                <w:color w:val="auto"/>
                <w:sz w:val="22"/>
                <w:szCs w:val="22"/>
              </w:rPr>
            </w:pPr>
            <w:r w:rsidRPr="0099478A">
              <w:rPr>
                <w:b/>
                <w:color w:val="auto"/>
                <w:sz w:val="22"/>
                <w:szCs w:val="22"/>
              </w:rPr>
              <w:t>Subgroup Analysis of Primary Endpoint (AQP4-IgG seropositive patients)</w:t>
            </w:r>
          </w:p>
        </w:tc>
      </w:tr>
      <w:tr w:rsidR="00E90BE4" w:rsidRPr="0099478A" w14:paraId="5D92FDF0" w14:textId="77777777" w:rsidTr="004D7848">
        <w:tc>
          <w:tcPr>
            <w:tcW w:w="2333" w:type="dxa"/>
          </w:tcPr>
          <w:p w14:paraId="2834F2E9" w14:textId="3BD453DC" w:rsidR="00E90BE4" w:rsidRPr="0099478A" w:rsidRDefault="0051581B" w:rsidP="0051581B">
            <w:pPr>
              <w:spacing w:before="60" w:after="60"/>
              <w:rPr>
                <w:color w:val="auto"/>
                <w:sz w:val="22"/>
                <w:szCs w:val="22"/>
              </w:rPr>
            </w:pPr>
            <w:r w:rsidRPr="0099478A">
              <w:rPr>
                <w:color w:val="auto"/>
                <w:sz w:val="22"/>
                <w:szCs w:val="22"/>
              </w:rPr>
              <w:t>Number of AQP4-IgG seropositive patients (n)</w:t>
            </w:r>
          </w:p>
        </w:tc>
        <w:tc>
          <w:tcPr>
            <w:tcW w:w="1638" w:type="dxa"/>
          </w:tcPr>
          <w:p w14:paraId="125793E3" w14:textId="361FAF72" w:rsidR="00E90BE4" w:rsidRPr="0099478A" w:rsidRDefault="0051581B" w:rsidP="0051581B">
            <w:pPr>
              <w:spacing w:before="60" w:after="60"/>
              <w:jc w:val="center"/>
              <w:rPr>
                <w:color w:val="auto"/>
                <w:sz w:val="22"/>
                <w:szCs w:val="22"/>
              </w:rPr>
            </w:pPr>
            <w:r w:rsidRPr="0099478A">
              <w:rPr>
                <w:color w:val="auto"/>
                <w:sz w:val="22"/>
                <w:szCs w:val="22"/>
              </w:rPr>
              <w:t>27</w:t>
            </w:r>
          </w:p>
        </w:tc>
        <w:tc>
          <w:tcPr>
            <w:tcW w:w="1640" w:type="dxa"/>
          </w:tcPr>
          <w:p w14:paraId="44D12AA1" w14:textId="1DE4A09D" w:rsidR="00E90BE4" w:rsidRPr="0099478A" w:rsidRDefault="0051581B" w:rsidP="0051581B">
            <w:pPr>
              <w:spacing w:before="60" w:after="60"/>
              <w:jc w:val="center"/>
              <w:rPr>
                <w:color w:val="auto"/>
                <w:sz w:val="22"/>
                <w:szCs w:val="22"/>
              </w:rPr>
            </w:pPr>
            <w:r w:rsidRPr="0099478A">
              <w:rPr>
                <w:color w:val="auto"/>
                <w:sz w:val="22"/>
                <w:szCs w:val="22"/>
              </w:rPr>
              <w:t>28</w:t>
            </w:r>
          </w:p>
        </w:tc>
        <w:tc>
          <w:tcPr>
            <w:tcW w:w="1764" w:type="dxa"/>
          </w:tcPr>
          <w:p w14:paraId="275D410D" w14:textId="6F0B27D9" w:rsidR="00E90BE4" w:rsidRPr="0099478A" w:rsidRDefault="0051581B" w:rsidP="0051581B">
            <w:pPr>
              <w:spacing w:before="60" w:after="60"/>
              <w:jc w:val="center"/>
              <w:rPr>
                <w:color w:val="auto"/>
                <w:sz w:val="22"/>
                <w:szCs w:val="22"/>
              </w:rPr>
            </w:pPr>
            <w:r w:rsidRPr="0099478A">
              <w:rPr>
                <w:color w:val="auto"/>
                <w:sz w:val="22"/>
                <w:szCs w:val="22"/>
              </w:rPr>
              <w:t>41</w:t>
            </w:r>
          </w:p>
        </w:tc>
        <w:tc>
          <w:tcPr>
            <w:tcW w:w="1641" w:type="dxa"/>
          </w:tcPr>
          <w:p w14:paraId="3F954C0A" w14:textId="02130823" w:rsidR="00E90BE4" w:rsidRPr="0099478A" w:rsidRDefault="0051581B" w:rsidP="0051581B">
            <w:pPr>
              <w:spacing w:before="60" w:after="60"/>
              <w:jc w:val="center"/>
              <w:rPr>
                <w:color w:val="auto"/>
                <w:sz w:val="22"/>
                <w:szCs w:val="22"/>
              </w:rPr>
            </w:pPr>
            <w:r w:rsidRPr="0099478A">
              <w:rPr>
                <w:color w:val="auto"/>
                <w:sz w:val="22"/>
                <w:szCs w:val="22"/>
              </w:rPr>
              <w:t>23</w:t>
            </w:r>
          </w:p>
        </w:tc>
      </w:tr>
      <w:tr w:rsidR="0051581B" w:rsidRPr="0099478A" w14:paraId="73870CAE" w14:textId="77777777" w:rsidTr="004D7848">
        <w:tc>
          <w:tcPr>
            <w:tcW w:w="2333" w:type="dxa"/>
          </w:tcPr>
          <w:p w14:paraId="0941B699" w14:textId="77777777" w:rsidR="0051581B" w:rsidRPr="0099478A" w:rsidRDefault="0051581B" w:rsidP="0051581B">
            <w:pPr>
              <w:autoSpaceDE w:val="0"/>
              <w:autoSpaceDN w:val="0"/>
              <w:adjustRightInd w:val="0"/>
              <w:spacing w:before="60" w:after="60"/>
              <w:rPr>
                <w:color w:val="auto"/>
                <w:sz w:val="22"/>
                <w:szCs w:val="22"/>
                <w:lang w:val="en-AU"/>
              </w:rPr>
            </w:pPr>
            <w:r w:rsidRPr="0099478A">
              <w:rPr>
                <w:color w:val="auto"/>
                <w:sz w:val="22"/>
                <w:szCs w:val="22"/>
                <w:lang w:val="en-AU"/>
              </w:rPr>
              <w:t>Risk Reduction</w:t>
            </w:r>
          </w:p>
          <w:p w14:paraId="6B24C603" w14:textId="3906C61A" w:rsidR="0051581B" w:rsidRPr="0099478A" w:rsidRDefault="0051581B" w:rsidP="0051581B">
            <w:pPr>
              <w:spacing w:before="60" w:after="60"/>
              <w:rPr>
                <w:color w:val="auto"/>
                <w:sz w:val="22"/>
                <w:szCs w:val="22"/>
              </w:rPr>
            </w:pPr>
            <w:r w:rsidRPr="0099478A">
              <w:rPr>
                <w:color w:val="auto"/>
                <w:sz w:val="22"/>
                <w:szCs w:val="22"/>
                <w:lang w:val="en-AU"/>
              </w:rPr>
              <w:t>(Individual Studies)</w:t>
            </w:r>
          </w:p>
        </w:tc>
        <w:tc>
          <w:tcPr>
            <w:tcW w:w="3278" w:type="dxa"/>
            <w:gridSpan w:val="2"/>
          </w:tcPr>
          <w:p w14:paraId="3EB6A344" w14:textId="77777777" w:rsidR="0051581B" w:rsidRPr="0099478A" w:rsidRDefault="0051581B" w:rsidP="0051581B">
            <w:pPr>
              <w:spacing w:before="60" w:after="60"/>
              <w:jc w:val="center"/>
              <w:rPr>
                <w:color w:val="auto"/>
                <w:sz w:val="22"/>
                <w:szCs w:val="22"/>
              </w:rPr>
            </w:pPr>
            <w:r w:rsidRPr="0099478A">
              <w:rPr>
                <w:color w:val="auto"/>
                <w:sz w:val="22"/>
                <w:szCs w:val="22"/>
              </w:rPr>
              <w:t>79%</w:t>
            </w:r>
          </w:p>
          <w:p w14:paraId="5E87CEEB" w14:textId="77777777" w:rsidR="0051581B" w:rsidRPr="0099478A" w:rsidRDefault="0051581B" w:rsidP="0051581B">
            <w:pPr>
              <w:spacing w:before="60" w:after="60"/>
              <w:jc w:val="center"/>
              <w:rPr>
                <w:color w:val="auto"/>
                <w:sz w:val="22"/>
                <w:szCs w:val="22"/>
              </w:rPr>
            </w:pPr>
            <w:r w:rsidRPr="0099478A">
              <w:rPr>
                <w:color w:val="auto"/>
                <w:sz w:val="22"/>
                <w:szCs w:val="22"/>
              </w:rPr>
              <w:t xml:space="preserve">(HR: 0.21; 95% CI: 0.06, </w:t>
            </w:r>
            <w:proofErr w:type="gramStart"/>
            <w:r w:rsidRPr="0099478A">
              <w:rPr>
                <w:color w:val="auto"/>
                <w:sz w:val="22"/>
                <w:szCs w:val="22"/>
              </w:rPr>
              <w:t>0.75;</w:t>
            </w:r>
            <w:proofErr w:type="gramEnd"/>
            <w:r w:rsidRPr="0099478A">
              <w:rPr>
                <w:color w:val="auto"/>
                <w:sz w:val="22"/>
                <w:szCs w:val="22"/>
              </w:rPr>
              <w:t xml:space="preserve"> </w:t>
            </w:r>
          </w:p>
          <w:p w14:paraId="6D3CF606" w14:textId="10105B36" w:rsidR="0051581B" w:rsidRPr="0099478A" w:rsidRDefault="0051581B" w:rsidP="0051581B">
            <w:pPr>
              <w:spacing w:before="60" w:after="60"/>
              <w:jc w:val="center"/>
              <w:rPr>
                <w:color w:val="auto"/>
                <w:sz w:val="22"/>
                <w:szCs w:val="22"/>
              </w:rPr>
            </w:pPr>
            <w:r w:rsidRPr="0099478A">
              <w:rPr>
                <w:color w:val="auto"/>
                <w:sz w:val="22"/>
                <w:szCs w:val="22"/>
              </w:rPr>
              <w:t>p= 0.0086)</w:t>
            </w:r>
          </w:p>
        </w:tc>
        <w:tc>
          <w:tcPr>
            <w:tcW w:w="3405" w:type="dxa"/>
            <w:gridSpan w:val="2"/>
          </w:tcPr>
          <w:p w14:paraId="4A6A3CC0" w14:textId="77777777" w:rsidR="0051581B" w:rsidRPr="0099478A" w:rsidRDefault="0051581B" w:rsidP="0051581B">
            <w:pPr>
              <w:spacing w:before="60" w:after="60"/>
              <w:jc w:val="center"/>
              <w:rPr>
                <w:color w:val="auto"/>
                <w:sz w:val="22"/>
                <w:szCs w:val="22"/>
              </w:rPr>
            </w:pPr>
            <w:r w:rsidRPr="0099478A">
              <w:rPr>
                <w:color w:val="auto"/>
                <w:sz w:val="22"/>
                <w:szCs w:val="22"/>
              </w:rPr>
              <w:t>74%</w:t>
            </w:r>
          </w:p>
          <w:p w14:paraId="68A975A1" w14:textId="77777777" w:rsidR="0051581B" w:rsidRPr="0099478A" w:rsidRDefault="0051581B" w:rsidP="0051581B">
            <w:pPr>
              <w:spacing w:before="60" w:after="60"/>
              <w:jc w:val="center"/>
              <w:rPr>
                <w:color w:val="auto"/>
                <w:sz w:val="22"/>
                <w:szCs w:val="22"/>
              </w:rPr>
            </w:pPr>
            <w:r w:rsidRPr="0099478A">
              <w:rPr>
                <w:color w:val="auto"/>
                <w:sz w:val="22"/>
                <w:szCs w:val="22"/>
              </w:rPr>
              <w:t xml:space="preserve">(HR: 0.26; 95% CI: 0.11, </w:t>
            </w:r>
            <w:proofErr w:type="gramStart"/>
            <w:r w:rsidRPr="0099478A">
              <w:rPr>
                <w:color w:val="auto"/>
                <w:sz w:val="22"/>
                <w:szCs w:val="22"/>
              </w:rPr>
              <w:t>0.63;</w:t>
            </w:r>
            <w:proofErr w:type="gramEnd"/>
          </w:p>
          <w:p w14:paraId="4D9F4E2E" w14:textId="48128033" w:rsidR="0051581B" w:rsidRPr="0099478A" w:rsidRDefault="0051581B" w:rsidP="0051581B">
            <w:pPr>
              <w:spacing w:before="60" w:after="60"/>
              <w:jc w:val="center"/>
              <w:rPr>
                <w:color w:val="auto"/>
                <w:sz w:val="22"/>
                <w:szCs w:val="22"/>
              </w:rPr>
            </w:pPr>
            <w:r w:rsidRPr="0099478A">
              <w:rPr>
                <w:color w:val="auto"/>
                <w:sz w:val="22"/>
                <w:szCs w:val="22"/>
              </w:rPr>
              <w:t>p= 0.0014)</w:t>
            </w:r>
          </w:p>
        </w:tc>
      </w:tr>
      <w:tr w:rsidR="0051581B" w:rsidRPr="0099478A" w14:paraId="4915A12A" w14:textId="77777777" w:rsidTr="004D7848">
        <w:tc>
          <w:tcPr>
            <w:tcW w:w="2333" w:type="dxa"/>
          </w:tcPr>
          <w:p w14:paraId="549B51CE" w14:textId="77777777" w:rsidR="004D7848" w:rsidRPr="0099478A" w:rsidRDefault="0051581B" w:rsidP="0051581B">
            <w:pPr>
              <w:autoSpaceDE w:val="0"/>
              <w:autoSpaceDN w:val="0"/>
              <w:adjustRightInd w:val="0"/>
              <w:spacing w:before="60" w:after="60"/>
              <w:rPr>
                <w:color w:val="auto"/>
                <w:sz w:val="22"/>
                <w:szCs w:val="22"/>
                <w:lang w:val="en-AU"/>
              </w:rPr>
            </w:pPr>
            <w:r w:rsidRPr="0099478A">
              <w:rPr>
                <w:color w:val="auto"/>
                <w:sz w:val="22"/>
                <w:szCs w:val="22"/>
                <w:lang w:val="en-AU"/>
              </w:rPr>
              <w:t xml:space="preserve">Risk Reduction </w:t>
            </w:r>
          </w:p>
          <w:p w14:paraId="1EFE647A" w14:textId="71F16422" w:rsidR="0051581B" w:rsidRPr="0099478A" w:rsidRDefault="0051581B" w:rsidP="0051581B">
            <w:pPr>
              <w:autoSpaceDE w:val="0"/>
              <w:autoSpaceDN w:val="0"/>
              <w:adjustRightInd w:val="0"/>
              <w:spacing w:before="60" w:after="60"/>
              <w:rPr>
                <w:color w:val="auto"/>
                <w:sz w:val="22"/>
                <w:szCs w:val="22"/>
              </w:rPr>
            </w:pPr>
            <w:r w:rsidRPr="0099478A">
              <w:rPr>
                <w:color w:val="auto"/>
                <w:sz w:val="22"/>
                <w:szCs w:val="22"/>
                <w:lang w:val="en-AU"/>
              </w:rPr>
              <w:t>(Pooled Analysis)</w:t>
            </w:r>
          </w:p>
        </w:tc>
        <w:tc>
          <w:tcPr>
            <w:tcW w:w="6683" w:type="dxa"/>
            <w:gridSpan w:val="4"/>
          </w:tcPr>
          <w:p w14:paraId="4757083A" w14:textId="77777777" w:rsidR="0051581B" w:rsidRPr="0099478A" w:rsidRDefault="0051581B" w:rsidP="0051581B">
            <w:pPr>
              <w:spacing w:before="60" w:after="60"/>
              <w:jc w:val="center"/>
              <w:rPr>
                <w:color w:val="auto"/>
                <w:sz w:val="22"/>
                <w:szCs w:val="22"/>
              </w:rPr>
            </w:pPr>
            <w:r w:rsidRPr="0099478A">
              <w:rPr>
                <w:color w:val="auto"/>
                <w:sz w:val="22"/>
                <w:szCs w:val="22"/>
              </w:rPr>
              <w:t>75%</w:t>
            </w:r>
          </w:p>
          <w:p w14:paraId="1AB26692" w14:textId="70E36AAA" w:rsidR="0051581B" w:rsidRPr="0099478A" w:rsidRDefault="0051581B" w:rsidP="0051581B">
            <w:pPr>
              <w:spacing w:before="60" w:after="60"/>
              <w:jc w:val="center"/>
              <w:rPr>
                <w:color w:val="auto"/>
                <w:sz w:val="22"/>
                <w:szCs w:val="22"/>
              </w:rPr>
            </w:pPr>
            <w:r w:rsidRPr="0099478A">
              <w:rPr>
                <w:color w:val="auto"/>
                <w:sz w:val="22"/>
                <w:szCs w:val="22"/>
              </w:rPr>
              <w:t>(HR: 0.25; 95% CI: 0.12, 0.50; p &lt;0.0001)</w:t>
            </w:r>
          </w:p>
        </w:tc>
      </w:tr>
      <w:tr w:rsidR="00E90BE4" w:rsidRPr="0099478A" w14:paraId="5A19A45B" w14:textId="77777777" w:rsidTr="004D7848">
        <w:tc>
          <w:tcPr>
            <w:tcW w:w="2333" w:type="dxa"/>
          </w:tcPr>
          <w:p w14:paraId="5DD4B5F4" w14:textId="3202E045" w:rsidR="00E90BE4" w:rsidRPr="0099478A" w:rsidRDefault="0051581B" w:rsidP="0051581B">
            <w:pPr>
              <w:autoSpaceDE w:val="0"/>
              <w:autoSpaceDN w:val="0"/>
              <w:adjustRightInd w:val="0"/>
              <w:spacing w:before="60" w:after="60"/>
              <w:rPr>
                <w:color w:val="auto"/>
                <w:sz w:val="22"/>
                <w:szCs w:val="22"/>
              </w:rPr>
            </w:pPr>
            <w:r w:rsidRPr="0099478A">
              <w:rPr>
                <w:color w:val="auto"/>
                <w:sz w:val="22"/>
                <w:szCs w:val="22"/>
                <w:lang w:val="en-AU"/>
              </w:rPr>
              <w:t>Proportion of adjudicated relapse-free patients at 48 weeks</w:t>
            </w:r>
          </w:p>
        </w:tc>
        <w:tc>
          <w:tcPr>
            <w:tcW w:w="1638" w:type="dxa"/>
          </w:tcPr>
          <w:p w14:paraId="46EDEF2F" w14:textId="77777777" w:rsidR="0051581B" w:rsidRPr="0099478A" w:rsidRDefault="0051581B" w:rsidP="0051581B">
            <w:pPr>
              <w:spacing w:before="60" w:after="60"/>
              <w:jc w:val="center"/>
              <w:rPr>
                <w:color w:val="auto"/>
                <w:sz w:val="22"/>
                <w:szCs w:val="22"/>
              </w:rPr>
            </w:pPr>
            <w:r w:rsidRPr="0099478A">
              <w:rPr>
                <w:color w:val="auto"/>
                <w:sz w:val="22"/>
                <w:szCs w:val="22"/>
              </w:rPr>
              <w:t>91.5%</w:t>
            </w:r>
          </w:p>
          <w:p w14:paraId="4455287C" w14:textId="71330940" w:rsidR="00E90BE4" w:rsidRPr="0099478A" w:rsidRDefault="0051581B" w:rsidP="0051581B">
            <w:pPr>
              <w:spacing w:before="60" w:after="60"/>
              <w:jc w:val="center"/>
              <w:rPr>
                <w:color w:val="auto"/>
                <w:sz w:val="22"/>
                <w:szCs w:val="22"/>
              </w:rPr>
            </w:pPr>
            <w:r w:rsidRPr="0099478A">
              <w:rPr>
                <w:color w:val="auto"/>
                <w:sz w:val="22"/>
                <w:szCs w:val="22"/>
              </w:rPr>
              <w:t>(95% CI: 69.64, 97.83)</w:t>
            </w:r>
          </w:p>
        </w:tc>
        <w:tc>
          <w:tcPr>
            <w:tcW w:w="1640" w:type="dxa"/>
          </w:tcPr>
          <w:p w14:paraId="1487D1E4" w14:textId="77777777" w:rsidR="0051581B" w:rsidRPr="0099478A" w:rsidRDefault="0051581B" w:rsidP="0051581B">
            <w:pPr>
              <w:spacing w:before="60" w:after="60"/>
              <w:jc w:val="center"/>
              <w:rPr>
                <w:color w:val="auto"/>
                <w:sz w:val="22"/>
                <w:szCs w:val="22"/>
              </w:rPr>
            </w:pPr>
            <w:r w:rsidRPr="0099478A">
              <w:rPr>
                <w:color w:val="auto"/>
                <w:sz w:val="22"/>
                <w:szCs w:val="22"/>
              </w:rPr>
              <w:t>59.9%</w:t>
            </w:r>
          </w:p>
          <w:p w14:paraId="11FEE488" w14:textId="00AD2C05" w:rsidR="00E90BE4" w:rsidRPr="0099478A" w:rsidRDefault="0051581B" w:rsidP="0051581B">
            <w:pPr>
              <w:spacing w:before="60" w:after="60"/>
              <w:jc w:val="center"/>
              <w:rPr>
                <w:color w:val="auto"/>
                <w:sz w:val="22"/>
                <w:szCs w:val="22"/>
              </w:rPr>
            </w:pPr>
            <w:r w:rsidRPr="0099478A">
              <w:rPr>
                <w:color w:val="auto"/>
                <w:sz w:val="22"/>
                <w:szCs w:val="22"/>
              </w:rPr>
              <w:t>(95% CI: 36.25, 77.25)</w:t>
            </w:r>
          </w:p>
        </w:tc>
        <w:tc>
          <w:tcPr>
            <w:tcW w:w="1764" w:type="dxa"/>
          </w:tcPr>
          <w:p w14:paraId="020D56BA" w14:textId="77777777" w:rsidR="0051581B" w:rsidRPr="0099478A" w:rsidRDefault="0051581B" w:rsidP="0051581B">
            <w:pPr>
              <w:spacing w:before="60" w:after="60"/>
              <w:jc w:val="center"/>
              <w:rPr>
                <w:color w:val="auto"/>
                <w:sz w:val="22"/>
                <w:szCs w:val="22"/>
              </w:rPr>
            </w:pPr>
            <w:r w:rsidRPr="0099478A">
              <w:rPr>
                <w:color w:val="auto"/>
                <w:sz w:val="22"/>
                <w:szCs w:val="22"/>
              </w:rPr>
              <w:t>82.9%</w:t>
            </w:r>
          </w:p>
          <w:p w14:paraId="7A91F3D1" w14:textId="1EB3E860" w:rsidR="00E90BE4" w:rsidRPr="0099478A" w:rsidRDefault="0051581B" w:rsidP="0051581B">
            <w:pPr>
              <w:spacing w:before="60" w:after="60"/>
              <w:jc w:val="center"/>
              <w:rPr>
                <w:color w:val="auto"/>
                <w:sz w:val="22"/>
                <w:szCs w:val="22"/>
              </w:rPr>
            </w:pPr>
            <w:r w:rsidRPr="0099478A">
              <w:rPr>
                <w:color w:val="auto"/>
                <w:sz w:val="22"/>
                <w:szCs w:val="22"/>
              </w:rPr>
              <w:t>(95% CI: 67.49, 91.47)</w:t>
            </w:r>
          </w:p>
        </w:tc>
        <w:tc>
          <w:tcPr>
            <w:tcW w:w="1641" w:type="dxa"/>
          </w:tcPr>
          <w:p w14:paraId="7551F202" w14:textId="77777777" w:rsidR="0051581B" w:rsidRPr="0099478A" w:rsidRDefault="0051581B" w:rsidP="0051581B">
            <w:pPr>
              <w:spacing w:before="60" w:after="60"/>
              <w:jc w:val="center"/>
              <w:rPr>
                <w:color w:val="auto"/>
                <w:sz w:val="22"/>
                <w:szCs w:val="22"/>
              </w:rPr>
            </w:pPr>
            <w:r w:rsidRPr="0099478A">
              <w:rPr>
                <w:color w:val="auto"/>
                <w:sz w:val="22"/>
                <w:szCs w:val="22"/>
              </w:rPr>
              <w:t>55.4%</w:t>
            </w:r>
          </w:p>
          <w:p w14:paraId="2D624B2F" w14:textId="0A00B10C" w:rsidR="00E90BE4" w:rsidRPr="0099478A" w:rsidRDefault="0051581B" w:rsidP="0051581B">
            <w:pPr>
              <w:spacing w:before="60" w:after="60"/>
              <w:jc w:val="center"/>
              <w:rPr>
                <w:color w:val="auto"/>
                <w:sz w:val="22"/>
                <w:szCs w:val="22"/>
              </w:rPr>
            </w:pPr>
            <w:r w:rsidRPr="0099478A">
              <w:rPr>
                <w:color w:val="auto"/>
                <w:sz w:val="22"/>
                <w:szCs w:val="22"/>
              </w:rPr>
              <w:t>(95% CI: 32.96, 73.08)</w:t>
            </w:r>
          </w:p>
        </w:tc>
      </w:tr>
      <w:tr w:rsidR="00E90BE4" w:rsidRPr="0099478A" w14:paraId="59DCD8FC" w14:textId="77777777" w:rsidTr="004D7848">
        <w:tc>
          <w:tcPr>
            <w:tcW w:w="2333" w:type="dxa"/>
          </w:tcPr>
          <w:p w14:paraId="24C3159F" w14:textId="71F0B2D5" w:rsidR="00E90BE4" w:rsidRPr="0099478A" w:rsidRDefault="0051581B" w:rsidP="0051581B">
            <w:pPr>
              <w:autoSpaceDE w:val="0"/>
              <w:autoSpaceDN w:val="0"/>
              <w:adjustRightInd w:val="0"/>
              <w:spacing w:before="60" w:after="60"/>
              <w:rPr>
                <w:color w:val="auto"/>
                <w:sz w:val="22"/>
                <w:szCs w:val="22"/>
              </w:rPr>
            </w:pPr>
            <w:r w:rsidRPr="0099478A">
              <w:rPr>
                <w:color w:val="auto"/>
                <w:sz w:val="22"/>
                <w:szCs w:val="22"/>
                <w:lang w:val="en-AU"/>
              </w:rPr>
              <w:t>Proportion of adjudicated relapse-free patients at 96 weeks</w:t>
            </w:r>
          </w:p>
        </w:tc>
        <w:tc>
          <w:tcPr>
            <w:tcW w:w="1638" w:type="dxa"/>
          </w:tcPr>
          <w:p w14:paraId="7C3953FE" w14:textId="77777777" w:rsidR="0051581B" w:rsidRPr="0099478A" w:rsidRDefault="0051581B" w:rsidP="0051581B">
            <w:pPr>
              <w:spacing w:before="60" w:after="60"/>
              <w:jc w:val="center"/>
              <w:rPr>
                <w:color w:val="auto"/>
                <w:sz w:val="22"/>
                <w:szCs w:val="22"/>
              </w:rPr>
            </w:pPr>
            <w:r w:rsidRPr="0099478A">
              <w:rPr>
                <w:color w:val="auto"/>
                <w:sz w:val="22"/>
                <w:szCs w:val="22"/>
              </w:rPr>
              <w:t>91.5%</w:t>
            </w:r>
          </w:p>
          <w:p w14:paraId="6B213114" w14:textId="2670948F" w:rsidR="00E90BE4" w:rsidRPr="0099478A" w:rsidRDefault="0051581B" w:rsidP="0051581B">
            <w:pPr>
              <w:spacing w:before="60" w:after="60"/>
              <w:jc w:val="center"/>
              <w:rPr>
                <w:color w:val="auto"/>
                <w:sz w:val="22"/>
                <w:szCs w:val="22"/>
              </w:rPr>
            </w:pPr>
            <w:r w:rsidRPr="0099478A">
              <w:rPr>
                <w:color w:val="auto"/>
                <w:sz w:val="22"/>
                <w:szCs w:val="22"/>
              </w:rPr>
              <w:t>(95% CI: 69.64, 97.83)</w:t>
            </w:r>
          </w:p>
        </w:tc>
        <w:tc>
          <w:tcPr>
            <w:tcW w:w="1640" w:type="dxa"/>
          </w:tcPr>
          <w:p w14:paraId="1F559292" w14:textId="77777777" w:rsidR="0051581B" w:rsidRPr="0099478A" w:rsidRDefault="0051581B" w:rsidP="0051581B">
            <w:pPr>
              <w:spacing w:before="60" w:after="60"/>
              <w:jc w:val="center"/>
              <w:rPr>
                <w:color w:val="auto"/>
                <w:sz w:val="22"/>
                <w:szCs w:val="22"/>
              </w:rPr>
            </w:pPr>
            <w:r w:rsidRPr="0099478A">
              <w:rPr>
                <w:color w:val="auto"/>
                <w:sz w:val="22"/>
                <w:szCs w:val="22"/>
              </w:rPr>
              <w:t>53.3%</w:t>
            </w:r>
          </w:p>
          <w:p w14:paraId="7364AE92" w14:textId="4A846D82" w:rsidR="00E90BE4" w:rsidRPr="0099478A" w:rsidRDefault="0051581B" w:rsidP="0051581B">
            <w:pPr>
              <w:spacing w:before="60" w:after="60"/>
              <w:jc w:val="center"/>
              <w:rPr>
                <w:color w:val="auto"/>
                <w:sz w:val="22"/>
                <w:szCs w:val="22"/>
              </w:rPr>
            </w:pPr>
            <w:r w:rsidRPr="0099478A">
              <w:rPr>
                <w:color w:val="auto"/>
                <w:sz w:val="22"/>
                <w:szCs w:val="22"/>
              </w:rPr>
              <w:t>(95% CI: 29.34, 72.38)</w:t>
            </w:r>
          </w:p>
        </w:tc>
        <w:tc>
          <w:tcPr>
            <w:tcW w:w="1764" w:type="dxa"/>
          </w:tcPr>
          <w:p w14:paraId="3F5583A6" w14:textId="77777777" w:rsidR="0051581B" w:rsidRPr="0099478A" w:rsidRDefault="0051581B" w:rsidP="0051581B">
            <w:pPr>
              <w:spacing w:before="60" w:after="60"/>
              <w:jc w:val="center"/>
              <w:rPr>
                <w:color w:val="auto"/>
                <w:sz w:val="22"/>
                <w:szCs w:val="22"/>
              </w:rPr>
            </w:pPr>
            <w:r w:rsidRPr="0099478A">
              <w:rPr>
                <w:color w:val="auto"/>
                <w:sz w:val="22"/>
                <w:szCs w:val="22"/>
              </w:rPr>
              <w:t>76.5%</w:t>
            </w:r>
          </w:p>
          <w:p w14:paraId="7889FCDD" w14:textId="4D287F85" w:rsidR="00E90BE4" w:rsidRPr="0099478A" w:rsidRDefault="0051581B" w:rsidP="0051581B">
            <w:pPr>
              <w:spacing w:before="60" w:after="60"/>
              <w:jc w:val="center"/>
              <w:rPr>
                <w:color w:val="auto"/>
                <w:sz w:val="22"/>
                <w:szCs w:val="22"/>
              </w:rPr>
            </w:pPr>
            <w:r w:rsidRPr="0099478A">
              <w:rPr>
                <w:color w:val="auto"/>
                <w:sz w:val="22"/>
                <w:szCs w:val="22"/>
              </w:rPr>
              <w:t>(95% CI: 59.22, 87.21)</w:t>
            </w:r>
          </w:p>
        </w:tc>
        <w:tc>
          <w:tcPr>
            <w:tcW w:w="1641" w:type="dxa"/>
          </w:tcPr>
          <w:p w14:paraId="08D0E0A2" w14:textId="77777777" w:rsidR="0051581B" w:rsidRPr="0099478A" w:rsidRDefault="0051581B" w:rsidP="0051581B">
            <w:pPr>
              <w:spacing w:before="60" w:after="60"/>
              <w:jc w:val="center"/>
              <w:rPr>
                <w:color w:val="auto"/>
                <w:sz w:val="22"/>
                <w:szCs w:val="22"/>
              </w:rPr>
            </w:pPr>
            <w:r w:rsidRPr="0099478A">
              <w:rPr>
                <w:color w:val="auto"/>
                <w:sz w:val="22"/>
                <w:szCs w:val="22"/>
              </w:rPr>
              <w:t>41.1%</w:t>
            </w:r>
          </w:p>
          <w:p w14:paraId="60B6A4CB" w14:textId="316D383C" w:rsidR="00E90BE4" w:rsidRPr="0099478A" w:rsidRDefault="0051581B" w:rsidP="0051581B">
            <w:pPr>
              <w:spacing w:before="60" w:after="60"/>
              <w:jc w:val="center"/>
              <w:rPr>
                <w:color w:val="auto"/>
                <w:sz w:val="22"/>
                <w:szCs w:val="22"/>
              </w:rPr>
            </w:pPr>
            <w:r w:rsidRPr="0099478A">
              <w:rPr>
                <w:color w:val="auto"/>
                <w:sz w:val="22"/>
                <w:szCs w:val="22"/>
              </w:rPr>
              <w:t>(95% CI: 20.76, 60.41)</w:t>
            </w:r>
          </w:p>
        </w:tc>
      </w:tr>
    </w:tbl>
    <w:p w14:paraId="1E65DBF2" w14:textId="1F3C9516" w:rsidR="00682EDB" w:rsidRDefault="00682EDB" w:rsidP="004A5A18">
      <w:pPr>
        <w:rPr>
          <w:color w:val="auto"/>
          <w:szCs w:val="22"/>
        </w:rPr>
      </w:pPr>
    </w:p>
    <w:p w14:paraId="7230366B" w14:textId="0C64C600" w:rsidR="003E065E" w:rsidRDefault="003E065E" w:rsidP="004A5A18">
      <w:pPr>
        <w:rPr>
          <w:color w:val="auto"/>
          <w:szCs w:val="22"/>
        </w:rPr>
      </w:pPr>
    </w:p>
    <w:p w14:paraId="110C99EA" w14:textId="4491FA90" w:rsidR="003E065E" w:rsidRDefault="003E065E" w:rsidP="004A5A18">
      <w:pPr>
        <w:rPr>
          <w:color w:val="auto"/>
          <w:szCs w:val="22"/>
        </w:rPr>
      </w:pPr>
    </w:p>
    <w:p w14:paraId="2F46325E" w14:textId="2B37618E" w:rsidR="003E065E" w:rsidRDefault="003E065E" w:rsidP="004A5A18">
      <w:pPr>
        <w:rPr>
          <w:color w:val="auto"/>
          <w:szCs w:val="22"/>
        </w:rPr>
      </w:pPr>
    </w:p>
    <w:p w14:paraId="06A65B22" w14:textId="6FDBFB96" w:rsidR="003E065E" w:rsidRDefault="003E065E" w:rsidP="004A5A18">
      <w:pPr>
        <w:rPr>
          <w:color w:val="auto"/>
          <w:szCs w:val="22"/>
        </w:rPr>
      </w:pPr>
    </w:p>
    <w:p w14:paraId="44F6C154" w14:textId="10B32DA5" w:rsidR="0051581B" w:rsidRPr="0099478A" w:rsidRDefault="0051581B" w:rsidP="0022796C">
      <w:pPr>
        <w:spacing w:after="120"/>
        <w:ind w:left="990" w:hanging="990"/>
        <w:rPr>
          <w:b/>
          <w:color w:val="auto"/>
          <w:szCs w:val="22"/>
        </w:rPr>
      </w:pPr>
      <w:r w:rsidRPr="0099478A">
        <w:rPr>
          <w:b/>
          <w:color w:val="auto"/>
          <w:szCs w:val="22"/>
        </w:rPr>
        <w:lastRenderedPageBreak/>
        <w:t>Figure 1: Study BN40898 - Ti</w:t>
      </w:r>
      <w:r w:rsidR="00A13D49" w:rsidRPr="0099478A">
        <w:rPr>
          <w:b/>
          <w:color w:val="auto"/>
          <w:szCs w:val="22"/>
        </w:rPr>
        <w:t>me to f</w:t>
      </w:r>
      <w:r w:rsidRPr="0099478A">
        <w:rPr>
          <w:b/>
          <w:color w:val="auto"/>
          <w:szCs w:val="22"/>
        </w:rPr>
        <w:t xml:space="preserve">irst </w:t>
      </w:r>
      <w:r w:rsidR="00A13D49" w:rsidRPr="0099478A">
        <w:rPr>
          <w:b/>
          <w:color w:val="auto"/>
          <w:szCs w:val="22"/>
        </w:rPr>
        <w:t>adjudicated relapse during the double-blind period (ITT p</w:t>
      </w:r>
      <w:r w:rsidRPr="0099478A">
        <w:rPr>
          <w:b/>
          <w:color w:val="auto"/>
          <w:szCs w:val="22"/>
        </w:rPr>
        <w:t>opulation)</w:t>
      </w:r>
    </w:p>
    <w:p w14:paraId="06C0FCE2" w14:textId="446A4E5F" w:rsidR="0051581B" w:rsidRPr="0099478A" w:rsidRDefault="004D7848" w:rsidP="0051581B">
      <w:pPr>
        <w:rPr>
          <w:color w:val="auto"/>
          <w:szCs w:val="22"/>
        </w:rPr>
      </w:pPr>
      <w:r w:rsidRPr="0099478A">
        <w:rPr>
          <w:noProof/>
          <w:color w:val="auto"/>
          <w:lang w:val="en-AU"/>
        </w:rPr>
        <w:drawing>
          <wp:inline distT="0" distB="0" distL="0" distR="0" wp14:anchorId="3D4D5D38" wp14:editId="5BFDEFF4">
            <wp:extent cx="5286375" cy="35089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9008" cy="3517337"/>
                    </a:xfrm>
                    <a:prstGeom prst="rect">
                      <a:avLst/>
                    </a:prstGeom>
                  </pic:spPr>
                </pic:pic>
              </a:graphicData>
            </a:graphic>
          </wp:inline>
        </w:drawing>
      </w:r>
    </w:p>
    <w:p w14:paraId="5BBCC89A" w14:textId="77777777" w:rsidR="005F49B8" w:rsidRPr="0099478A" w:rsidRDefault="005F49B8" w:rsidP="0051581B">
      <w:pPr>
        <w:rPr>
          <w:color w:val="auto"/>
          <w:szCs w:val="22"/>
        </w:rPr>
      </w:pPr>
    </w:p>
    <w:p w14:paraId="5ED0975C" w14:textId="16E6018E" w:rsidR="0092539C" w:rsidRPr="0099478A" w:rsidRDefault="0092539C" w:rsidP="0022796C">
      <w:pPr>
        <w:spacing w:after="120"/>
        <w:ind w:left="990" w:hanging="990"/>
        <w:rPr>
          <w:b/>
          <w:color w:val="auto"/>
          <w:szCs w:val="22"/>
        </w:rPr>
      </w:pPr>
      <w:r w:rsidRPr="0099478A">
        <w:rPr>
          <w:b/>
          <w:color w:val="auto"/>
          <w:szCs w:val="22"/>
        </w:rPr>
        <w:t>Figure 2:</w:t>
      </w:r>
      <w:r w:rsidRPr="0099478A">
        <w:rPr>
          <w:b/>
          <w:color w:val="auto"/>
        </w:rPr>
        <w:t xml:space="preserve"> </w:t>
      </w:r>
      <w:r w:rsidR="00A13D49" w:rsidRPr="0099478A">
        <w:rPr>
          <w:b/>
          <w:color w:val="auto"/>
          <w:szCs w:val="22"/>
        </w:rPr>
        <w:t>Study BN40900 - Time to first adjudicated relapse during the double-blind period (ITT p</w:t>
      </w:r>
      <w:r w:rsidRPr="0099478A">
        <w:rPr>
          <w:b/>
          <w:color w:val="auto"/>
          <w:szCs w:val="22"/>
        </w:rPr>
        <w:t>opulation)</w:t>
      </w:r>
    </w:p>
    <w:p w14:paraId="0DA63042" w14:textId="59D94405" w:rsidR="0092539C" w:rsidRPr="0099478A" w:rsidRDefault="0092539C" w:rsidP="0051581B">
      <w:pPr>
        <w:rPr>
          <w:color w:val="auto"/>
          <w:szCs w:val="22"/>
        </w:rPr>
      </w:pPr>
      <w:r w:rsidRPr="0099478A">
        <w:rPr>
          <w:noProof/>
          <w:color w:val="auto"/>
          <w:lang w:val="en-AU"/>
        </w:rPr>
        <w:drawing>
          <wp:inline distT="0" distB="0" distL="0" distR="0" wp14:anchorId="7F135A17" wp14:editId="38A0F41C">
            <wp:extent cx="5731510" cy="38328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832860"/>
                    </a:xfrm>
                    <a:prstGeom prst="rect">
                      <a:avLst/>
                    </a:prstGeom>
                  </pic:spPr>
                </pic:pic>
              </a:graphicData>
            </a:graphic>
          </wp:inline>
        </w:drawing>
      </w:r>
    </w:p>
    <w:p w14:paraId="230AE64E" w14:textId="3E4D767A" w:rsidR="0051581B" w:rsidRPr="0099478A" w:rsidRDefault="0051581B" w:rsidP="0051581B">
      <w:pPr>
        <w:rPr>
          <w:color w:val="auto"/>
          <w:szCs w:val="22"/>
        </w:rPr>
      </w:pPr>
    </w:p>
    <w:p w14:paraId="3CC6F8AB" w14:textId="1DA6D9D1" w:rsidR="0092539C" w:rsidRPr="0099478A" w:rsidRDefault="0092539C" w:rsidP="0022796C">
      <w:pPr>
        <w:spacing w:after="120"/>
        <w:ind w:left="990" w:hanging="990"/>
        <w:rPr>
          <w:b/>
          <w:color w:val="auto"/>
          <w:szCs w:val="22"/>
        </w:rPr>
      </w:pPr>
      <w:r w:rsidRPr="0099478A">
        <w:rPr>
          <w:b/>
          <w:color w:val="auto"/>
          <w:szCs w:val="22"/>
        </w:rPr>
        <w:lastRenderedPageBreak/>
        <w:t>Fig</w:t>
      </w:r>
      <w:r w:rsidR="00A13D49" w:rsidRPr="0099478A">
        <w:rPr>
          <w:b/>
          <w:color w:val="auto"/>
          <w:szCs w:val="22"/>
        </w:rPr>
        <w:t>ure 3: Study BN40898 - Time to first adjudicated r</w:t>
      </w:r>
      <w:r w:rsidRPr="0099478A">
        <w:rPr>
          <w:b/>
          <w:color w:val="auto"/>
          <w:szCs w:val="22"/>
        </w:rPr>
        <w:t>elapse d</w:t>
      </w:r>
      <w:r w:rsidR="00A13D49" w:rsidRPr="0099478A">
        <w:rPr>
          <w:b/>
          <w:color w:val="auto"/>
          <w:szCs w:val="22"/>
        </w:rPr>
        <w:t>uring the double-blind p</w:t>
      </w:r>
      <w:r w:rsidR="00E004FB" w:rsidRPr="0099478A">
        <w:rPr>
          <w:b/>
          <w:color w:val="auto"/>
          <w:szCs w:val="22"/>
        </w:rPr>
        <w:t xml:space="preserve">eriod in AQP4-IgG </w:t>
      </w:r>
      <w:r w:rsidR="00A13D49" w:rsidRPr="0099478A">
        <w:rPr>
          <w:b/>
          <w:color w:val="auto"/>
          <w:szCs w:val="22"/>
        </w:rPr>
        <w:t>s</w:t>
      </w:r>
      <w:r w:rsidRPr="0099478A">
        <w:rPr>
          <w:b/>
          <w:color w:val="auto"/>
          <w:szCs w:val="22"/>
        </w:rPr>
        <w:t xml:space="preserve">eropositive </w:t>
      </w:r>
      <w:r w:rsidR="00A13D49" w:rsidRPr="0099478A">
        <w:rPr>
          <w:b/>
          <w:color w:val="auto"/>
          <w:szCs w:val="22"/>
        </w:rPr>
        <w:t>p</w:t>
      </w:r>
      <w:r w:rsidRPr="0099478A">
        <w:rPr>
          <w:b/>
          <w:color w:val="auto"/>
          <w:szCs w:val="22"/>
        </w:rPr>
        <w:t>atients</w:t>
      </w:r>
    </w:p>
    <w:p w14:paraId="2469B5A1" w14:textId="76E9B7D2" w:rsidR="00331E93" w:rsidRPr="0099478A" w:rsidRDefault="0092539C" w:rsidP="0092539C">
      <w:pPr>
        <w:rPr>
          <w:b/>
          <w:color w:val="auto"/>
          <w:szCs w:val="22"/>
        </w:rPr>
      </w:pPr>
      <w:r w:rsidRPr="0099478A">
        <w:rPr>
          <w:noProof/>
          <w:color w:val="auto"/>
          <w:lang w:val="en-AU"/>
        </w:rPr>
        <w:drawing>
          <wp:inline distT="0" distB="0" distL="0" distR="0" wp14:anchorId="17C587D0" wp14:editId="23120C07">
            <wp:extent cx="5731510" cy="384302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843020"/>
                    </a:xfrm>
                    <a:prstGeom prst="rect">
                      <a:avLst/>
                    </a:prstGeom>
                  </pic:spPr>
                </pic:pic>
              </a:graphicData>
            </a:graphic>
          </wp:inline>
        </w:drawing>
      </w:r>
    </w:p>
    <w:p w14:paraId="4943DAFA" w14:textId="77777777" w:rsidR="003E065E" w:rsidRDefault="003E065E" w:rsidP="0022796C">
      <w:pPr>
        <w:spacing w:after="120"/>
        <w:ind w:left="990" w:hanging="990"/>
        <w:rPr>
          <w:b/>
          <w:color w:val="auto"/>
          <w:szCs w:val="22"/>
        </w:rPr>
      </w:pPr>
    </w:p>
    <w:p w14:paraId="27D616F2" w14:textId="67F8A7A2" w:rsidR="0092539C" w:rsidRPr="0099478A" w:rsidRDefault="0092539C" w:rsidP="0022796C">
      <w:pPr>
        <w:spacing w:after="120"/>
        <w:ind w:left="990" w:hanging="990"/>
        <w:rPr>
          <w:b/>
          <w:color w:val="auto"/>
          <w:szCs w:val="22"/>
        </w:rPr>
      </w:pPr>
      <w:r w:rsidRPr="0099478A">
        <w:rPr>
          <w:b/>
          <w:color w:val="auto"/>
          <w:szCs w:val="22"/>
        </w:rPr>
        <w:t xml:space="preserve">Figure 4: Study BN40900 - Time to </w:t>
      </w:r>
      <w:r w:rsidR="00A13D49" w:rsidRPr="0099478A">
        <w:rPr>
          <w:b/>
          <w:color w:val="auto"/>
          <w:szCs w:val="22"/>
        </w:rPr>
        <w:t>f</w:t>
      </w:r>
      <w:r w:rsidRPr="0099478A">
        <w:rPr>
          <w:b/>
          <w:color w:val="auto"/>
          <w:szCs w:val="22"/>
        </w:rPr>
        <w:t xml:space="preserve">irst </w:t>
      </w:r>
      <w:r w:rsidR="00A13D49" w:rsidRPr="0099478A">
        <w:rPr>
          <w:b/>
          <w:color w:val="auto"/>
          <w:szCs w:val="22"/>
        </w:rPr>
        <w:t>a</w:t>
      </w:r>
      <w:r w:rsidRPr="0099478A">
        <w:rPr>
          <w:b/>
          <w:color w:val="auto"/>
          <w:szCs w:val="22"/>
        </w:rPr>
        <w:t xml:space="preserve">djudicated </w:t>
      </w:r>
      <w:r w:rsidR="00A13D49" w:rsidRPr="0099478A">
        <w:rPr>
          <w:b/>
          <w:color w:val="auto"/>
          <w:szCs w:val="22"/>
        </w:rPr>
        <w:t>r</w:t>
      </w:r>
      <w:r w:rsidRPr="0099478A">
        <w:rPr>
          <w:b/>
          <w:color w:val="auto"/>
          <w:szCs w:val="22"/>
        </w:rPr>
        <w:t xml:space="preserve">elapse during the </w:t>
      </w:r>
      <w:r w:rsidR="00A13D49" w:rsidRPr="0099478A">
        <w:rPr>
          <w:b/>
          <w:color w:val="auto"/>
          <w:szCs w:val="22"/>
        </w:rPr>
        <w:t>double-blind period in AQP4-IgG s</w:t>
      </w:r>
      <w:r w:rsidRPr="0099478A">
        <w:rPr>
          <w:b/>
          <w:color w:val="auto"/>
          <w:szCs w:val="22"/>
        </w:rPr>
        <w:t xml:space="preserve">eropositive </w:t>
      </w:r>
      <w:r w:rsidR="00A13D49" w:rsidRPr="0099478A">
        <w:rPr>
          <w:b/>
          <w:color w:val="auto"/>
          <w:szCs w:val="22"/>
        </w:rPr>
        <w:t>p</w:t>
      </w:r>
      <w:r w:rsidRPr="0099478A">
        <w:rPr>
          <w:b/>
          <w:color w:val="auto"/>
          <w:szCs w:val="22"/>
        </w:rPr>
        <w:t>atients</w:t>
      </w:r>
    </w:p>
    <w:p w14:paraId="5F4DF809" w14:textId="284D4DDF" w:rsidR="0092539C" w:rsidRPr="0099478A" w:rsidRDefault="0092539C" w:rsidP="0092539C">
      <w:pPr>
        <w:rPr>
          <w:b/>
          <w:color w:val="auto"/>
          <w:szCs w:val="22"/>
        </w:rPr>
      </w:pPr>
      <w:r w:rsidRPr="0099478A">
        <w:rPr>
          <w:noProof/>
          <w:color w:val="auto"/>
          <w:lang w:val="en-AU"/>
        </w:rPr>
        <w:drawing>
          <wp:inline distT="0" distB="0" distL="0" distR="0" wp14:anchorId="37780EA3" wp14:editId="348BC3A1">
            <wp:extent cx="5676900" cy="379063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53" t="1068"/>
                    <a:stretch/>
                  </pic:blipFill>
                  <pic:spPr bwMode="auto">
                    <a:xfrm>
                      <a:off x="0" y="0"/>
                      <a:ext cx="5676919" cy="3790646"/>
                    </a:xfrm>
                    <a:prstGeom prst="rect">
                      <a:avLst/>
                    </a:prstGeom>
                    <a:ln>
                      <a:noFill/>
                    </a:ln>
                    <a:extLst>
                      <a:ext uri="{53640926-AAD7-44D8-BBD7-CCE9431645EC}">
                        <a14:shadowObscured xmlns:a14="http://schemas.microsoft.com/office/drawing/2010/main"/>
                      </a:ext>
                    </a:extLst>
                  </pic:spPr>
                </pic:pic>
              </a:graphicData>
            </a:graphic>
          </wp:inline>
        </w:drawing>
      </w:r>
    </w:p>
    <w:p w14:paraId="7095DA4B" w14:textId="64D87D2C" w:rsidR="0067155D" w:rsidRPr="0099478A" w:rsidRDefault="004276BB" w:rsidP="0067155D">
      <w:pPr>
        <w:rPr>
          <w:color w:val="auto"/>
        </w:rPr>
      </w:pPr>
      <w:r w:rsidRPr="0099478A">
        <w:rPr>
          <w:color w:val="auto"/>
        </w:rPr>
        <w:lastRenderedPageBreak/>
        <w:t xml:space="preserve">Treatment with </w:t>
      </w:r>
      <w:proofErr w:type="spellStart"/>
      <w:r w:rsidRPr="0099478A">
        <w:rPr>
          <w:color w:val="auto"/>
        </w:rPr>
        <w:t>Enspryng</w:t>
      </w:r>
      <w:proofErr w:type="spellEnd"/>
      <w:r w:rsidRPr="0099478A">
        <w:rPr>
          <w:color w:val="auto"/>
        </w:rPr>
        <w:t xml:space="preserve"> reduced the annualised rate of adjudicated relapses (ARR) by 74% in Study BN40898 and 73% in Study BN40900 compared to treatment with placebo (Table </w:t>
      </w:r>
      <w:r w:rsidR="00F937E6">
        <w:rPr>
          <w:color w:val="auto"/>
        </w:rPr>
        <w:t>7</w:t>
      </w:r>
      <w:r w:rsidRPr="0099478A">
        <w:rPr>
          <w:color w:val="auto"/>
        </w:rPr>
        <w:t>). The relative reduction in ARR in the AQP4-IgG seropositive subgroup was 88% and 90% in Studies BN40898 and BN40900 respectively.</w:t>
      </w:r>
    </w:p>
    <w:p w14:paraId="4803DDB4" w14:textId="39A9F052" w:rsidR="004276BB" w:rsidRPr="0099478A" w:rsidRDefault="004276BB" w:rsidP="0067155D">
      <w:pPr>
        <w:rPr>
          <w:b/>
          <w:color w:val="auto"/>
          <w:szCs w:val="22"/>
        </w:rPr>
      </w:pPr>
    </w:p>
    <w:p w14:paraId="3139B167" w14:textId="7C58F5BB" w:rsidR="004276BB" w:rsidRPr="0099478A" w:rsidRDefault="004276BB" w:rsidP="00B31326">
      <w:pPr>
        <w:ind w:left="900" w:hanging="900"/>
        <w:rPr>
          <w:b/>
          <w:color w:val="auto"/>
          <w:szCs w:val="22"/>
        </w:rPr>
      </w:pPr>
      <w:r w:rsidRPr="0099478A">
        <w:rPr>
          <w:b/>
          <w:color w:val="auto"/>
          <w:szCs w:val="22"/>
        </w:rPr>
        <w:t xml:space="preserve">Table </w:t>
      </w:r>
      <w:r w:rsidR="00F937E6">
        <w:rPr>
          <w:b/>
          <w:color w:val="auto"/>
          <w:szCs w:val="22"/>
        </w:rPr>
        <w:t>7</w:t>
      </w:r>
      <w:r w:rsidRPr="0099478A">
        <w:rPr>
          <w:b/>
          <w:color w:val="auto"/>
          <w:szCs w:val="22"/>
        </w:rPr>
        <w:t>: Annualis</w:t>
      </w:r>
      <w:r w:rsidR="00A13D49" w:rsidRPr="0099478A">
        <w:rPr>
          <w:b/>
          <w:color w:val="auto"/>
          <w:szCs w:val="22"/>
        </w:rPr>
        <w:t>ed a</w:t>
      </w:r>
      <w:r w:rsidRPr="0099478A">
        <w:rPr>
          <w:b/>
          <w:color w:val="auto"/>
          <w:szCs w:val="22"/>
        </w:rPr>
        <w:t xml:space="preserve">djudicated </w:t>
      </w:r>
      <w:r w:rsidR="00A13D49" w:rsidRPr="0099478A">
        <w:rPr>
          <w:b/>
          <w:color w:val="auto"/>
          <w:szCs w:val="22"/>
        </w:rPr>
        <w:t>r</w:t>
      </w:r>
      <w:r w:rsidRPr="0099478A">
        <w:rPr>
          <w:b/>
          <w:color w:val="auto"/>
          <w:szCs w:val="22"/>
        </w:rPr>
        <w:t xml:space="preserve">elapse </w:t>
      </w:r>
      <w:r w:rsidR="00A13D49" w:rsidRPr="0099478A">
        <w:rPr>
          <w:b/>
          <w:color w:val="auto"/>
          <w:szCs w:val="22"/>
        </w:rPr>
        <w:t>r</w:t>
      </w:r>
      <w:r w:rsidRPr="0099478A">
        <w:rPr>
          <w:b/>
          <w:color w:val="auto"/>
          <w:szCs w:val="22"/>
        </w:rPr>
        <w:t xml:space="preserve">ate during the </w:t>
      </w:r>
      <w:r w:rsidR="00A13D49" w:rsidRPr="0099478A">
        <w:rPr>
          <w:b/>
          <w:color w:val="auto"/>
          <w:szCs w:val="22"/>
        </w:rPr>
        <w:t>d</w:t>
      </w:r>
      <w:r w:rsidRPr="0099478A">
        <w:rPr>
          <w:b/>
          <w:color w:val="auto"/>
          <w:szCs w:val="22"/>
        </w:rPr>
        <w:t xml:space="preserve">ouble-blind </w:t>
      </w:r>
      <w:r w:rsidR="00A13D49" w:rsidRPr="0099478A">
        <w:rPr>
          <w:b/>
          <w:color w:val="auto"/>
          <w:szCs w:val="22"/>
        </w:rPr>
        <w:t>p</w:t>
      </w:r>
      <w:r w:rsidRPr="0099478A">
        <w:rPr>
          <w:b/>
          <w:color w:val="auto"/>
          <w:szCs w:val="22"/>
        </w:rPr>
        <w:t xml:space="preserve">eriod </w:t>
      </w:r>
      <w:r w:rsidR="00A13D49" w:rsidRPr="0099478A">
        <w:rPr>
          <w:b/>
          <w:color w:val="auto"/>
          <w:szCs w:val="22"/>
        </w:rPr>
        <w:t>using n</w:t>
      </w:r>
      <w:r w:rsidRPr="0099478A">
        <w:rPr>
          <w:b/>
          <w:color w:val="auto"/>
          <w:szCs w:val="22"/>
        </w:rPr>
        <w:t xml:space="preserve">egative </w:t>
      </w:r>
      <w:r w:rsidR="00A13D49" w:rsidRPr="0099478A">
        <w:rPr>
          <w:b/>
          <w:color w:val="auto"/>
          <w:szCs w:val="22"/>
        </w:rPr>
        <w:t>b</w:t>
      </w:r>
      <w:r w:rsidRPr="0099478A">
        <w:rPr>
          <w:b/>
          <w:color w:val="auto"/>
          <w:szCs w:val="22"/>
        </w:rPr>
        <w:t xml:space="preserve">inomial </w:t>
      </w:r>
      <w:r w:rsidR="00A13D49" w:rsidRPr="0099478A">
        <w:rPr>
          <w:b/>
          <w:color w:val="auto"/>
          <w:szCs w:val="22"/>
        </w:rPr>
        <w:t>regression m</w:t>
      </w:r>
      <w:r w:rsidRPr="0099478A">
        <w:rPr>
          <w:b/>
          <w:color w:val="auto"/>
          <w:szCs w:val="22"/>
        </w:rPr>
        <w:t>odel</w:t>
      </w:r>
    </w:p>
    <w:tbl>
      <w:tblPr>
        <w:tblW w:w="8726" w:type="dxa"/>
        <w:tblInd w:w="58" w:type="dxa"/>
        <w:tblLayout w:type="fixed"/>
        <w:tblCellMar>
          <w:left w:w="57" w:type="dxa"/>
          <w:right w:w="57" w:type="dxa"/>
        </w:tblCellMar>
        <w:tblLook w:val="0000" w:firstRow="0" w:lastRow="0" w:firstColumn="0" w:lastColumn="0" w:noHBand="0" w:noVBand="0"/>
      </w:tblPr>
      <w:tblGrid>
        <w:gridCol w:w="1922"/>
        <w:gridCol w:w="1131"/>
        <w:gridCol w:w="1137"/>
        <w:gridCol w:w="1131"/>
        <w:gridCol w:w="1137"/>
        <w:gridCol w:w="992"/>
        <w:gridCol w:w="1276"/>
      </w:tblGrid>
      <w:tr w:rsidR="004276BB" w:rsidRPr="003E065E" w14:paraId="193BBE82" w14:textId="77777777" w:rsidTr="00A752E3">
        <w:trPr>
          <w:cantSplit/>
        </w:trPr>
        <w:tc>
          <w:tcPr>
            <w:tcW w:w="1922" w:type="dxa"/>
            <w:vMerge w:val="restart"/>
            <w:tcBorders>
              <w:top w:val="single" w:sz="4" w:space="0" w:color="auto"/>
              <w:left w:val="single" w:sz="4" w:space="0" w:color="auto"/>
              <w:right w:val="single" w:sz="4" w:space="0" w:color="auto"/>
            </w:tcBorders>
            <w:shd w:val="clear" w:color="auto" w:fill="auto"/>
            <w:vAlign w:val="bottom"/>
          </w:tcPr>
          <w:p w14:paraId="2BE0288B" w14:textId="77777777" w:rsidR="004276BB" w:rsidRPr="003E065E" w:rsidRDefault="004276BB" w:rsidP="00A752E3">
            <w:pPr>
              <w:pStyle w:val="TableCell10Left"/>
              <w:keepNext w:val="0"/>
              <w:rPr>
                <w:rFonts w:ascii="Times New Roman" w:hAnsi="Times New Roman"/>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80319D" w14:textId="77777777" w:rsidR="004276BB" w:rsidRPr="003E065E" w:rsidRDefault="004276BB" w:rsidP="00A752E3">
            <w:pPr>
              <w:pStyle w:val="TableCell10Center"/>
              <w:keepNext w:val="0"/>
              <w:rPr>
                <w:rFonts w:ascii="Times New Roman" w:hAnsi="Times New Roman"/>
                <w:b/>
                <w:sz w:val="22"/>
                <w:szCs w:val="22"/>
              </w:rPr>
            </w:pPr>
            <w:r w:rsidRPr="003E065E">
              <w:rPr>
                <w:rFonts w:ascii="Times New Roman" w:hAnsi="Times New Roman"/>
                <w:b/>
                <w:sz w:val="22"/>
                <w:szCs w:val="22"/>
              </w:rPr>
              <w:t>BN40898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FC3B10" w14:textId="77777777" w:rsidR="004276BB" w:rsidRPr="003E065E" w:rsidRDefault="004276BB" w:rsidP="00A752E3">
            <w:pPr>
              <w:pStyle w:val="TableCell10Center"/>
              <w:keepNext w:val="0"/>
              <w:rPr>
                <w:rFonts w:ascii="Times New Roman" w:hAnsi="Times New Roman"/>
                <w:b/>
                <w:sz w:val="22"/>
                <w:szCs w:val="22"/>
              </w:rPr>
            </w:pPr>
            <w:r w:rsidRPr="003E065E">
              <w:rPr>
                <w:rFonts w:ascii="Times New Roman" w:hAnsi="Times New Roman"/>
                <w:b/>
                <w:sz w:val="22"/>
                <w:szCs w:val="22"/>
              </w:rPr>
              <w:t>BN40900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72A54A" w14:textId="77777777" w:rsidR="004276BB" w:rsidRPr="003E065E" w:rsidRDefault="004276BB" w:rsidP="00A752E3">
            <w:pPr>
              <w:pStyle w:val="TableCell10Center"/>
              <w:keepNext w:val="0"/>
              <w:rPr>
                <w:rFonts w:ascii="Times New Roman" w:hAnsi="Times New Roman"/>
                <w:b/>
                <w:sz w:val="22"/>
                <w:szCs w:val="22"/>
              </w:rPr>
            </w:pPr>
            <w:r w:rsidRPr="003E065E">
              <w:rPr>
                <w:rFonts w:ascii="Times New Roman" w:hAnsi="Times New Roman"/>
                <w:b/>
                <w:sz w:val="22"/>
                <w:szCs w:val="22"/>
              </w:rPr>
              <w:t>Pooled</w:t>
            </w:r>
          </w:p>
        </w:tc>
      </w:tr>
      <w:tr w:rsidR="004276BB" w:rsidRPr="003E065E" w14:paraId="062C9B89" w14:textId="77777777" w:rsidTr="00A752E3">
        <w:trPr>
          <w:cantSplit/>
        </w:trPr>
        <w:tc>
          <w:tcPr>
            <w:tcW w:w="1922" w:type="dxa"/>
            <w:vMerge/>
            <w:tcBorders>
              <w:left w:val="single" w:sz="4" w:space="0" w:color="auto"/>
              <w:bottom w:val="single" w:sz="4" w:space="0" w:color="auto"/>
              <w:right w:val="single" w:sz="4" w:space="0" w:color="auto"/>
            </w:tcBorders>
            <w:shd w:val="clear" w:color="auto" w:fill="auto"/>
            <w:vAlign w:val="bottom"/>
          </w:tcPr>
          <w:p w14:paraId="240844AA" w14:textId="77777777" w:rsidR="004276BB" w:rsidRPr="003E065E" w:rsidRDefault="004276BB" w:rsidP="00A752E3">
            <w:pPr>
              <w:pStyle w:val="TableCell10Left"/>
              <w:keepNext w:val="0"/>
              <w:rPr>
                <w:rFonts w:ascii="Times New Roman" w:hAnsi="Times New Roman"/>
                <w:sz w:val="22"/>
                <w:szCs w:val="22"/>
              </w:rPr>
            </w:pPr>
          </w:p>
        </w:tc>
        <w:tc>
          <w:tcPr>
            <w:tcW w:w="1131" w:type="dxa"/>
            <w:tcBorders>
              <w:top w:val="single" w:sz="4" w:space="0" w:color="auto"/>
              <w:left w:val="single" w:sz="4" w:space="0" w:color="auto"/>
              <w:bottom w:val="single" w:sz="4" w:space="0" w:color="auto"/>
            </w:tcBorders>
            <w:shd w:val="clear" w:color="auto" w:fill="auto"/>
          </w:tcPr>
          <w:p w14:paraId="6C3EF384" w14:textId="77777777" w:rsidR="004276BB" w:rsidRPr="003E065E" w:rsidRDefault="004276BB" w:rsidP="00A752E3">
            <w:pPr>
              <w:pStyle w:val="TableCell10Center"/>
              <w:keepNext w:val="0"/>
              <w:rPr>
                <w:rFonts w:ascii="Times New Roman" w:hAnsi="Times New Roman"/>
                <w:b/>
                <w:sz w:val="22"/>
                <w:szCs w:val="22"/>
              </w:rPr>
            </w:pPr>
            <w:r w:rsidRPr="003E065E">
              <w:rPr>
                <w:rFonts w:ascii="Times New Roman" w:hAnsi="Times New Roman"/>
                <w:b/>
                <w:sz w:val="22"/>
                <w:szCs w:val="22"/>
              </w:rPr>
              <w:t>Placebo</w:t>
            </w:r>
          </w:p>
        </w:tc>
        <w:tc>
          <w:tcPr>
            <w:tcW w:w="1137" w:type="dxa"/>
            <w:tcBorders>
              <w:top w:val="single" w:sz="4" w:space="0" w:color="auto"/>
              <w:bottom w:val="single" w:sz="4" w:space="0" w:color="auto"/>
              <w:right w:val="single" w:sz="4" w:space="0" w:color="auto"/>
            </w:tcBorders>
            <w:shd w:val="clear" w:color="auto" w:fill="auto"/>
          </w:tcPr>
          <w:p w14:paraId="4610ECEA" w14:textId="77777777" w:rsidR="004276BB" w:rsidRPr="003E065E" w:rsidRDefault="004276BB" w:rsidP="00A752E3">
            <w:pPr>
              <w:pStyle w:val="TableCell10Center"/>
              <w:keepNext w:val="0"/>
              <w:rPr>
                <w:rFonts w:ascii="Times New Roman" w:hAnsi="Times New Roman"/>
                <w:b/>
                <w:sz w:val="22"/>
                <w:szCs w:val="22"/>
              </w:rPr>
            </w:pPr>
            <w:proofErr w:type="spellStart"/>
            <w:r w:rsidRPr="003E065E">
              <w:rPr>
                <w:rFonts w:ascii="Times New Roman" w:hAnsi="Times New Roman"/>
                <w:b/>
                <w:sz w:val="22"/>
                <w:szCs w:val="22"/>
              </w:rPr>
              <w:t>Enspryng</w:t>
            </w:r>
            <w:proofErr w:type="spellEnd"/>
          </w:p>
        </w:tc>
        <w:tc>
          <w:tcPr>
            <w:tcW w:w="1131" w:type="dxa"/>
            <w:tcBorders>
              <w:top w:val="single" w:sz="4" w:space="0" w:color="auto"/>
              <w:left w:val="single" w:sz="4" w:space="0" w:color="auto"/>
              <w:bottom w:val="single" w:sz="4" w:space="0" w:color="auto"/>
            </w:tcBorders>
            <w:shd w:val="clear" w:color="auto" w:fill="auto"/>
          </w:tcPr>
          <w:p w14:paraId="125D9E75" w14:textId="77777777" w:rsidR="004276BB" w:rsidRPr="003E065E" w:rsidRDefault="004276BB" w:rsidP="00A752E3">
            <w:pPr>
              <w:pStyle w:val="TableCell10Center"/>
              <w:keepNext w:val="0"/>
              <w:rPr>
                <w:rFonts w:ascii="Times New Roman" w:hAnsi="Times New Roman"/>
                <w:b/>
                <w:sz w:val="22"/>
                <w:szCs w:val="22"/>
              </w:rPr>
            </w:pPr>
            <w:r w:rsidRPr="003E065E">
              <w:rPr>
                <w:rFonts w:ascii="Times New Roman" w:hAnsi="Times New Roman"/>
                <w:b/>
                <w:sz w:val="22"/>
                <w:szCs w:val="22"/>
              </w:rPr>
              <w:t>Placebo</w:t>
            </w:r>
          </w:p>
        </w:tc>
        <w:tc>
          <w:tcPr>
            <w:tcW w:w="1137" w:type="dxa"/>
            <w:tcBorders>
              <w:top w:val="single" w:sz="4" w:space="0" w:color="auto"/>
              <w:bottom w:val="single" w:sz="4" w:space="0" w:color="auto"/>
              <w:right w:val="single" w:sz="4" w:space="0" w:color="auto"/>
            </w:tcBorders>
            <w:shd w:val="clear" w:color="auto" w:fill="auto"/>
          </w:tcPr>
          <w:p w14:paraId="2C94B2FD" w14:textId="77777777" w:rsidR="004276BB" w:rsidRPr="003E065E" w:rsidRDefault="004276BB" w:rsidP="00A752E3">
            <w:pPr>
              <w:pStyle w:val="TableCell10Center"/>
              <w:keepNext w:val="0"/>
              <w:rPr>
                <w:rFonts w:ascii="Times New Roman" w:hAnsi="Times New Roman"/>
                <w:b/>
                <w:sz w:val="22"/>
                <w:szCs w:val="22"/>
              </w:rPr>
            </w:pPr>
            <w:proofErr w:type="spellStart"/>
            <w:r w:rsidRPr="003E065E">
              <w:rPr>
                <w:rFonts w:ascii="Times New Roman" w:hAnsi="Times New Roman"/>
                <w:b/>
                <w:sz w:val="22"/>
                <w:szCs w:val="22"/>
              </w:rPr>
              <w:t>Enspryng</w:t>
            </w:r>
            <w:proofErr w:type="spellEnd"/>
          </w:p>
        </w:tc>
        <w:tc>
          <w:tcPr>
            <w:tcW w:w="992" w:type="dxa"/>
            <w:tcBorders>
              <w:top w:val="single" w:sz="4" w:space="0" w:color="auto"/>
              <w:left w:val="single" w:sz="4" w:space="0" w:color="auto"/>
              <w:bottom w:val="single" w:sz="4" w:space="0" w:color="auto"/>
            </w:tcBorders>
            <w:shd w:val="clear" w:color="auto" w:fill="auto"/>
          </w:tcPr>
          <w:p w14:paraId="5FA36E7F" w14:textId="77777777" w:rsidR="004276BB" w:rsidRPr="003E065E" w:rsidRDefault="004276BB" w:rsidP="00A752E3">
            <w:pPr>
              <w:pStyle w:val="TableCell10Center"/>
              <w:keepNext w:val="0"/>
              <w:rPr>
                <w:rFonts w:ascii="Times New Roman" w:hAnsi="Times New Roman"/>
                <w:b/>
                <w:sz w:val="22"/>
                <w:szCs w:val="22"/>
              </w:rPr>
            </w:pPr>
            <w:r w:rsidRPr="003E065E">
              <w:rPr>
                <w:rFonts w:ascii="Times New Roman" w:hAnsi="Times New Roman"/>
                <w:b/>
                <w:sz w:val="22"/>
                <w:szCs w:val="22"/>
              </w:rPr>
              <w:t>Placebo</w:t>
            </w:r>
          </w:p>
        </w:tc>
        <w:tc>
          <w:tcPr>
            <w:tcW w:w="1276" w:type="dxa"/>
            <w:tcBorders>
              <w:top w:val="single" w:sz="4" w:space="0" w:color="auto"/>
              <w:bottom w:val="single" w:sz="4" w:space="0" w:color="auto"/>
              <w:right w:val="single" w:sz="4" w:space="0" w:color="auto"/>
            </w:tcBorders>
            <w:shd w:val="clear" w:color="auto" w:fill="auto"/>
          </w:tcPr>
          <w:p w14:paraId="1BD2EF22" w14:textId="77777777" w:rsidR="004276BB" w:rsidRPr="003E065E" w:rsidRDefault="004276BB" w:rsidP="00A752E3">
            <w:pPr>
              <w:pStyle w:val="TableCell10Center"/>
              <w:keepNext w:val="0"/>
              <w:rPr>
                <w:rFonts w:ascii="Times New Roman" w:hAnsi="Times New Roman"/>
                <w:b/>
                <w:sz w:val="22"/>
                <w:szCs w:val="22"/>
              </w:rPr>
            </w:pPr>
            <w:proofErr w:type="spellStart"/>
            <w:r w:rsidRPr="003E065E">
              <w:rPr>
                <w:rFonts w:ascii="Times New Roman" w:hAnsi="Times New Roman"/>
                <w:b/>
                <w:sz w:val="22"/>
                <w:szCs w:val="22"/>
              </w:rPr>
              <w:t>Enspryng</w:t>
            </w:r>
            <w:proofErr w:type="spellEnd"/>
          </w:p>
        </w:tc>
      </w:tr>
      <w:tr w:rsidR="004276BB" w:rsidRPr="003E065E" w14:paraId="72404B8D" w14:textId="77777777" w:rsidTr="00A752E3">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78578260" w14:textId="77777777" w:rsidR="004276BB" w:rsidRPr="003E065E" w:rsidRDefault="004276BB" w:rsidP="00A752E3">
            <w:pPr>
              <w:pStyle w:val="TableCell10Left"/>
              <w:keepNext w:val="0"/>
              <w:rPr>
                <w:rFonts w:ascii="Times New Roman" w:hAnsi="Times New Roman"/>
                <w:b/>
                <w:sz w:val="22"/>
                <w:szCs w:val="22"/>
              </w:rPr>
            </w:pPr>
            <w:r w:rsidRPr="003E065E">
              <w:rPr>
                <w:rFonts w:ascii="Times New Roman" w:hAnsi="Times New Roman"/>
                <w:b/>
                <w:sz w:val="22"/>
                <w:szCs w:val="22"/>
              </w:rPr>
              <w:t>ITT</w:t>
            </w:r>
          </w:p>
        </w:tc>
        <w:tc>
          <w:tcPr>
            <w:tcW w:w="1131" w:type="dxa"/>
            <w:tcBorders>
              <w:top w:val="single" w:sz="4" w:space="0" w:color="auto"/>
              <w:left w:val="single" w:sz="4" w:space="0" w:color="auto"/>
              <w:bottom w:val="single" w:sz="4" w:space="0" w:color="auto"/>
            </w:tcBorders>
            <w:shd w:val="clear" w:color="auto" w:fill="auto"/>
          </w:tcPr>
          <w:p w14:paraId="50319223" w14:textId="0D87AE03"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42</w:t>
            </w:r>
          </w:p>
        </w:tc>
        <w:tc>
          <w:tcPr>
            <w:tcW w:w="1137" w:type="dxa"/>
            <w:tcBorders>
              <w:top w:val="single" w:sz="4" w:space="0" w:color="auto"/>
              <w:bottom w:val="single" w:sz="4" w:space="0" w:color="auto"/>
              <w:right w:val="single" w:sz="4" w:space="0" w:color="auto"/>
            </w:tcBorders>
            <w:shd w:val="clear" w:color="auto" w:fill="auto"/>
          </w:tcPr>
          <w:p w14:paraId="18C02CE6" w14:textId="61118225"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41</w:t>
            </w:r>
          </w:p>
        </w:tc>
        <w:tc>
          <w:tcPr>
            <w:tcW w:w="1131" w:type="dxa"/>
            <w:tcBorders>
              <w:top w:val="single" w:sz="4" w:space="0" w:color="auto"/>
              <w:left w:val="single" w:sz="4" w:space="0" w:color="auto"/>
              <w:bottom w:val="single" w:sz="4" w:space="0" w:color="auto"/>
            </w:tcBorders>
            <w:shd w:val="clear" w:color="auto" w:fill="auto"/>
          </w:tcPr>
          <w:p w14:paraId="1F87216A" w14:textId="7AA65983" w:rsidR="004276BB" w:rsidRPr="003E065E" w:rsidRDefault="001D5552" w:rsidP="001D5552">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32</w:t>
            </w:r>
          </w:p>
        </w:tc>
        <w:tc>
          <w:tcPr>
            <w:tcW w:w="1137" w:type="dxa"/>
            <w:tcBorders>
              <w:top w:val="single" w:sz="4" w:space="0" w:color="auto"/>
              <w:bottom w:val="single" w:sz="4" w:space="0" w:color="auto"/>
              <w:right w:val="single" w:sz="4" w:space="0" w:color="auto"/>
            </w:tcBorders>
            <w:shd w:val="clear" w:color="auto" w:fill="auto"/>
          </w:tcPr>
          <w:p w14:paraId="1E199948" w14:textId="7E6B1227" w:rsidR="004276BB" w:rsidRPr="003E065E" w:rsidRDefault="001D5552" w:rsidP="001D5552">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63</w:t>
            </w:r>
          </w:p>
        </w:tc>
        <w:tc>
          <w:tcPr>
            <w:tcW w:w="992" w:type="dxa"/>
            <w:tcBorders>
              <w:top w:val="single" w:sz="4" w:space="0" w:color="auto"/>
              <w:left w:val="single" w:sz="4" w:space="0" w:color="auto"/>
              <w:bottom w:val="single" w:sz="4" w:space="0" w:color="auto"/>
            </w:tcBorders>
            <w:shd w:val="clear" w:color="auto" w:fill="auto"/>
          </w:tcPr>
          <w:p w14:paraId="571A145B" w14:textId="13EF0446"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74</w:t>
            </w:r>
          </w:p>
        </w:tc>
        <w:tc>
          <w:tcPr>
            <w:tcW w:w="1276" w:type="dxa"/>
            <w:tcBorders>
              <w:top w:val="single" w:sz="4" w:space="0" w:color="auto"/>
              <w:bottom w:val="single" w:sz="4" w:space="0" w:color="auto"/>
              <w:right w:val="single" w:sz="4" w:space="0" w:color="auto"/>
            </w:tcBorders>
            <w:shd w:val="clear" w:color="auto" w:fill="auto"/>
          </w:tcPr>
          <w:p w14:paraId="1E8BBF8D" w14:textId="741C5FE9"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104</w:t>
            </w:r>
          </w:p>
        </w:tc>
      </w:tr>
      <w:tr w:rsidR="004276BB" w:rsidRPr="003E065E" w14:paraId="3832C4C8" w14:textId="77777777" w:rsidTr="00A752E3">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279F5D6E" w14:textId="77777777" w:rsidR="004276BB" w:rsidRPr="003E065E" w:rsidRDefault="004276BB" w:rsidP="00A752E3">
            <w:pPr>
              <w:pStyle w:val="TableCell10Left"/>
              <w:keepNext w:val="0"/>
              <w:rPr>
                <w:rFonts w:ascii="Times New Roman" w:hAnsi="Times New Roman"/>
                <w:sz w:val="22"/>
                <w:szCs w:val="22"/>
              </w:rPr>
            </w:pPr>
            <w:r w:rsidRPr="003E065E">
              <w:rPr>
                <w:rFonts w:ascii="Times New Roman" w:hAnsi="Times New Roman"/>
                <w:sz w:val="22"/>
                <w:szCs w:val="22"/>
              </w:rPr>
              <w:t>Number of patients with relapse</w:t>
            </w:r>
          </w:p>
        </w:tc>
        <w:tc>
          <w:tcPr>
            <w:tcW w:w="1131" w:type="dxa"/>
            <w:tcBorders>
              <w:top w:val="single" w:sz="4" w:space="0" w:color="auto"/>
              <w:left w:val="single" w:sz="4" w:space="0" w:color="auto"/>
              <w:bottom w:val="single" w:sz="4" w:space="0" w:color="auto"/>
            </w:tcBorders>
            <w:shd w:val="clear" w:color="auto" w:fill="auto"/>
          </w:tcPr>
          <w:p w14:paraId="27D00C85"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18</w:t>
            </w:r>
          </w:p>
        </w:tc>
        <w:tc>
          <w:tcPr>
            <w:tcW w:w="1137" w:type="dxa"/>
            <w:tcBorders>
              <w:top w:val="single" w:sz="4" w:space="0" w:color="auto"/>
              <w:bottom w:val="single" w:sz="4" w:space="0" w:color="auto"/>
              <w:right w:val="single" w:sz="4" w:space="0" w:color="auto"/>
            </w:tcBorders>
            <w:shd w:val="clear" w:color="auto" w:fill="auto"/>
          </w:tcPr>
          <w:p w14:paraId="737D0FB2"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8</w:t>
            </w:r>
          </w:p>
        </w:tc>
        <w:tc>
          <w:tcPr>
            <w:tcW w:w="1131" w:type="dxa"/>
            <w:tcBorders>
              <w:top w:val="single" w:sz="4" w:space="0" w:color="auto"/>
              <w:left w:val="single" w:sz="4" w:space="0" w:color="auto"/>
              <w:bottom w:val="single" w:sz="4" w:space="0" w:color="auto"/>
            </w:tcBorders>
            <w:shd w:val="clear" w:color="auto" w:fill="auto"/>
          </w:tcPr>
          <w:p w14:paraId="1FD02783"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16</w:t>
            </w:r>
          </w:p>
        </w:tc>
        <w:tc>
          <w:tcPr>
            <w:tcW w:w="1137" w:type="dxa"/>
            <w:tcBorders>
              <w:top w:val="single" w:sz="4" w:space="0" w:color="auto"/>
              <w:bottom w:val="single" w:sz="4" w:space="0" w:color="auto"/>
              <w:right w:val="single" w:sz="4" w:space="0" w:color="auto"/>
            </w:tcBorders>
            <w:shd w:val="clear" w:color="auto" w:fill="auto"/>
          </w:tcPr>
          <w:p w14:paraId="0F888C35"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19</w:t>
            </w:r>
          </w:p>
        </w:tc>
        <w:tc>
          <w:tcPr>
            <w:tcW w:w="992" w:type="dxa"/>
            <w:tcBorders>
              <w:top w:val="single" w:sz="4" w:space="0" w:color="auto"/>
              <w:left w:val="single" w:sz="4" w:space="0" w:color="auto"/>
              <w:bottom w:val="single" w:sz="4" w:space="0" w:color="auto"/>
            </w:tcBorders>
            <w:shd w:val="clear" w:color="auto" w:fill="auto"/>
          </w:tcPr>
          <w:p w14:paraId="047788E7"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34</w:t>
            </w:r>
          </w:p>
        </w:tc>
        <w:tc>
          <w:tcPr>
            <w:tcW w:w="1276" w:type="dxa"/>
            <w:tcBorders>
              <w:top w:val="single" w:sz="4" w:space="0" w:color="auto"/>
              <w:bottom w:val="single" w:sz="4" w:space="0" w:color="auto"/>
              <w:right w:val="single" w:sz="4" w:space="0" w:color="auto"/>
            </w:tcBorders>
            <w:shd w:val="clear" w:color="auto" w:fill="auto"/>
          </w:tcPr>
          <w:p w14:paraId="78CBA981"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27</w:t>
            </w:r>
          </w:p>
        </w:tc>
      </w:tr>
      <w:tr w:rsidR="004276BB" w:rsidRPr="003E065E" w14:paraId="03E297CC" w14:textId="77777777" w:rsidTr="00A752E3">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0EB3FD82" w14:textId="26DD1CB9" w:rsidR="004276BB" w:rsidRPr="003E065E" w:rsidRDefault="004276BB" w:rsidP="00A752E3">
            <w:pPr>
              <w:pStyle w:val="TableCell10Left"/>
              <w:keepNext w:val="0"/>
              <w:rPr>
                <w:rFonts w:ascii="Times New Roman" w:hAnsi="Times New Roman"/>
                <w:sz w:val="22"/>
                <w:szCs w:val="22"/>
              </w:rPr>
            </w:pPr>
            <w:r w:rsidRPr="003E065E">
              <w:rPr>
                <w:rFonts w:ascii="Times New Roman" w:hAnsi="Times New Roman"/>
                <w:sz w:val="22"/>
                <w:szCs w:val="22"/>
              </w:rPr>
              <w:t xml:space="preserve">Adjusted </w:t>
            </w:r>
            <w:proofErr w:type="spellStart"/>
            <w:r w:rsidRPr="003E065E">
              <w:rPr>
                <w:rFonts w:ascii="Times New Roman" w:hAnsi="Times New Roman"/>
                <w:sz w:val="22"/>
                <w:szCs w:val="22"/>
              </w:rPr>
              <w:t>annualised</w:t>
            </w:r>
            <w:proofErr w:type="spellEnd"/>
            <w:r w:rsidRPr="003E065E">
              <w:rPr>
                <w:rFonts w:ascii="Times New Roman" w:hAnsi="Times New Roman"/>
                <w:sz w:val="22"/>
                <w:szCs w:val="22"/>
              </w:rPr>
              <w:t xml:space="preserve"> relapse rate</w:t>
            </w:r>
          </w:p>
        </w:tc>
        <w:tc>
          <w:tcPr>
            <w:tcW w:w="1131" w:type="dxa"/>
            <w:tcBorders>
              <w:top w:val="single" w:sz="4" w:space="0" w:color="auto"/>
              <w:left w:val="single" w:sz="4" w:space="0" w:color="auto"/>
              <w:bottom w:val="single" w:sz="4" w:space="0" w:color="auto"/>
            </w:tcBorders>
            <w:shd w:val="clear" w:color="auto" w:fill="auto"/>
          </w:tcPr>
          <w:p w14:paraId="2A111754"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0.538</w:t>
            </w:r>
          </w:p>
        </w:tc>
        <w:tc>
          <w:tcPr>
            <w:tcW w:w="1137" w:type="dxa"/>
            <w:tcBorders>
              <w:top w:val="single" w:sz="4" w:space="0" w:color="auto"/>
              <w:bottom w:val="single" w:sz="4" w:space="0" w:color="auto"/>
              <w:right w:val="single" w:sz="4" w:space="0" w:color="auto"/>
            </w:tcBorders>
            <w:shd w:val="clear" w:color="auto" w:fill="auto"/>
          </w:tcPr>
          <w:p w14:paraId="6CB8C6B5" w14:textId="77777777" w:rsidR="004276BB" w:rsidRPr="003E065E" w:rsidRDefault="004276BB" w:rsidP="00A752E3">
            <w:pPr>
              <w:pStyle w:val="TableCell10Center"/>
              <w:keepNext w:val="0"/>
              <w:rPr>
                <w:rFonts w:ascii="Times New Roman" w:hAnsi="Times New Roman"/>
                <w:sz w:val="22"/>
                <w:szCs w:val="22"/>
                <w:vertAlign w:val="superscript"/>
              </w:rPr>
            </w:pPr>
            <w:r w:rsidRPr="003E065E">
              <w:rPr>
                <w:rFonts w:ascii="Times New Roman" w:hAnsi="Times New Roman"/>
                <w:sz w:val="22"/>
                <w:szCs w:val="22"/>
              </w:rPr>
              <w:t>0.141</w:t>
            </w:r>
          </w:p>
        </w:tc>
        <w:tc>
          <w:tcPr>
            <w:tcW w:w="1131" w:type="dxa"/>
            <w:tcBorders>
              <w:top w:val="single" w:sz="4" w:space="0" w:color="auto"/>
              <w:left w:val="single" w:sz="4" w:space="0" w:color="auto"/>
              <w:bottom w:val="single" w:sz="4" w:space="0" w:color="auto"/>
            </w:tcBorders>
            <w:shd w:val="clear" w:color="auto" w:fill="auto"/>
          </w:tcPr>
          <w:p w14:paraId="07ABFBC1" w14:textId="77777777" w:rsidR="004276BB" w:rsidRPr="003E065E" w:rsidRDefault="004276BB" w:rsidP="00A752E3">
            <w:pPr>
              <w:pStyle w:val="TableCell10Center"/>
              <w:keepNext w:val="0"/>
              <w:rPr>
                <w:rFonts w:ascii="Times New Roman" w:hAnsi="Times New Roman"/>
                <w:sz w:val="22"/>
                <w:szCs w:val="22"/>
                <w:vertAlign w:val="superscript"/>
              </w:rPr>
            </w:pPr>
            <w:r w:rsidRPr="003E065E">
              <w:rPr>
                <w:rFonts w:ascii="Times New Roman" w:hAnsi="Times New Roman"/>
                <w:sz w:val="22"/>
                <w:szCs w:val="22"/>
              </w:rPr>
              <w:t>2.005</w:t>
            </w:r>
          </w:p>
        </w:tc>
        <w:tc>
          <w:tcPr>
            <w:tcW w:w="1137" w:type="dxa"/>
            <w:tcBorders>
              <w:top w:val="single" w:sz="4" w:space="0" w:color="auto"/>
              <w:bottom w:val="single" w:sz="4" w:space="0" w:color="auto"/>
              <w:right w:val="single" w:sz="4" w:space="0" w:color="auto"/>
            </w:tcBorders>
            <w:shd w:val="clear" w:color="auto" w:fill="auto"/>
          </w:tcPr>
          <w:p w14:paraId="6BE5C119"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0.551</w:t>
            </w:r>
          </w:p>
        </w:tc>
        <w:tc>
          <w:tcPr>
            <w:tcW w:w="992" w:type="dxa"/>
            <w:tcBorders>
              <w:top w:val="single" w:sz="4" w:space="0" w:color="auto"/>
              <w:left w:val="single" w:sz="4" w:space="0" w:color="auto"/>
              <w:bottom w:val="single" w:sz="4" w:space="0" w:color="auto"/>
            </w:tcBorders>
            <w:shd w:val="clear" w:color="auto" w:fill="auto"/>
          </w:tcPr>
          <w:p w14:paraId="682DDFCE"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1.090</w:t>
            </w:r>
          </w:p>
        </w:tc>
        <w:tc>
          <w:tcPr>
            <w:tcW w:w="1276" w:type="dxa"/>
            <w:tcBorders>
              <w:top w:val="single" w:sz="4" w:space="0" w:color="auto"/>
              <w:bottom w:val="single" w:sz="4" w:space="0" w:color="auto"/>
              <w:right w:val="single" w:sz="4" w:space="0" w:color="auto"/>
            </w:tcBorders>
            <w:shd w:val="clear" w:color="auto" w:fill="auto"/>
          </w:tcPr>
          <w:p w14:paraId="42EFC843"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0.294</w:t>
            </w:r>
          </w:p>
        </w:tc>
      </w:tr>
      <w:tr w:rsidR="004276BB" w:rsidRPr="003E065E" w14:paraId="204E70AE" w14:textId="77777777" w:rsidTr="00A752E3">
        <w:trPr>
          <w:cantSplit/>
        </w:trPr>
        <w:tc>
          <w:tcPr>
            <w:tcW w:w="1922" w:type="dxa"/>
            <w:tcBorders>
              <w:top w:val="single" w:sz="4" w:space="0" w:color="auto"/>
              <w:left w:val="single" w:sz="4" w:space="0" w:color="auto"/>
              <w:right w:val="single" w:sz="4" w:space="0" w:color="auto"/>
            </w:tcBorders>
            <w:shd w:val="clear" w:color="auto" w:fill="auto"/>
          </w:tcPr>
          <w:p w14:paraId="26E61E57" w14:textId="77777777" w:rsidR="004276BB" w:rsidRPr="003E065E" w:rsidRDefault="004276BB" w:rsidP="00A752E3">
            <w:pPr>
              <w:pStyle w:val="TableCell10Left"/>
              <w:keepNext w:val="0"/>
              <w:rPr>
                <w:rFonts w:ascii="Times New Roman" w:hAnsi="Times New Roman"/>
                <w:sz w:val="22"/>
                <w:szCs w:val="22"/>
              </w:rPr>
            </w:pPr>
            <w:r w:rsidRPr="003E065E">
              <w:rPr>
                <w:rFonts w:ascii="Times New Roman" w:hAnsi="Times New Roman"/>
                <w:sz w:val="22"/>
                <w:szCs w:val="22"/>
              </w:rPr>
              <w:t>Relative ARR reduction (Rate ratio)</w:t>
            </w:r>
          </w:p>
        </w:tc>
        <w:tc>
          <w:tcPr>
            <w:tcW w:w="2268" w:type="dxa"/>
            <w:gridSpan w:val="2"/>
            <w:tcBorders>
              <w:top w:val="single" w:sz="4" w:space="0" w:color="auto"/>
              <w:left w:val="single" w:sz="4" w:space="0" w:color="auto"/>
              <w:right w:val="single" w:sz="4" w:space="0" w:color="auto"/>
            </w:tcBorders>
            <w:shd w:val="clear" w:color="auto" w:fill="auto"/>
          </w:tcPr>
          <w:p w14:paraId="6526B00B"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74% (RR: 0.261, 95% CI: 0.087,0.787; p=0.0175)</w:t>
            </w:r>
          </w:p>
        </w:tc>
        <w:tc>
          <w:tcPr>
            <w:tcW w:w="2268" w:type="dxa"/>
            <w:gridSpan w:val="2"/>
            <w:tcBorders>
              <w:top w:val="single" w:sz="4" w:space="0" w:color="auto"/>
              <w:left w:val="single" w:sz="4" w:space="0" w:color="auto"/>
              <w:right w:val="single" w:sz="4" w:space="0" w:color="auto"/>
            </w:tcBorders>
            <w:shd w:val="clear" w:color="auto" w:fill="auto"/>
          </w:tcPr>
          <w:p w14:paraId="183C77EE" w14:textId="77777777" w:rsidR="004276BB" w:rsidRPr="003E065E" w:rsidRDefault="004276BB" w:rsidP="00A752E3">
            <w:pPr>
              <w:pStyle w:val="TableCell10Center"/>
              <w:keepNext w:val="0"/>
              <w:rPr>
                <w:rFonts w:ascii="Times New Roman" w:hAnsi="Times New Roman"/>
                <w:sz w:val="22"/>
                <w:szCs w:val="22"/>
                <w:vertAlign w:val="superscript"/>
              </w:rPr>
            </w:pPr>
            <w:r w:rsidRPr="003E065E">
              <w:rPr>
                <w:rFonts w:ascii="Times New Roman" w:hAnsi="Times New Roman"/>
                <w:sz w:val="22"/>
                <w:szCs w:val="22"/>
              </w:rPr>
              <w:t>73% (RR: 0.275; (95% CI: 0.071,1.069; p=0.0668)</w:t>
            </w:r>
          </w:p>
          <w:p w14:paraId="62D1A872" w14:textId="77777777" w:rsidR="004276BB" w:rsidRPr="003E065E" w:rsidRDefault="004276BB" w:rsidP="00A752E3">
            <w:pPr>
              <w:pStyle w:val="TableCell10Center"/>
              <w:keepNext w:val="0"/>
              <w:rPr>
                <w:rFonts w:ascii="Times New Roman" w:hAnsi="Times New Roman"/>
                <w:sz w:val="22"/>
                <w:szCs w:val="22"/>
              </w:rPr>
            </w:pPr>
          </w:p>
        </w:tc>
        <w:tc>
          <w:tcPr>
            <w:tcW w:w="2268" w:type="dxa"/>
            <w:gridSpan w:val="2"/>
            <w:tcBorders>
              <w:top w:val="single" w:sz="4" w:space="0" w:color="auto"/>
              <w:left w:val="single" w:sz="4" w:space="0" w:color="auto"/>
              <w:right w:val="single" w:sz="4" w:space="0" w:color="auto"/>
            </w:tcBorders>
            <w:shd w:val="clear" w:color="auto" w:fill="auto"/>
          </w:tcPr>
          <w:p w14:paraId="20380617"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73% (RR: 0.270; 95% CI: 0.112,0.653; p=0.0050)</w:t>
            </w:r>
          </w:p>
        </w:tc>
      </w:tr>
      <w:tr w:rsidR="004276BB" w:rsidRPr="003E065E" w14:paraId="40C2BF06" w14:textId="77777777" w:rsidTr="00A752E3">
        <w:trPr>
          <w:cantSplit/>
        </w:trPr>
        <w:tc>
          <w:tcPr>
            <w:tcW w:w="1922" w:type="dxa"/>
            <w:tcBorders>
              <w:top w:val="double" w:sz="4" w:space="0" w:color="auto"/>
              <w:left w:val="single" w:sz="4" w:space="0" w:color="auto"/>
              <w:bottom w:val="single" w:sz="4" w:space="0" w:color="auto"/>
              <w:right w:val="single" w:sz="4" w:space="0" w:color="auto"/>
            </w:tcBorders>
            <w:shd w:val="clear" w:color="auto" w:fill="auto"/>
          </w:tcPr>
          <w:p w14:paraId="7C459242" w14:textId="77777777" w:rsidR="004276BB" w:rsidRPr="003E065E" w:rsidRDefault="004276BB" w:rsidP="00A752E3">
            <w:pPr>
              <w:pStyle w:val="TableCell10Left"/>
              <w:keepNext w:val="0"/>
              <w:rPr>
                <w:rFonts w:ascii="Times New Roman" w:hAnsi="Times New Roman"/>
                <w:b/>
                <w:sz w:val="22"/>
                <w:szCs w:val="22"/>
              </w:rPr>
            </w:pPr>
            <w:r w:rsidRPr="003E065E">
              <w:rPr>
                <w:rFonts w:ascii="Times New Roman" w:hAnsi="Times New Roman"/>
                <w:b/>
                <w:sz w:val="22"/>
                <w:szCs w:val="22"/>
              </w:rPr>
              <w:t xml:space="preserve">Subgroup: </w:t>
            </w:r>
          </w:p>
          <w:p w14:paraId="1408E005" w14:textId="77777777" w:rsidR="004276BB" w:rsidRPr="003E065E" w:rsidRDefault="004276BB" w:rsidP="00A752E3">
            <w:pPr>
              <w:pStyle w:val="TableCell10Left"/>
              <w:keepNext w:val="0"/>
              <w:rPr>
                <w:rFonts w:ascii="Times New Roman" w:hAnsi="Times New Roman"/>
                <w:b/>
                <w:sz w:val="22"/>
                <w:szCs w:val="22"/>
              </w:rPr>
            </w:pPr>
            <w:r w:rsidRPr="003E065E">
              <w:rPr>
                <w:rFonts w:ascii="Times New Roman" w:hAnsi="Times New Roman"/>
                <w:b/>
                <w:sz w:val="22"/>
                <w:szCs w:val="22"/>
              </w:rPr>
              <w:t xml:space="preserve">AQP4-IgG Seropositive </w:t>
            </w:r>
          </w:p>
        </w:tc>
        <w:tc>
          <w:tcPr>
            <w:tcW w:w="1131" w:type="dxa"/>
            <w:tcBorders>
              <w:top w:val="double" w:sz="4" w:space="0" w:color="auto"/>
              <w:left w:val="single" w:sz="4" w:space="0" w:color="auto"/>
              <w:bottom w:val="single" w:sz="4" w:space="0" w:color="auto"/>
            </w:tcBorders>
            <w:shd w:val="clear" w:color="auto" w:fill="auto"/>
          </w:tcPr>
          <w:p w14:paraId="3386E4FA" w14:textId="550DACCB"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28</w:t>
            </w:r>
          </w:p>
        </w:tc>
        <w:tc>
          <w:tcPr>
            <w:tcW w:w="1137" w:type="dxa"/>
            <w:tcBorders>
              <w:top w:val="double" w:sz="4" w:space="0" w:color="auto"/>
              <w:bottom w:val="single" w:sz="4" w:space="0" w:color="auto"/>
              <w:right w:val="single" w:sz="4" w:space="0" w:color="auto"/>
            </w:tcBorders>
            <w:shd w:val="clear" w:color="auto" w:fill="auto"/>
          </w:tcPr>
          <w:p w14:paraId="590B1765" w14:textId="4588D378"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27</w:t>
            </w:r>
          </w:p>
        </w:tc>
        <w:tc>
          <w:tcPr>
            <w:tcW w:w="1131" w:type="dxa"/>
            <w:tcBorders>
              <w:top w:val="double" w:sz="4" w:space="0" w:color="auto"/>
              <w:left w:val="single" w:sz="4" w:space="0" w:color="auto"/>
              <w:bottom w:val="single" w:sz="4" w:space="0" w:color="auto"/>
            </w:tcBorders>
            <w:shd w:val="clear" w:color="auto" w:fill="auto"/>
          </w:tcPr>
          <w:p w14:paraId="198D6FF6" w14:textId="1A0F6BEC"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23</w:t>
            </w:r>
          </w:p>
        </w:tc>
        <w:tc>
          <w:tcPr>
            <w:tcW w:w="1137" w:type="dxa"/>
            <w:tcBorders>
              <w:top w:val="double" w:sz="4" w:space="0" w:color="auto"/>
              <w:bottom w:val="single" w:sz="4" w:space="0" w:color="auto"/>
              <w:right w:val="single" w:sz="4" w:space="0" w:color="auto"/>
            </w:tcBorders>
            <w:shd w:val="clear" w:color="auto" w:fill="auto"/>
          </w:tcPr>
          <w:p w14:paraId="620CE3EB" w14:textId="6904D4FF"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41</w:t>
            </w:r>
          </w:p>
        </w:tc>
        <w:tc>
          <w:tcPr>
            <w:tcW w:w="992" w:type="dxa"/>
            <w:tcBorders>
              <w:top w:val="double" w:sz="4" w:space="0" w:color="auto"/>
              <w:left w:val="single" w:sz="4" w:space="0" w:color="auto"/>
              <w:bottom w:val="single" w:sz="4" w:space="0" w:color="auto"/>
            </w:tcBorders>
            <w:shd w:val="clear" w:color="auto" w:fill="auto"/>
          </w:tcPr>
          <w:p w14:paraId="23908703" w14:textId="2B58601C" w:rsidR="004276BB" w:rsidRPr="003E065E" w:rsidRDefault="001D5552" w:rsidP="001D5552">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51</w:t>
            </w:r>
          </w:p>
        </w:tc>
        <w:tc>
          <w:tcPr>
            <w:tcW w:w="1276" w:type="dxa"/>
            <w:tcBorders>
              <w:top w:val="double" w:sz="4" w:space="0" w:color="auto"/>
              <w:bottom w:val="single" w:sz="4" w:space="0" w:color="auto"/>
              <w:right w:val="single" w:sz="4" w:space="0" w:color="auto"/>
            </w:tcBorders>
            <w:shd w:val="clear" w:color="auto" w:fill="auto"/>
          </w:tcPr>
          <w:p w14:paraId="7A98535B" w14:textId="34DB964E" w:rsidR="004276BB" w:rsidRPr="003E065E" w:rsidRDefault="001D5552" w:rsidP="00A752E3">
            <w:pPr>
              <w:pStyle w:val="TableCell10Center"/>
              <w:keepNext w:val="0"/>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68</w:t>
            </w:r>
          </w:p>
        </w:tc>
      </w:tr>
      <w:tr w:rsidR="004276BB" w:rsidRPr="003E065E" w14:paraId="762087CF" w14:textId="77777777" w:rsidTr="00A752E3">
        <w:trPr>
          <w:cantSplit/>
        </w:trPr>
        <w:tc>
          <w:tcPr>
            <w:tcW w:w="1922" w:type="dxa"/>
            <w:tcBorders>
              <w:top w:val="single" w:sz="4" w:space="0" w:color="auto"/>
              <w:left w:val="single" w:sz="4" w:space="0" w:color="auto"/>
              <w:right w:val="single" w:sz="4" w:space="0" w:color="auto"/>
            </w:tcBorders>
            <w:shd w:val="clear" w:color="auto" w:fill="auto"/>
          </w:tcPr>
          <w:p w14:paraId="0A27117D" w14:textId="77777777" w:rsidR="004276BB" w:rsidRPr="003E065E" w:rsidRDefault="004276BB" w:rsidP="00A752E3">
            <w:pPr>
              <w:pStyle w:val="TableCell10Left"/>
              <w:keepNext w:val="0"/>
              <w:rPr>
                <w:rFonts w:ascii="Times New Roman" w:hAnsi="Times New Roman"/>
                <w:sz w:val="22"/>
                <w:szCs w:val="22"/>
              </w:rPr>
            </w:pPr>
            <w:r w:rsidRPr="003E065E">
              <w:rPr>
                <w:rFonts w:ascii="Times New Roman" w:hAnsi="Times New Roman"/>
                <w:sz w:val="22"/>
                <w:szCs w:val="22"/>
              </w:rPr>
              <w:t>Number of patients with relapse</w:t>
            </w:r>
          </w:p>
        </w:tc>
        <w:tc>
          <w:tcPr>
            <w:tcW w:w="1131" w:type="dxa"/>
            <w:tcBorders>
              <w:top w:val="single" w:sz="4" w:space="0" w:color="auto"/>
              <w:left w:val="single" w:sz="4" w:space="0" w:color="auto"/>
            </w:tcBorders>
            <w:shd w:val="clear" w:color="auto" w:fill="auto"/>
          </w:tcPr>
          <w:p w14:paraId="17D6A6C1"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12</w:t>
            </w:r>
          </w:p>
        </w:tc>
        <w:tc>
          <w:tcPr>
            <w:tcW w:w="1137" w:type="dxa"/>
            <w:tcBorders>
              <w:top w:val="single" w:sz="4" w:space="0" w:color="auto"/>
              <w:right w:val="single" w:sz="4" w:space="0" w:color="auto"/>
            </w:tcBorders>
            <w:shd w:val="clear" w:color="auto" w:fill="auto"/>
          </w:tcPr>
          <w:p w14:paraId="20C7F263"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3</w:t>
            </w:r>
          </w:p>
        </w:tc>
        <w:tc>
          <w:tcPr>
            <w:tcW w:w="1131" w:type="dxa"/>
            <w:tcBorders>
              <w:top w:val="single" w:sz="4" w:space="0" w:color="auto"/>
              <w:left w:val="single" w:sz="4" w:space="0" w:color="auto"/>
            </w:tcBorders>
            <w:shd w:val="clear" w:color="auto" w:fill="auto"/>
          </w:tcPr>
          <w:p w14:paraId="31AA8340"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13</w:t>
            </w:r>
          </w:p>
        </w:tc>
        <w:tc>
          <w:tcPr>
            <w:tcW w:w="1137" w:type="dxa"/>
            <w:tcBorders>
              <w:top w:val="single" w:sz="4" w:space="0" w:color="auto"/>
              <w:right w:val="single" w:sz="4" w:space="0" w:color="auto"/>
            </w:tcBorders>
            <w:shd w:val="clear" w:color="auto" w:fill="auto"/>
          </w:tcPr>
          <w:p w14:paraId="757A0C6F"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9</w:t>
            </w:r>
          </w:p>
        </w:tc>
        <w:tc>
          <w:tcPr>
            <w:tcW w:w="992" w:type="dxa"/>
            <w:tcBorders>
              <w:top w:val="single" w:sz="4" w:space="0" w:color="auto"/>
              <w:left w:val="single" w:sz="4" w:space="0" w:color="auto"/>
            </w:tcBorders>
            <w:shd w:val="clear" w:color="auto" w:fill="auto"/>
          </w:tcPr>
          <w:p w14:paraId="663BE486"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25</w:t>
            </w:r>
          </w:p>
        </w:tc>
        <w:tc>
          <w:tcPr>
            <w:tcW w:w="1276" w:type="dxa"/>
            <w:tcBorders>
              <w:top w:val="single" w:sz="4" w:space="0" w:color="auto"/>
              <w:right w:val="single" w:sz="4" w:space="0" w:color="auto"/>
            </w:tcBorders>
            <w:shd w:val="clear" w:color="auto" w:fill="auto"/>
          </w:tcPr>
          <w:p w14:paraId="22BADF98"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12</w:t>
            </w:r>
          </w:p>
        </w:tc>
      </w:tr>
      <w:tr w:rsidR="004276BB" w:rsidRPr="003E065E" w14:paraId="377BF03B" w14:textId="77777777" w:rsidTr="00A752E3">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5906F5E0" w14:textId="60EEC79B" w:rsidR="004276BB" w:rsidRPr="003E065E" w:rsidRDefault="004276BB" w:rsidP="00A752E3">
            <w:pPr>
              <w:pStyle w:val="TableCell10Left"/>
              <w:keepNext w:val="0"/>
              <w:rPr>
                <w:rFonts w:ascii="Times New Roman" w:hAnsi="Times New Roman"/>
                <w:sz w:val="22"/>
                <w:szCs w:val="22"/>
              </w:rPr>
            </w:pPr>
            <w:r w:rsidRPr="003E065E">
              <w:rPr>
                <w:rFonts w:ascii="Times New Roman" w:hAnsi="Times New Roman"/>
                <w:sz w:val="22"/>
                <w:szCs w:val="22"/>
              </w:rPr>
              <w:t xml:space="preserve">Adjusted </w:t>
            </w:r>
            <w:proofErr w:type="spellStart"/>
            <w:r w:rsidRPr="003E065E">
              <w:rPr>
                <w:rFonts w:ascii="Times New Roman" w:hAnsi="Times New Roman"/>
                <w:sz w:val="22"/>
                <w:szCs w:val="22"/>
              </w:rPr>
              <w:t>annualised</w:t>
            </w:r>
            <w:proofErr w:type="spellEnd"/>
            <w:r w:rsidRPr="003E065E">
              <w:rPr>
                <w:rFonts w:ascii="Times New Roman" w:hAnsi="Times New Roman"/>
                <w:sz w:val="22"/>
                <w:szCs w:val="22"/>
              </w:rPr>
              <w:t xml:space="preserve"> relapse rate</w:t>
            </w:r>
          </w:p>
        </w:tc>
        <w:tc>
          <w:tcPr>
            <w:tcW w:w="1131" w:type="dxa"/>
            <w:tcBorders>
              <w:top w:val="single" w:sz="4" w:space="0" w:color="auto"/>
              <w:left w:val="single" w:sz="4" w:space="0" w:color="auto"/>
              <w:bottom w:val="single" w:sz="4" w:space="0" w:color="auto"/>
            </w:tcBorders>
            <w:shd w:val="clear" w:color="auto" w:fill="auto"/>
          </w:tcPr>
          <w:p w14:paraId="7B137EF1"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0.520</w:t>
            </w:r>
          </w:p>
        </w:tc>
        <w:tc>
          <w:tcPr>
            <w:tcW w:w="1137" w:type="dxa"/>
            <w:tcBorders>
              <w:top w:val="single" w:sz="4" w:space="0" w:color="auto"/>
              <w:bottom w:val="single" w:sz="4" w:space="0" w:color="auto"/>
              <w:right w:val="single" w:sz="4" w:space="0" w:color="auto"/>
            </w:tcBorders>
            <w:shd w:val="clear" w:color="auto" w:fill="auto"/>
          </w:tcPr>
          <w:p w14:paraId="35F9EB52"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0.063</w:t>
            </w:r>
          </w:p>
        </w:tc>
        <w:tc>
          <w:tcPr>
            <w:tcW w:w="1131" w:type="dxa"/>
            <w:tcBorders>
              <w:top w:val="single" w:sz="4" w:space="0" w:color="auto"/>
              <w:left w:val="single" w:sz="4" w:space="0" w:color="auto"/>
              <w:bottom w:val="single" w:sz="4" w:space="0" w:color="auto"/>
            </w:tcBorders>
            <w:shd w:val="clear" w:color="auto" w:fill="auto"/>
          </w:tcPr>
          <w:p w14:paraId="4FC587B9"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2.853</w:t>
            </w:r>
          </w:p>
        </w:tc>
        <w:tc>
          <w:tcPr>
            <w:tcW w:w="1137" w:type="dxa"/>
            <w:tcBorders>
              <w:top w:val="single" w:sz="4" w:space="0" w:color="auto"/>
              <w:bottom w:val="single" w:sz="4" w:space="0" w:color="auto"/>
              <w:right w:val="single" w:sz="4" w:space="0" w:color="auto"/>
            </w:tcBorders>
            <w:shd w:val="clear" w:color="auto" w:fill="auto"/>
          </w:tcPr>
          <w:p w14:paraId="67F4A35D"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0.275</w:t>
            </w:r>
          </w:p>
        </w:tc>
        <w:tc>
          <w:tcPr>
            <w:tcW w:w="992" w:type="dxa"/>
            <w:tcBorders>
              <w:top w:val="single" w:sz="4" w:space="0" w:color="auto"/>
              <w:left w:val="single" w:sz="4" w:space="0" w:color="auto"/>
              <w:bottom w:val="single" w:sz="4" w:space="0" w:color="auto"/>
            </w:tcBorders>
            <w:shd w:val="clear" w:color="auto" w:fill="auto"/>
          </w:tcPr>
          <w:p w14:paraId="2F2C1ADA"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1.339</w:t>
            </w:r>
          </w:p>
        </w:tc>
        <w:tc>
          <w:tcPr>
            <w:tcW w:w="1276" w:type="dxa"/>
            <w:tcBorders>
              <w:top w:val="single" w:sz="4" w:space="0" w:color="auto"/>
              <w:bottom w:val="single" w:sz="4" w:space="0" w:color="auto"/>
              <w:right w:val="single" w:sz="4" w:space="0" w:color="auto"/>
            </w:tcBorders>
            <w:shd w:val="clear" w:color="auto" w:fill="auto"/>
          </w:tcPr>
          <w:p w14:paraId="4A0EDE88"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0.136</w:t>
            </w:r>
          </w:p>
        </w:tc>
      </w:tr>
      <w:tr w:rsidR="004276BB" w:rsidRPr="003E065E" w14:paraId="1FE0564B" w14:textId="77777777" w:rsidTr="00A752E3">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28BBE5B2" w14:textId="77777777" w:rsidR="004276BB" w:rsidRPr="003E065E" w:rsidRDefault="004276BB" w:rsidP="00A752E3">
            <w:pPr>
              <w:pStyle w:val="TableCell10Left"/>
              <w:keepNext w:val="0"/>
              <w:rPr>
                <w:rFonts w:ascii="Times New Roman" w:hAnsi="Times New Roman"/>
                <w:sz w:val="22"/>
                <w:szCs w:val="22"/>
              </w:rPr>
            </w:pPr>
            <w:r w:rsidRPr="003E065E">
              <w:rPr>
                <w:rFonts w:ascii="Times New Roman" w:hAnsi="Times New Roman"/>
                <w:sz w:val="22"/>
                <w:szCs w:val="22"/>
              </w:rPr>
              <w:t>Relative ARR reduction (Rate ratio)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B67A479"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88% (RR: 0.122, 95% CI: 0.027,0.546; p=0.0039)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21D8262" w14:textId="77777777" w:rsidR="004276BB" w:rsidRPr="003E065E" w:rsidRDefault="004276BB" w:rsidP="00A752E3">
            <w:pPr>
              <w:pStyle w:val="TableCell10Center"/>
              <w:keepNext w:val="0"/>
              <w:rPr>
                <w:rFonts w:ascii="Times New Roman" w:hAnsi="Times New Roman"/>
                <w:sz w:val="22"/>
                <w:szCs w:val="22"/>
                <w:vertAlign w:val="superscript"/>
              </w:rPr>
            </w:pPr>
            <w:r w:rsidRPr="003E065E">
              <w:rPr>
                <w:rFonts w:ascii="Times New Roman" w:hAnsi="Times New Roman"/>
                <w:sz w:val="22"/>
                <w:szCs w:val="22"/>
              </w:rPr>
              <w:t>90% (RR: 0.096, 95% CI: 0.020,0.473; p= 0.0086)</w:t>
            </w:r>
          </w:p>
          <w:p w14:paraId="211FCDEF" w14:textId="77777777" w:rsidR="004276BB" w:rsidRPr="003E065E" w:rsidRDefault="004276BB" w:rsidP="00A752E3">
            <w:pPr>
              <w:pStyle w:val="TableCell10Center"/>
              <w:keepNext w:val="0"/>
              <w:rPr>
                <w:rFonts w:ascii="Times New Roman" w:hAnsi="Times New Roman"/>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C2C059E" w14:textId="77777777" w:rsidR="004276BB" w:rsidRPr="003E065E" w:rsidRDefault="004276BB" w:rsidP="00A752E3">
            <w:pPr>
              <w:pStyle w:val="TableCell10Center"/>
              <w:keepNext w:val="0"/>
              <w:rPr>
                <w:rFonts w:ascii="Times New Roman" w:hAnsi="Times New Roman"/>
                <w:sz w:val="22"/>
                <w:szCs w:val="22"/>
              </w:rPr>
            </w:pPr>
            <w:r w:rsidRPr="003E065E">
              <w:rPr>
                <w:rFonts w:ascii="Times New Roman" w:hAnsi="Times New Roman"/>
                <w:sz w:val="22"/>
                <w:szCs w:val="22"/>
              </w:rPr>
              <w:t>90% (RR: 0.102; 95%CI: 0.034,0.301; p=0.0002)</w:t>
            </w:r>
          </w:p>
        </w:tc>
      </w:tr>
    </w:tbl>
    <w:p w14:paraId="71B753A1" w14:textId="77777777" w:rsidR="004276BB" w:rsidRPr="0099478A" w:rsidRDefault="004276BB" w:rsidP="0067155D">
      <w:pPr>
        <w:rPr>
          <w:b/>
          <w:color w:val="auto"/>
          <w:szCs w:val="22"/>
        </w:rPr>
      </w:pPr>
    </w:p>
    <w:p w14:paraId="59B866C5" w14:textId="56491F20" w:rsidR="004276BB" w:rsidRPr="0099478A" w:rsidRDefault="004276BB" w:rsidP="0067155D">
      <w:pPr>
        <w:rPr>
          <w:color w:val="auto"/>
        </w:rPr>
      </w:pPr>
      <w:r w:rsidRPr="0099478A">
        <w:rPr>
          <w:color w:val="auto"/>
        </w:rPr>
        <w:t>As compared to placebo-treated patients, th</w:t>
      </w:r>
      <w:r w:rsidR="00653E5B" w:rsidRPr="0099478A">
        <w:rPr>
          <w:color w:val="auto"/>
        </w:rPr>
        <w:t>e need for rescue therapy (e.g.</w:t>
      </w:r>
      <w:r w:rsidRPr="0099478A">
        <w:rPr>
          <w:color w:val="auto"/>
        </w:rPr>
        <w:t xml:space="preserve"> corticosteroids, intravenous immunoglobulin, and/or apheresis [including plasmapheresis or plasma exchange]) was reduced in </w:t>
      </w:r>
      <w:proofErr w:type="spellStart"/>
      <w:r w:rsidRPr="0099478A">
        <w:rPr>
          <w:color w:val="auto"/>
        </w:rPr>
        <w:t>Enspryng</w:t>
      </w:r>
      <w:proofErr w:type="spellEnd"/>
      <w:r w:rsidRPr="0099478A">
        <w:rPr>
          <w:color w:val="auto"/>
        </w:rPr>
        <w:t xml:space="preserve">-treated patients by 51% in Study BN40898 and by 55% in Study BN40900 (ITT population). In the AQP4-IgG seropositive subgroup, </w:t>
      </w:r>
      <w:proofErr w:type="spellStart"/>
      <w:r w:rsidRPr="0099478A">
        <w:rPr>
          <w:color w:val="auto"/>
        </w:rPr>
        <w:t>E</w:t>
      </w:r>
      <w:r w:rsidR="00653E5B" w:rsidRPr="0099478A">
        <w:rPr>
          <w:color w:val="auto"/>
        </w:rPr>
        <w:t>nspryng</w:t>
      </w:r>
      <w:proofErr w:type="spellEnd"/>
      <w:r w:rsidRPr="0099478A">
        <w:rPr>
          <w:color w:val="auto"/>
        </w:rPr>
        <w:t xml:space="preserve"> treatment reduced the need for rescue therapy by 61% and 74% in Studies BN40898 and BN40900</w:t>
      </w:r>
      <w:r w:rsidR="00505340">
        <w:rPr>
          <w:color w:val="auto"/>
        </w:rPr>
        <w:t>,</w:t>
      </w:r>
      <w:r w:rsidRPr="0099478A">
        <w:rPr>
          <w:color w:val="auto"/>
        </w:rPr>
        <w:t xml:space="preserve"> respectively</w:t>
      </w:r>
      <w:r w:rsidR="002F3A92">
        <w:rPr>
          <w:color w:val="auto"/>
        </w:rPr>
        <w:t xml:space="preserve"> (Table 8)</w:t>
      </w:r>
      <w:r w:rsidRPr="0099478A">
        <w:rPr>
          <w:color w:val="auto"/>
        </w:rPr>
        <w:t>.</w:t>
      </w:r>
    </w:p>
    <w:p w14:paraId="762CA4E3" w14:textId="17834880" w:rsidR="00A13D49" w:rsidRDefault="00A13D49" w:rsidP="0067155D">
      <w:pPr>
        <w:rPr>
          <w:color w:val="auto"/>
        </w:rPr>
      </w:pPr>
    </w:p>
    <w:p w14:paraId="228116F1" w14:textId="412D0044" w:rsidR="003E065E" w:rsidRDefault="003E065E" w:rsidP="0067155D">
      <w:pPr>
        <w:rPr>
          <w:color w:val="auto"/>
        </w:rPr>
      </w:pPr>
    </w:p>
    <w:p w14:paraId="766FFC61" w14:textId="501AB6A6" w:rsidR="003E065E" w:rsidRDefault="003E065E" w:rsidP="0067155D">
      <w:pPr>
        <w:rPr>
          <w:color w:val="auto"/>
        </w:rPr>
      </w:pPr>
    </w:p>
    <w:p w14:paraId="2BDDD9DE" w14:textId="75437895" w:rsidR="003E065E" w:rsidRDefault="003E065E" w:rsidP="0067155D">
      <w:pPr>
        <w:rPr>
          <w:color w:val="auto"/>
        </w:rPr>
      </w:pPr>
    </w:p>
    <w:p w14:paraId="3875D04F" w14:textId="34174435" w:rsidR="003E065E" w:rsidRDefault="003E065E" w:rsidP="0067155D">
      <w:pPr>
        <w:rPr>
          <w:color w:val="auto"/>
        </w:rPr>
      </w:pPr>
    </w:p>
    <w:p w14:paraId="7BA0756D" w14:textId="69BA1119" w:rsidR="003E065E" w:rsidRDefault="003E065E" w:rsidP="0067155D">
      <w:pPr>
        <w:rPr>
          <w:color w:val="auto"/>
        </w:rPr>
      </w:pPr>
    </w:p>
    <w:p w14:paraId="222EDF8C" w14:textId="055503A9" w:rsidR="003E065E" w:rsidRDefault="003E065E" w:rsidP="0067155D">
      <w:pPr>
        <w:rPr>
          <w:color w:val="auto"/>
        </w:rPr>
      </w:pPr>
    </w:p>
    <w:p w14:paraId="297A11A9" w14:textId="350B9E9B" w:rsidR="003E065E" w:rsidRDefault="003E065E" w:rsidP="0067155D">
      <w:pPr>
        <w:rPr>
          <w:color w:val="auto"/>
        </w:rPr>
      </w:pPr>
    </w:p>
    <w:p w14:paraId="19D0726F" w14:textId="681AB422" w:rsidR="003E065E" w:rsidRDefault="003E065E" w:rsidP="0067155D">
      <w:pPr>
        <w:rPr>
          <w:color w:val="auto"/>
        </w:rPr>
      </w:pPr>
    </w:p>
    <w:p w14:paraId="637D65B3" w14:textId="6E13D902" w:rsidR="003E065E" w:rsidRDefault="003E065E" w:rsidP="0067155D">
      <w:pPr>
        <w:rPr>
          <w:color w:val="auto"/>
        </w:rPr>
      </w:pPr>
    </w:p>
    <w:p w14:paraId="0A792036" w14:textId="77777777" w:rsidR="003E065E" w:rsidRPr="0099478A" w:rsidRDefault="003E065E" w:rsidP="0067155D">
      <w:pPr>
        <w:rPr>
          <w:color w:val="auto"/>
        </w:rPr>
      </w:pPr>
    </w:p>
    <w:p w14:paraId="62F9A08D" w14:textId="53338BB1" w:rsidR="004276BB" w:rsidRPr="0099478A" w:rsidRDefault="004276BB" w:rsidP="004276BB">
      <w:pPr>
        <w:ind w:left="900" w:hanging="900"/>
        <w:rPr>
          <w:b/>
          <w:color w:val="auto"/>
          <w:szCs w:val="22"/>
        </w:rPr>
      </w:pPr>
      <w:r w:rsidRPr="0099478A">
        <w:rPr>
          <w:b/>
          <w:color w:val="auto"/>
          <w:szCs w:val="22"/>
        </w:rPr>
        <w:lastRenderedPageBreak/>
        <w:t xml:space="preserve">Table </w:t>
      </w:r>
      <w:r w:rsidR="00F937E6">
        <w:rPr>
          <w:b/>
          <w:color w:val="auto"/>
          <w:szCs w:val="22"/>
        </w:rPr>
        <w:t>8</w:t>
      </w:r>
      <w:r w:rsidRPr="0099478A">
        <w:rPr>
          <w:b/>
          <w:color w:val="auto"/>
          <w:szCs w:val="22"/>
        </w:rPr>
        <w:t xml:space="preserve">: </w:t>
      </w:r>
      <w:r w:rsidR="00A13D49" w:rsidRPr="0099478A">
        <w:rPr>
          <w:b/>
          <w:color w:val="auto"/>
          <w:szCs w:val="22"/>
        </w:rPr>
        <w:t>Use of rescue therapy in p</w:t>
      </w:r>
      <w:r w:rsidRPr="0099478A">
        <w:rPr>
          <w:b/>
          <w:color w:val="auto"/>
          <w:szCs w:val="22"/>
        </w:rPr>
        <w:t>atients with</w:t>
      </w:r>
      <w:r w:rsidR="00A13D49" w:rsidRPr="0099478A">
        <w:rPr>
          <w:b/>
          <w:color w:val="auto"/>
          <w:szCs w:val="22"/>
        </w:rPr>
        <w:t xml:space="preserve"> any relapse during the d</w:t>
      </w:r>
      <w:r w:rsidRPr="0099478A">
        <w:rPr>
          <w:b/>
          <w:color w:val="auto"/>
          <w:szCs w:val="22"/>
        </w:rPr>
        <w:t>ouble-b</w:t>
      </w:r>
      <w:r w:rsidR="00A13D49" w:rsidRPr="0099478A">
        <w:rPr>
          <w:b/>
          <w:color w:val="auto"/>
          <w:szCs w:val="22"/>
        </w:rPr>
        <w:t>lind p</w:t>
      </w:r>
      <w:r w:rsidRPr="0099478A">
        <w:rPr>
          <w:b/>
          <w:color w:val="auto"/>
          <w:szCs w:val="22"/>
        </w:rPr>
        <w:t>eriod</w:t>
      </w:r>
    </w:p>
    <w:tbl>
      <w:tblPr>
        <w:tblW w:w="9293" w:type="dxa"/>
        <w:tblInd w:w="58" w:type="dxa"/>
        <w:tblLayout w:type="fixed"/>
        <w:tblCellMar>
          <w:left w:w="57" w:type="dxa"/>
          <w:right w:w="57" w:type="dxa"/>
        </w:tblCellMar>
        <w:tblLook w:val="0000" w:firstRow="0" w:lastRow="0" w:firstColumn="0" w:lastColumn="0" w:noHBand="0" w:noVBand="0"/>
      </w:tblPr>
      <w:tblGrid>
        <w:gridCol w:w="1497"/>
        <w:gridCol w:w="1275"/>
        <w:gridCol w:w="1276"/>
        <w:gridCol w:w="1276"/>
        <w:gridCol w:w="1276"/>
        <w:gridCol w:w="1417"/>
        <w:gridCol w:w="1276"/>
      </w:tblGrid>
      <w:tr w:rsidR="004276BB" w:rsidRPr="003E065E" w14:paraId="36893375" w14:textId="77777777" w:rsidTr="00A752E3">
        <w:trPr>
          <w:cantSplit/>
        </w:trPr>
        <w:tc>
          <w:tcPr>
            <w:tcW w:w="1497" w:type="dxa"/>
            <w:vMerge w:val="restart"/>
            <w:tcBorders>
              <w:top w:val="single" w:sz="4" w:space="0" w:color="auto"/>
              <w:left w:val="single" w:sz="4" w:space="0" w:color="auto"/>
              <w:right w:val="single" w:sz="4" w:space="0" w:color="auto"/>
            </w:tcBorders>
            <w:shd w:val="clear" w:color="auto" w:fill="auto"/>
            <w:vAlign w:val="bottom"/>
          </w:tcPr>
          <w:p w14:paraId="740A3785" w14:textId="77777777" w:rsidR="004276BB" w:rsidRPr="003E065E" w:rsidRDefault="004276BB" w:rsidP="00A752E3">
            <w:pPr>
              <w:pStyle w:val="TableCell10Left"/>
              <w:rPr>
                <w:rFonts w:ascii="Times New Roman" w:hAnsi="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00D091"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BN40898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4E3035"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BN40900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9C1974"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Pooled</w:t>
            </w:r>
          </w:p>
        </w:tc>
      </w:tr>
      <w:tr w:rsidR="004276BB" w:rsidRPr="003E065E" w14:paraId="2403CDF0" w14:textId="77777777" w:rsidTr="00A752E3">
        <w:trPr>
          <w:cantSplit/>
        </w:trPr>
        <w:tc>
          <w:tcPr>
            <w:tcW w:w="1497" w:type="dxa"/>
            <w:vMerge/>
            <w:tcBorders>
              <w:left w:val="single" w:sz="4" w:space="0" w:color="auto"/>
              <w:bottom w:val="single" w:sz="4" w:space="0" w:color="auto"/>
              <w:right w:val="single" w:sz="4" w:space="0" w:color="auto"/>
            </w:tcBorders>
            <w:shd w:val="clear" w:color="auto" w:fill="auto"/>
            <w:vAlign w:val="bottom"/>
          </w:tcPr>
          <w:p w14:paraId="4887F1CF" w14:textId="77777777" w:rsidR="004276BB" w:rsidRPr="003E065E" w:rsidRDefault="004276BB" w:rsidP="00A752E3">
            <w:pPr>
              <w:pStyle w:val="TableCell10Left"/>
              <w:rPr>
                <w:rFonts w:ascii="Times New Roman" w:hAnsi="Times New Roman"/>
                <w:sz w:val="22"/>
                <w:szCs w:val="22"/>
              </w:rPr>
            </w:pPr>
          </w:p>
        </w:tc>
        <w:tc>
          <w:tcPr>
            <w:tcW w:w="1275" w:type="dxa"/>
            <w:tcBorders>
              <w:top w:val="single" w:sz="4" w:space="0" w:color="auto"/>
              <w:left w:val="single" w:sz="4" w:space="0" w:color="auto"/>
              <w:bottom w:val="single" w:sz="4" w:space="0" w:color="auto"/>
            </w:tcBorders>
            <w:shd w:val="clear" w:color="auto" w:fill="auto"/>
            <w:vAlign w:val="bottom"/>
          </w:tcPr>
          <w:p w14:paraId="22547807"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Placebo</w:t>
            </w:r>
          </w:p>
        </w:tc>
        <w:tc>
          <w:tcPr>
            <w:tcW w:w="1276" w:type="dxa"/>
            <w:tcBorders>
              <w:top w:val="single" w:sz="4" w:space="0" w:color="auto"/>
              <w:bottom w:val="single" w:sz="4" w:space="0" w:color="auto"/>
              <w:right w:val="single" w:sz="4" w:space="0" w:color="auto"/>
            </w:tcBorders>
            <w:shd w:val="clear" w:color="auto" w:fill="auto"/>
            <w:vAlign w:val="bottom"/>
          </w:tcPr>
          <w:p w14:paraId="1D8D789D" w14:textId="77777777" w:rsidR="004276BB" w:rsidRPr="003E065E" w:rsidRDefault="004276BB" w:rsidP="00A752E3">
            <w:pPr>
              <w:pStyle w:val="TableCell10Center"/>
              <w:rPr>
                <w:rFonts w:ascii="Times New Roman" w:hAnsi="Times New Roman"/>
                <w:b/>
                <w:sz w:val="22"/>
                <w:szCs w:val="22"/>
              </w:rPr>
            </w:pPr>
            <w:proofErr w:type="spellStart"/>
            <w:r w:rsidRPr="003E065E">
              <w:rPr>
                <w:rFonts w:ascii="Times New Roman" w:hAnsi="Times New Roman"/>
                <w:b/>
                <w:sz w:val="22"/>
                <w:szCs w:val="22"/>
              </w:rPr>
              <w:t>Enspryng</w:t>
            </w:r>
            <w:proofErr w:type="spellEnd"/>
          </w:p>
        </w:tc>
        <w:tc>
          <w:tcPr>
            <w:tcW w:w="1276" w:type="dxa"/>
            <w:tcBorders>
              <w:top w:val="single" w:sz="4" w:space="0" w:color="auto"/>
              <w:left w:val="single" w:sz="4" w:space="0" w:color="auto"/>
              <w:bottom w:val="single" w:sz="4" w:space="0" w:color="auto"/>
            </w:tcBorders>
            <w:shd w:val="clear" w:color="auto" w:fill="auto"/>
            <w:vAlign w:val="bottom"/>
          </w:tcPr>
          <w:p w14:paraId="5758F13B"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Placebo</w:t>
            </w:r>
          </w:p>
        </w:tc>
        <w:tc>
          <w:tcPr>
            <w:tcW w:w="1276" w:type="dxa"/>
            <w:tcBorders>
              <w:top w:val="single" w:sz="4" w:space="0" w:color="auto"/>
              <w:bottom w:val="single" w:sz="4" w:space="0" w:color="auto"/>
              <w:right w:val="single" w:sz="4" w:space="0" w:color="auto"/>
            </w:tcBorders>
            <w:shd w:val="clear" w:color="auto" w:fill="auto"/>
            <w:vAlign w:val="bottom"/>
          </w:tcPr>
          <w:p w14:paraId="0A2B483E" w14:textId="77777777" w:rsidR="004276BB" w:rsidRPr="003E065E" w:rsidRDefault="004276BB" w:rsidP="00A752E3">
            <w:pPr>
              <w:pStyle w:val="TableCell10Center"/>
              <w:rPr>
                <w:rFonts w:ascii="Times New Roman" w:hAnsi="Times New Roman"/>
                <w:b/>
                <w:sz w:val="22"/>
                <w:szCs w:val="22"/>
              </w:rPr>
            </w:pPr>
            <w:proofErr w:type="spellStart"/>
            <w:r w:rsidRPr="003E065E">
              <w:rPr>
                <w:rFonts w:ascii="Times New Roman" w:hAnsi="Times New Roman"/>
                <w:b/>
                <w:sz w:val="22"/>
                <w:szCs w:val="22"/>
              </w:rPr>
              <w:t>Enspryng</w:t>
            </w:r>
            <w:proofErr w:type="spellEnd"/>
          </w:p>
        </w:tc>
        <w:tc>
          <w:tcPr>
            <w:tcW w:w="1417" w:type="dxa"/>
            <w:tcBorders>
              <w:top w:val="single" w:sz="4" w:space="0" w:color="auto"/>
              <w:left w:val="single" w:sz="4" w:space="0" w:color="auto"/>
              <w:bottom w:val="single" w:sz="4" w:space="0" w:color="auto"/>
            </w:tcBorders>
            <w:shd w:val="clear" w:color="auto" w:fill="auto"/>
            <w:vAlign w:val="bottom"/>
          </w:tcPr>
          <w:p w14:paraId="397F23E7"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Placebo</w:t>
            </w:r>
          </w:p>
        </w:tc>
        <w:tc>
          <w:tcPr>
            <w:tcW w:w="1276" w:type="dxa"/>
            <w:tcBorders>
              <w:top w:val="single" w:sz="4" w:space="0" w:color="auto"/>
              <w:bottom w:val="single" w:sz="4" w:space="0" w:color="auto"/>
              <w:right w:val="single" w:sz="4" w:space="0" w:color="auto"/>
            </w:tcBorders>
            <w:shd w:val="clear" w:color="auto" w:fill="auto"/>
            <w:vAlign w:val="bottom"/>
          </w:tcPr>
          <w:p w14:paraId="5D91234B" w14:textId="77777777" w:rsidR="004276BB" w:rsidRPr="003E065E" w:rsidRDefault="004276BB" w:rsidP="00A752E3">
            <w:pPr>
              <w:pStyle w:val="TableCell10Center"/>
              <w:rPr>
                <w:rFonts w:ascii="Times New Roman" w:hAnsi="Times New Roman"/>
                <w:b/>
                <w:sz w:val="22"/>
                <w:szCs w:val="22"/>
              </w:rPr>
            </w:pPr>
            <w:proofErr w:type="spellStart"/>
            <w:r w:rsidRPr="003E065E">
              <w:rPr>
                <w:rFonts w:ascii="Times New Roman" w:hAnsi="Times New Roman"/>
                <w:b/>
                <w:sz w:val="22"/>
                <w:szCs w:val="22"/>
              </w:rPr>
              <w:t>Enspryng</w:t>
            </w:r>
            <w:proofErr w:type="spellEnd"/>
          </w:p>
        </w:tc>
      </w:tr>
      <w:tr w:rsidR="004276BB" w:rsidRPr="003E065E" w14:paraId="693E24D0" w14:textId="77777777" w:rsidTr="00A752E3">
        <w:trPr>
          <w:cantSplit/>
        </w:trPr>
        <w:tc>
          <w:tcPr>
            <w:tcW w:w="1497" w:type="dxa"/>
            <w:tcBorders>
              <w:top w:val="single" w:sz="4" w:space="0" w:color="auto"/>
              <w:left w:val="single" w:sz="4" w:space="0" w:color="auto"/>
              <w:right w:val="single" w:sz="4" w:space="0" w:color="auto"/>
            </w:tcBorders>
            <w:shd w:val="clear" w:color="auto" w:fill="auto"/>
          </w:tcPr>
          <w:p w14:paraId="410033EC" w14:textId="77777777" w:rsidR="004276BB" w:rsidRPr="003E065E" w:rsidRDefault="004276BB" w:rsidP="00A752E3">
            <w:pPr>
              <w:pStyle w:val="TableCell10Left"/>
              <w:rPr>
                <w:rFonts w:ascii="Times New Roman" w:hAnsi="Times New Roman"/>
                <w:b/>
                <w:sz w:val="22"/>
                <w:szCs w:val="22"/>
              </w:rPr>
            </w:pPr>
            <w:r w:rsidRPr="003E065E">
              <w:rPr>
                <w:rFonts w:ascii="Times New Roman" w:hAnsi="Times New Roman"/>
                <w:b/>
                <w:sz w:val="22"/>
                <w:szCs w:val="22"/>
              </w:rPr>
              <w:t>ITT</w:t>
            </w:r>
          </w:p>
        </w:tc>
        <w:tc>
          <w:tcPr>
            <w:tcW w:w="1275" w:type="dxa"/>
            <w:tcBorders>
              <w:top w:val="single" w:sz="4" w:space="0" w:color="auto"/>
              <w:left w:val="single" w:sz="4" w:space="0" w:color="auto"/>
            </w:tcBorders>
            <w:shd w:val="clear" w:color="auto" w:fill="auto"/>
            <w:vAlign w:val="bottom"/>
          </w:tcPr>
          <w:p w14:paraId="3FD4C65E" w14:textId="6EB32FDE" w:rsidR="004276BB" w:rsidRPr="003E065E" w:rsidRDefault="001D5552" w:rsidP="00A752E3">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42</w:t>
            </w:r>
          </w:p>
        </w:tc>
        <w:tc>
          <w:tcPr>
            <w:tcW w:w="1276" w:type="dxa"/>
            <w:tcBorders>
              <w:top w:val="single" w:sz="4" w:space="0" w:color="auto"/>
              <w:right w:val="single" w:sz="4" w:space="0" w:color="auto"/>
            </w:tcBorders>
            <w:shd w:val="clear" w:color="auto" w:fill="auto"/>
            <w:vAlign w:val="bottom"/>
          </w:tcPr>
          <w:p w14:paraId="60CAD19F" w14:textId="668C7103" w:rsidR="004276BB" w:rsidRPr="003E065E" w:rsidRDefault="001D5552" w:rsidP="001D5552">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41</w:t>
            </w:r>
          </w:p>
        </w:tc>
        <w:tc>
          <w:tcPr>
            <w:tcW w:w="1276" w:type="dxa"/>
            <w:tcBorders>
              <w:top w:val="single" w:sz="4" w:space="0" w:color="auto"/>
              <w:left w:val="single" w:sz="4" w:space="0" w:color="auto"/>
            </w:tcBorders>
            <w:shd w:val="clear" w:color="auto" w:fill="auto"/>
            <w:vAlign w:val="bottom"/>
          </w:tcPr>
          <w:p w14:paraId="5FD8B9EB" w14:textId="5F0E4D98" w:rsidR="004276BB" w:rsidRPr="003E065E" w:rsidRDefault="001D5552" w:rsidP="001D5552">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32</w:t>
            </w:r>
          </w:p>
        </w:tc>
        <w:tc>
          <w:tcPr>
            <w:tcW w:w="1276" w:type="dxa"/>
            <w:tcBorders>
              <w:top w:val="single" w:sz="4" w:space="0" w:color="auto"/>
              <w:right w:val="single" w:sz="4" w:space="0" w:color="auto"/>
            </w:tcBorders>
            <w:shd w:val="clear" w:color="auto" w:fill="auto"/>
            <w:vAlign w:val="bottom"/>
          </w:tcPr>
          <w:p w14:paraId="18616190" w14:textId="7514446B" w:rsidR="004276BB" w:rsidRPr="003E065E" w:rsidRDefault="001D5552" w:rsidP="001D5552">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63</w:t>
            </w:r>
          </w:p>
        </w:tc>
        <w:tc>
          <w:tcPr>
            <w:tcW w:w="1417" w:type="dxa"/>
            <w:tcBorders>
              <w:top w:val="single" w:sz="4" w:space="0" w:color="auto"/>
              <w:left w:val="single" w:sz="4" w:space="0" w:color="auto"/>
            </w:tcBorders>
            <w:shd w:val="clear" w:color="auto" w:fill="auto"/>
            <w:vAlign w:val="bottom"/>
          </w:tcPr>
          <w:p w14:paraId="6AE88815" w14:textId="63D14EB3" w:rsidR="004276BB" w:rsidRPr="003E065E" w:rsidRDefault="001D5552" w:rsidP="00A752E3">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74</w:t>
            </w:r>
          </w:p>
        </w:tc>
        <w:tc>
          <w:tcPr>
            <w:tcW w:w="1276" w:type="dxa"/>
            <w:tcBorders>
              <w:top w:val="single" w:sz="4" w:space="0" w:color="auto"/>
              <w:right w:val="single" w:sz="4" w:space="0" w:color="auto"/>
            </w:tcBorders>
            <w:shd w:val="clear" w:color="auto" w:fill="auto"/>
            <w:vAlign w:val="bottom"/>
          </w:tcPr>
          <w:p w14:paraId="75B9855D" w14:textId="5BA19DCF" w:rsidR="004276BB" w:rsidRPr="003E065E" w:rsidRDefault="001D5552" w:rsidP="00A752E3">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104</w:t>
            </w:r>
          </w:p>
        </w:tc>
      </w:tr>
      <w:tr w:rsidR="004276BB" w:rsidRPr="003E065E" w14:paraId="629A447A" w14:textId="77777777" w:rsidTr="00A752E3">
        <w:trPr>
          <w:cantSplit/>
        </w:trPr>
        <w:tc>
          <w:tcPr>
            <w:tcW w:w="1497" w:type="dxa"/>
            <w:tcBorders>
              <w:top w:val="single" w:sz="4" w:space="0" w:color="auto"/>
              <w:left w:val="single" w:sz="4" w:space="0" w:color="auto"/>
              <w:right w:val="single" w:sz="4" w:space="0" w:color="auto"/>
            </w:tcBorders>
            <w:shd w:val="clear" w:color="auto" w:fill="auto"/>
          </w:tcPr>
          <w:p w14:paraId="10172C49"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Patients with rescue therapy</w:t>
            </w:r>
          </w:p>
        </w:tc>
        <w:tc>
          <w:tcPr>
            <w:tcW w:w="1275" w:type="dxa"/>
            <w:tcBorders>
              <w:top w:val="single" w:sz="4" w:space="0" w:color="auto"/>
              <w:left w:val="single" w:sz="4" w:space="0" w:color="auto"/>
            </w:tcBorders>
            <w:shd w:val="clear" w:color="auto" w:fill="auto"/>
          </w:tcPr>
          <w:p w14:paraId="640AB57F"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26 (61.90%)</w:t>
            </w:r>
          </w:p>
        </w:tc>
        <w:tc>
          <w:tcPr>
            <w:tcW w:w="1276" w:type="dxa"/>
            <w:tcBorders>
              <w:top w:val="single" w:sz="4" w:space="0" w:color="auto"/>
              <w:right w:val="single" w:sz="4" w:space="0" w:color="auto"/>
            </w:tcBorders>
            <w:shd w:val="clear" w:color="auto" w:fill="auto"/>
          </w:tcPr>
          <w:p w14:paraId="09E1C632"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18 (43.90%)</w:t>
            </w:r>
          </w:p>
        </w:tc>
        <w:tc>
          <w:tcPr>
            <w:tcW w:w="1276" w:type="dxa"/>
            <w:tcBorders>
              <w:top w:val="single" w:sz="4" w:space="0" w:color="auto"/>
              <w:left w:val="single" w:sz="4" w:space="0" w:color="auto"/>
            </w:tcBorders>
            <w:shd w:val="clear" w:color="auto" w:fill="auto"/>
          </w:tcPr>
          <w:p w14:paraId="357D25B6"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17 (53.13%)</w:t>
            </w:r>
          </w:p>
        </w:tc>
        <w:tc>
          <w:tcPr>
            <w:tcW w:w="1276" w:type="dxa"/>
            <w:tcBorders>
              <w:top w:val="single" w:sz="4" w:space="0" w:color="auto"/>
              <w:right w:val="single" w:sz="4" w:space="0" w:color="auto"/>
            </w:tcBorders>
            <w:shd w:val="clear" w:color="auto" w:fill="auto"/>
          </w:tcPr>
          <w:p w14:paraId="1D1C7DC7"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21 (33.33%)</w:t>
            </w:r>
          </w:p>
        </w:tc>
        <w:tc>
          <w:tcPr>
            <w:tcW w:w="1417" w:type="dxa"/>
            <w:tcBorders>
              <w:top w:val="single" w:sz="4" w:space="0" w:color="auto"/>
              <w:left w:val="single" w:sz="4" w:space="0" w:color="auto"/>
            </w:tcBorders>
            <w:shd w:val="clear" w:color="auto" w:fill="auto"/>
          </w:tcPr>
          <w:p w14:paraId="6911F9C8"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43 (58.11%)</w:t>
            </w:r>
          </w:p>
        </w:tc>
        <w:tc>
          <w:tcPr>
            <w:tcW w:w="1276" w:type="dxa"/>
            <w:tcBorders>
              <w:top w:val="single" w:sz="4" w:space="0" w:color="auto"/>
              <w:right w:val="single" w:sz="4" w:space="0" w:color="auto"/>
            </w:tcBorders>
            <w:shd w:val="clear" w:color="auto" w:fill="auto"/>
          </w:tcPr>
          <w:p w14:paraId="71A85A3A"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39 (37.50%)</w:t>
            </w:r>
          </w:p>
        </w:tc>
      </w:tr>
      <w:tr w:rsidR="004276BB" w:rsidRPr="003E065E" w14:paraId="6C124CC0" w14:textId="77777777" w:rsidTr="00A752E3">
        <w:trPr>
          <w:cantSplit/>
        </w:trPr>
        <w:tc>
          <w:tcPr>
            <w:tcW w:w="1497" w:type="dxa"/>
            <w:tcBorders>
              <w:top w:val="single" w:sz="4" w:space="0" w:color="auto"/>
              <w:left w:val="single" w:sz="4" w:space="0" w:color="auto"/>
              <w:right w:val="single" w:sz="4" w:space="0" w:color="auto"/>
            </w:tcBorders>
            <w:shd w:val="clear" w:color="auto" w:fill="auto"/>
          </w:tcPr>
          <w:p w14:paraId="5341DB41"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Risk reduction</w:t>
            </w:r>
          </w:p>
          <w:p w14:paraId="20852BC6"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(Odds Ratio)</w:t>
            </w:r>
          </w:p>
        </w:tc>
        <w:tc>
          <w:tcPr>
            <w:tcW w:w="2551" w:type="dxa"/>
            <w:gridSpan w:val="2"/>
            <w:tcBorders>
              <w:top w:val="single" w:sz="4" w:space="0" w:color="auto"/>
              <w:left w:val="single" w:sz="4" w:space="0" w:color="auto"/>
              <w:right w:val="single" w:sz="4" w:space="0" w:color="auto"/>
            </w:tcBorders>
            <w:shd w:val="clear" w:color="auto" w:fill="auto"/>
          </w:tcPr>
          <w:p w14:paraId="2FED18A2" w14:textId="1CFEA0C0"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51% (OR: 0.4915; 95%</w:t>
            </w:r>
            <w:r w:rsidR="00505340" w:rsidRPr="003E065E">
              <w:rPr>
                <w:rFonts w:ascii="Times New Roman" w:hAnsi="Times New Roman"/>
                <w:sz w:val="22"/>
                <w:szCs w:val="22"/>
              </w:rPr>
              <w:t xml:space="preserve"> </w:t>
            </w:r>
            <w:r w:rsidRPr="003E065E">
              <w:rPr>
                <w:rFonts w:ascii="Times New Roman" w:hAnsi="Times New Roman"/>
                <w:sz w:val="22"/>
                <w:szCs w:val="22"/>
              </w:rPr>
              <w:t>CI:</w:t>
            </w:r>
            <w:r w:rsidRPr="003E065E">
              <w:rPr>
                <w:rFonts w:ascii="Times New Roman" w:hAnsi="Times New Roman"/>
                <w:sz w:val="22"/>
                <w:szCs w:val="22"/>
              </w:rPr>
              <w:br/>
              <w:t xml:space="preserve"> 0.2065, 1.1698, p=0.1084)</w:t>
            </w:r>
          </w:p>
        </w:tc>
        <w:tc>
          <w:tcPr>
            <w:tcW w:w="2552" w:type="dxa"/>
            <w:gridSpan w:val="2"/>
            <w:tcBorders>
              <w:top w:val="single" w:sz="4" w:space="0" w:color="auto"/>
              <w:left w:val="single" w:sz="4" w:space="0" w:color="auto"/>
              <w:right w:val="single" w:sz="4" w:space="0" w:color="auto"/>
            </w:tcBorders>
            <w:shd w:val="clear" w:color="auto" w:fill="auto"/>
          </w:tcPr>
          <w:p w14:paraId="35D6C031" w14:textId="4296056C" w:rsidR="004276BB" w:rsidRPr="003E065E" w:rsidRDefault="004276BB" w:rsidP="00A752E3">
            <w:pPr>
              <w:pStyle w:val="TableCell10Center"/>
              <w:rPr>
                <w:rFonts w:ascii="Times New Roman" w:hAnsi="Times New Roman"/>
                <w:sz w:val="22"/>
                <w:szCs w:val="22"/>
                <w:vertAlign w:val="superscript"/>
              </w:rPr>
            </w:pPr>
            <w:r w:rsidRPr="003E065E">
              <w:rPr>
                <w:rFonts w:ascii="Times New Roman" w:hAnsi="Times New Roman"/>
                <w:sz w:val="22"/>
                <w:szCs w:val="22"/>
              </w:rPr>
              <w:t>55% (OR: 0.4509; 95%</w:t>
            </w:r>
            <w:r w:rsidR="00505340" w:rsidRPr="003E065E">
              <w:rPr>
                <w:rFonts w:ascii="Times New Roman" w:hAnsi="Times New Roman"/>
                <w:sz w:val="22"/>
                <w:szCs w:val="22"/>
              </w:rPr>
              <w:t xml:space="preserve"> </w:t>
            </w:r>
            <w:r w:rsidRPr="003E065E">
              <w:rPr>
                <w:rFonts w:ascii="Times New Roman" w:hAnsi="Times New Roman"/>
                <w:sz w:val="22"/>
                <w:szCs w:val="22"/>
              </w:rPr>
              <w:t>CI: 0.1916, 1.0612; p=0.0682)</w:t>
            </w:r>
          </w:p>
          <w:p w14:paraId="0A97DA44" w14:textId="77777777" w:rsidR="004276BB" w:rsidRPr="003E065E" w:rsidRDefault="004276BB" w:rsidP="00A752E3">
            <w:pPr>
              <w:pStyle w:val="TableCell10Center"/>
              <w:rPr>
                <w:rFonts w:ascii="Times New Roman" w:hAnsi="Times New Roman"/>
                <w:sz w:val="22"/>
                <w:szCs w:val="22"/>
              </w:rPr>
            </w:pPr>
          </w:p>
        </w:tc>
        <w:tc>
          <w:tcPr>
            <w:tcW w:w="2693" w:type="dxa"/>
            <w:gridSpan w:val="2"/>
            <w:tcBorders>
              <w:top w:val="single" w:sz="4" w:space="0" w:color="auto"/>
              <w:left w:val="single" w:sz="4" w:space="0" w:color="auto"/>
              <w:right w:val="single" w:sz="4" w:space="0" w:color="auto"/>
            </w:tcBorders>
            <w:shd w:val="clear" w:color="auto" w:fill="auto"/>
          </w:tcPr>
          <w:p w14:paraId="7E9D1A99" w14:textId="42E228CB"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54% (OR:</w:t>
            </w:r>
            <w:r w:rsidR="00505340" w:rsidRPr="003E065E">
              <w:rPr>
                <w:rFonts w:ascii="Times New Roman" w:hAnsi="Times New Roman"/>
                <w:sz w:val="22"/>
                <w:szCs w:val="22"/>
              </w:rPr>
              <w:t xml:space="preserve"> </w:t>
            </w:r>
            <w:r w:rsidRPr="003E065E">
              <w:rPr>
                <w:rFonts w:ascii="Times New Roman" w:hAnsi="Times New Roman"/>
                <w:sz w:val="22"/>
                <w:szCs w:val="22"/>
              </w:rPr>
              <w:t>0.4649; 95%</w:t>
            </w:r>
            <w:r w:rsidR="00505340" w:rsidRPr="003E065E">
              <w:rPr>
                <w:rFonts w:ascii="Times New Roman" w:hAnsi="Times New Roman"/>
                <w:sz w:val="22"/>
                <w:szCs w:val="22"/>
              </w:rPr>
              <w:t xml:space="preserve"> </w:t>
            </w:r>
            <w:r w:rsidRPr="003E065E">
              <w:rPr>
                <w:rFonts w:ascii="Times New Roman" w:hAnsi="Times New Roman"/>
                <w:sz w:val="22"/>
                <w:szCs w:val="22"/>
              </w:rPr>
              <w:t xml:space="preserve">CI: 0.2517, 0.8589; p=0.0145) </w:t>
            </w:r>
          </w:p>
        </w:tc>
      </w:tr>
      <w:tr w:rsidR="004276BB" w:rsidRPr="003E065E" w14:paraId="24440644" w14:textId="77777777" w:rsidTr="00A752E3">
        <w:trPr>
          <w:cantSplit/>
        </w:trPr>
        <w:tc>
          <w:tcPr>
            <w:tcW w:w="1497" w:type="dxa"/>
            <w:tcBorders>
              <w:top w:val="double" w:sz="4" w:space="0" w:color="auto"/>
              <w:left w:val="single" w:sz="4" w:space="0" w:color="auto"/>
              <w:bottom w:val="single" w:sz="4" w:space="0" w:color="auto"/>
              <w:right w:val="single" w:sz="4" w:space="0" w:color="auto"/>
            </w:tcBorders>
            <w:shd w:val="clear" w:color="auto" w:fill="auto"/>
          </w:tcPr>
          <w:p w14:paraId="1517549E" w14:textId="77777777" w:rsidR="004276BB" w:rsidRPr="003E065E" w:rsidRDefault="004276BB" w:rsidP="00A752E3">
            <w:pPr>
              <w:pStyle w:val="TableCell10Left"/>
              <w:rPr>
                <w:rFonts w:ascii="Times New Roman" w:hAnsi="Times New Roman"/>
                <w:b/>
                <w:sz w:val="22"/>
                <w:szCs w:val="22"/>
              </w:rPr>
            </w:pPr>
            <w:r w:rsidRPr="003E065E">
              <w:rPr>
                <w:rFonts w:ascii="Times New Roman" w:hAnsi="Times New Roman"/>
                <w:b/>
                <w:sz w:val="22"/>
                <w:szCs w:val="22"/>
              </w:rPr>
              <w:t>Subgroup: AQP4-IgG seropositive</w:t>
            </w:r>
          </w:p>
        </w:tc>
        <w:tc>
          <w:tcPr>
            <w:tcW w:w="1275" w:type="dxa"/>
            <w:tcBorders>
              <w:top w:val="double" w:sz="4" w:space="0" w:color="auto"/>
              <w:left w:val="single" w:sz="4" w:space="0" w:color="auto"/>
              <w:bottom w:val="single" w:sz="4" w:space="0" w:color="auto"/>
            </w:tcBorders>
            <w:shd w:val="clear" w:color="auto" w:fill="auto"/>
            <w:vAlign w:val="bottom"/>
          </w:tcPr>
          <w:p w14:paraId="3B15F668" w14:textId="19FA554B" w:rsidR="004276BB" w:rsidRPr="003E065E" w:rsidRDefault="001D5552" w:rsidP="00A752E3">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28</w:t>
            </w:r>
          </w:p>
        </w:tc>
        <w:tc>
          <w:tcPr>
            <w:tcW w:w="1276" w:type="dxa"/>
            <w:tcBorders>
              <w:top w:val="double" w:sz="4" w:space="0" w:color="auto"/>
              <w:bottom w:val="single" w:sz="4" w:space="0" w:color="auto"/>
              <w:right w:val="single" w:sz="4" w:space="0" w:color="auto"/>
            </w:tcBorders>
            <w:shd w:val="clear" w:color="auto" w:fill="auto"/>
            <w:vAlign w:val="bottom"/>
          </w:tcPr>
          <w:p w14:paraId="549AD8C9" w14:textId="7073D247" w:rsidR="004276BB" w:rsidRPr="003E065E" w:rsidRDefault="001D5552" w:rsidP="001D5552">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27</w:t>
            </w:r>
          </w:p>
        </w:tc>
        <w:tc>
          <w:tcPr>
            <w:tcW w:w="1276" w:type="dxa"/>
            <w:tcBorders>
              <w:top w:val="double" w:sz="4" w:space="0" w:color="auto"/>
              <w:left w:val="single" w:sz="4" w:space="0" w:color="auto"/>
              <w:bottom w:val="single" w:sz="4" w:space="0" w:color="auto"/>
            </w:tcBorders>
            <w:shd w:val="clear" w:color="auto" w:fill="auto"/>
            <w:vAlign w:val="bottom"/>
          </w:tcPr>
          <w:p w14:paraId="537B6B2A" w14:textId="4F5DBA37" w:rsidR="004276BB" w:rsidRPr="003E065E" w:rsidRDefault="001D5552" w:rsidP="00A752E3">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23</w:t>
            </w:r>
          </w:p>
        </w:tc>
        <w:tc>
          <w:tcPr>
            <w:tcW w:w="1276" w:type="dxa"/>
            <w:tcBorders>
              <w:top w:val="double" w:sz="4" w:space="0" w:color="auto"/>
              <w:bottom w:val="single" w:sz="4" w:space="0" w:color="auto"/>
              <w:right w:val="single" w:sz="4" w:space="0" w:color="auto"/>
            </w:tcBorders>
            <w:shd w:val="clear" w:color="auto" w:fill="auto"/>
            <w:vAlign w:val="bottom"/>
          </w:tcPr>
          <w:p w14:paraId="40CB036C" w14:textId="63B04C68" w:rsidR="004276BB" w:rsidRPr="003E065E" w:rsidRDefault="001D5552" w:rsidP="00A752E3">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41</w:t>
            </w:r>
          </w:p>
        </w:tc>
        <w:tc>
          <w:tcPr>
            <w:tcW w:w="1417" w:type="dxa"/>
            <w:tcBorders>
              <w:top w:val="double" w:sz="4" w:space="0" w:color="auto"/>
              <w:left w:val="single" w:sz="4" w:space="0" w:color="auto"/>
              <w:bottom w:val="single" w:sz="4" w:space="0" w:color="auto"/>
            </w:tcBorders>
            <w:shd w:val="clear" w:color="auto" w:fill="auto"/>
            <w:vAlign w:val="bottom"/>
          </w:tcPr>
          <w:p w14:paraId="474F25EB" w14:textId="4695BDF7" w:rsidR="004276BB" w:rsidRPr="003E065E" w:rsidRDefault="001D5552" w:rsidP="001D5552">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51</w:t>
            </w:r>
          </w:p>
        </w:tc>
        <w:tc>
          <w:tcPr>
            <w:tcW w:w="1276" w:type="dxa"/>
            <w:tcBorders>
              <w:top w:val="double" w:sz="4" w:space="0" w:color="auto"/>
              <w:bottom w:val="single" w:sz="4" w:space="0" w:color="auto"/>
              <w:right w:val="single" w:sz="4" w:space="0" w:color="auto"/>
            </w:tcBorders>
            <w:shd w:val="clear" w:color="auto" w:fill="auto"/>
            <w:vAlign w:val="bottom"/>
          </w:tcPr>
          <w:p w14:paraId="426E807D" w14:textId="7384C89B" w:rsidR="004276BB" w:rsidRPr="003E065E" w:rsidRDefault="001D5552" w:rsidP="00A752E3">
            <w:pPr>
              <w:pStyle w:val="TableCell10Center"/>
              <w:rPr>
                <w:rFonts w:ascii="Times New Roman" w:hAnsi="Times New Roman"/>
                <w:sz w:val="22"/>
                <w:szCs w:val="22"/>
              </w:rPr>
            </w:pPr>
            <w:r w:rsidRPr="003E065E">
              <w:rPr>
                <w:rFonts w:ascii="Times New Roman" w:hAnsi="Times New Roman"/>
                <w:b/>
                <w:sz w:val="22"/>
                <w:szCs w:val="22"/>
              </w:rPr>
              <w:t>n</w:t>
            </w:r>
            <w:r w:rsidR="004276BB" w:rsidRPr="003E065E">
              <w:rPr>
                <w:rFonts w:ascii="Times New Roman" w:hAnsi="Times New Roman"/>
                <w:b/>
                <w:sz w:val="22"/>
                <w:szCs w:val="22"/>
              </w:rPr>
              <w:sym w:font="Symbol" w:char="F03D"/>
            </w:r>
            <w:r w:rsidR="004276BB" w:rsidRPr="003E065E">
              <w:rPr>
                <w:rFonts w:ascii="Times New Roman" w:hAnsi="Times New Roman"/>
                <w:b/>
                <w:sz w:val="22"/>
                <w:szCs w:val="22"/>
              </w:rPr>
              <w:t>68</w:t>
            </w:r>
          </w:p>
        </w:tc>
      </w:tr>
      <w:tr w:rsidR="004276BB" w:rsidRPr="003E065E" w14:paraId="49769A1C" w14:textId="77777777" w:rsidTr="00A752E3">
        <w:trPr>
          <w:cantSplit/>
        </w:trPr>
        <w:tc>
          <w:tcPr>
            <w:tcW w:w="1497" w:type="dxa"/>
            <w:tcBorders>
              <w:top w:val="single" w:sz="4" w:space="0" w:color="auto"/>
              <w:left w:val="single" w:sz="4" w:space="0" w:color="auto"/>
              <w:bottom w:val="single" w:sz="4" w:space="0" w:color="auto"/>
              <w:right w:val="single" w:sz="4" w:space="0" w:color="auto"/>
            </w:tcBorders>
            <w:shd w:val="clear" w:color="auto" w:fill="auto"/>
          </w:tcPr>
          <w:p w14:paraId="60B123C9"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Patients with rescue therapy</w:t>
            </w:r>
          </w:p>
        </w:tc>
        <w:tc>
          <w:tcPr>
            <w:tcW w:w="1275" w:type="dxa"/>
            <w:tcBorders>
              <w:top w:val="single" w:sz="4" w:space="0" w:color="auto"/>
              <w:left w:val="single" w:sz="4" w:space="0" w:color="auto"/>
              <w:bottom w:val="single" w:sz="4" w:space="0" w:color="auto"/>
            </w:tcBorders>
            <w:shd w:val="clear" w:color="auto" w:fill="auto"/>
          </w:tcPr>
          <w:p w14:paraId="06B6C1FF"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18 (64.29%)</w:t>
            </w:r>
          </w:p>
        </w:tc>
        <w:tc>
          <w:tcPr>
            <w:tcW w:w="1276" w:type="dxa"/>
            <w:tcBorders>
              <w:top w:val="single" w:sz="4" w:space="0" w:color="auto"/>
              <w:bottom w:val="single" w:sz="4" w:space="0" w:color="auto"/>
              <w:right w:val="single" w:sz="4" w:space="0" w:color="auto"/>
            </w:tcBorders>
            <w:shd w:val="clear" w:color="auto" w:fill="auto"/>
          </w:tcPr>
          <w:p w14:paraId="2C3CFD4C"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11 (40.74%)</w:t>
            </w:r>
          </w:p>
        </w:tc>
        <w:tc>
          <w:tcPr>
            <w:tcW w:w="1276" w:type="dxa"/>
            <w:tcBorders>
              <w:top w:val="single" w:sz="4" w:space="0" w:color="auto"/>
              <w:left w:val="single" w:sz="4" w:space="0" w:color="auto"/>
              <w:bottom w:val="single" w:sz="4" w:space="0" w:color="auto"/>
            </w:tcBorders>
            <w:shd w:val="clear" w:color="auto" w:fill="auto"/>
          </w:tcPr>
          <w:p w14:paraId="3ACE2626"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14 (60.87%)</w:t>
            </w:r>
          </w:p>
        </w:tc>
        <w:tc>
          <w:tcPr>
            <w:tcW w:w="1276" w:type="dxa"/>
            <w:tcBorders>
              <w:top w:val="single" w:sz="4" w:space="0" w:color="auto"/>
              <w:bottom w:val="single" w:sz="4" w:space="0" w:color="auto"/>
              <w:right w:val="single" w:sz="4" w:space="0" w:color="auto"/>
            </w:tcBorders>
            <w:shd w:val="clear" w:color="auto" w:fill="auto"/>
          </w:tcPr>
          <w:p w14:paraId="119A5BF8"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13 (31.71%)</w:t>
            </w:r>
          </w:p>
        </w:tc>
        <w:tc>
          <w:tcPr>
            <w:tcW w:w="1417" w:type="dxa"/>
            <w:tcBorders>
              <w:top w:val="single" w:sz="4" w:space="0" w:color="auto"/>
              <w:left w:val="single" w:sz="4" w:space="0" w:color="auto"/>
              <w:bottom w:val="single" w:sz="4" w:space="0" w:color="auto"/>
            </w:tcBorders>
            <w:shd w:val="clear" w:color="auto" w:fill="auto"/>
          </w:tcPr>
          <w:p w14:paraId="69C6FC9A"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32 (62.75%)</w:t>
            </w:r>
          </w:p>
        </w:tc>
        <w:tc>
          <w:tcPr>
            <w:tcW w:w="1276" w:type="dxa"/>
            <w:tcBorders>
              <w:top w:val="single" w:sz="4" w:space="0" w:color="auto"/>
              <w:bottom w:val="single" w:sz="4" w:space="0" w:color="auto"/>
              <w:right w:val="single" w:sz="4" w:space="0" w:color="auto"/>
            </w:tcBorders>
            <w:shd w:val="clear" w:color="auto" w:fill="auto"/>
          </w:tcPr>
          <w:p w14:paraId="11D5930A"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24 (35.29%)</w:t>
            </w:r>
          </w:p>
        </w:tc>
      </w:tr>
      <w:tr w:rsidR="004276BB" w:rsidRPr="003E065E" w14:paraId="043975B5" w14:textId="77777777" w:rsidTr="00A752E3">
        <w:trPr>
          <w:cantSplit/>
        </w:trPr>
        <w:tc>
          <w:tcPr>
            <w:tcW w:w="1497" w:type="dxa"/>
            <w:tcBorders>
              <w:top w:val="single" w:sz="4" w:space="0" w:color="auto"/>
              <w:left w:val="single" w:sz="4" w:space="0" w:color="auto"/>
              <w:bottom w:val="single" w:sz="4" w:space="0" w:color="auto"/>
              <w:right w:val="single" w:sz="4" w:space="0" w:color="auto"/>
            </w:tcBorders>
            <w:shd w:val="clear" w:color="auto" w:fill="auto"/>
          </w:tcPr>
          <w:p w14:paraId="6602F5D7"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Risk Reduction</w:t>
            </w:r>
          </w:p>
          <w:p w14:paraId="1A9E38DC"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 xml:space="preserve">(Odds Ratio)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42F81E26" w14:textId="1F143A95"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61% (OR: 0.3930; 95%</w:t>
            </w:r>
            <w:r w:rsidR="00505340" w:rsidRPr="003E065E">
              <w:rPr>
                <w:rFonts w:ascii="Times New Roman" w:hAnsi="Times New Roman"/>
                <w:sz w:val="22"/>
                <w:szCs w:val="22"/>
              </w:rPr>
              <w:t xml:space="preserve"> </w:t>
            </w:r>
            <w:r w:rsidRPr="003E065E">
              <w:rPr>
                <w:rFonts w:ascii="Times New Roman" w:hAnsi="Times New Roman"/>
                <w:sz w:val="22"/>
                <w:szCs w:val="22"/>
              </w:rPr>
              <w:t>CI: 0.1343, 1.1502 p=0.0883)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43A9638F" w14:textId="7D42F1CB" w:rsidR="004276BB" w:rsidRPr="003E065E" w:rsidRDefault="004276BB" w:rsidP="00A752E3">
            <w:pPr>
              <w:pStyle w:val="TableCell10Center"/>
              <w:rPr>
                <w:rFonts w:ascii="Times New Roman" w:hAnsi="Times New Roman"/>
                <w:sz w:val="22"/>
                <w:szCs w:val="22"/>
                <w:vertAlign w:val="superscript"/>
              </w:rPr>
            </w:pPr>
            <w:r w:rsidRPr="003E065E">
              <w:rPr>
                <w:rFonts w:ascii="Times New Roman" w:hAnsi="Times New Roman"/>
                <w:sz w:val="22"/>
                <w:szCs w:val="22"/>
              </w:rPr>
              <w:t>74% (OR:</w:t>
            </w:r>
            <w:r w:rsidR="00505340" w:rsidRPr="003E065E">
              <w:rPr>
                <w:rFonts w:ascii="Times New Roman" w:hAnsi="Times New Roman"/>
                <w:sz w:val="22"/>
                <w:szCs w:val="22"/>
              </w:rPr>
              <w:t xml:space="preserve"> </w:t>
            </w:r>
            <w:r w:rsidRPr="003E065E">
              <w:rPr>
                <w:rFonts w:ascii="Times New Roman" w:hAnsi="Times New Roman"/>
                <w:sz w:val="22"/>
                <w:szCs w:val="22"/>
              </w:rPr>
              <w:t>0.2617; 95%</w:t>
            </w:r>
            <w:r w:rsidR="00505340" w:rsidRPr="003E065E">
              <w:rPr>
                <w:rFonts w:ascii="Times New Roman" w:hAnsi="Times New Roman"/>
                <w:sz w:val="22"/>
                <w:szCs w:val="22"/>
              </w:rPr>
              <w:t xml:space="preserve"> </w:t>
            </w:r>
            <w:r w:rsidRPr="003E065E">
              <w:rPr>
                <w:rFonts w:ascii="Times New Roman" w:hAnsi="Times New Roman"/>
                <w:sz w:val="22"/>
                <w:szCs w:val="22"/>
              </w:rPr>
              <w:t>CI: 0.0862, 0.7943; p=0.0180)</w:t>
            </w:r>
          </w:p>
          <w:p w14:paraId="545D30ED" w14:textId="77777777" w:rsidR="004276BB" w:rsidRPr="003E065E" w:rsidRDefault="004276BB" w:rsidP="00A752E3">
            <w:pPr>
              <w:pStyle w:val="TableCell10Center"/>
              <w:rPr>
                <w:rFonts w:ascii="Times New Roman" w:hAnsi="Times New Roman"/>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62AD4FC" w14:textId="5BE5B69E"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66% (OR:</w:t>
            </w:r>
            <w:r w:rsidR="00505340" w:rsidRPr="003E065E">
              <w:rPr>
                <w:rFonts w:ascii="Times New Roman" w:hAnsi="Times New Roman"/>
                <w:sz w:val="22"/>
                <w:szCs w:val="22"/>
              </w:rPr>
              <w:t xml:space="preserve"> </w:t>
            </w:r>
            <w:r w:rsidRPr="003E065E">
              <w:rPr>
                <w:rFonts w:ascii="Times New Roman" w:hAnsi="Times New Roman"/>
                <w:sz w:val="22"/>
                <w:szCs w:val="22"/>
              </w:rPr>
              <w:t>0.3430; 95%</w:t>
            </w:r>
            <w:r w:rsidR="00505340" w:rsidRPr="003E065E">
              <w:rPr>
                <w:rFonts w:ascii="Times New Roman" w:hAnsi="Times New Roman"/>
                <w:sz w:val="22"/>
                <w:szCs w:val="22"/>
              </w:rPr>
              <w:t xml:space="preserve"> </w:t>
            </w:r>
            <w:r w:rsidRPr="003E065E">
              <w:rPr>
                <w:rFonts w:ascii="Times New Roman" w:hAnsi="Times New Roman"/>
                <w:sz w:val="22"/>
                <w:szCs w:val="22"/>
              </w:rPr>
              <w:t xml:space="preserve">CI: 0.1614, 0.7289; p=0.0054) </w:t>
            </w:r>
          </w:p>
        </w:tc>
      </w:tr>
    </w:tbl>
    <w:p w14:paraId="24A5B105" w14:textId="0A292C95" w:rsidR="004276BB" w:rsidRPr="0099478A" w:rsidRDefault="004276BB" w:rsidP="0067155D">
      <w:pPr>
        <w:rPr>
          <w:b/>
          <w:color w:val="auto"/>
          <w:szCs w:val="22"/>
        </w:rPr>
      </w:pPr>
    </w:p>
    <w:p w14:paraId="0D0250D2" w14:textId="68E653AA" w:rsidR="004276BB" w:rsidRPr="0099478A" w:rsidRDefault="004276BB" w:rsidP="0067155D">
      <w:pPr>
        <w:rPr>
          <w:color w:val="auto"/>
        </w:rPr>
      </w:pPr>
      <w:r w:rsidRPr="0099478A">
        <w:rPr>
          <w:color w:val="auto"/>
        </w:rPr>
        <w:t xml:space="preserve">Treatment with </w:t>
      </w:r>
      <w:proofErr w:type="spellStart"/>
      <w:r w:rsidRPr="0099478A">
        <w:rPr>
          <w:color w:val="auto"/>
        </w:rPr>
        <w:t>Enspryng</w:t>
      </w:r>
      <w:proofErr w:type="spellEnd"/>
      <w:r w:rsidRPr="0099478A">
        <w:rPr>
          <w:color w:val="auto"/>
        </w:rPr>
        <w:t xml:space="preserve"> reduced the risk of experiencing a severe relapse defined as an EDSS increase </w:t>
      </w:r>
      <w:r w:rsidR="00A13D49" w:rsidRPr="0099478A">
        <w:rPr>
          <w:color w:val="auto"/>
        </w:rPr>
        <w:t>≥</w:t>
      </w:r>
      <w:r w:rsidRPr="0099478A">
        <w:rPr>
          <w:color w:val="auto"/>
        </w:rPr>
        <w:t xml:space="preserve">2 points from the previous EDSS assessment by 84% in study BN40898 and by 74% in study BN40900 compared to treatment with placebo (Table </w:t>
      </w:r>
      <w:r w:rsidR="00F937E6">
        <w:rPr>
          <w:color w:val="auto"/>
        </w:rPr>
        <w:t>9</w:t>
      </w:r>
      <w:r w:rsidRPr="0099478A">
        <w:rPr>
          <w:color w:val="auto"/>
        </w:rPr>
        <w:t>). The relative reduction in severe relapses in AQP4-IgG seropositive patients was 85% and 79% in studies BN40898 and BN40900, respectively.</w:t>
      </w:r>
    </w:p>
    <w:p w14:paraId="49587B3B" w14:textId="6B01DCCB" w:rsidR="004276BB" w:rsidRDefault="004276BB" w:rsidP="0067155D">
      <w:pPr>
        <w:rPr>
          <w:b/>
          <w:color w:val="auto"/>
          <w:szCs w:val="22"/>
        </w:rPr>
      </w:pPr>
    </w:p>
    <w:p w14:paraId="09BAD4AF" w14:textId="07ECF653" w:rsidR="004276BB" w:rsidRPr="0099478A" w:rsidRDefault="00A13D49" w:rsidP="0067155D">
      <w:pPr>
        <w:rPr>
          <w:b/>
          <w:color w:val="auto"/>
          <w:szCs w:val="22"/>
        </w:rPr>
      </w:pPr>
      <w:r w:rsidRPr="0099478A">
        <w:rPr>
          <w:b/>
          <w:color w:val="auto"/>
          <w:szCs w:val="22"/>
        </w:rPr>
        <w:t xml:space="preserve">Table </w:t>
      </w:r>
      <w:r w:rsidR="00F937E6">
        <w:rPr>
          <w:b/>
          <w:color w:val="auto"/>
          <w:szCs w:val="22"/>
        </w:rPr>
        <w:t>9</w:t>
      </w:r>
      <w:r w:rsidR="00B31326">
        <w:rPr>
          <w:b/>
          <w:color w:val="auto"/>
          <w:szCs w:val="22"/>
        </w:rPr>
        <w:t xml:space="preserve">: </w:t>
      </w:r>
      <w:r w:rsidRPr="0099478A">
        <w:rPr>
          <w:b/>
          <w:color w:val="auto"/>
          <w:szCs w:val="22"/>
        </w:rPr>
        <w:t>Time to f</w:t>
      </w:r>
      <w:r w:rsidR="004276BB" w:rsidRPr="0099478A">
        <w:rPr>
          <w:b/>
          <w:color w:val="auto"/>
          <w:szCs w:val="22"/>
        </w:rPr>
        <w:t xml:space="preserve">irst </w:t>
      </w:r>
      <w:r w:rsidRPr="0099478A">
        <w:rPr>
          <w:b/>
          <w:color w:val="auto"/>
          <w:szCs w:val="22"/>
        </w:rPr>
        <w:t>severe adjudicated r</w:t>
      </w:r>
      <w:r w:rsidR="004276BB" w:rsidRPr="0099478A">
        <w:rPr>
          <w:b/>
          <w:color w:val="auto"/>
          <w:szCs w:val="22"/>
        </w:rPr>
        <w:t xml:space="preserve">elapse during the </w:t>
      </w:r>
      <w:r w:rsidRPr="0099478A">
        <w:rPr>
          <w:b/>
          <w:color w:val="auto"/>
          <w:szCs w:val="22"/>
        </w:rPr>
        <w:t>d</w:t>
      </w:r>
      <w:r w:rsidR="004276BB" w:rsidRPr="0099478A">
        <w:rPr>
          <w:b/>
          <w:color w:val="auto"/>
          <w:szCs w:val="22"/>
        </w:rPr>
        <w:t>ouble-</w:t>
      </w:r>
      <w:r w:rsidRPr="0099478A">
        <w:rPr>
          <w:b/>
          <w:color w:val="auto"/>
          <w:szCs w:val="22"/>
        </w:rPr>
        <w:t>blind p</w:t>
      </w:r>
      <w:r w:rsidR="004276BB" w:rsidRPr="0099478A">
        <w:rPr>
          <w:b/>
          <w:color w:val="auto"/>
          <w:szCs w:val="22"/>
        </w:rPr>
        <w:t>eriod</w:t>
      </w:r>
    </w:p>
    <w:tbl>
      <w:tblPr>
        <w:tblW w:w="9293" w:type="dxa"/>
        <w:tblInd w:w="58" w:type="dxa"/>
        <w:tblLayout w:type="fixed"/>
        <w:tblCellMar>
          <w:left w:w="57" w:type="dxa"/>
          <w:right w:w="57" w:type="dxa"/>
        </w:tblCellMar>
        <w:tblLook w:val="0000" w:firstRow="0" w:lastRow="0" w:firstColumn="0" w:lastColumn="0" w:noHBand="0" w:noVBand="0"/>
      </w:tblPr>
      <w:tblGrid>
        <w:gridCol w:w="1922"/>
        <w:gridCol w:w="1075"/>
        <w:gridCol w:w="1335"/>
        <w:gridCol w:w="1005"/>
        <w:gridCol w:w="1404"/>
        <w:gridCol w:w="1134"/>
        <w:gridCol w:w="1418"/>
      </w:tblGrid>
      <w:tr w:rsidR="004276BB" w:rsidRPr="003E065E" w14:paraId="6EA3EC64" w14:textId="77777777" w:rsidTr="00A752E3">
        <w:trPr>
          <w:cantSplit/>
        </w:trPr>
        <w:tc>
          <w:tcPr>
            <w:tcW w:w="1922" w:type="dxa"/>
            <w:vMerge w:val="restart"/>
            <w:tcBorders>
              <w:top w:val="single" w:sz="4" w:space="0" w:color="auto"/>
              <w:left w:val="single" w:sz="4" w:space="0" w:color="auto"/>
              <w:right w:val="single" w:sz="4" w:space="0" w:color="auto"/>
            </w:tcBorders>
            <w:shd w:val="clear" w:color="auto" w:fill="auto"/>
            <w:vAlign w:val="bottom"/>
          </w:tcPr>
          <w:p w14:paraId="39E003E2" w14:textId="77777777" w:rsidR="004276BB" w:rsidRPr="003E065E" w:rsidRDefault="004276BB" w:rsidP="00A752E3">
            <w:pPr>
              <w:pStyle w:val="TableCell10Left"/>
              <w:rPr>
                <w:rFonts w:ascii="Times New Roman" w:hAnsi="Times New Roman"/>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01DA07"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BN40898</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163214"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BN40900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8C2CE9"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Pooled</w:t>
            </w:r>
          </w:p>
        </w:tc>
      </w:tr>
      <w:tr w:rsidR="003E065E" w:rsidRPr="003E065E" w14:paraId="2755E504" w14:textId="77777777" w:rsidTr="00505340">
        <w:trPr>
          <w:cantSplit/>
        </w:trPr>
        <w:tc>
          <w:tcPr>
            <w:tcW w:w="1922" w:type="dxa"/>
            <w:vMerge/>
            <w:tcBorders>
              <w:left w:val="single" w:sz="4" w:space="0" w:color="auto"/>
              <w:bottom w:val="single" w:sz="4" w:space="0" w:color="auto"/>
              <w:right w:val="single" w:sz="4" w:space="0" w:color="auto"/>
            </w:tcBorders>
            <w:shd w:val="clear" w:color="auto" w:fill="auto"/>
            <w:vAlign w:val="bottom"/>
          </w:tcPr>
          <w:p w14:paraId="21B09B03" w14:textId="77777777" w:rsidR="004276BB" w:rsidRPr="003E065E" w:rsidRDefault="004276BB" w:rsidP="00A752E3">
            <w:pPr>
              <w:pStyle w:val="TableCell10Left"/>
              <w:rPr>
                <w:rFonts w:ascii="Times New Roman" w:hAnsi="Times New Roman"/>
                <w:sz w:val="22"/>
                <w:szCs w:val="22"/>
              </w:rPr>
            </w:pPr>
          </w:p>
        </w:tc>
        <w:tc>
          <w:tcPr>
            <w:tcW w:w="1075" w:type="dxa"/>
            <w:tcBorders>
              <w:top w:val="single" w:sz="4" w:space="0" w:color="auto"/>
              <w:left w:val="single" w:sz="4" w:space="0" w:color="auto"/>
              <w:bottom w:val="single" w:sz="4" w:space="0" w:color="auto"/>
            </w:tcBorders>
            <w:shd w:val="clear" w:color="auto" w:fill="auto"/>
            <w:vAlign w:val="bottom"/>
          </w:tcPr>
          <w:p w14:paraId="0F377E1C"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Placebo</w:t>
            </w:r>
          </w:p>
        </w:tc>
        <w:tc>
          <w:tcPr>
            <w:tcW w:w="1335" w:type="dxa"/>
            <w:tcBorders>
              <w:top w:val="single" w:sz="4" w:space="0" w:color="auto"/>
              <w:bottom w:val="single" w:sz="4" w:space="0" w:color="auto"/>
              <w:right w:val="single" w:sz="4" w:space="0" w:color="auto"/>
            </w:tcBorders>
            <w:shd w:val="clear" w:color="auto" w:fill="auto"/>
            <w:vAlign w:val="bottom"/>
          </w:tcPr>
          <w:p w14:paraId="5EEDBE9A" w14:textId="77777777" w:rsidR="004276BB" w:rsidRPr="003E065E" w:rsidRDefault="004276BB" w:rsidP="00A752E3">
            <w:pPr>
              <w:pStyle w:val="TableCell10Center"/>
              <w:rPr>
                <w:rFonts w:ascii="Times New Roman" w:hAnsi="Times New Roman"/>
                <w:b/>
                <w:sz w:val="22"/>
                <w:szCs w:val="22"/>
              </w:rPr>
            </w:pPr>
            <w:proofErr w:type="spellStart"/>
            <w:r w:rsidRPr="003E065E">
              <w:rPr>
                <w:rFonts w:ascii="Times New Roman" w:hAnsi="Times New Roman"/>
                <w:b/>
                <w:sz w:val="22"/>
                <w:szCs w:val="22"/>
              </w:rPr>
              <w:t>Enspryng</w:t>
            </w:r>
            <w:proofErr w:type="spellEnd"/>
          </w:p>
        </w:tc>
        <w:tc>
          <w:tcPr>
            <w:tcW w:w="1005" w:type="dxa"/>
            <w:tcBorders>
              <w:top w:val="single" w:sz="4" w:space="0" w:color="auto"/>
              <w:left w:val="single" w:sz="4" w:space="0" w:color="auto"/>
              <w:bottom w:val="single" w:sz="4" w:space="0" w:color="auto"/>
            </w:tcBorders>
            <w:shd w:val="clear" w:color="auto" w:fill="auto"/>
            <w:vAlign w:val="bottom"/>
          </w:tcPr>
          <w:p w14:paraId="61B61041"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Placebo</w:t>
            </w:r>
          </w:p>
        </w:tc>
        <w:tc>
          <w:tcPr>
            <w:tcW w:w="1404" w:type="dxa"/>
            <w:tcBorders>
              <w:top w:val="single" w:sz="4" w:space="0" w:color="auto"/>
              <w:bottom w:val="single" w:sz="4" w:space="0" w:color="auto"/>
              <w:right w:val="single" w:sz="4" w:space="0" w:color="auto"/>
            </w:tcBorders>
            <w:shd w:val="clear" w:color="auto" w:fill="auto"/>
            <w:vAlign w:val="bottom"/>
          </w:tcPr>
          <w:p w14:paraId="209A868D" w14:textId="77777777" w:rsidR="004276BB" w:rsidRPr="003E065E" w:rsidRDefault="004276BB" w:rsidP="00A752E3">
            <w:pPr>
              <w:pStyle w:val="TableCell10Center"/>
              <w:rPr>
                <w:rFonts w:ascii="Times New Roman" w:hAnsi="Times New Roman"/>
                <w:b/>
                <w:sz w:val="22"/>
                <w:szCs w:val="22"/>
              </w:rPr>
            </w:pPr>
            <w:proofErr w:type="spellStart"/>
            <w:r w:rsidRPr="003E065E">
              <w:rPr>
                <w:rFonts w:ascii="Times New Roman" w:hAnsi="Times New Roman"/>
                <w:b/>
                <w:sz w:val="22"/>
                <w:szCs w:val="22"/>
              </w:rPr>
              <w:t>Enspryng</w:t>
            </w:r>
            <w:proofErr w:type="spellEnd"/>
          </w:p>
        </w:tc>
        <w:tc>
          <w:tcPr>
            <w:tcW w:w="1134" w:type="dxa"/>
            <w:tcBorders>
              <w:top w:val="single" w:sz="4" w:space="0" w:color="auto"/>
              <w:left w:val="single" w:sz="4" w:space="0" w:color="auto"/>
              <w:bottom w:val="single" w:sz="4" w:space="0" w:color="auto"/>
            </w:tcBorders>
            <w:shd w:val="clear" w:color="auto" w:fill="auto"/>
            <w:vAlign w:val="bottom"/>
          </w:tcPr>
          <w:p w14:paraId="63288924" w14:textId="77777777" w:rsidR="004276BB" w:rsidRPr="003E065E" w:rsidRDefault="004276BB" w:rsidP="00A752E3">
            <w:pPr>
              <w:pStyle w:val="TableCell10Center"/>
              <w:rPr>
                <w:rFonts w:ascii="Times New Roman" w:hAnsi="Times New Roman"/>
                <w:b/>
                <w:sz w:val="22"/>
                <w:szCs w:val="22"/>
              </w:rPr>
            </w:pPr>
            <w:r w:rsidRPr="003E065E">
              <w:rPr>
                <w:rFonts w:ascii="Times New Roman" w:hAnsi="Times New Roman"/>
                <w:b/>
                <w:sz w:val="22"/>
                <w:szCs w:val="22"/>
              </w:rPr>
              <w:t>Placebo</w:t>
            </w:r>
          </w:p>
        </w:tc>
        <w:tc>
          <w:tcPr>
            <w:tcW w:w="1418" w:type="dxa"/>
            <w:tcBorders>
              <w:top w:val="single" w:sz="4" w:space="0" w:color="auto"/>
              <w:bottom w:val="single" w:sz="4" w:space="0" w:color="auto"/>
              <w:right w:val="single" w:sz="4" w:space="0" w:color="auto"/>
            </w:tcBorders>
            <w:shd w:val="clear" w:color="auto" w:fill="auto"/>
            <w:vAlign w:val="bottom"/>
          </w:tcPr>
          <w:p w14:paraId="25221394" w14:textId="77777777" w:rsidR="004276BB" w:rsidRPr="003E065E" w:rsidRDefault="004276BB" w:rsidP="00A752E3">
            <w:pPr>
              <w:pStyle w:val="TableCell10Center"/>
              <w:rPr>
                <w:rFonts w:ascii="Times New Roman" w:hAnsi="Times New Roman"/>
                <w:b/>
                <w:sz w:val="22"/>
                <w:szCs w:val="22"/>
              </w:rPr>
            </w:pPr>
            <w:proofErr w:type="spellStart"/>
            <w:r w:rsidRPr="003E065E">
              <w:rPr>
                <w:rFonts w:ascii="Times New Roman" w:hAnsi="Times New Roman"/>
                <w:b/>
                <w:sz w:val="22"/>
                <w:szCs w:val="22"/>
              </w:rPr>
              <w:t>Enspryng</w:t>
            </w:r>
            <w:proofErr w:type="spellEnd"/>
          </w:p>
        </w:tc>
      </w:tr>
      <w:tr w:rsidR="003E065E" w:rsidRPr="003E065E" w14:paraId="32C2A182" w14:textId="77777777" w:rsidTr="00505340">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253F9289" w14:textId="77777777" w:rsidR="004276BB" w:rsidRPr="003E065E" w:rsidRDefault="004276BB" w:rsidP="00A752E3">
            <w:pPr>
              <w:pStyle w:val="TableCell10Left"/>
              <w:rPr>
                <w:rFonts w:ascii="Times New Roman" w:hAnsi="Times New Roman"/>
                <w:b/>
                <w:sz w:val="22"/>
                <w:szCs w:val="22"/>
              </w:rPr>
            </w:pPr>
            <w:r w:rsidRPr="003E065E">
              <w:rPr>
                <w:rFonts w:ascii="Times New Roman" w:hAnsi="Times New Roman"/>
                <w:b/>
                <w:sz w:val="22"/>
                <w:szCs w:val="22"/>
              </w:rPr>
              <w:t xml:space="preserve">ITT </w:t>
            </w:r>
          </w:p>
          <w:p w14:paraId="12E56192" w14:textId="77777777" w:rsidR="004276BB" w:rsidRPr="003E065E" w:rsidRDefault="004276BB" w:rsidP="00A752E3">
            <w:pPr>
              <w:pStyle w:val="TableCell10Left"/>
              <w:rPr>
                <w:rFonts w:ascii="Times New Roman" w:hAnsi="Times New Roman"/>
                <w:b/>
                <w:sz w:val="22"/>
                <w:szCs w:val="22"/>
              </w:rPr>
            </w:pPr>
          </w:p>
        </w:tc>
        <w:tc>
          <w:tcPr>
            <w:tcW w:w="1075" w:type="dxa"/>
            <w:tcBorders>
              <w:top w:val="single" w:sz="4" w:space="0" w:color="auto"/>
              <w:left w:val="single" w:sz="4" w:space="0" w:color="auto"/>
              <w:bottom w:val="single" w:sz="4" w:space="0" w:color="auto"/>
            </w:tcBorders>
            <w:shd w:val="clear" w:color="auto" w:fill="auto"/>
          </w:tcPr>
          <w:p w14:paraId="04DCE2AD" w14:textId="76CD0DC8"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=41</w:t>
            </w:r>
          </w:p>
        </w:tc>
        <w:tc>
          <w:tcPr>
            <w:tcW w:w="1335" w:type="dxa"/>
            <w:tcBorders>
              <w:top w:val="single" w:sz="4" w:space="0" w:color="auto"/>
              <w:bottom w:val="single" w:sz="4" w:space="0" w:color="auto"/>
              <w:right w:val="single" w:sz="4" w:space="0" w:color="auto"/>
            </w:tcBorders>
            <w:shd w:val="clear" w:color="auto" w:fill="auto"/>
          </w:tcPr>
          <w:p w14:paraId="28F0C903" w14:textId="06784F8B"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=41</w:t>
            </w:r>
          </w:p>
        </w:tc>
        <w:tc>
          <w:tcPr>
            <w:tcW w:w="1005" w:type="dxa"/>
            <w:tcBorders>
              <w:top w:val="single" w:sz="4" w:space="0" w:color="auto"/>
              <w:left w:val="single" w:sz="4" w:space="0" w:color="auto"/>
              <w:bottom w:val="single" w:sz="4" w:space="0" w:color="auto"/>
            </w:tcBorders>
            <w:shd w:val="clear" w:color="auto" w:fill="auto"/>
          </w:tcPr>
          <w:p w14:paraId="385C3A7A" w14:textId="47B799B1"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=32</w:t>
            </w:r>
          </w:p>
        </w:tc>
        <w:tc>
          <w:tcPr>
            <w:tcW w:w="1404" w:type="dxa"/>
            <w:tcBorders>
              <w:top w:val="single" w:sz="4" w:space="0" w:color="auto"/>
              <w:bottom w:val="single" w:sz="4" w:space="0" w:color="auto"/>
              <w:right w:val="single" w:sz="4" w:space="0" w:color="auto"/>
            </w:tcBorders>
            <w:shd w:val="clear" w:color="auto" w:fill="auto"/>
          </w:tcPr>
          <w:p w14:paraId="453C319D" w14:textId="507A71BE"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=63</w:t>
            </w:r>
          </w:p>
        </w:tc>
        <w:tc>
          <w:tcPr>
            <w:tcW w:w="1134" w:type="dxa"/>
            <w:tcBorders>
              <w:top w:val="single" w:sz="4" w:space="0" w:color="auto"/>
              <w:left w:val="single" w:sz="4" w:space="0" w:color="auto"/>
              <w:bottom w:val="single" w:sz="4" w:space="0" w:color="auto"/>
            </w:tcBorders>
            <w:shd w:val="clear" w:color="auto" w:fill="auto"/>
          </w:tcPr>
          <w:p w14:paraId="31481EF7" w14:textId="03422C8D"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=73</w:t>
            </w:r>
          </w:p>
        </w:tc>
        <w:tc>
          <w:tcPr>
            <w:tcW w:w="1418" w:type="dxa"/>
            <w:tcBorders>
              <w:top w:val="single" w:sz="4" w:space="0" w:color="auto"/>
              <w:bottom w:val="single" w:sz="4" w:space="0" w:color="auto"/>
              <w:right w:val="single" w:sz="4" w:space="0" w:color="auto"/>
            </w:tcBorders>
            <w:shd w:val="clear" w:color="auto" w:fill="auto"/>
          </w:tcPr>
          <w:p w14:paraId="36D8B5C9" w14:textId="39D5CF24"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=104</w:t>
            </w:r>
          </w:p>
        </w:tc>
      </w:tr>
      <w:tr w:rsidR="003E065E" w:rsidRPr="003E065E" w14:paraId="018062DD" w14:textId="77777777" w:rsidTr="00505340">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6FBAC89F"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Patients with an event</w:t>
            </w:r>
          </w:p>
        </w:tc>
        <w:tc>
          <w:tcPr>
            <w:tcW w:w="1075" w:type="dxa"/>
            <w:tcBorders>
              <w:top w:val="single" w:sz="4" w:space="0" w:color="auto"/>
              <w:left w:val="single" w:sz="4" w:space="0" w:color="auto"/>
              <w:bottom w:val="single" w:sz="4" w:space="0" w:color="auto"/>
            </w:tcBorders>
            <w:shd w:val="clear" w:color="auto" w:fill="auto"/>
          </w:tcPr>
          <w:p w14:paraId="6BAF7824"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6 (14.6%)</w:t>
            </w:r>
          </w:p>
        </w:tc>
        <w:tc>
          <w:tcPr>
            <w:tcW w:w="1335" w:type="dxa"/>
            <w:tcBorders>
              <w:top w:val="single" w:sz="4" w:space="0" w:color="auto"/>
              <w:bottom w:val="single" w:sz="4" w:space="0" w:color="auto"/>
              <w:right w:val="single" w:sz="4" w:space="0" w:color="auto"/>
            </w:tcBorders>
            <w:shd w:val="clear" w:color="auto" w:fill="auto"/>
          </w:tcPr>
          <w:p w14:paraId="45A0EAFF"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 (2.4%)</w:t>
            </w:r>
          </w:p>
        </w:tc>
        <w:tc>
          <w:tcPr>
            <w:tcW w:w="1005" w:type="dxa"/>
            <w:tcBorders>
              <w:top w:val="single" w:sz="4" w:space="0" w:color="auto"/>
              <w:left w:val="single" w:sz="4" w:space="0" w:color="auto"/>
              <w:bottom w:val="single" w:sz="4" w:space="0" w:color="auto"/>
            </w:tcBorders>
            <w:shd w:val="clear" w:color="auto" w:fill="auto"/>
          </w:tcPr>
          <w:p w14:paraId="49642475"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6 (18.8%)</w:t>
            </w:r>
          </w:p>
        </w:tc>
        <w:tc>
          <w:tcPr>
            <w:tcW w:w="1404" w:type="dxa"/>
            <w:tcBorders>
              <w:top w:val="single" w:sz="4" w:space="0" w:color="auto"/>
              <w:bottom w:val="single" w:sz="4" w:space="0" w:color="auto"/>
              <w:right w:val="single" w:sz="4" w:space="0" w:color="auto"/>
            </w:tcBorders>
            <w:shd w:val="clear" w:color="auto" w:fill="auto"/>
          </w:tcPr>
          <w:p w14:paraId="21D784F5" w14:textId="27C4E849"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4 (6.3%)</w:t>
            </w:r>
          </w:p>
        </w:tc>
        <w:tc>
          <w:tcPr>
            <w:tcW w:w="1134" w:type="dxa"/>
            <w:tcBorders>
              <w:top w:val="single" w:sz="4" w:space="0" w:color="auto"/>
              <w:left w:val="single" w:sz="4" w:space="0" w:color="auto"/>
              <w:bottom w:val="single" w:sz="4" w:space="0" w:color="auto"/>
            </w:tcBorders>
            <w:shd w:val="clear" w:color="auto" w:fill="auto"/>
          </w:tcPr>
          <w:p w14:paraId="6414666C"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12 (16.4%)</w:t>
            </w:r>
          </w:p>
        </w:tc>
        <w:tc>
          <w:tcPr>
            <w:tcW w:w="1418" w:type="dxa"/>
            <w:tcBorders>
              <w:top w:val="single" w:sz="4" w:space="0" w:color="auto"/>
              <w:bottom w:val="single" w:sz="4" w:space="0" w:color="auto"/>
              <w:right w:val="single" w:sz="4" w:space="0" w:color="auto"/>
            </w:tcBorders>
            <w:shd w:val="clear" w:color="auto" w:fill="auto"/>
          </w:tcPr>
          <w:p w14:paraId="7DAA18A5" w14:textId="1712B3C0"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5 (4.8%)</w:t>
            </w:r>
          </w:p>
        </w:tc>
      </w:tr>
      <w:tr w:rsidR="00505340" w:rsidRPr="003E065E" w14:paraId="1C97AD54" w14:textId="77777777" w:rsidTr="00A752E3">
        <w:trPr>
          <w:cantSplit/>
        </w:trPr>
        <w:tc>
          <w:tcPr>
            <w:tcW w:w="1922" w:type="dxa"/>
            <w:tcBorders>
              <w:top w:val="single" w:sz="4" w:space="0" w:color="auto"/>
              <w:left w:val="single" w:sz="4" w:space="0" w:color="auto"/>
              <w:bottom w:val="double" w:sz="4" w:space="0" w:color="auto"/>
              <w:right w:val="single" w:sz="4" w:space="0" w:color="auto"/>
            </w:tcBorders>
            <w:shd w:val="clear" w:color="auto" w:fill="auto"/>
          </w:tcPr>
          <w:p w14:paraId="355D6192"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Risk reduction</w:t>
            </w:r>
          </w:p>
        </w:tc>
        <w:tc>
          <w:tcPr>
            <w:tcW w:w="2410" w:type="dxa"/>
            <w:gridSpan w:val="2"/>
            <w:tcBorders>
              <w:top w:val="single" w:sz="4" w:space="0" w:color="auto"/>
              <w:left w:val="single" w:sz="4" w:space="0" w:color="auto"/>
              <w:bottom w:val="double" w:sz="4" w:space="0" w:color="auto"/>
              <w:right w:val="single" w:sz="4" w:space="0" w:color="auto"/>
            </w:tcBorders>
            <w:shd w:val="clear" w:color="auto" w:fill="auto"/>
          </w:tcPr>
          <w:p w14:paraId="5A74FB1A" w14:textId="7374FEA5" w:rsidR="004276BB" w:rsidRPr="003E065E" w:rsidRDefault="004276BB" w:rsidP="00A752E3">
            <w:pPr>
              <w:pStyle w:val="TableCell10Center"/>
              <w:rPr>
                <w:rFonts w:ascii="Times New Roman" w:hAnsi="Times New Roman"/>
                <w:sz w:val="22"/>
                <w:szCs w:val="22"/>
                <w:lang w:val="fr-CH"/>
              </w:rPr>
            </w:pPr>
            <w:r w:rsidRPr="003E065E">
              <w:rPr>
                <w:rFonts w:ascii="Times New Roman" w:eastAsia="Times New Roman" w:hAnsi="Times New Roman"/>
                <w:sz w:val="22"/>
                <w:szCs w:val="22"/>
                <w:lang w:val="fr-CH"/>
              </w:rPr>
              <w:t>84% (</w:t>
            </w:r>
            <w:proofErr w:type="gramStart"/>
            <w:r w:rsidRPr="003E065E">
              <w:rPr>
                <w:rFonts w:ascii="Times New Roman" w:eastAsia="Times New Roman" w:hAnsi="Times New Roman"/>
                <w:sz w:val="22"/>
                <w:szCs w:val="22"/>
                <w:lang w:val="fr-CH"/>
              </w:rPr>
              <w:t>HR:</w:t>
            </w:r>
            <w:proofErr w:type="gramEnd"/>
            <w:r w:rsidRPr="003E065E">
              <w:rPr>
                <w:rFonts w:ascii="Times New Roman" w:eastAsia="Times New Roman" w:hAnsi="Times New Roman"/>
                <w:sz w:val="22"/>
                <w:szCs w:val="22"/>
                <w:lang w:val="fr-CH"/>
              </w:rPr>
              <w:t xml:space="preserve"> </w:t>
            </w:r>
            <w:r w:rsidR="00505340" w:rsidRPr="003E065E">
              <w:rPr>
                <w:rFonts w:ascii="Times New Roman" w:hAnsi="Times New Roman"/>
                <w:sz w:val="22"/>
                <w:szCs w:val="22"/>
                <w:lang w:val="fr-CH"/>
              </w:rPr>
              <w:t>0.16; 95% CI</w:t>
            </w:r>
            <w:r w:rsidRPr="003E065E">
              <w:rPr>
                <w:rFonts w:ascii="Times New Roman" w:hAnsi="Times New Roman"/>
                <w:sz w:val="22"/>
                <w:szCs w:val="22"/>
                <w:lang w:val="fr-CH"/>
              </w:rPr>
              <w:t>:</w:t>
            </w:r>
            <w:r w:rsidR="00505340" w:rsidRPr="003E065E">
              <w:rPr>
                <w:rFonts w:ascii="Times New Roman" w:hAnsi="Times New Roman"/>
                <w:sz w:val="22"/>
                <w:szCs w:val="22"/>
                <w:lang w:val="fr-CH"/>
              </w:rPr>
              <w:t xml:space="preserve"> </w:t>
            </w:r>
            <w:r w:rsidRPr="003E065E">
              <w:rPr>
                <w:rFonts w:ascii="Times New Roman" w:hAnsi="Times New Roman"/>
                <w:sz w:val="22"/>
                <w:szCs w:val="22"/>
                <w:lang w:val="fr-CH"/>
              </w:rPr>
              <w:t>0.02, 1.33; p=</w:t>
            </w:r>
            <w:r w:rsidRPr="003E065E">
              <w:rPr>
                <w:rFonts w:ascii="Times New Roman" w:hAnsi="Times New Roman"/>
                <w:sz w:val="22"/>
                <w:szCs w:val="22"/>
              </w:rPr>
              <w:t>0.0522</w:t>
            </w:r>
            <w:r w:rsidRPr="003E065E">
              <w:rPr>
                <w:rFonts w:ascii="Times New Roman" w:hAnsi="Times New Roman"/>
                <w:sz w:val="22"/>
                <w:szCs w:val="22"/>
                <w:lang w:val="fr-CH"/>
              </w:rPr>
              <w:t>)</w:t>
            </w:r>
          </w:p>
          <w:p w14:paraId="54D1EA5A" w14:textId="77777777" w:rsidR="004276BB" w:rsidRPr="003E065E" w:rsidRDefault="004276BB" w:rsidP="00A752E3">
            <w:pPr>
              <w:pStyle w:val="TableCell10Center"/>
              <w:rPr>
                <w:rFonts w:ascii="Times New Roman" w:hAnsi="Times New Roman"/>
                <w:sz w:val="22"/>
                <w:szCs w:val="22"/>
                <w:lang w:val="fr-CH"/>
              </w:rPr>
            </w:pPr>
          </w:p>
        </w:tc>
        <w:tc>
          <w:tcPr>
            <w:tcW w:w="2409" w:type="dxa"/>
            <w:gridSpan w:val="2"/>
            <w:tcBorders>
              <w:top w:val="single" w:sz="4" w:space="0" w:color="auto"/>
              <w:left w:val="single" w:sz="4" w:space="0" w:color="auto"/>
              <w:bottom w:val="double" w:sz="4" w:space="0" w:color="auto"/>
              <w:right w:val="single" w:sz="4" w:space="0" w:color="auto"/>
            </w:tcBorders>
            <w:shd w:val="clear" w:color="auto" w:fill="auto"/>
          </w:tcPr>
          <w:p w14:paraId="14184F05" w14:textId="19E0E81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74% (HR: 0.26; 95% CI:</w:t>
            </w:r>
            <w:r w:rsidR="00505340" w:rsidRPr="003E065E">
              <w:rPr>
                <w:rFonts w:ascii="Times New Roman" w:hAnsi="Times New Roman"/>
                <w:sz w:val="22"/>
                <w:szCs w:val="22"/>
              </w:rPr>
              <w:t xml:space="preserve"> </w:t>
            </w:r>
            <w:r w:rsidRPr="003E065E">
              <w:rPr>
                <w:rFonts w:ascii="Times New Roman" w:hAnsi="Times New Roman"/>
                <w:sz w:val="22"/>
                <w:szCs w:val="22"/>
              </w:rPr>
              <w:t>0.07, 0.93, p=0.0265)</w:t>
            </w:r>
          </w:p>
        </w:tc>
        <w:tc>
          <w:tcPr>
            <w:tcW w:w="2552" w:type="dxa"/>
            <w:gridSpan w:val="2"/>
            <w:tcBorders>
              <w:top w:val="single" w:sz="4" w:space="0" w:color="auto"/>
              <w:left w:val="single" w:sz="4" w:space="0" w:color="auto"/>
              <w:bottom w:val="double" w:sz="4" w:space="0" w:color="auto"/>
              <w:right w:val="single" w:sz="4" w:space="0" w:color="auto"/>
            </w:tcBorders>
            <w:shd w:val="clear" w:color="auto" w:fill="auto"/>
          </w:tcPr>
          <w:p w14:paraId="039C41DF" w14:textId="16C03275" w:rsidR="004276BB" w:rsidRPr="003E065E" w:rsidRDefault="00505340" w:rsidP="00A752E3">
            <w:pPr>
              <w:pStyle w:val="TableCell10Center"/>
              <w:rPr>
                <w:rFonts w:ascii="Times New Roman" w:hAnsi="Times New Roman"/>
                <w:sz w:val="22"/>
                <w:szCs w:val="22"/>
              </w:rPr>
            </w:pPr>
            <w:r w:rsidRPr="003E065E">
              <w:rPr>
                <w:rFonts w:ascii="Times New Roman" w:hAnsi="Times New Roman"/>
                <w:sz w:val="22"/>
                <w:szCs w:val="22"/>
              </w:rPr>
              <w:t xml:space="preserve">79% (HR: 0.21, 95% CI: </w:t>
            </w:r>
            <w:r w:rsidR="004276BB" w:rsidRPr="003E065E">
              <w:rPr>
                <w:rFonts w:ascii="Times New Roman" w:hAnsi="Times New Roman"/>
                <w:sz w:val="22"/>
                <w:szCs w:val="22"/>
              </w:rPr>
              <w:t>0.07, 0.61, p=0.0018)</w:t>
            </w:r>
          </w:p>
        </w:tc>
      </w:tr>
      <w:tr w:rsidR="001D5552" w:rsidRPr="003E065E" w14:paraId="44A2E03B" w14:textId="77777777" w:rsidTr="00B31326">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71BDFC13" w14:textId="77777777" w:rsidR="004276BB" w:rsidRPr="003E065E" w:rsidRDefault="004276BB" w:rsidP="00A752E3">
            <w:pPr>
              <w:pStyle w:val="TableCell10Left"/>
              <w:rPr>
                <w:rFonts w:ascii="Times New Roman" w:hAnsi="Times New Roman"/>
                <w:b/>
                <w:sz w:val="22"/>
                <w:szCs w:val="22"/>
              </w:rPr>
            </w:pPr>
            <w:r w:rsidRPr="003E065E">
              <w:rPr>
                <w:rFonts w:ascii="Times New Roman" w:hAnsi="Times New Roman"/>
                <w:b/>
                <w:sz w:val="22"/>
                <w:szCs w:val="22"/>
              </w:rPr>
              <w:t xml:space="preserve">Subgroup: </w:t>
            </w:r>
          </w:p>
          <w:p w14:paraId="207C512D" w14:textId="77777777" w:rsidR="004276BB" w:rsidRPr="003E065E" w:rsidRDefault="004276BB" w:rsidP="00A752E3">
            <w:pPr>
              <w:pStyle w:val="TableCell10Left"/>
              <w:rPr>
                <w:rFonts w:ascii="Times New Roman" w:hAnsi="Times New Roman"/>
                <w:b/>
                <w:sz w:val="22"/>
                <w:szCs w:val="22"/>
              </w:rPr>
            </w:pPr>
            <w:r w:rsidRPr="003E065E">
              <w:rPr>
                <w:rFonts w:ascii="Times New Roman" w:hAnsi="Times New Roman"/>
                <w:b/>
                <w:sz w:val="22"/>
                <w:szCs w:val="22"/>
              </w:rPr>
              <w:t>AQP4-IgG seropositive</w:t>
            </w:r>
          </w:p>
        </w:tc>
        <w:tc>
          <w:tcPr>
            <w:tcW w:w="1075" w:type="dxa"/>
            <w:tcBorders>
              <w:top w:val="single" w:sz="4" w:space="0" w:color="auto"/>
              <w:left w:val="single" w:sz="4" w:space="0" w:color="auto"/>
              <w:bottom w:val="single" w:sz="4" w:space="0" w:color="auto"/>
            </w:tcBorders>
            <w:shd w:val="clear" w:color="auto" w:fill="auto"/>
          </w:tcPr>
          <w:p w14:paraId="5C42F0F4" w14:textId="05CBB5FC"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=27</w:t>
            </w:r>
          </w:p>
        </w:tc>
        <w:tc>
          <w:tcPr>
            <w:tcW w:w="1335" w:type="dxa"/>
            <w:tcBorders>
              <w:top w:val="single" w:sz="4" w:space="0" w:color="auto"/>
              <w:bottom w:val="single" w:sz="4" w:space="0" w:color="auto"/>
              <w:right w:val="single" w:sz="4" w:space="0" w:color="auto"/>
            </w:tcBorders>
            <w:shd w:val="clear" w:color="auto" w:fill="auto"/>
          </w:tcPr>
          <w:p w14:paraId="0F22B708" w14:textId="492DB4D1"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=27</w:t>
            </w:r>
          </w:p>
        </w:tc>
        <w:tc>
          <w:tcPr>
            <w:tcW w:w="1005" w:type="dxa"/>
            <w:tcBorders>
              <w:top w:val="single" w:sz="4" w:space="0" w:color="auto"/>
              <w:left w:val="single" w:sz="4" w:space="0" w:color="auto"/>
              <w:bottom w:val="single" w:sz="4" w:space="0" w:color="auto"/>
            </w:tcBorders>
            <w:shd w:val="clear" w:color="auto" w:fill="auto"/>
          </w:tcPr>
          <w:p w14:paraId="41D46115" w14:textId="587E3BEA"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=23</w:t>
            </w:r>
          </w:p>
        </w:tc>
        <w:tc>
          <w:tcPr>
            <w:tcW w:w="1404" w:type="dxa"/>
            <w:tcBorders>
              <w:top w:val="single" w:sz="4" w:space="0" w:color="auto"/>
              <w:bottom w:val="single" w:sz="4" w:space="0" w:color="auto"/>
              <w:right w:val="single" w:sz="4" w:space="0" w:color="auto"/>
            </w:tcBorders>
            <w:shd w:val="clear" w:color="auto" w:fill="auto"/>
          </w:tcPr>
          <w:p w14:paraId="0B9D3ECB" w14:textId="24DBD110"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=41</w:t>
            </w:r>
          </w:p>
        </w:tc>
        <w:tc>
          <w:tcPr>
            <w:tcW w:w="1134" w:type="dxa"/>
            <w:tcBorders>
              <w:top w:val="single" w:sz="4" w:space="0" w:color="auto"/>
              <w:left w:val="single" w:sz="4" w:space="0" w:color="auto"/>
              <w:bottom w:val="single" w:sz="4" w:space="0" w:color="auto"/>
            </w:tcBorders>
            <w:shd w:val="clear" w:color="auto" w:fill="auto"/>
          </w:tcPr>
          <w:p w14:paraId="2A7EB542" w14:textId="5989181C" w:rsidR="004276BB" w:rsidRPr="003E065E" w:rsidRDefault="001D5552" w:rsidP="00A752E3">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=50</w:t>
            </w:r>
          </w:p>
        </w:tc>
        <w:tc>
          <w:tcPr>
            <w:tcW w:w="1418" w:type="dxa"/>
            <w:tcBorders>
              <w:top w:val="single" w:sz="4" w:space="0" w:color="auto"/>
              <w:bottom w:val="single" w:sz="4" w:space="0" w:color="auto"/>
              <w:right w:val="single" w:sz="4" w:space="0" w:color="auto"/>
            </w:tcBorders>
            <w:shd w:val="clear" w:color="auto" w:fill="auto"/>
          </w:tcPr>
          <w:p w14:paraId="59FC71B4" w14:textId="100C0CBF" w:rsidR="004276BB" w:rsidRPr="003E065E" w:rsidRDefault="001D5552" w:rsidP="001D5552">
            <w:pPr>
              <w:pStyle w:val="TableCell10Center"/>
              <w:rPr>
                <w:rFonts w:ascii="Times New Roman" w:hAnsi="Times New Roman"/>
                <w:b/>
                <w:sz w:val="22"/>
                <w:szCs w:val="22"/>
              </w:rPr>
            </w:pPr>
            <w:r w:rsidRPr="003E065E">
              <w:rPr>
                <w:rFonts w:ascii="Times New Roman" w:hAnsi="Times New Roman"/>
                <w:b/>
                <w:sz w:val="22"/>
                <w:szCs w:val="22"/>
              </w:rPr>
              <w:t>n</w:t>
            </w:r>
            <w:r w:rsidR="004276BB" w:rsidRPr="003E065E">
              <w:rPr>
                <w:rFonts w:ascii="Times New Roman" w:hAnsi="Times New Roman"/>
                <w:b/>
                <w:sz w:val="22"/>
                <w:szCs w:val="22"/>
              </w:rPr>
              <w:t>=68</w:t>
            </w:r>
          </w:p>
        </w:tc>
      </w:tr>
      <w:tr w:rsidR="00505340" w:rsidRPr="003E065E" w14:paraId="0743DACE" w14:textId="77777777" w:rsidTr="00B31326">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3781091B"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Patients with an event</w:t>
            </w:r>
          </w:p>
        </w:tc>
        <w:tc>
          <w:tcPr>
            <w:tcW w:w="1075" w:type="dxa"/>
            <w:tcBorders>
              <w:top w:val="single" w:sz="4" w:space="0" w:color="auto"/>
              <w:left w:val="single" w:sz="4" w:space="0" w:color="auto"/>
              <w:bottom w:val="single" w:sz="4" w:space="0" w:color="auto"/>
            </w:tcBorders>
            <w:shd w:val="clear" w:color="auto" w:fill="auto"/>
          </w:tcPr>
          <w:p w14:paraId="6C472A32"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6 (22.2%)</w:t>
            </w:r>
          </w:p>
        </w:tc>
        <w:tc>
          <w:tcPr>
            <w:tcW w:w="1335" w:type="dxa"/>
            <w:tcBorders>
              <w:top w:val="single" w:sz="4" w:space="0" w:color="auto"/>
              <w:bottom w:val="single" w:sz="4" w:space="0" w:color="auto"/>
              <w:right w:val="single" w:sz="4" w:space="0" w:color="auto"/>
            </w:tcBorders>
            <w:shd w:val="clear" w:color="auto" w:fill="auto"/>
          </w:tcPr>
          <w:p w14:paraId="012AB4C2" w14:textId="5442B5FA"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 (3.7%)</w:t>
            </w:r>
          </w:p>
        </w:tc>
        <w:tc>
          <w:tcPr>
            <w:tcW w:w="1005" w:type="dxa"/>
            <w:tcBorders>
              <w:top w:val="single" w:sz="4" w:space="0" w:color="auto"/>
              <w:left w:val="single" w:sz="4" w:space="0" w:color="auto"/>
              <w:bottom w:val="single" w:sz="4" w:space="0" w:color="auto"/>
            </w:tcBorders>
            <w:shd w:val="clear" w:color="auto" w:fill="auto"/>
          </w:tcPr>
          <w:p w14:paraId="5E651BDD"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5 (21.7%)</w:t>
            </w:r>
          </w:p>
        </w:tc>
        <w:tc>
          <w:tcPr>
            <w:tcW w:w="1404" w:type="dxa"/>
            <w:tcBorders>
              <w:top w:val="single" w:sz="4" w:space="0" w:color="auto"/>
              <w:bottom w:val="single" w:sz="4" w:space="0" w:color="auto"/>
              <w:right w:val="single" w:sz="4" w:space="0" w:color="auto"/>
            </w:tcBorders>
            <w:shd w:val="clear" w:color="auto" w:fill="auto"/>
          </w:tcPr>
          <w:p w14:paraId="67EADFA0" w14:textId="3F68EF1D"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3 (7.3%)</w:t>
            </w:r>
          </w:p>
        </w:tc>
        <w:tc>
          <w:tcPr>
            <w:tcW w:w="1134" w:type="dxa"/>
            <w:tcBorders>
              <w:top w:val="single" w:sz="4" w:space="0" w:color="auto"/>
              <w:left w:val="single" w:sz="4" w:space="0" w:color="auto"/>
              <w:bottom w:val="single" w:sz="4" w:space="0" w:color="auto"/>
            </w:tcBorders>
            <w:shd w:val="clear" w:color="auto" w:fill="auto"/>
          </w:tcPr>
          <w:p w14:paraId="3891E979" w14:textId="77777777"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11 (22.0%)</w:t>
            </w:r>
          </w:p>
        </w:tc>
        <w:tc>
          <w:tcPr>
            <w:tcW w:w="1418" w:type="dxa"/>
            <w:tcBorders>
              <w:top w:val="single" w:sz="4" w:space="0" w:color="auto"/>
              <w:bottom w:val="single" w:sz="4" w:space="0" w:color="auto"/>
              <w:right w:val="single" w:sz="4" w:space="0" w:color="auto"/>
            </w:tcBorders>
            <w:shd w:val="clear" w:color="auto" w:fill="auto"/>
          </w:tcPr>
          <w:p w14:paraId="50B69375" w14:textId="2F7A86E4"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4 (5.9%)</w:t>
            </w:r>
          </w:p>
        </w:tc>
      </w:tr>
      <w:tr w:rsidR="00505340" w:rsidRPr="003E065E" w14:paraId="35A415E7" w14:textId="77777777" w:rsidTr="004276BB">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512DC882" w14:textId="77777777" w:rsidR="004276BB" w:rsidRPr="003E065E" w:rsidRDefault="004276BB" w:rsidP="00A752E3">
            <w:pPr>
              <w:pStyle w:val="TableCell10Left"/>
              <w:rPr>
                <w:rFonts w:ascii="Times New Roman" w:hAnsi="Times New Roman"/>
                <w:sz w:val="22"/>
                <w:szCs w:val="22"/>
              </w:rPr>
            </w:pPr>
            <w:r w:rsidRPr="003E065E">
              <w:rPr>
                <w:rFonts w:ascii="Times New Roman" w:hAnsi="Times New Roman"/>
                <w:sz w:val="22"/>
                <w:szCs w:val="22"/>
              </w:rPr>
              <w:t>Risk reduction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471FB7D" w14:textId="746E6C23" w:rsidR="004276BB" w:rsidRPr="003E065E" w:rsidRDefault="00505340" w:rsidP="00A752E3">
            <w:pPr>
              <w:pStyle w:val="TableCell10Center"/>
              <w:rPr>
                <w:rFonts w:ascii="Times New Roman" w:hAnsi="Times New Roman"/>
                <w:sz w:val="22"/>
                <w:szCs w:val="22"/>
              </w:rPr>
            </w:pPr>
            <w:r w:rsidRPr="003E065E">
              <w:rPr>
                <w:rFonts w:ascii="Times New Roman" w:hAnsi="Times New Roman"/>
                <w:sz w:val="22"/>
                <w:szCs w:val="22"/>
              </w:rPr>
              <w:t xml:space="preserve">85% (HR: 0.15; 95% CI: </w:t>
            </w:r>
            <w:r w:rsidR="004276BB" w:rsidRPr="003E065E">
              <w:rPr>
                <w:rFonts w:ascii="Times New Roman" w:hAnsi="Times New Roman"/>
                <w:sz w:val="22"/>
                <w:szCs w:val="22"/>
              </w:rPr>
              <w:t xml:space="preserve">0.02, </w:t>
            </w:r>
            <w:proofErr w:type="gramStart"/>
            <w:r w:rsidR="004276BB" w:rsidRPr="003E065E">
              <w:rPr>
                <w:rFonts w:ascii="Times New Roman" w:hAnsi="Times New Roman"/>
                <w:sz w:val="22"/>
                <w:szCs w:val="22"/>
              </w:rPr>
              <w:t>1.25;,</w:t>
            </w:r>
            <w:proofErr w:type="gramEnd"/>
            <w:r w:rsidR="004276BB" w:rsidRPr="003E065E">
              <w:rPr>
                <w:rFonts w:ascii="Times New Roman" w:hAnsi="Times New Roman"/>
                <w:sz w:val="22"/>
                <w:szCs w:val="22"/>
              </w:rPr>
              <w:t xml:space="preserve"> p=0.0441)</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14:paraId="03C9E991" w14:textId="434C0A99" w:rsidR="004276BB" w:rsidRPr="003E065E" w:rsidRDefault="004276BB" w:rsidP="00A752E3">
            <w:pPr>
              <w:pStyle w:val="TableCell10Center"/>
              <w:rPr>
                <w:rFonts w:ascii="Times New Roman" w:hAnsi="Times New Roman"/>
                <w:sz w:val="22"/>
                <w:szCs w:val="22"/>
              </w:rPr>
            </w:pPr>
            <w:r w:rsidRPr="003E065E">
              <w:rPr>
                <w:rFonts w:ascii="Times New Roman" w:hAnsi="Times New Roman"/>
                <w:sz w:val="22"/>
                <w:szCs w:val="22"/>
              </w:rPr>
              <w:t>79% (HR: 0.21; 95% CI:</w:t>
            </w:r>
            <w:r w:rsidR="00505340" w:rsidRPr="003E065E">
              <w:rPr>
                <w:rFonts w:ascii="Times New Roman" w:hAnsi="Times New Roman"/>
                <w:sz w:val="22"/>
                <w:szCs w:val="22"/>
              </w:rPr>
              <w:t xml:space="preserve"> </w:t>
            </w:r>
            <w:r w:rsidRPr="003E065E">
              <w:rPr>
                <w:rFonts w:ascii="Times New Roman" w:hAnsi="Times New Roman"/>
                <w:sz w:val="22"/>
                <w:szCs w:val="22"/>
              </w:rPr>
              <w:t>0.05, 0.91; p=0.0231)</w:t>
            </w:r>
          </w:p>
          <w:p w14:paraId="74121C84" w14:textId="77777777" w:rsidR="004276BB" w:rsidRPr="003E065E" w:rsidRDefault="004276BB" w:rsidP="00A752E3">
            <w:pPr>
              <w:pStyle w:val="TableCell10Center"/>
              <w:rPr>
                <w:rFonts w:ascii="Times New Roman" w:hAnsi="Times New Roman"/>
                <w:sz w:val="22"/>
                <w:szCs w:val="22"/>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75DCE0AC" w14:textId="0ABF269A" w:rsidR="004276BB" w:rsidRPr="003E065E" w:rsidRDefault="00505340" w:rsidP="00A752E3">
            <w:pPr>
              <w:pStyle w:val="TableCell10Center"/>
              <w:rPr>
                <w:rFonts w:ascii="Times New Roman" w:hAnsi="Times New Roman"/>
                <w:sz w:val="22"/>
                <w:szCs w:val="22"/>
              </w:rPr>
            </w:pPr>
            <w:r w:rsidRPr="003E065E">
              <w:rPr>
                <w:rFonts w:ascii="Times New Roman" w:hAnsi="Times New Roman"/>
                <w:sz w:val="22"/>
                <w:szCs w:val="22"/>
              </w:rPr>
              <w:t xml:space="preserve">82% (HR: 0.18; 95% CI: </w:t>
            </w:r>
            <w:r w:rsidR="004276BB" w:rsidRPr="003E065E">
              <w:rPr>
                <w:rFonts w:ascii="Times New Roman" w:hAnsi="Times New Roman"/>
                <w:sz w:val="22"/>
                <w:szCs w:val="22"/>
              </w:rPr>
              <w:t>0.06, 0.58; p=0.0015)</w:t>
            </w:r>
          </w:p>
        </w:tc>
      </w:tr>
    </w:tbl>
    <w:p w14:paraId="47B40072" w14:textId="3D2D9662" w:rsidR="004276BB" w:rsidRDefault="004276BB" w:rsidP="0067155D">
      <w:pPr>
        <w:rPr>
          <w:b/>
          <w:color w:val="auto"/>
          <w:szCs w:val="22"/>
        </w:rPr>
      </w:pPr>
    </w:p>
    <w:p w14:paraId="18EF03D9" w14:textId="1DA4B809" w:rsidR="009B6E67" w:rsidRDefault="009B6E67" w:rsidP="0067155D">
      <w:pPr>
        <w:rPr>
          <w:b/>
          <w:color w:val="auto"/>
          <w:szCs w:val="22"/>
        </w:rPr>
      </w:pPr>
    </w:p>
    <w:p w14:paraId="5334EB0A" w14:textId="77777777" w:rsidR="009B6E67" w:rsidRPr="0099478A" w:rsidRDefault="009B6E67" w:rsidP="0067155D">
      <w:pPr>
        <w:rPr>
          <w:b/>
          <w:color w:val="auto"/>
          <w:szCs w:val="22"/>
        </w:rPr>
      </w:pPr>
    </w:p>
    <w:p w14:paraId="0B01E9B4" w14:textId="735E5F6B" w:rsidR="004276BB" w:rsidRPr="0099478A" w:rsidRDefault="004276BB" w:rsidP="004276BB">
      <w:pPr>
        <w:pStyle w:val="Heading6"/>
        <w:rPr>
          <w:color w:val="auto"/>
        </w:rPr>
      </w:pPr>
      <w:r w:rsidRPr="0099478A">
        <w:rPr>
          <w:color w:val="auto"/>
        </w:rPr>
        <w:lastRenderedPageBreak/>
        <w:t>Open-Label Extension</w:t>
      </w:r>
      <w:r w:rsidR="00807950">
        <w:rPr>
          <w:color w:val="auto"/>
        </w:rPr>
        <w:t xml:space="preserve"> (Note: </w:t>
      </w:r>
      <w:r w:rsidR="00807950" w:rsidRPr="00807950">
        <w:rPr>
          <w:color w:val="auto"/>
        </w:rPr>
        <w:t>Generally regarded as providing lower level of efficacy</w:t>
      </w:r>
      <w:r w:rsidR="00807950">
        <w:rPr>
          <w:color w:val="auto"/>
        </w:rPr>
        <w:t xml:space="preserve"> evidence)</w:t>
      </w:r>
    </w:p>
    <w:p w14:paraId="636F534A" w14:textId="385795FE" w:rsidR="004276BB" w:rsidRPr="0099478A" w:rsidRDefault="004276BB" w:rsidP="004276BB">
      <w:pPr>
        <w:rPr>
          <w:color w:val="auto"/>
        </w:rPr>
      </w:pPr>
      <w:r w:rsidRPr="0099478A">
        <w:rPr>
          <w:color w:val="auto"/>
        </w:rPr>
        <w:t xml:space="preserve">Analyses of longer-term data including the OLE period (based on relapse treated with rescue therapy) showed that 57% and 71% of patients treated with </w:t>
      </w:r>
      <w:proofErr w:type="spellStart"/>
      <w:r w:rsidRPr="0099478A">
        <w:rPr>
          <w:color w:val="auto"/>
        </w:rPr>
        <w:t>Enspryng</w:t>
      </w:r>
      <w:proofErr w:type="spellEnd"/>
      <w:r w:rsidRPr="0099478A">
        <w:rPr>
          <w:color w:val="auto"/>
        </w:rPr>
        <w:t xml:space="preserve"> remained relapse-free after 120 weeks of treatment, when </w:t>
      </w:r>
      <w:proofErr w:type="spellStart"/>
      <w:r w:rsidRPr="0099478A">
        <w:rPr>
          <w:color w:val="auto"/>
        </w:rPr>
        <w:t>Enspryng</w:t>
      </w:r>
      <w:proofErr w:type="spellEnd"/>
      <w:r w:rsidRPr="0099478A">
        <w:rPr>
          <w:color w:val="auto"/>
        </w:rPr>
        <w:t xml:space="preserve"> was administered as add-on therapy or as monotherapy, respectively.</w:t>
      </w:r>
    </w:p>
    <w:p w14:paraId="13221468" w14:textId="77777777" w:rsidR="00653E5B" w:rsidRPr="0099478A" w:rsidRDefault="00653E5B" w:rsidP="004276BB">
      <w:pPr>
        <w:rPr>
          <w:color w:val="auto"/>
        </w:rPr>
      </w:pPr>
    </w:p>
    <w:p w14:paraId="4486B872" w14:textId="1C1D1E7C" w:rsidR="004276BB" w:rsidRPr="0099478A" w:rsidRDefault="004276BB" w:rsidP="004276BB">
      <w:pPr>
        <w:rPr>
          <w:color w:val="auto"/>
        </w:rPr>
      </w:pPr>
      <w:r w:rsidRPr="0099478A">
        <w:rPr>
          <w:color w:val="auto"/>
        </w:rPr>
        <w:t xml:space="preserve">In the AQP4-IgG seropositive population, 58% and 73% of patients remained relapse free after 120 weeks of treatment with </w:t>
      </w:r>
      <w:proofErr w:type="spellStart"/>
      <w:r w:rsidRPr="0099478A">
        <w:rPr>
          <w:color w:val="auto"/>
        </w:rPr>
        <w:t>Enspryng</w:t>
      </w:r>
      <w:proofErr w:type="spellEnd"/>
      <w:r w:rsidRPr="0099478A">
        <w:rPr>
          <w:color w:val="auto"/>
        </w:rPr>
        <w:t xml:space="preserve"> administered as add-on therapy or as monotherapy, respectively.</w:t>
      </w:r>
    </w:p>
    <w:p w14:paraId="24273C76" w14:textId="35E6C4C5" w:rsidR="004276BB" w:rsidRDefault="004276BB" w:rsidP="004276BB">
      <w:pPr>
        <w:rPr>
          <w:b/>
          <w:color w:val="auto"/>
          <w:szCs w:val="22"/>
        </w:rPr>
      </w:pPr>
    </w:p>
    <w:p w14:paraId="250001DC" w14:textId="2D4B620E" w:rsidR="004276BB" w:rsidRPr="0099478A" w:rsidRDefault="004276BB" w:rsidP="004276BB">
      <w:pPr>
        <w:ind w:left="990" w:hanging="990"/>
        <w:rPr>
          <w:b/>
          <w:color w:val="auto"/>
          <w:szCs w:val="22"/>
        </w:rPr>
      </w:pPr>
      <w:r w:rsidRPr="0099478A">
        <w:rPr>
          <w:b/>
          <w:color w:val="auto"/>
          <w:szCs w:val="22"/>
        </w:rPr>
        <w:t>Figure 5: Study BN40898 -</w:t>
      </w:r>
      <w:r w:rsidR="00A13D49" w:rsidRPr="0099478A">
        <w:rPr>
          <w:b/>
          <w:color w:val="auto"/>
          <w:szCs w:val="22"/>
        </w:rPr>
        <w:t xml:space="preserve"> Time to f</w:t>
      </w:r>
      <w:r w:rsidRPr="0099478A">
        <w:rPr>
          <w:b/>
          <w:color w:val="auto"/>
          <w:szCs w:val="22"/>
        </w:rPr>
        <w:t xml:space="preserve">irst </w:t>
      </w:r>
      <w:r w:rsidR="00A13D49" w:rsidRPr="0099478A">
        <w:rPr>
          <w:b/>
          <w:color w:val="auto"/>
          <w:szCs w:val="22"/>
        </w:rPr>
        <w:t>relapse (treated clinical r</w:t>
      </w:r>
      <w:r w:rsidRPr="0099478A">
        <w:rPr>
          <w:b/>
          <w:color w:val="auto"/>
          <w:szCs w:val="22"/>
        </w:rPr>
        <w:t>e</w:t>
      </w:r>
      <w:r w:rsidR="00A13D49" w:rsidRPr="0099478A">
        <w:rPr>
          <w:b/>
          <w:color w:val="auto"/>
          <w:szCs w:val="22"/>
        </w:rPr>
        <w:t>lapse) during d</w:t>
      </w:r>
      <w:r w:rsidRPr="0099478A">
        <w:rPr>
          <w:b/>
          <w:color w:val="auto"/>
          <w:szCs w:val="22"/>
        </w:rPr>
        <w:t>ouble-b</w:t>
      </w:r>
      <w:r w:rsidR="00A13D49" w:rsidRPr="0099478A">
        <w:rPr>
          <w:b/>
          <w:color w:val="auto"/>
          <w:szCs w:val="22"/>
        </w:rPr>
        <w:t>lind and open-label p</w:t>
      </w:r>
      <w:r w:rsidRPr="0099478A">
        <w:rPr>
          <w:b/>
          <w:color w:val="auto"/>
          <w:szCs w:val="22"/>
        </w:rPr>
        <w:t>eriod</w:t>
      </w:r>
    </w:p>
    <w:p w14:paraId="1AD277E7" w14:textId="5C18A824" w:rsidR="004276BB" w:rsidRPr="0099478A" w:rsidRDefault="004276BB" w:rsidP="004276BB">
      <w:pPr>
        <w:rPr>
          <w:b/>
          <w:color w:val="auto"/>
          <w:szCs w:val="22"/>
        </w:rPr>
      </w:pPr>
      <w:r w:rsidRPr="0099478A">
        <w:rPr>
          <w:noProof/>
          <w:color w:val="auto"/>
          <w:lang w:val="en-AU"/>
        </w:rPr>
        <w:drawing>
          <wp:inline distT="0" distB="0" distL="0" distR="0" wp14:anchorId="2B952BFC" wp14:editId="14C52B28">
            <wp:extent cx="5528733" cy="36775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09984" name=""/>
                    <pic:cNvPicPr/>
                  </pic:nvPicPr>
                  <pic:blipFill>
                    <a:blip r:embed="rId13"/>
                    <a:stretch>
                      <a:fillRect/>
                    </a:stretch>
                  </pic:blipFill>
                  <pic:spPr>
                    <a:xfrm>
                      <a:off x="0" y="0"/>
                      <a:ext cx="5562604" cy="3700033"/>
                    </a:xfrm>
                    <a:prstGeom prst="rect">
                      <a:avLst/>
                    </a:prstGeom>
                  </pic:spPr>
                </pic:pic>
              </a:graphicData>
            </a:graphic>
          </wp:inline>
        </w:drawing>
      </w:r>
    </w:p>
    <w:p w14:paraId="0758FB28" w14:textId="02078A3B" w:rsidR="00307DA9" w:rsidRDefault="00307DA9" w:rsidP="004276BB">
      <w:pPr>
        <w:ind w:left="990" w:hanging="990"/>
        <w:rPr>
          <w:b/>
          <w:color w:val="auto"/>
          <w:szCs w:val="22"/>
        </w:rPr>
      </w:pPr>
    </w:p>
    <w:p w14:paraId="764EA3FD" w14:textId="07D0D453" w:rsidR="003E065E" w:rsidRDefault="003E065E" w:rsidP="004276BB">
      <w:pPr>
        <w:ind w:left="990" w:hanging="990"/>
        <w:rPr>
          <w:b/>
          <w:color w:val="auto"/>
          <w:szCs w:val="22"/>
        </w:rPr>
      </w:pPr>
    </w:p>
    <w:p w14:paraId="716E1771" w14:textId="099EDDB1" w:rsidR="003E065E" w:rsidRDefault="003E065E" w:rsidP="004276BB">
      <w:pPr>
        <w:ind w:left="990" w:hanging="990"/>
        <w:rPr>
          <w:b/>
          <w:color w:val="auto"/>
          <w:szCs w:val="22"/>
        </w:rPr>
      </w:pPr>
    </w:p>
    <w:p w14:paraId="2EAB8C38" w14:textId="523873C7" w:rsidR="003E065E" w:rsidRDefault="003E065E" w:rsidP="004276BB">
      <w:pPr>
        <w:ind w:left="990" w:hanging="990"/>
        <w:rPr>
          <w:b/>
          <w:color w:val="auto"/>
          <w:szCs w:val="22"/>
        </w:rPr>
      </w:pPr>
    </w:p>
    <w:p w14:paraId="5ABE8D21" w14:textId="0DA93573" w:rsidR="003E065E" w:rsidRDefault="003E065E" w:rsidP="004276BB">
      <w:pPr>
        <w:ind w:left="990" w:hanging="990"/>
        <w:rPr>
          <w:b/>
          <w:color w:val="auto"/>
          <w:szCs w:val="22"/>
        </w:rPr>
      </w:pPr>
    </w:p>
    <w:p w14:paraId="2F744649" w14:textId="11FB33AD" w:rsidR="003E065E" w:rsidRDefault="003E065E" w:rsidP="004276BB">
      <w:pPr>
        <w:ind w:left="990" w:hanging="990"/>
        <w:rPr>
          <w:b/>
          <w:color w:val="auto"/>
          <w:szCs w:val="22"/>
        </w:rPr>
      </w:pPr>
    </w:p>
    <w:p w14:paraId="6CFA3C00" w14:textId="372BD627" w:rsidR="003E065E" w:rsidRDefault="003E065E" w:rsidP="004276BB">
      <w:pPr>
        <w:ind w:left="990" w:hanging="990"/>
        <w:rPr>
          <w:b/>
          <w:color w:val="auto"/>
          <w:szCs w:val="22"/>
        </w:rPr>
      </w:pPr>
    </w:p>
    <w:p w14:paraId="27C37375" w14:textId="5948248D" w:rsidR="003E065E" w:rsidRDefault="003E065E" w:rsidP="004276BB">
      <w:pPr>
        <w:ind w:left="990" w:hanging="990"/>
        <w:rPr>
          <w:b/>
          <w:color w:val="auto"/>
          <w:szCs w:val="22"/>
        </w:rPr>
      </w:pPr>
    </w:p>
    <w:p w14:paraId="3FAF1F8C" w14:textId="0B9865B4" w:rsidR="003E065E" w:rsidRDefault="003E065E" w:rsidP="004276BB">
      <w:pPr>
        <w:ind w:left="990" w:hanging="990"/>
        <w:rPr>
          <w:b/>
          <w:color w:val="auto"/>
          <w:szCs w:val="22"/>
        </w:rPr>
      </w:pPr>
    </w:p>
    <w:p w14:paraId="70825B9E" w14:textId="1D106DB5" w:rsidR="003E065E" w:rsidRDefault="003E065E" w:rsidP="004276BB">
      <w:pPr>
        <w:ind w:left="990" w:hanging="990"/>
        <w:rPr>
          <w:b/>
          <w:color w:val="auto"/>
          <w:szCs w:val="22"/>
        </w:rPr>
      </w:pPr>
    </w:p>
    <w:p w14:paraId="1A4D7260" w14:textId="4E5FE9F4" w:rsidR="003E065E" w:rsidRDefault="003E065E" w:rsidP="004276BB">
      <w:pPr>
        <w:ind w:left="990" w:hanging="990"/>
        <w:rPr>
          <w:b/>
          <w:color w:val="auto"/>
          <w:szCs w:val="22"/>
        </w:rPr>
      </w:pPr>
    </w:p>
    <w:p w14:paraId="509F16AC" w14:textId="2AE7A178" w:rsidR="003E065E" w:rsidRDefault="003E065E" w:rsidP="004276BB">
      <w:pPr>
        <w:ind w:left="990" w:hanging="990"/>
        <w:rPr>
          <w:b/>
          <w:color w:val="auto"/>
          <w:szCs w:val="22"/>
        </w:rPr>
      </w:pPr>
    </w:p>
    <w:p w14:paraId="132A300B" w14:textId="172BD3B7" w:rsidR="003E065E" w:rsidRDefault="003E065E" w:rsidP="004276BB">
      <w:pPr>
        <w:ind w:left="990" w:hanging="990"/>
        <w:rPr>
          <w:b/>
          <w:color w:val="auto"/>
          <w:szCs w:val="22"/>
        </w:rPr>
      </w:pPr>
    </w:p>
    <w:p w14:paraId="0765D532" w14:textId="080817D1" w:rsidR="003E065E" w:rsidRDefault="003E065E" w:rsidP="004276BB">
      <w:pPr>
        <w:ind w:left="990" w:hanging="990"/>
        <w:rPr>
          <w:b/>
          <w:color w:val="auto"/>
          <w:szCs w:val="22"/>
        </w:rPr>
      </w:pPr>
    </w:p>
    <w:p w14:paraId="3986644D" w14:textId="67216A88" w:rsidR="003E065E" w:rsidRDefault="003E065E" w:rsidP="004276BB">
      <w:pPr>
        <w:ind w:left="990" w:hanging="990"/>
        <w:rPr>
          <w:b/>
          <w:color w:val="auto"/>
          <w:szCs w:val="22"/>
        </w:rPr>
      </w:pPr>
    </w:p>
    <w:p w14:paraId="0800DCDE" w14:textId="69F25AE2" w:rsidR="003E065E" w:rsidRDefault="003E065E" w:rsidP="004276BB">
      <w:pPr>
        <w:ind w:left="990" w:hanging="990"/>
        <w:rPr>
          <w:b/>
          <w:color w:val="auto"/>
          <w:szCs w:val="22"/>
        </w:rPr>
      </w:pPr>
    </w:p>
    <w:p w14:paraId="11957EA0" w14:textId="57962843" w:rsidR="003E065E" w:rsidRDefault="003E065E" w:rsidP="004276BB">
      <w:pPr>
        <w:ind w:left="990" w:hanging="990"/>
        <w:rPr>
          <w:b/>
          <w:color w:val="auto"/>
          <w:szCs w:val="22"/>
        </w:rPr>
      </w:pPr>
    </w:p>
    <w:p w14:paraId="36936955" w14:textId="72730422" w:rsidR="003E065E" w:rsidRDefault="003E065E" w:rsidP="004276BB">
      <w:pPr>
        <w:ind w:left="990" w:hanging="990"/>
        <w:rPr>
          <w:b/>
          <w:color w:val="auto"/>
          <w:szCs w:val="22"/>
        </w:rPr>
      </w:pPr>
    </w:p>
    <w:p w14:paraId="0704171B" w14:textId="5F241C27" w:rsidR="004276BB" w:rsidRPr="0099478A" w:rsidRDefault="004276BB" w:rsidP="004276BB">
      <w:pPr>
        <w:ind w:left="990" w:hanging="990"/>
        <w:rPr>
          <w:b/>
          <w:color w:val="auto"/>
          <w:szCs w:val="22"/>
        </w:rPr>
      </w:pPr>
      <w:r w:rsidRPr="0099478A">
        <w:rPr>
          <w:b/>
          <w:color w:val="auto"/>
          <w:szCs w:val="22"/>
        </w:rPr>
        <w:t xml:space="preserve">Figure 6: Study BN40900 - Time to </w:t>
      </w:r>
      <w:r w:rsidR="00A13D49" w:rsidRPr="0099478A">
        <w:rPr>
          <w:b/>
          <w:color w:val="auto"/>
          <w:szCs w:val="22"/>
        </w:rPr>
        <w:t>first relapse (treated clinical relapse) during double-blind and open-label period</w:t>
      </w:r>
    </w:p>
    <w:p w14:paraId="4F30B536" w14:textId="7DC2B929" w:rsidR="004276BB" w:rsidRPr="0099478A" w:rsidRDefault="004276BB" w:rsidP="004276BB">
      <w:pPr>
        <w:rPr>
          <w:b/>
          <w:color w:val="auto"/>
          <w:szCs w:val="22"/>
        </w:rPr>
      </w:pPr>
      <w:r w:rsidRPr="0099478A">
        <w:rPr>
          <w:noProof/>
          <w:color w:val="auto"/>
          <w:lang w:val="en-AU"/>
        </w:rPr>
        <w:drawing>
          <wp:inline distT="0" distB="0" distL="0" distR="0" wp14:anchorId="115E0F17" wp14:editId="4B25A4E5">
            <wp:extent cx="5528310" cy="3652908"/>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02202" name=""/>
                    <pic:cNvPicPr/>
                  </pic:nvPicPr>
                  <pic:blipFill>
                    <a:blip r:embed="rId14"/>
                    <a:stretch>
                      <a:fillRect/>
                    </a:stretch>
                  </pic:blipFill>
                  <pic:spPr>
                    <a:xfrm>
                      <a:off x="0" y="0"/>
                      <a:ext cx="5528310" cy="3652908"/>
                    </a:xfrm>
                    <a:prstGeom prst="rect">
                      <a:avLst/>
                    </a:prstGeom>
                  </pic:spPr>
                </pic:pic>
              </a:graphicData>
            </a:graphic>
          </wp:inline>
        </w:drawing>
      </w:r>
    </w:p>
    <w:p w14:paraId="47D894DA" w14:textId="77777777" w:rsidR="00B31326" w:rsidRPr="0099478A" w:rsidRDefault="00B31326" w:rsidP="004276BB">
      <w:pPr>
        <w:rPr>
          <w:b/>
          <w:color w:val="auto"/>
          <w:szCs w:val="22"/>
        </w:rPr>
      </w:pPr>
    </w:p>
    <w:p w14:paraId="1C18B2AA" w14:textId="3D3427F2" w:rsidR="004276BB" w:rsidRPr="0099478A" w:rsidRDefault="004276BB" w:rsidP="004276BB">
      <w:pPr>
        <w:ind w:left="990" w:hanging="990"/>
        <w:rPr>
          <w:b/>
          <w:color w:val="auto"/>
          <w:szCs w:val="22"/>
        </w:rPr>
      </w:pPr>
      <w:r w:rsidRPr="0099478A">
        <w:rPr>
          <w:b/>
          <w:color w:val="auto"/>
          <w:szCs w:val="22"/>
        </w:rPr>
        <w:t xml:space="preserve">Figure 7: Study BN40898 - Time </w:t>
      </w:r>
      <w:r w:rsidR="00A13D49" w:rsidRPr="0099478A">
        <w:rPr>
          <w:b/>
          <w:color w:val="auto"/>
          <w:szCs w:val="22"/>
        </w:rPr>
        <w:t xml:space="preserve">to first relapse (treated clinical relapse) during double-blind and open-label period in </w:t>
      </w:r>
      <w:r w:rsidRPr="0099478A">
        <w:rPr>
          <w:b/>
          <w:color w:val="auto"/>
          <w:szCs w:val="22"/>
        </w:rPr>
        <w:t xml:space="preserve">AQP4-IgG </w:t>
      </w:r>
      <w:r w:rsidR="00A13D49" w:rsidRPr="0099478A">
        <w:rPr>
          <w:b/>
          <w:color w:val="auto"/>
          <w:szCs w:val="22"/>
        </w:rPr>
        <w:t>seropositive patients</w:t>
      </w:r>
    </w:p>
    <w:p w14:paraId="15EC679D" w14:textId="13CE2A8B" w:rsidR="00A13D49" w:rsidRPr="0099478A" w:rsidRDefault="004276BB" w:rsidP="004276BB">
      <w:pPr>
        <w:rPr>
          <w:b/>
          <w:color w:val="auto"/>
          <w:szCs w:val="22"/>
        </w:rPr>
      </w:pPr>
      <w:r w:rsidRPr="0099478A">
        <w:rPr>
          <w:noProof/>
          <w:color w:val="auto"/>
          <w:lang w:val="en-AU"/>
        </w:rPr>
        <w:drawing>
          <wp:inline distT="0" distB="0" distL="0" distR="0" wp14:anchorId="3148CAEB" wp14:editId="509D6EB7">
            <wp:extent cx="5147733" cy="3456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6512" name=""/>
                    <pic:cNvPicPr/>
                  </pic:nvPicPr>
                  <pic:blipFill>
                    <a:blip r:embed="rId15"/>
                    <a:stretch>
                      <a:fillRect/>
                    </a:stretch>
                  </pic:blipFill>
                  <pic:spPr>
                    <a:xfrm>
                      <a:off x="0" y="0"/>
                      <a:ext cx="5163948" cy="3467137"/>
                    </a:xfrm>
                    <a:prstGeom prst="rect">
                      <a:avLst/>
                    </a:prstGeom>
                  </pic:spPr>
                </pic:pic>
              </a:graphicData>
            </a:graphic>
          </wp:inline>
        </w:drawing>
      </w:r>
    </w:p>
    <w:p w14:paraId="685B1797" w14:textId="6268B637" w:rsidR="00A13D49" w:rsidRDefault="00A13D49" w:rsidP="004276BB">
      <w:pPr>
        <w:rPr>
          <w:b/>
          <w:color w:val="auto"/>
          <w:szCs w:val="22"/>
        </w:rPr>
      </w:pPr>
    </w:p>
    <w:p w14:paraId="66234A59" w14:textId="6FDAE3E7" w:rsidR="003E065E" w:rsidRDefault="003E065E" w:rsidP="004276BB">
      <w:pPr>
        <w:rPr>
          <w:b/>
          <w:color w:val="auto"/>
          <w:szCs w:val="22"/>
        </w:rPr>
      </w:pPr>
    </w:p>
    <w:p w14:paraId="484E9A71" w14:textId="2CF23181" w:rsidR="004276BB" w:rsidRPr="0099478A" w:rsidRDefault="004276BB" w:rsidP="004276BB">
      <w:pPr>
        <w:ind w:left="990" w:hanging="990"/>
        <w:rPr>
          <w:b/>
          <w:color w:val="auto"/>
          <w:szCs w:val="22"/>
        </w:rPr>
      </w:pPr>
      <w:r w:rsidRPr="0099478A">
        <w:rPr>
          <w:b/>
          <w:color w:val="auto"/>
          <w:szCs w:val="22"/>
        </w:rPr>
        <w:lastRenderedPageBreak/>
        <w:t xml:space="preserve">Figure 8: Study BN40900 - Time </w:t>
      </w:r>
      <w:r w:rsidR="00A13D49" w:rsidRPr="0099478A">
        <w:rPr>
          <w:b/>
          <w:color w:val="auto"/>
          <w:szCs w:val="22"/>
        </w:rPr>
        <w:t xml:space="preserve">to first relapse (treated clinical relapse) during double-blind and open-label period in </w:t>
      </w:r>
      <w:r w:rsidRPr="0099478A">
        <w:rPr>
          <w:b/>
          <w:color w:val="auto"/>
          <w:szCs w:val="22"/>
        </w:rPr>
        <w:t xml:space="preserve">AQP4-IgG </w:t>
      </w:r>
      <w:r w:rsidR="00A13D49" w:rsidRPr="0099478A">
        <w:rPr>
          <w:b/>
          <w:color w:val="auto"/>
          <w:szCs w:val="22"/>
        </w:rPr>
        <w:t>seropositive patients</w:t>
      </w:r>
    </w:p>
    <w:p w14:paraId="2C9F5006" w14:textId="67B42E59" w:rsidR="004276BB" w:rsidRPr="0099478A" w:rsidRDefault="004276BB" w:rsidP="0067155D">
      <w:pPr>
        <w:rPr>
          <w:b/>
          <w:color w:val="auto"/>
          <w:szCs w:val="22"/>
        </w:rPr>
      </w:pPr>
      <w:r w:rsidRPr="0099478A">
        <w:rPr>
          <w:noProof/>
          <w:color w:val="auto"/>
          <w:lang w:val="en-AU"/>
        </w:rPr>
        <w:drawing>
          <wp:inline distT="0" distB="0" distL="0" distR="0" wp14:anchorId="0D949DF0" wp14:editId="197BC695">
            <wp:extent cx="5232400" cy="3496745"/>
            <wp:effectExtent l="0" t="0" r="635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64602" name=""/>
                    <pic:cNvPicPr/>
                  </pic:nvPicPr>
                  <pic:blipFill>
                    <a:blip r:embed="rId16"/>
                    <a:stretch>
                      <a:fillRect/>
                    </a:stretch>
                  </pic:blipFill>
                  <pic:spPr>
                    <a:xfrm>
                      <a:off x="0" y="0"/>
                      <a:ext cx="5242975" cy="3503812"/>
                    </a:xfrm>
                    <a:prstGeom prst="rect">
                      <a:avLst/>
                    </a:prstGeom>
                  </pic:spPr>
                </pic:pic>
              </a:graphicData>
            </a:graphic>
          </wp:inline>
        </w:drawing>
      </w:r>
    </w:p>
    <w:p w14:paraId="6C27216D" w14:textId="77777777" w:rsidR="004276BB" w:rsidRPr="0099478A" w:rsidRDefault="004276BB" w:rsidP="0067155D">
      <w:pPr>
        <w:rPr>
          <w:b/>
          <w:color w:val="auto"/>
          <w:szCs w:val="22"/>
        </w:rPr>
      </w:pPr>
    </w:p>
    <w:p w14:paraId="72FB15A8" w14:textId="77777777" w:rsidR="000D5E02" w:rsidRPr="0099478A" w:rsidRDefault="000D5E02" w:rsidP="000D5E02">
      <w:pPr>
        <w:pStyle w:val="Heading3"/>
        <w:rPr>
          <w:color w:val="auto"/>
        </w:rPr>
      </w:pPr>
      <w:r w:rsidRPr="0099478A">
        <w:rPr>
          <w:color w:val="auto"/>
        </w:rPr>
        <w:t>Immunogenicity</w:t>
      </w:r>
    </w:p>
    <w:p w14:paraId="257ACD7C" w14:textId="20DC63AC" w:rsidR="000D5E02" w:rsidRPr="0099478A" w:rsidRDefault="000D5E02" w:rsidP="000D5E02">
      <w:pPr>
        <w:rPr>
          <w:color w:val="auto"/>
        </w:rPr>
      </w:pPr>
      <w:r w:rsidRPr="0099478A">
        <w:rPr>
          <w:color w:val="auto"/>
        </w:rPr>
        <w:t xml:space="preserve">In phase III studies BN40898 (combination with IST) and BN40900 (monotherapy), anti-drug-antibodies (ADAs) were observed in 41% and 71% of patients receiving </w:t>
      </w:r>
      <w:proofErr w:type="spellStart"/>
      <w:r w:rsidRPr="0099478A">
        <w:rPr>
          <w:color w:val="auto"/>
        </w:rPr>
        <w:t>E</w:t>
      </w:r>
      <w:r w:rsidR="00945B73" w:rsidRPr="0099478A">
        <w:rPr>
          <w:color w:val="auto"/>
        </w:rPr>
        <w:t>nspryng</w:t>
      </w:r>
      <w:proofErr w:type="spellEnd"/>
      <w:r w:rsidRPr="0099478A">
        <w:rPr>
          <w:color w:val="auto"/>
        </w:rPr>
        <w:t xml:space="preserve"> in the double-blind period, respectively. The ability of these ADAs to neutralise </w:t>
      </w:r>
      <w:proofErr w:type="spellStart"/>
      <w:r w:rsidRPr="0099478A">
        <w:rPr>
          <w:color w:val="auto"/>
        </w:rPr>
        <w:t>satralizumab</w:t>
      </w:r>
      <w:proofErr w:type="spellEnd"/>
      <w:r w:rsidRPr="0099478A">
        <w:rPr>
          <w:color w:val="auto"/>
        </w:rPr>
        <w:t xml:space="preserve"> binding is unknown. </w:t>
      </w:r>
    </w:p>
    <w:p w14:paraId="43E756B8" w14:textId="77777777" w:rsidR="000D5E02" w:rsidRPr="0099478A" w:rsidRDefault="000D5E02" w:rsidP="000D5E02">
      <w:pPr>
        <w:rPr>
          <w:color w:val="auto"/>
        </w:rPr>
      </w:pPr>
    </w:p>
    <w:p w14:paraId="7329E6D6" w14:textId="77777777" w:rsidR="000D5E02" w:rsidRPr="0099478A" w:rsidRDefault="000D5E02" w:rsidP="000D5E02">
      <w:pPr>
        <w:rPr>
          <w:color w:val="auto"/>
        </w:rPr>
      </w:pPr>
      <w:r w:rsidRPr="0099478A">
        <w:rPr>
          <w:color w:val="auto"/>
        </w:rPr>
        <w:t>Exposure was lower in ADA positive patients, however there was no impact of ADAs on safety and no clear impact on efficacy nor pharmacodynamic markers indicative of target engagement.</w:t>
      </w:r>
    </w:p>
    <w:p w14:paraId="298982F3" w14:textId="77777777" w:rsidR="000D5E02" w:rsidRPr="0099478A" w:rsidRDefault="000D5E02" w:rsidP="000D5E02">
      <w:pPr>
        <w:rPr>
          <w:color w:val="auto"/>
        </w:rPr>
      </w:pPr>
    </w:p>
    <w:p w14:paraId="6E0148BD" w14:textId="77777777" w:rsidR="000D5E02" w:rsidRPr="0099478A" w:rsidRDefault="000D5E02" w:rsidP="000D5E02">
      <w:pPr>
        <w:rPr>
          <w:color w:val="auto"/>
        </w:rPr>
      </w:pPr>
      <w:r w:rsidRPr="0099478A">
        <w:rPr>
          <w:color w:val="auto"/>
        </w:rPr>
        <w:t xml:space="preserve">Treatment with </w:t>
      </w:r>
      <w:proofErr w:type="spellStart"/>
      <w:r w:rsidRPr="0099478A">
        <w:rPr>
          <w:color w:val="auto"/>
        </w:rPr>
        <w:t>satralizumab</w:t>
      </w:r>
      <w:proofErr w:type="spellEnd"/>
      <w:r w:rsidRPr="0099478A">
        <w:rPr>
          <w:color w:val="auto"/>
        </w:rPr>
        <w:t xml:space="preserve"> led to a similar reduction in the risk of experiencing an adjudicated relapse in patients in the Phase 3 studies despite different ADA rates between those studies. </w:t>
      </w:r>
    </w:p>
    <w:p w14:paraId="2DDE34AD" w14:textId="77777777" w:rsidR="000D5E02" w:rsidRPr="0099478A" w:rsidRDefault="000D5E02" w:rsidP="000D5E02">
      <w:pPr>
        <w:rPr>
          <w:color w:val="auto"/>
        </w:rPr>
      </w:pPr>
    </w:p>
    <w:p w14:paraId="6C00D8F2" w14:textId="25AC1C52" w:rsidR="000D5E02" w:rsidRPr="0099478A" w:rsidRDefault="000D5E02" w:rsidP="0092539C">
      <w:pPr>
        <w:rPr>
          <w:color w:val="auto"/>
        </w:rPr>
      </w:pPr>
      <w:r w:rsidRPr="0099478A">
        <w:rPr>
          <w:color w:val="auto"/>
        </w:rPr>
        <w:t>Patients with higher bodyweight and lower exposure were more likely to develop ADAs (irrespective of background treatment with IST), however treatment effect was comparable in all bodyweight groups when used either in combination with IST or as monotherapy. The recommended dose is appropriate for individuals of all bodyweights, and neither dose interruption nor modification is warranted in those patients who develop ADAs.</w:t>
      </w:r>
    </w:p>
    <w:p w14:paraId="7ABC8AA4" w14:textId="77777777" w:rsidR="00A52C5C" w:rsidRPr="0099478A" w:rsidRDefault="00A52C5C" w:rsidP="0092539C">
      <w:pPr>
        <w:rPr>
          <w:color w:val="auto"/>
        </w:rPr>
      </w:pPr>
    </w:p>
    <w:p w14:paraId="10C11EB5" w14:textId="77777777" w:rsidR="00D52399" w:rsidRPr="0099478A" w:rsidRDefault="00615052">
      <w:pPr>
        <w:pStyle w:val="Heading3"/>
        <w:rPr>
          <w:color w:val="auto"/>
        </w:rPr>
      </w:pPr>
      <w:r w:rsidRPr="0099478A">
        <w:rPr>
          <w:color w:val="auto"/>
        </w:rPr>
        <w:t>Paediatric population</w:t>
      </w:r>
    </w:p>
    <w:p w14:paraId="11753423" w14:textId="24A1502D" w:rsidR="0092539C" w:rsidRPr="0099478A" w:rsidRDefault="0092539C" w:rsidP="0092539C">
      <w:pPr>
        <w:rPr>
          <w:b/>
          <w:color w:val="auto"/>
        </w:rPr>
      </w:pPr>
      <w:r w:rsidRPr="0099478A">
        <w:rPr>
          <w:color w:val="auto"/>
        </w:rPr>
        <w:t>In study BN40898, there were 7 adolescent patients enrolled. Their mean age was 15.4 years and the</w:t>
      </w:r>
      <w:r w:rsidRPr="0099478A">
        <w:rPr>
          <w:b/>
          <w:color w:val="auto"/>
        </w:rPr>
        <w:t xml:space="preserve"> </w:t>
      </w:r>
      <w:r w:rsidRPr="0099478A">
        <w:rPr>
          <w:color w:val="auto"/>
        </w:rPr>
        <w:t>median body weight was 79.6 kg. The majority were female (n=6). Four patients were White, 2 were</w:t>
      </w:r>
      <w:r w:rsidRPr="0099478A">
        <w:rPr>
          <w:b/>
          <w:color w:val="auto"/>
        </w:rPr>
        <w:t xml:space="preserve"> </w:t>
      </w:r>
      <w:r w:rsidRPr="0099478A">
        <w:rPr>
          <w:color w:val="auto"/>
        </w:rPr>
        <w:t>Black/African American, and 1 was Asian. Three (42.9%) adolescent patients were AQP4-IgG</w:t>
      </w:r>
      <w:r w:rsidRPr="0099478A">
        <w:rPr>
          <w:b/>
          <w:color w:val="auto"/>
        </w:rPr>
        <w:t xml:space="preserve"> </w:t>
      </w:r>
      <w:r w:rsidRPr="0099478A">
        <w:rPr>
          <w:color w:val="auto"/>
        </w:rPr>
        <w:t xml:space="preserve">seropositive at screening (2 in the placebo group and 1 in the </w:t>
      </w:r>
      <w:proofErr w:type="spellStart"/>
      <w:r w:rsidRPr="0099478A">
        <w:rPr>
          <w:color w:val="auto"/>
        </w:rPr>
        <w:t>Enspryng</w:t>
      </w:r>
      <w:proofErr w:type="spellEnd"/>
      <w:r w:rsidRPr="0099478A">
        <w:rPr>
          <w:color w:val="auto"/>
        </w:rPr>
        <w:t xml:space="preserve"> group). During the double</w:t>
      </w:r>
      <w:r w:rsidRPr="0099478A">
        <w:rPr>
          <w:b/>
          <w:color w:val="auto"/>
        </w:rPr>
        <w:t>-</w:t>
      </w:r>
      <w:r w:rsidRPr="0099478A">
        <w:rPr>
          <w:color w:val="auto"/>
        </w:rPr>
        <w:t>blind</w:t>
      </w:r>
      <w:r w:rsidRPr="0099478A">
        <w:rPr>
          <w:b/>
          <w:color w:val="auto"/>
        </w:rPr>
        <w:t xml:space="preserve"> </w:t>
      </w:r>
      <w:r w:rsidRPr="0099478A">
        <w:rPr>
          <w:color w:val="auto"/>
        </w:rPr>
        <w:t xml:space="preserve">period, 1 of 3 adolescents in the placebo group and 1 of 4 adolescents in the </w:t>
      </w:r>
      <w:proofErr w:type="spellStart"/>
      <w:r w:rsidRPr="0099478A">
        <w:rPr>
          <w:color w:val="auto"/>
        </w:rPr>
        <w:t>Enspryng</w:t>
      </w:r>
      <w:proofErr w:type="spellEnd"/>
      <w:r w:rsidRPr="0099478A">
        <w:rPr>
          <w:color w:val="auto"/>
        </w:rPr>
        <w:t xml:space="preserve"> group</w:t>
      </w:r>
      <w:r w:rsidRPr="0099478A">
        <w:rPr>
          <w:b/>
          <w:color w:val="auto"/>
        </w:rPr>
        <w:t xml:space="preserve"> </w:t>
      </w:r>
      <w:r w:rsidRPr="0099478A">
        <w:rPr>
          <w:color w:val="auto"/>
        </w:rPr>
        <w:t xml:space="preserve">experienced an adjudicated relapse. </w:t>
      </w:r>
      <w:r w:rsidRPr="00807950">
        <w:rPr>
          <w:b/>
          <w:color w:val="auto"/>
        </w:rPr>
        <w:t xml:space="preserve">Due to the </w:t>
      </w:r>
      <w:r w:rsidRPr="00807950">
        <w:rPr>
          <w:b/>
          <w:color w:val="auto"/>
        </w:rPr>
        <w:lastRenderedPageBreak/>
        <w:t>small sample size, the hazard ratio for the primary endpoint of time to first adjudicated relapse in this subgroup was not calculated.</w:t>
      </w:r>
      <w:r w:rsidRPr="0099478A">
        <w:rPr>
          <w:b/>
          <w:color w:val="auto"/>
        </w:rPr>
        <w:t xml:space="preserve"> </w:t>
      </w:r>
    </w:p>
    <w:p w14:paraId="6A450937" w14:textId="0C20552C" w:rsidR="00D52399" w:rsidRPr="0099478A" w:rsidRDefault="00902EBE" w:rsidP="0092539C">
      <w:pPr>
        <w:pStyle w:val="Heading2"/>
        <w:rPr>
          <w:color w:val="auto"/>
        </w:rPr>
      </w:pPr>
      <w:r w:rsidRPr="0099478A">
        <w:rPr>
          <w:color w:val="auto"/>
        </w:rPr>
        <w:t>5.2</w:t>
      </w:r>
      <w:r w:rsidRPr="0099478A">
        <w:rPr>
          <w:color w:val="auto"/>
        </w:rPr>
        <w:tab/>
        <w:t xml:space="preserve">PHARMACOKINETIC PROPERTIES </w:t>
      </w:r>
    </w:p>
    <w:p w14:paraId="3C5D8FCD" w14:textId="1949ECA8" w:rsidR="003977AF" w:rsidRPr="0099478A" w:rsidRDefault="003977AF" w:rsidP="003977AF">
      <w:pPr>
        <w:rPr>
          <w:color w:val="auto"/>
        </w:rPr>
      </w:pPr>
      <w:r w:rsidRPr="0099478A">
        <w:rPr>
          <w:color w:val="auto"/>
        </w:rPr>
        <w:t xml:space="preserve">The pharmacokinetics of </w:t>
      </w:r>
      <w:proofErr w:type="spellStart"/>
      <w:r w:rsidRPr="0099478A">
        <w:rPr>
          <w:color w:val="auto"/>
        </w:rPr>
        <w:t>Enspryng</w:t>
      </w:r>
      <w:proofErr w:type="spellEnd"/>
      <w:r w:rsidRPr="0099478A">
        <w:rPr>
          <w:color w:val="auto"/>
        </w:rPr>
        <w:t xml:space="preserve"> have been characterised both in Japanese and Caucasian healthy volunteers, and in NMO and NMOSD patients. The pharmacokinetics in NMO and NMOSD patients using the recommended dose were characterised using population PK analysis methods based on a database of </w:t>
      </w:r>
      <w:r w:rsidR="00F93985" w:rsidRPr="003E065E">
        <w:rPr>
          <w:color w:val="auto"/>
        </w:rPr>
        <w:t>154</w:t>
      </w:r>
      <w:r w:rsidR="00F93985" w:rsidRPr="0099478A">
        <w:rPr>
          <w:color w:val="auto"/>
        </w:rPr>
        <w:t xml:space="preserve"> </w:t>
      </w:r>
      <w:r w:rsidRPr="0099478A">
        <w:rPr>
          <w:color w:val="auto"/>
        </w:rPr>
        <w:t>patients.</w:t>
      </w:r>
    </w:p>
    <w:p w14:paraId="0F90A359" w14:textId="77777777" w:rsidR="003977AF" w:rsidRPr="0099478A" w:rsidRDefault="003977AF" w:rsidP="003977AF">
      <w:pPr>
        <w:rPr>
          <w:color w:val="auto"/>
        </w:rPr>
      </w:pPr>
    </w:p>
    <w:p w14:paraId="6C62756D" w14:textId="1D959C0F" w:rsidR="003977AF" w:rsidRPr="0099478A" w:rsidRDefault="003977AF" w:rsidP="003977AF">
      <w:pPr>
        <w:rPr>
          <w:color w:val="auto"/>
        </w:rPr>
      </w:pPr>
      <w:r w:rsidRPr="0099478A">
        <w:rPr>
          <w:color w:val="auto"/>
        </w:rPr>
        <w:t xml:space="preserve">The concentration-time course of </w:t>
      </w:r>
      <w:proofErr w:type="spellStart"/>
      <w:r w:rsidRPr="0099478A">
        <w:rPr>
          <w:color w:val="auto"/>
        </w:rPr>
        <w:t>Enspryng</w:t>
      </w:r>
      <w:proofErr w:type="spellEnd"/>
      <w:r w:rsidRPr="0099478A">
        <w:rPr>
          <w:color w:val="auto"/>
        </w:rPr>
        <w:t xml:space="preserve"> in patients with NMO or NMOSD was accurately</w:t>
      </w:r>
    </w:p>
    <w:p w14:paraId="70659B0C" w14:textId="399FEFF6" w:rsidR="003977AF" w:rsidRPr="0099478A" w:rsidRDefault="003977AF" w:rsidP="003977AF">
      <w:pPr>
        <w:rPr>
          <w:color w:val="auto"/>
        </w:rPr>
      </w:pPr>
      <w:r w:rsidRPr="0099478A">
        <w:rPr>
          <w:color w:val="auto"/>
        </w:rPr>
        <w:t xml:space="preserve">described by a two-compartment population PK model with parallel linear and target mediated (Michaelis-Menten) elimination and first-order SC absorption. </w:t>
      </w:r>
      <w:proofErr w:type="spellStart"/>
      <w:r w:rsidRPr="0099478A">
        <w:rPr>
          <w:color w:val="auto"/>
        </w:rPr>
        <w:t>Enspryng</w:t>
      </w:r>
      <w:proofErr w:type="spellEnd"/>
      <w:r w:rsidRPr="0099478A">
        <w:rPr>
          <w:color w:val="auto"/>
        </w:rPr>
        <w:t xml:space="preserve"> clearance and volume parameters allometrically scaled by body weight (through power function with the fixed power coefficient of 0.75 and 1 for clearance and volume parameters, respectively). Bodyweight was shown to be a significant covariate, with clearance and</w:t>
      </w:r>
      <w:r w:rsidR="007F0DFC" w:rsidRPr="007F0DFC">
        <w:t xml:space="preserve"> </w:t>
      </w:r>
      <w:r w:rsidR="007F0DFC">
        <w:rPr>
          <w:color w:val="auto"/>
        </w:rPr>
        <w:t>central volume of d</w:t>
      </w:r>
      <w:r w:rsidR="007F0DFC" w:rsidRPr="007F0DFC">
        <w:rPr>
          <w:color w:val="auto"/>
        </w:rPr>
        <w:t>istribution</w:t>
      </w:r>
      <w:r w:rsidRPr="0099478A">
        <w:rPr>
          <w:color w:val="auto"/>
        </w:rPr>
        <w:t xml:space="preserve"> </w:t>
      </w:r>
      <w:r w:rsidR="007F0DFC">
        <w:rPr>
          <w:color w:val="auto"/>
        </w:rPr>
        <w:t>(</w:t>
      </w:r>
      <w:proofErr w:type="spellStart"/>
      <w:r w:rsidRPr="0099478A">
        <w:rPr>
          <w:color w:val="auto"/>
        </w:rPr>
        <w:t>Vc</w:t>
      </w:r>
      <w:proofErr w:type="spellEnd"/>
      <w:r w:rsidR="007F0DFC">
        <w:rPr>
          <w:color w:val="auto"/>
        </w:rPr>
        <w:t>)</w:t>
      </w:r>
      <w:r w:rsidRPr="0099478A">
        <w:rPr>
          <w:color w:val="auto"/>
        </w:rPr>
        <w:t xml:space="preserve"> for patients weighing 123 kg (97.5th percentile of the weight distribution) increased by 71.3% and 105%, respectively, compared to a 60 kg patient.</w:t>
      </w:r>
      <w:r w:rsidR="000413E5">
        <w:rPr>
          <w:color w:val="auto"/>
        </w:rPr>
        <w:t xml:space="preserve"> </w:t>
      </w:r>
      <w:r w:rsidR="000413E5" w:rsidRPr="000413E5">
        <w:rPr>
          <w:color w:val="auto"/>
        </w:rPr>
        <w:t xml:space="preserve">However, as treatment effect was comparable in all bodyweight groups, despite an apparent association between higher bodyweight and development of ADAs, no dose adjustment is required in heavier bodyweight patients (see </w:t>
      </w:r>
      <w:r w:rsidR="00D6584C">
        <w:rPr>
          <w:color w:val="auto"/>
        </w:rPr>
        <w:t>s</w:t>
      </w:r>
      <w:r w:rsidR="000413E5" w:rsidRPr="000413E5">
        <w:rPr>
          <w:color w:val="auto"/>
        </w:rPr>
        <w:t>ection 5.1 Immunogenicity).</w:t>
      </w:r>
    </w:p>
    <w:p w14:paraId="2FE8777A" w14:textId="77777777" w:rsidR="003977AF" w:rsidRPr="0099478A" w:rsidRDefault="003977AF" w:rsidP="003977AF">
      <w:pPr>
        <w:rPr>
          <w:color w:val="auto"/>
        </w:rPr>
      </w:pPr>
    </w:p>
    <w:p w14:paraId="1391420D" w14:textId="63C724CD" w:rsidR="003977AF" w:rsidRDefault="00136186" w:rsidP="003977AF">
      <w:pPr>
        <w:rPr>
          <w:color w:val="auto"/>
        </w:rPr>
      </w:pPr>
      <w:r>
        <w:rPr>
          <w:color w:val="auto"/>
        </w:rPr>
        <w:t>Pseudo-s</w:t>
      </w:r>
      <w:r w:rsidR="003977AF" w:rsidRPr="0099478A">
        <w:rPr>
          <w:color w:val="auto"/>
        </w:rPr>
        <w:t xml:space="preserve">teady state pharmacokinetics were achieved after the loading period (8 weeks) for </w:t>
      </w:r>
      <w:proofErr w:type="spellStart"/>
      <w:r w:rsidR="003977AF" w:rsidRPr="0099478A">
        <w:rPr>
          <w:color w:val="auto"/>
        </w:rPr>
        <w:t>C</w:t>
      </w:r>
      <w:r w:rsidR="003977AF" w:rsidRPr="0099478A">
        <w:rPr>
          <w:color w:val="auto"/>
          <w:vertAlign w:val="subscript"/>
        </w:rPr>
        <w:t>min</w:t>
      </w:r>
      <w:proofErr w:type="spellEnd"/>
      <w:r w:rsidR="003977AF" w:rsidRPr="0099478A">
        <w:rPr>
          <w:color w:val="auto"/>
        </w:rPr>
        <w:t xml:space="preserve">, </w:t>
      </w:r>
      <w:proofErr w:type="spellStart"/>
      <w:r w:rsidR="003977AF" w:rsidRPr="0099478A">
        <w:rPr>
          <w:color w:val="auto"/>
        </w:rPr>
        <w:t>C</w:t>
      </w:r>
      <w:r w:rsidR="003977AF" w:rsidRPr="0099478A">
        <w:rPr>
          <w:color w:val="auto"/>
          <w:vertAlign w:val="subscript"/>
        </w:rPr>
        <w:t>max</w:t>
      </w:r>
      <w:proofErr w:type="spellEnd"/>
      <w:r w:rsidR="003977AF" w:rsidRPr="0099478A">
        <w:rPr>
          <w:color w:val="auto"/>
        </w:rPr>
        <w:t xml:space="preserve"> and AUC as follows (mean (±SD): </w:t>
      </w:r>
      <w:proofErr w:type="spellStart"/>
      <w:r w:rsidR="003977AF" w:rsidRPr="0099478A">
        <w:rPr>
          <w:color w:val="auto"/>
        </w:rPr>
        <w:t>C</w:t>
      </w:r>
      <w:r w:rsidR="003977AF" w:rsidRPr="0099478A">
        <w:rPr>
          <w:color w:val="auto"/>
          <w:vertAlign w:val="subscript"/>
        </w:rPr>
        <w:t>min</w:t>
      </w:r>
      <w:proofErr w:type="spellEnd"/>
      <w:r w:rsidR="003977AF" w:rsidRPr="0099478A">
        <w:rPr>
          <w:color w:val="auto"/>
        </w:rPr>
        <w:t>: 19.7 (12.2) mcg/m</w:t>
      </w:r>
      <w:r w:rsidR="00C2740A" w:rsidRPr="0099478A">
        <w:rPr>
          <w:color w:val="auto"/>
        </w:rPr>
        <w:t>L</w:t>
      </w:r>
      <w:r w:rsidR="003977AF" w:rsidRPr="0099478A">
        <w:rPr>
          <w:color w:val="auto"/>
        </w:rPr>
        <w:t xml:space="preserve">, </w:t>
      </w:r>
      <w:proofErr w:type="spellStart"/>
      <w:r w:rsidR="003977AF" w:rsidRPr="0099478A">
        <w:rPr>
          <w:color w:val="auto"/>
        </w:rPr>
        <w:t>C</w:t>
      </w:r>
      <w:r w:rsidR="003977AF" w:rsidRPr="0099478A">
        <w:rPr>
          <w:color w:val="auto"/>
          <w:vertAlign w:val="subscript"/>
        </w:rPr>
        <w:t>max</w:t>
      </w:r>
      <w:proofErr w:type="spellEnd"/>
      <w:r w:rsidR="003977AF" w:rsidRPr="0099478A">
        <w:rPr>
          <w:color w:val="auto"/>
        </w:rPr>
        <w:t>: 31.5 (14.9) mcg/m</w:t>
      </w:r>
      <w:r w:rsidR="00C2740A" w:rsidRPr="0099478A">
        <w:rPr>
          <w:color w:val="auto"/>
        </w:rPr>
        <w:t>L</w:t>
      </w:r>
      <w:r w:rsidR="003977AF" w:rsidRPr="0099478A">
        <w:rPr>
          <w:color w:val="auto"/>
        </w:rPr>
        <w:t xml:space="preserve"> and AUC: 737 (386) </w:t>
      </w:r>
      <w:proofErr w:type="spellStart"/>
      <w:r w:rsidR="003977AF" w:rsidRPr="0099478A">
        <w:rPr>
          <w:color w:val="auto"/>
        </w:rPr>
        <w:t>mcg.m</w:t>
      </w:r>
      <w:r w:rsidR="00C2740A" w:rsidRPr="0099478A">
        <w:rPr>
          <w:color w:val="auto"/>
        </w:rPr>
        <w:t>L</w:t>
      </w:r>
      <w:proofErr w:type="spellEnd"/>
      <w:r w:rsidR="003977AF" w:rsidRPr="0099478A">
        <w:rPr>
          <w:color w:val="auto"/>
        </w:rPr>
        <w:t>/day. Pharmacokinetics were not impacted by background immunotherapy (see section 4.5).</w:t>
      </w:r>
    </w:p>
    <w:p w14:paraId="4F189A9C" w14:textId="19ADF7C2" w:rsidR="00B31326" w:rsidRDefault="00B31326" w:rsidP="003977AF">
      <w:pPr>
        <w:rPr>
          <w:color w:val="auto"/>
        </w:rPr>
      </w:pPr>
    </w:p>
    <w:p w14:paraId="365A24F3" w14:textId="25038851" w:rsidR="00D52399" w:rsidRPr="0099478A" w:rsidRDefault="00615052" w:rsidP="003977AF">
      <w:pPr>
        <w:pStyle w:val="Heading3"/>
        <w:rPr>
          <w:color w:val="auto"/>
        </w:rPr>
      </w:pPr>
      <w:r w:rsidRPr="0099478A">
        <w:rPr>
          <w:color w:val="auto"/>
        </w:rPr>
        <w:t>Absorption</w:t>
      </w:r>
    </w:p>
    <w:p w14:paraId="3B483C65" w14:textId="23ADFB64" w:rsidR="00D52399" w:rsidRPr="0099478A" w:rsidRDefault="003977AF" w:rsidP="003977AF">
      <w:pPr>
        <w:rPr>
          <w:color w:val="auto"/>
        </w:rPr>
      </w:pPr>
      <w:r w:rsidRPr="0099478A">
        <w:rPr>
          <w:color w:val="auto"/>
        </w:rPr>
        <w:t xml:space="preserve">The absorption rate constant of </w:t>
      </w:r>
      <w:proofErr w:type="spellStart"/>
      <w:r w:rsidRPr="0099478A">
        <w:rPr>
          <w:color w:val="auto"/>
        </w:rPr>
        <w:t>Enspryng</w:t>
      </w:r>
      <w:proofErr w:type="spellEnd"/>
      <w:r w:rsidRPr="0099478A">
        <w:rPr>
          <w:color w:val="auto"/>
        </w:rPr>
        <w:t xml:space="preserve"> was 0.251 one/day (95% CI: 0.</w:t>
      </w:r>
      <w:r w:rsidR="00402F52" w:rsidRPr="00402F52">
        <w:rPr>
          <w:color w:val="auto"/>
        </w:rPr>
        <w:t>216</w:t>
      </w:r>
      <w:r w:rsidR="005F49B8" w:rsidRPr="0099478A">
        <w:rPr>
          <w:color w:val="auto"/>
        </w:rPr>
        <w:t xml:space="preserve"> </w:t>
      </w:r>
      <w:r w:rsidRPr="0099478A">
        <w:rPr>
          <w:color w:val="auto"/>
        </w:rPr>
        <w:t>- 0.</w:t>
      </w:r>
      <w:r w:rsidR="00402F52" w:rsidRPr="00402F52">
        <w:rPr>
          <w:color w:val="auto"/>
        </w:rPr>
        <w:t>285</w:t>
      </w:r>
      <w:r w:rsidRPr="0099478A">
        <w:rPr>
          <w:color w:val="auto"/>
        </w:rPr>
        <w:t xml:space="preserve">) equating to an absorption half-life of around 3 days at the recommended dose (see section 4.2). The bioavailability was high (85.4%; 95% CI: </w:t>
      </w:r>
      <w:r w:rsidR="00F445BF" w:rsidRPr="009D4824">
        <w:rPr>
          <w:color w:val="auto"/>
        </w:rPr>
        <w:t>7</w:t>
      </w:r>
      <w:r w:rsidR="00AD5FED">
        <w:rPr>
          <w:color w:val="auto"/>
        </w:rPr>
        <w:t>9.</w:t>
      </w:r>
      <w:r w:rsidR="00F445BF" w:rsidRPr="009D4824">
        <w:rPr>
          <w:color w:val="auto"/>
        </w:rPr>
        <w:t>5</w:t>
      </w:r>
      <w:r w:rsidR="00F445BF">
        <w:rPr>
          <w:color w:val="auto"/>
        </w:rPr>
        <w:t xml:space="preserve"> - </w:t>
      </w:r>
      <w:r w:rsidR="00F445BF" w:rsidRPr="009D4824">
        <w:rPr>
          <w:color w:val="auto"/>
        </w:rPr>
        <w:t>95</w:t>
      </w:r>
      <w:r w:rsidR="00F445BF">
        <w:rPr>
          <w:color w:val="auto"/>
        </w:rPr>
        <w:t>.</w:t>
      </w:r>
      <w:r w:rsidR="00AD5FED">
        <w:rPr>
          <w:color w:val="auto"/>
        </w:rPr>
        <w:t>3</w:t>
      </w:r>
      <w:r w:rsidRPr="0099478A">
        <w:rPr>
          <w:color w:val="auto"/>
        </w:rPr>
        <w:t>).</w:t>
      </w:r>
    </w:p>
    <w:p w14:paraId="6799FB79" w14:textId="77777777" w:rsidR="003977AF" w:rsidRPr="0099478A" w:rsidRDefault="003977AF" w:rsidP="003977AF">
      <w:pPr>
        <w:rPr>
          <w:color w:val="auto"/>
        </w:rPr>
      </w:pPr>
    </w:p>
    <w:p w14:paraId="5D41B86B" w14:textId="77777777" w:rsidR="00D52399" w:rsidRPr="0099478A" w:rsidRDefault="00615052" w:rsidP="003977AF">
      <w:pPr>
        <w:pStyle w:val="Heading3"/>
        <w:rPr>
          <w:color w:val="auto"/>
        </w:rPr>
      </w:pPr>
      <w:r w:rsidRPr="0099478A">
        <w:rPr>
          <w:color w:val="auto"/>
        </w:rPr>
        <w:t>Distribution</w:t>
      </w:r>
    </w:p>
    <w:p w14:paraId="3D4CD6E2" w14:textId="006C2252" w:rsidR="00D52399" w:rsidRPr="0099478A" w:rsidRDefault="003977AF" w:rsidP="003977AF">
      <w:pPr>
        <w:rPr>
          <w:color w:val="auto"/>
        </w:rPr>
      </w:pPr>
      <w:proofErr w:type="spellStart"/>
      <w:r w:rsidRPr="0099478A">
        <w:rPr>
          <w:color w:val="auto"/>
        </w:rPr>
        <w:t>Satralizumab</w:t>
      </w:r>
      <w:proofErr w:type="spellEnd"/>
      <w:r w:rsidRPr="0099478A">
        <w:rPr>
          <w:color w:val="auto"/>
        </w:rPr>
        <w:t xml:space="preserve"> undergoes biphasic distribution. The central </w:t>
      </w:r>
      <w:r w:rsidR="00DF5BC3" w:rsidRPr="0099478A">
        <w:rPr>
          <w:color w:val="auto"/>
        </w:rPr>
        <w:t>volume of distribution was 3.46 L</w:t>
      </w:r>
      <w:r w:rsidRPr="0099478A">
        <w:rPr>
          <w:color w:val="auto"/>
        </w:rPr>
        <w:t xml:space="preserve"> (95% CI: </w:t>
      </w:r>
      <w:r w:rsidR="00402F52" w:rsidRPr="00402F52">
        <w:rPr>
          <w:color w:val="auto"/>
        </w:rPr>
        <w:t>3.05 - 3.87</w:t>
      </w:r>
      <w:r w:rsidRPr="0099478A">
        <w:rPr>
          <w:color w:val="auto"/>
        </w:rPr>
        <w:t>), the peripheral v</w:t>
      </w:r>
      <w:r w:rsidR="00DF5BC3" w:rsidRPr="0099478A">
        <w:rPr>
          <w:color w:val="auto"/>
        </w:rPr>
        <w:t>olume of distribution was 2.07 L</w:t>
      </w:r>
      <w:r w:rsidRPr="0099478A">
        <w:rPr>
          <w:color w:val="auto"/>
        </w:rPr>
        <w:t xml:space="preserve"> (95% CI: </w:t>
      </w:r>
      <w:r w:rsidR="009D4824" w:rsidRPr="009D4824">
        <w:rPr>
          <w:color w:val="auto"/>
        </w:rPr>
        <w:t>1.67 - 2.47</w:t>
      </w:r>
      <w:r w:rsidRPr="0099478A">
        <w:rPr>
          <w:color w:val="auto"/>
        </w:rPr>
        <w:t>). The inter-com</w:t>
      </w:r>
      <w:r w:rsidR="00DF5BC3" w:rsidRPr="0099478A">
        <w:rPr>
          <w:color w:val="auto"/>
        </w:rPr>
        <w:t>partmental clearance was 0.336 L</w:t>
      </w:r>
      <w:r w:rsidRPr="0099478A">
        <w:rPr>
          <w:color w:val="auto"/>
        </w:rPr>
        <w:t xml:space="preserve">/day (95% CI: </w:t>
      </w:r>
      <w:r w:rsidR="009D4824" w:rsidRPr="009D4824">
        <w:rPr>
          <w:color w:val="auto"/>
        </w:rPr>
        <w:t>0.253 - 0.419</w:t>
      </w:r>
      <w:r w:rsidRPr="0099478A">
        <w:rPr>
          <w:color w:val="auto"/>
        </w:rPr>
        <w:t>).</w:t>
      </w:r>
    </w:p>
    <w:p w14:paraId="0ECB60C4" w14:textId="77777777" w:rsidR="003977AF" w:rsidRPr="0099478A" w:rsidRDefault="003977AF" w:rsidP="003977AF">
      <w:pPr>
        <w:rPr>
          <w:color w:val="auto"/>
        </w:rPr>
      </w:pPr>
    </w:p>
    <w:p w14:paraId="47DC792A" w14:textId="77777777" w:rsidR="00BA0878" w:rsidRPr="0099478A" w:rsidRDefault="00BA0878">
      <w:pPr>
        <w:rPr>
          <w:b/>
          <w:color w:val="auto"/>
        </w:rPr>
      </w:pPr>
      <w:r w:rsidRPr="0099478A">
        <w:rPr>
          <w:b/>
          <w:color w:val="auto"/>
        </w:rPr>
        <w:t>Metabolism</w:t>
      </w:r>
    </w:p>
    <w:p w14:paraId="3EA2DD65" w14:textId="0BB05ADC" w:rsidR="00D52399" w:rsidRPr="0099478A" w:rsidRDefault="003977AF" w:rsidP="003977AF">
      <w:pPr>
        <w:rPr>
          <w:color w:val="auto"/>
        </w:rPr>
      </w:pPr>
      <w:r w:rsidRPr="0099478A">
        <w:rPr>
          <w:color w:val="auto"/>
        </w:rPr>
        <w:t xml:space="preserve">The metabolism of </w:t>
      </w:r>
      <w:proofErr w:type="spellStart"/>
      <w:r w:rsidRPr="0099478A">
        <w:rPr>
          <w:color w:val="auto"/>
        </w:rPr>
        <w:t>satralizumab</w:t>
      </w:r>
      <w:proofErr w:type="spellEnd"/>
      <w:r w:rsidRPr="0099478A">
        <w:rPr>
          <w:color w:val="auto"/>
        </w:rPr>
        <w:t xml:space="preserve"> has not been directly studied, as monoclonal antibodies are principally cleared by catabolism.</w:t>
      </w:r>
    </w:p>
    <w:p w14:paraId="6A68BC51" w14:textId="77777777" w:rsidR="00D52399" w:rsidRPr="0099478A" w:rsidRDefault="00D52399">
      <w:pPr>
        <w:rPr>
          <w:color w:val="auto"/>
        </w:rPr>
      </w:pPr>
    </w:p>
    <w:p w14:paraId="4F0D5E18" w14:textId="60929D82" w:rsidR="00BA0878" w:rsidRPr="0099478A" w:rsidRDefault="00BA0878">
      <w:pPr>
        <w:rPr>
          <w:b/>
          <w:color w:val="auto"/>
        </w:rPr>
      </w:pPr>
      <w:r w:rsidRPr="0099478A">
        <w:rPr>
          <w:b/>
          <w:color w:val="auto"/>
        </w:rPr>
        <w:t>Excretion</w:t>
      </w:r>
    </w:p>
    <w:p w14:paraId="73B169E7" w14:textId="5C6D6119" w:rsidR="003977AF" w:rsidRPr="0099478A" w:rsidRDefault="003977AF" w:rsidP="003977AF">
      <w:pPr>
        <w:rPr>
          <w:color w:val="auto"/>
        </w:rPr>
      </w:pPr>
      <w:r w:rsidRPr="0099478A">
        <w:rPr>
          <w:color w:val="auto"/>
        </w:rPr>
        <w:t xml:space="preserve">The total clearance of </w:t>
      </w:r>
      <w:proofErr w:type="spellStart"/>
      <w:r w:rsidRPr="0099478A">
        <w:rPr>
          <w:color w:val="auto"/>
        </w:rPr>
        <w:t>satralizumab</w:t>
      </w:r>
      <w:proofErr w:type="spellEnd"/>
      <w:r w:rsidRPr="0099478A">
        <w:rPr>
          <w:color w:val="auto"/>
        </w:rPr>
        <w:t xml:space="preserve"> is </w:t>
      </w:r>
      <w:proofErr w:type="gramStart"/>
      <w:r w:rsidRPr="0099478A">
        <w:rPr>
          <w:color w:val="auto"/>
        </w:rPr>
        <w:t>concentration-dependent</w:t>
      </w:r>
      <w:proofErr w:type="gramEnd"/>
      <w:r w:rsidRPr="0099478A">
        <w:rPr>
          <w:color w:val="auto"/>
        </w:rPr>
        <w:t>. Linear clearance (accounting for approximately half of the total clearance at steady state using the recommended dose in NMO and NMOSD patie</w:t>
      </w:r>
      <w:r w:rsidR="00DF5BC3" w:rsidRPr="0099478A">
        <w:rPr>
          <w:color w:val="auto"/>
        </w:rPr>
        <w:t>nts) is estimated to be 0.0601 L</w:t>
      </w:r>
      <w:r w:rsidRPr="0099478A">
        <w:rPr>
          <w:color w:val="auto"/>
        </w:rPr>
        <w:t xml:space="preserve">/day (95% CI: </w:t>
      </w:r>
      <w:r w:rsidR="009D4824" w:rsidRPr="009D4824">
        <w:rPr>
          <w:color w:val="auto"/>
        </w:rPr>
        <w:t>0.0513 - 0.0689</w:t>
      </w:r>
      <w:r w:rsidRPr="0099478A">
        <w:rPr>
          <w:color w:val="auto"/>
        </w:rPr>
        <w:t xml:space="preserve">). </w:t>
      </w:r>
      <w:r w:rsidR="000413E5" w:rsidRPr="000413E5">
        <w:rPr>
          <w:color w:val="auto"/>
        </w:rPr>
        <w:t xml:space="preserve">Using the recommended dosing regimen, </w:t>
      </w:r>
      <w:r w:rsidR="000413E5">
        <w:rPr>
          <w:color w:val="auto"/>
        </w:rPr>
        <w:t>t</w:t>
      </w:r>
      <w:r w:rsidRPr="0099478A">
        <w:rPr>
          <w:color w:val="auto"/>
        </w:rPr>
        <w:t>he associated t</w:t>
      </w:r>
      <w:r w:rsidRPr="0099478A">
        <w:rPr>
          <w:color w:val="auto"/>
          <w:vertAlign w:val="subscript"/>
        </w:rPr>
        <w:t>1/2</w:t>
      </w:r>
      <w:r w:rsidRPr="0099478A">
        <w:rPr>
          <w:color w:val="auto"/>
        </w:rPr>
        <w:t xml:space="preserve"> </w:t>
      </w:r>
      <w:r w:rsidR="000413E5" w:rsidRPr="000413E5">
        <w:rPr>
          <w:color w:val="auto"/>
        </w:rPr>
        <w:t xml:space="preserve">based on total clearance </w:t>
      </w:r>
      <w:r w:rsidRPr="0099478A">
        <w:rPr>
          <w:color w:val="auto"/>
        </w:rPr>
        <w:t>is approximately 30 days (</w:t>
      </w:r>
      <w:r w:rsidR="000413E5">
        <w:rPr>
          <w:color w:val="auto"/>
        </w:rPr>
        <w:t>ranging between</w:t>
      </w:r>
      <w:r w:rsidRPr="0099478A">
        <w:rPr>
          <w:color w:val="auto"/>
        </w:rPr>
        <w:t xml:space="preserve"> 22-37 days</w:t>
      </w:r>
      <w:r w:rsidR="000413E5">
        <w:rPr>
          <w:color w:val="auto"/>
        </w:rPr>
        <w:t xml:space="preserve"> </w:t>
      </w:r>
      <w:r w:rsidR="000413E5" w:rsidRPr="000413E5">
        <w:rPr>
          <w:color w:val="auto"/>
        </w:rPr>
        <w:t>throughout the dosing interval</w:t>
      </w:r>
      <w:r w:rsidRPr="0099478A">
        <w:rPr>
          <w:color w:val="auto"/>
        </w:rPr>
        <w:t>) based on data pooled from the phase 3 studies.</w:t>
      </w:r>
    </w:p>
    <w:p w14:paraId="2AE381A8" w14:textId="502D3382" w:rsidR="00486398" w:rsidRDefault="00486398" w:rsidP="003977AF">
      <w:pPr>
        <w:rPr>
          <w:color w:val="auto"/>
        </w:rPr>
      </w:pPr>
    </w:p>
    <w:p w14:paraId="711DEDBF" w14:textId="6FB19801" w:rsidR="003E065E" w:rsidRDefault="003E065E" w:rsidP="003977AF">
      <w:pPr>
        <w:rPr>
          <w:color w:val="auto"/>
        </w:rPr>
      </w:pPr>
    </w:p>
    <w:p w14:paraId="0B215102" w14:textId="77777777" w:rsidR="003E065E" w:rsidRPr="0099478A" w:rsidRDefault="003E065E" w:rsidP="003977AF">
      <w:pPr>
        <w:rPr>
          <w:color w:val="auto"/>
        </w:rPr>
      </w:pPr>
    </w:p>
    <w:p w14:paraId="4178DDB4" w14:textId="091009E2" w:rsidR="00486398" w:rsidRPr="0099478A" w:rsidRDefault="00486398" w:rsidP="00486398">
      <w:pPr>
        <w:pStyle w:val="Heading3"/>
        <w:rPr>
          <w:color w:val="auto"/>
        </w:rPr>
      </w:pPr>
      <w:r w:rsidRPr="0099478A">
        <w:rPr>
          <w:color w:val="auto"/>
        </w:rPr>
        <w:lastRenderedPageBreak/>
        <w:t>Special populations</w:t>
      </w:r>
    </w:p>
    <w:p w14:paraId="0F1CEB30" w14:textId="738BC5F6" w:rsidR="00486398" w:rsidRPr="0099478A" w:rsidRDefault="00486398" w:rsidP="00486398">
      <w:pPr>
        <w:rPr>
          <w:color w:val="auto"/>
        </w:rPr>
      </w:pPr>
      <w:r w:rsidRPr="0099478A">
        <w:rPr>
          <w:color w:val="auto"/>
        </w:rPr>
        <w:t xml:space="preserve">Population pharmacokinetic analyses in adult patients with NMO or NMOSD showed that age, gender, and race did not meaningfully influence the pharmacokinetics of </w:t>
      </w:r>
      <w:proofErr w:type="spellStart"/>
      <w:r w:rsidRPr="0099478A">
        <w:rPr>
          <w:color w:val="auto"/>
        </w:rPr>
        <w:t>satralizumab</w:t>
      </w:r>
      <w:proofErr w:type="spellEnd"/>
      <w:r w:rsidRPr="0099478A">
        <w:rPr>
          <w:color w:val="auto"/>
        </w:rPr>
        <w:t xml:space="preserve">. Although body weight influenced the pharmacokinetics of </w:t>
      </w:r>
      <w:proofErr w:type="spellStart"/>
      <w:r w:rsidRPr="0099478A">
        <w:rPr>
          <w:color w:val="auto"/>
        </w:rPr>
        <w:t>satralizumab</w:t>
      </w:r>
      <w:proofErr w:type="spellEnd"/>
      <w:r w:rsidRPr="0099478A">
        <w:rPr>
          <w:color w:val="auto"/>
        </w:rPr>
        <w:t>, no dose adjustments are recommended for any of these demographics.</w:t>
      </w:r>
    </w:p>
    <w:p w14:paraId="0FD23403" w14:textId="70D7CF48" w:rsidR="00486398" w:rsidRPr="0099478A" w:rsidRDefault="00486398" w:rsidP="00486398">
      <w:pPr>
        <w:pStyle w:val="Heading4"/>
        <w:rPr>
          <w:color w:val="auto"/>
        </w:rPr>
      </w:pPr>
      <w:r w:rsidRPr="0099478A">
        <w:rPr>
          <w:color w:val="auto"/>
        </w:rPr>
        <w:t>Paediatric population</w:t>
      </w:r>
    </w:p>
    <w:p w14:paraId="0F1C0E79" w14:textId="59CDBD4A" w:rsidR="00486398" w:rsidRPr="0099478A" w:rsidRDefault="00486398" w:rsidP="00486398">
      <w:pPr>
        <w:rPr>
          <w:color w:val="auto"/>
        </w:rPr>
      </w:pPr>
      <w:r w:rsidRPr="0099478A">
        <w:rPr>
          <w:color w:val="auto"/>
        </w:rPr>
        <w:t>Data obt</w:t>
      </w:r>
      <w:r w:rsidR="00DF5BC3" w:rsidRPr="0099478A">
        <w:rPr>
          <w:color w:val="auto"/>
        </w:rPr>
        <w:t>ained in 8 adolescent patients (</w:t>
      </w:r>
      <w:r w:rsidRPr="0099478A">
        <w:rPr>
          <w:color w:val="auto"/>
        </w:rPr>
        <w:t>13-1</w:t>
      </w:r>
      <w:r w:rsidR="00DF5BC3" w:rsidRPr="0099478A">
        <w:rPr>
          <w:color w:val="auto"/>
        </w:rPr>
        <w:t>7 years)</w:t>
      </w:r>
      <w:r w:rsidRPr="0099478A">
        <w:rPr>
          <w:color w:val="auto"/>
        </w:rPr>
        <w:t xml:space="preserve"> who received the adult dosing regimen show that population PK parameters for </w:t>
      </w:r>
      <w:proofErr w:type="spellStart"/>
      <w:r w:rsidRPr="0099478A">
        <w:rPr>
          <w:color w:val="auto"/>
        </w:rPr>
        <w:t>satralizumab</w:t>
      </w:r>
      <w:proofErr w:type="spellEnd"/>
      <w:r w:rsidRPr="0099478A">
        <w:rPr>
          <w:color w:val="auto"/>
        </w:rPr>
        <w:t xml:space="preserve"> are not significantly different from those in the adult population. </w:t>
      </w:r>
    </w:p>
    <w:p w14:paraId="48CD35F6" w14:textId="5185A51C" w:rsidR="00486398" w:rsidRPr="0099478A" w:rsidRDefault="00486398" w:rsidP="00486398">
      <w:pPr>
        <w:pStyle w:val="Heading4"/>
        <w:rPr>
          <w:color w:val="auto"/>
        </w:rPr>
      </w:pPr>
      <w:r w:rsidRPr="0099478A">
        <w:rPr>
          <w:color w:val="auto"/>
        </w:rPr>
        <w:t>Elderly</w:t>
      </w:r>
    </w:p>
    <w:p w14:paraId="1D34F135" w14:textId="5891CC5E" w:rsidR="00486398" w:rsidRPr="0099478A" w:rsidRDefault="00486398" w:rsidP="00486398">
      <w:pPr>
        <w:rPr>
          <w:color w:val="auto"/>
        </w:rPr>
      </w:pPr>
      <w:r w:rsidRPr="0099478A">
        <w:rPr>
          <w:color w:val="auto"/>
        </w:rPr>
        <w:t xml:space="preserve">No dedicated studies have been conducted to investigate the PK of </w:t>
      </w:r>
      <w:proofErr w:type="spellStart"/>
      <w:r w:rsidRPr="0099478A">
        <w:rPr>
          <w:color w:val="auto"/>
        </w:rPr>
        <w:t>satralizumab</w:t>
      </w:r>
      <w:proofErr w:type="spellEnd"/>
      <w:r w:rsidRPr="0099478A">
        <w:rPr>
          <w:color w:val="auto"/>
        </w:rPr>
        <w:t xml:space="preserve"> in patients ≥ 65 years, however patients with NMO or NMOSD between 65 and 74 years were included in the BN40898 and BN40900 clinical studies.</w:t>
      </w:r>
    </w:p>
    <w:p w14:paraId="6C5A0B63" w14:textId="77777777" w:rsidR="00486398" w:rsidRPr="0099478A" w:rsidRDefault="00486398" w:rsidP="00486398">
      <w:pPr>
        <w:rPr>
          <w:color w:val="auto"/>
        </w:rPr>
      </w:pPr>
    </w:p>
    <w:p w14:paraId="18F3EC94" w14:textId="0EB4FF7F" w:rsidR="00486398" w:rsidRPr="0099478A" w:rsidRDefault="00486398" w:rsidP="00486398">
      <w:pPr>
        <w:rPr>
          <w:color w:val="auto"/>
        </w:rPr>
      </w:pPr>
      <w:r w:rsidRPr="0099478A">
        <w:rPr>
          <w:color w:val="auto"/>
        </w:rPr>
        <w:t xml:space="preserve">Population PK analyses based on data from these patients showed that age did not affect the PK of </w:t>
      </w:r>
      <w:proofErr w:type="spellStart"/>
      <w:r w:rsidRPr="0099478A">
        <w:rPr>
          <w:color w:val="auto"/>
        </w:rPr>
        <w:t>satralizumab</w:t>
      </w:r>
      <w:proofErr w:type="spellEnd"/>
      <w:r w:rsidRPr="0099478A">
        <w:rPr>
          <w:color w:val="auto"/>
        </w:rPr>
        <w:t>.</w:t>
      </w:r>
    </w:p>
    <w:p w14:paraId="5FBA9BA3" w14:textId="644728C5" w:rsidR="00486398" w:rsidRPr="0099478A" w:rsidRDefault="00486398" w:rsidP="00486398">
      <w:pPr>
        <w:pStyle w:val="Heading4"/>
        <w:rPr>
          <w:color w:val="auto"/>
        </w:rPr>
      </w:pPr>
      <w:r w:rsidRPr="0099478A">
        <w:rPr>
          <w:color w:val="auto"/>
        </w:rPr>
        <w:t>Renal impairment</w:t>
      </w:r>
    </w:p>
    <w:p w14:paraId="364B584F" w14:textId="6822956C" w:rsidR="00CE7F13" w:rsidRPr="0099478A" w:rsidRDefault="00486398" w:rsidP="00486398">
      <w:pPr>
        <w:rPr>
          <w:color w:val="auto"/>
        </w:rPr>
      </w:pPr>
      <w:r w:rsidRPr="0099478A">
        <w:rPr>
          <w:color w:val="auto"/>
        </w:rPr>
        <w:t xml:space="preserve">No formal study of the effect of renal impairment on the PK of </w:t>
      </w:r>
      <w:proofErr w:type="spellStart"/>
      <w:r w:rsidRPr="0099478A">
        <w:rPr>
          <w:color w:val="auto"/>
        </w:rPr>
        <w:t>satralizumab</w:t>
      </w:r>
      <w:proofErr w:type="spellEnd"/>
      <w:r w:rsidRPr="0099478A">
        <w:rPr>
          <w:color w:val="auto"/>
        </w:rPr>
        <w:t xml:space="preserve"> has been conducted. However, patients with mild renal impairment (creatinine c</w:t>
      </w:r>
      <w:r w:rsidR="00DF5BC3" w:rsidRPr="0099478A">
        <w:rPr>
          <w:color w:val="auto"/>
        </w:rPr>
        <w:t>learance &lt; 80 mL/min and ≥ 50 mL</w:t>
      </w:r>
      <w:r w:rsidRPr="0099478A">
        <w:rPr>
          <w:color w:val="auto"/>
        </w:rPr>
        <w:t xml:space="preserve">/min) were included in the BN40898 and BN40900 clinical studies. As anticipated based on the known mechanisms of clearance for </w:t>
      </w:r>
      <w:proofErr w:type="spellStart"/>
      <w:r w:rsidRPr="0099478A">
        <w:rPr>
          <w:color w:val="auto"/>
        </w:rPr>
        <w:t>satralizumab</w:t>
      </w:r>
      <w:proofErr w:type="spellEnd"/>
      <w:r w:rsidRPr="0099478A">
        <w:rPr>
          <w:color w:val="auto"/>
        </w:rPr>
        <w:t xml:space="preserve">, the PK in these patients was not impacted and therefore </w:t>
      </w:r>
      <w:r w:rsidR="0022796C" w:rsidRPr="0099478A">
        <w:rPr>
          <w:color w:val="auto"/>
        </w:rPr>
        <w:t>no dose adjustment is required.</w:t>
      </w:r>
    </w:p>
    <w:p w14:paraId="457AB622" w14:textId="5FEC2529" w:rsidR="00486398" w:rsidRPr="0099478A" w:rsidRDefault="00486398" w:rsidP="00486398">
      <w:pPr>
        <w:pStyle w:val="Heading4"/>
        <w:rPr>
          <w:color w:val="auto"/>
        </w:rPr>
      </w:pPr>
      <w:r w:rsidRPr="0099478A">
        <w:rPr>
          <w:color w:val="auto"/>
        </w:rPr>
        <w:t>Hepatic impairment</w:t>
      </w:r>
    </w:p>
    <w:p w14:paraId="015A74FC" w14:textId="4AF0ECAC" w:rsidR="00486398" w:rsidRPr="0099478A" w:rsidRDefault="00486398" w:rsidP="00486398">
      <w:pPr>
        <w:rPr>
          <w:color w:val="auto"/>
        </w:rPr>
      </w:pPr>
      <w:r w:rsidRPr="0099478A">
        <w:rPr>
          <w:color w:val="auto"/>
        </w:rPr>
        <w:t xml:space="preserve">No formal study of the effect of hepatic impairment on the PK of </w:t>
      </w:r>
      <w:proofErr w:type="spellStart"/>
      <w:r w:rsidRPr="0099478A">
        <w:rPr>
          <w:color w:val="auto"/>
        </w:rPr>
        <w:t>satralizumab</w:t>
      </w:r>
      <w:proofErr w:type="spellEnd"/>
      <w:r w:rsidRPr="0099478A">
        <w:rPr>
          <w:color w:val="auto"/>
        </w:rPr>
        <w:t xml:space="preserve"> has been conducted.</w:t>
      </w:r>
    </w:p>
    <w:p w14:paraId="1799B68B" w14:textId="77777777" w:rsidR="00486398" w:rsidRPr="0099478A" w:rsidRDefault="00486398" w:rsidP="00486398">
      <w:pPr>
        <w:rPr>
          <w:color w:val="auto"/>
        </w:rPr>
      </w:pPr>
    </w:p>
    <w:p w14:paraId="5FD15BF1" w14:textId="2275ADD0" w:rsidR="00D52399" w:rsidRPr="0099478A" w:rsidRDefault="00902EBE" w:rsidP="009F4C5B">
      <w:pPr>
        <w:pStyle w:val="Heading2"/>
        <w:spacing w:before="0"/>
        <w:rPr>
          <w:color w:val="auto"/>
        </w:rPr>
      </w:pPr>
      <w:r w:rsidRPr="0099478A">
        <w:rPr>
          <w:color w:val="auto"/>
        </w:rPr>
        <w:t>5.3</w:t>
      </w:r>
      <w:r w:rsidRPr="0099478A">
        <w:rPr>
          <w:color w:val="auto"/>
        </w:rPr>
        <w:tab/>
        <w:t>PRECLINICAL SAFETY DATA</w:t>
      </w:r>
    </w:p>
    <w:p w14:paraId="638C9709" w14:textId="366AFF34" w:rsidR="00486398" w:rsidRPr="0099478A" w:rsidRDefault="00363C7F" w:rsidP="00DF5BC3">
      <w:pPr>
        <w:pStyle w:val="Heading3"/>
        <w:spacing w:before="120"/>
        <w:rPr>
          <w:color w:val="auto"/>
        </w:rPr>
      </w:pPr>
      <w:proofErr w:type="spellStart"/>
      <w:r w:rsidRPr="0099478A">
        <w:rPr>
          <w:color w:val="auto"/>
        </w:rPr>
        <w:t>Genotoxity</w:t>
      </w:r>
      <w:proofErr w:type="spellEnd"/>
    </w:p>
    <w:p w14:paraId="41CD457B" w14:textId="1A3FFEE7" w:rsidR="00486398" w:rsidRPr="0099478A" w:rsidRDefault="00486398" w:rsidP="00486398">
      <w:pPr>
        <w:rPr>
          <w:color w:val="auto"/>
        </w:rPr>
      </w:pPr>
      <w:r w:rsidRPr="0099478A">
        <w:rPr>
          <w:color w:val="auto"/>
        </w:rPr>
        <w:t xml:space="preserve">No studies have been performed to establish the mutagenic </w:t>
      </w:r>
      <w:r w:rsidR="006A5CE2">
        <w:rPr>
          <w:color w:val="auto"/>
        </w:rPr>
        <w:t xml:space="preserve">genotoxic </w:t>
      </w:r>
      <w:r w:rsidRPr="0099478A">
        <w:rPr>
          <w:color w:val="auto"/>
        </w:rPr>
        <w:t xml:space="preserve">potential of </w:t>
      </w:r>
      <w:proofErr w:type="spellStart"/>
      <w:r w:rsidRPr="0099478A">
        <w:rPr>
          <w:color w:val="auto"/>
        </w:rPr>
        <w:t>satralizumab</w:t>
      </w:r>
      <w:proofErr w:type="spellEnd"/>
      <w:r w:rsidRPr="0099478A">
        <w:rPr>
          <w:color w:val="auto"/>
        </w:rPr>
        <w:t>. Antibodies are not expected to cause effects on DNA.</w:t>
      </w:r>
    </w:p>
    <w:p w14:paraId="491D796D" w14:textId="77777777" w:rsidR="00486398" w:rsidRPr="0099478A" w:rsidRDefault="00486398" w:rsidP="00486398">
      <w:pPr>
        <w:rPr>
          <w:color w:val="auto"/>
        </w:rPr>
      </w:pPr>
    </w:p>
    <w:p w14:paraId="7F419515" w14:textId="77777777" w:rsidR="00B1134D" w:rsidRPr="0099478A" w:rsidRDefault="00363C7F" w:rsidP="00B1134D">
      <w:pPr>
        <w:pStyle w:val="Heading3"/>
        <w:rPr>
          <w:color w:val="auto"/>
        </w:rPr>
      </w:pPr>
      <w:proofErr w:type="spellStart"/>
      <w:r w:rsidRPr="0099478A">
        <w:rPr>
          <w:color w:val="auto"/>
        </w:rPr>
        <w:t>Carconogenicity</w:t>
      </w:r>
      <w:proofErr w:type="spellEnd"/>
    </w:p>
    <w:p w14:paraId="120152AC" w14:textId="04310842" w:rsidR="00045105" w:rsidRPr="0099478A" w:rsidRDefault="00486398" w:rsidP="00486398">
      <w:pPr>
        <w:rPr>
          <w:color w:val="auto"/>
        </w:rPr>
      </w:pPr>
      <w:r w:rsidRPr="0099478A">
        <w:rPr>
          <w:color w:val="auto"/>
        </w:rPr>
        <w:t>No rodent carcinogenicity studies have been performed. Proliferat</w:t>
      </w:r>
      <w:r w:rsidR="00E03622">
        <w:rPr>
          <w:color w:val="auto"/>
        </w:rPr>
        <w:t>ing</w:t>
      </w:r>
      <w:r w:rsidRPr="0099478A">
        <w:rPr>
          <w:color w:val="auto"/>
        </w:rPr>
        <w:t xml:space="preserve"> lesions </w:t>
      </w:r>
      <w:r w:rsidR="00E03622">
        <w:rPr>
          <w:color w:val="auto"/>
        </w:rPr>
        <w:t>were</w:t>
      </w:r>
      <w:r w:rsidR="00E03622" w:rsidRPr="0099478A">
        <w:rPr>
          <w:color w:val="auto"/>
        </w:rPr>
        <w:t xml:space="preserve"> </w:t>
      </w:r>
      <w:r w:rsidRPr="0099478A">
        <w:rPr>
          <w:color w:val="auto"/>
        </w:rPr>
        <w:t>not observed in cynomolgus monkey</w:t>
      </w:r>
      <w:r w:rsidR="00E03622">
        <w:rPr>
          <w:color w:val="auto"/>
        </w:rPr>
        <w:t>s</w:t>
      </w:r>
      <w:r w:rsidRPr="0099478A">
        <w:rPr>
          <w:color w:val="auto"/>
        </w:rPr>
        <w:t xml:space="preserve"> </w:t>
      </w:r>
      <w:r w:rsidR="00E03622" w:rsidRPr="00E03622">
        <w:rPr>
          <w:color w:val="auto"/>
        </w:rPr>
        <w:t xml:space="preserve">administered weekly subcutaneous doses of </w:t>
      </w:r>
      <w:proofErr w:type="spellStart"/>
      <w:r w:rsidR="00E03622" w:rsidRPr="00E03622">
        <w:rPr>
          <w:color w:val="auto"/>
        </w:rPr>
        <w:t>satralizumab</w:t>
      </w:r>
      <w:proofErr w:type="spellEnd"/>
      <w:r w:rsidR="00E03622" w:rsidRPr="00E03622">
        <w:rPr>
          <w:color w:val="auto"/>
        </w:rPr>
        <w:t xml:space="preserve"> at 50 mg/kg for </w:t>
      </w:r>
      <w:r w:rsidRPr="0099478A">
        <w:rPr>
          <w:color w:val="auto"/>
        </w:rPr>
        <w:t>6</w:t>
      </w:r>
      <w:r w:rsidR="00E03622">
        <w:rPr>
          <w:color w:val="auto"/>
        </w:rPr>
        <w:t xml:space="preserve"> </w:t>
      </w:r>
      <w:r w:rsidRPr="0099478A">
        <w:rPr>
          <w:color w:val="auto"/>
        </w:rPr>
        <w:t>month</w:t>
      </w:r>
      <w:r w:rsidR="00E03622">
        <w:rPr>
          <w:color w:val="auto"/>
        </w:rPr>
        <w:t xml:space="preserve">s </w:t>
      </w:r>
      <w:r w:rsidR="00E03622" w:rsidRPr="00E03622">
        <w:rPr>
          <w:color w:val="auto"/>
        </w:rPr>
        <w:t>(AUC exposure at least 100-fold higher than in human patients receiving</w:t>
      </w:r>
      <w:r w:rsidR="003E065E">
        <w:rPr>
          <w:color w:val="auto"/>
        </w:rPr>
        <w:t xml:space="preserve"> </w:t>
      </w:r>
      <w:proofErr w:type="spellStart"/>
      <w:r w:rsidR="003E065E">
        <w:rPr>
          <w:color w:val="auto"/>
        </w:rPr>
        <w:t>Enspryng</w:t>
      </w:r>
      <w:proofErr w:type="spellEnd"/>
      <w:r w:rsidR="003E065E">
        <w:rPr>
          <w:color w:val="auto"/>
        </w:rPr>
        <w:t xml:space="preserve"> 120 mg every 4 weeks)</w:t>
      </w:r>
      <w:r w:rsidRPr="0099478A">
        <w:rPr>
          <w:color w:val="auto"/>
        </w:rPr>
        <w:t>.</w:t>
      </w:r>
    </w:p>
    <w:p w14:paraId="4FEBF156" w14:textId="179D37C1" w:rsidR="00331E93" w:rsidRPr="0099478A" w:rsidRDefault="00331E93" w:rsidP="006E718C">
      <w:pPr>
        <w:rPr>
          <w:color w:val="auto"/>
        </w:rPr>
      </w:pPr>
    </w:p>
    <w:p w14:paraId="1AAF60BC" w14:textId="77777777" w:rsidR="00D52399" w:rsidRPr="0099478A" w:rsidRDefault="00615052" w:rsidP="009F4C5B">
      <w:pPr>
        <w:pStyle w:val="Heading1"/>
        <w:numPr>
          <w:ilvl w:val="0"/>
          <w:numId w:val="2"/>
        </w:numPr>
        <w:spacing w:before="0"/>
        <w:rPr>
          <w:color w:val="auto"/>
        </w:rPr>
      </w:pPr>
      <w:r w:rsidRPr="0099478A">
        <w:rPr>
          <w:color w:val="auto"/>
        </w:rPr>
        <w:t>PHARMACEUTICAL PARTICULARS</w:t>
      </w:r>
    </w:p>
    <w:p w14:paraId="551EBE7F" w14:textId="77777777" w:rsidR="00D52399" w:rsidRPr="0099478A" w:rsidRDefault="00CC6729" w:rsidP="009F4C5B">
      <w:pPr>
        <w:pStyle w:val="Heading2"/>
        <w:spacing w:before="0"/>
        <w:rPr>
          <w:color w:val="auto"/>
        </w:rPr>
      </w:pPr>
      <w:r w:rsidRPr="0099478A">
        <w:rPr>
          <w:color w:val="auto"/>
        </w:rPr>
        <w:t>6.1</w:t>
      </w:r>
      <w:r w:rsidRPr="0099478A">
        <w:rPr>
          <w:color w:val="auto"/>
        </w:rPr>
        <w:tab/>
        <w:t>LIST OF EXCIPIENTS</w:t>
      </w:r>
    </w:p>
    <w:p w14:paraId="15AB02CE" w14:textId="654783AD" w:rsidR="00595DAE" w:rsidRPr="0099478A" w:rsidRDefault="00376CC6" w:rsidP="00595DAE">
      <w:pPr>
        <w:rPr>
          <w:color w:val="auto"/>
        </w:rPr>
      </w:pPr>
      <w:r w:rsidRPr="0099478A">
        <w:rPr>
          <w:color w:val="auto"/>
        </w:rPr>
        <w:t>Histidine, aspartic a</w:t>
      </w:r>
      <w:r w:rsidR="00595DAE" w:rsidRPr="0099478A">
        <w:rPr>
          <w:color w:val="auto"/>
        </w:rPr>
        <w:t>cid, arginine, poloxamer 188, water for injections</w:t>
      </w:r>
    </w:p>
    <w:p w14:paraId="3506A564" w14:textId="77777777" w:rsidR="00595DAE" w:rsidRPr="0099478A" w:rsidRDefault="00595DAE" w:rsidP="00595DAE">
      <w:pPr>
        <w:rPr>
          <w:b/>
          <w:color w:val="auto"/>
        </w:rPr>
      </w:pPr>
    </w:p>
    <w:p w14:paraId="25BA5706" w14:textId="344D5462" w:rsidR="00D52399" w:rsidRPr="0099478A" w:rsidRDefault="00902EBE" w:rsidP="00595DAE">
      <w:pPr>
        <w:pStyle w:val="Heading2"/>
        <w:spacing w:before="0"/>
        <w:rPr>
          <w:color w:val="auto"/>
        </w:rPr>
      </w:pPr>
      <w:r w:rsidRPr="0099478A">
        <w:rPr>
          <w:color w:val="auto"/>
        </w:rPr>
        <w:t>6.2</w:t>
      </w:r>
      <w:r w:rsidRPr="0099478A">
        <w:rPr>
          <w:color w:val="auto"/>
        </w:rPr>
        <w:tab/>
        <w:t>INCOMPATIBILITIES</w:t>
      </w:r>
    </w:p>
    <w:p w14:paraId="23684A00" w14:textId="0B8BBEF7" w:rsidR="00D52399" w:rsidRDefault="00615052">
      <w:pPr>
        <w:rPr>
          <w:color w:val="auto"/>
        </w:rPr>
      </w:pPr>
      <w:r w:rsidRPr="0099478A">
        <w:rPr>
          <w:color w:val="auto"/>
        </w:rPr>
        <w:t xml:space="preserve">In the absence of compatibility studies, this medicine must not </w:t>
      </w:r>
      <w:r w:rsidR="00595DAE" w:rsidRPr="0099478A">
        <w:rPr>
          <w:color w:val="auto"/>
        </w:rPr>
        <w:t>be mixed with other medicines.</w:t>
      </w:r>
    </w:p>
    <w:p w14:paraId="0B29BB09" w14:textId="77777777" w:rsidR="003E065E" w:rsidRPr="0099478A" w:rsidRDefault="003E065E">
      <w:pPr>
        <w:rPr>
          <w:color w:val="auto"/>
        </w:rPr>
      </w:pPr>
    </w:p>
    <w:p w14:paraId="1567D7AA" w14:textId="1852DC5E" w:rsidR="00D52399" w:rsidRPr="0099478A" w:rsidRDefault="00D52399">
      <w:pPr>
        <w:rPr>
          <w:color w:val="auto"/>
        </w:rPr>
      </w:pPr>
    </w:p>
    <w:p w14:paraId="390A3660" w14:textId="77777777" w:rsidR="00D52399" w:rsidRPr="0099478A" w:rsidRDefault="00902EBE" w:rsidP="009F4C5B">
      <w:pPr>
        <w:pStyle w:val="Heading2"/>
        <w:spacing w:before="0"/>
        <w:rPr>
          <w:color w:val="auto"/>
        </w:rPr>
      </w:pPr>
      <w:r w:rsidRPr="0099478A">
        <w:rPr>
          <w:color w:val="auto"/>
        </w:rPr>
        <w:lastRenderedPageBreak/>
        <w:t>6.3</w:t>
      </w:r>
      <w:r w:rsidRPr="0099478A">
        <w:rPr>
          <w:color w:val="auto"/>
        </w:rPr>
        <w:tab/>
        <w:t>SHELF LIFE</w:t>
      </w:r>
    </w:p>
    <w:p w14:paraId="57D4DB76" w14:textId="61F1BFD5" w:rsidR="00D52399" w:rsidRPr="0099478A" w:rsidRDefault="006B70BA">
      <w:pPr>
        <w:rPr>
          <w:color w:val="auto"/>
          <w:szCs w:val="22"/>
        </w:rPr>
      </w:pPr>
      <w:r w:rsidRPr="0099478A">
        <w:rPr>
          <w:color w:val="auto"/>
          <w:szCs w:val="22"/>
        </w:rPr>
        <w:t>24</w:t>
      </w:r>
      <w:r w:rsidR="00615052" w:rsidRPr="0099478A">
        <w:rPr>
          <w:color w:val="auto"/>
          <w:szCs w:val="22"/>
        </w:rPr>
        <w:t xml:space="preserve"> months</w:t>
      </w:r>
    </w:p>
    <w:p w14:paraId="1BF42EDD" w14:textId="77777777" w:rsidR="008903F2" w:rsidRPr="0099478A" w:rsidRDefault="008903F2" w:rsidP="00A875DF">
      <w:pPr>
        <w:rPr>
          <w:color w:val="auto"/>
          <w:sz w:val="22"/>
          <w:szCs w:val="22"/>
        </w:rPr>
      </w:pPr>
    </w:p>
    <w:p w14:paraId="15C2E8CC" w14:textId="77777777" w:rsidR="00D52399" w:rsidRPr="0099478A" w:rsidRDefault="00902EBE" w:rsidP="00A875DF">
      <w:pPr>
        <w:pStyle w:val="Heading2"/>
        <w:spacing w:before="0"/>
        <w:rPr>
          <w:color w:val="auto"/>
        </w:rPr>
      </w:pPr>
      <w:r w:rsidRPr="0099478A">
        <w:rPr>
          <w:color w:val="auto"/>
        </w:rPr>
        <w:t>6.4</w:t>
      </w:r>
      <w:r w:rsidRPr="0099478A">
        <w:rPr>
          <w:color w:val="auto"/>
        </w:rPr>
        <w:tab/>
        <w:t>SPECIAL PRECAUTIONS FOR STORAGE</w:t>
      </w:r>
    </w:p>
    <w:p w14:paraId="7169887D" w14:textId="3B9DD7BD" w:rsidR="00D52399" w:rsidRPr="0099478A" w:rsidRDefault="001F29B4" w:rsidP="00A875DF">
      <w:pPr>
        <w:rPr>
          <w:color w:val="auto"/>
        </w:rPr>
      </w:pPr>
      <w:r w:rsidRPr="0099478A">
        <w:rPr>
          <w:color w:val="auto"/>
        </w:rPr>
        <w:t>Store at 2°C – 8°C in a refrigerator until ready to use</w:t>
      </w:r>
      <w:r w:rsidR="006B70BA" w:rsidRPr="0099478A">
        <w:rPr>
          <w:color w:val="auto"/>
        </w:rPr>
        <w:t>. Do not freeze. Do not use the syringe if it has been frozen. Always keep the syringe dry.</w:t>
      </w:r>
    </w:p>
    <w:p w14:paraId="445DBB6C" w14:textId="612153CC" w:rsidR="007966A5" w:rsidRPr="0099478A" w:rsidRDefault="007966A5" w:rsidP="00A875DF">
      <w:pPr>
        <w:rPr>
          <w:color w:val="auto"/>
        </w:rPr>
      </w:pPr>
    </w:p>
    <w:p w14:paraId="5698B39E" w14:textId="0B57CAD5" w:rsidR="007966A5" w:rsidRPr="0099478A" w:rsidRDefault="007966A5" w:rsidP="00A875DF">
      <w:pPr>
        <w:rPr>
          <w:color w:val="auto"/>
        </w:rPr>
      </w:pPr>
      <w:r w:rsidRPr="0099478A">
        <w:rPr>
          <w:color w:val="auto"/>
        </w:rPr>
        <w:t>Do not shake.</w:t>
      </w:r>
    </w:p>
    <w:p w14:paraId="73C22E3C" w14:textId="77777777" w:rsidR="006B70BA" w:rsidRPr="0099478A" w:rsidRDefault="006B70BA" w:rsidP="00A875DF">
      <w:pPr>
        <w:rPr>
          <w:color w:val="auto"/>
        </w:rPr>
      </w:pPr>
    </w:p>
    <w:p w14:paraId="1B3D0744" w14:textId="6CC8F093" w:rsidR="006B70BA" w:rsidRPr="0099478A" w:rsidRDefault="006B70BA" w:rsidP="00A875DF">
      <w:pPr>
        <w:rPr>
          <w:color w:val="auto"/>
        </w:rPr>
      </w:pPr>
      <w:r w:rsidRPr="0099478A">
        <w:rPr>
          <w:color w:val="auto"/>
        </w:rPr>
        <w:t xml:space="preserve">Keep the PFS in the outer carton </w:t>
      </w:r>
      <w:proofErr w:type="gramStart"/>
      <w:r w:rsidRPr="0099478A">
        <w:rPr>
          <w:color w:val="auto"/>
        </w:rPr>
        <w:t>in order to</w:t>
      </w:r>
      <w:proofErr w:type="gramEnd"/>
      <w:r w:rsidRPr="0099478A">
        <w:rPr>
          <w:color w:val="auto"/>
        </w:rPr>
        <w:t xml:space="preserve"> protect from light and moisture.</w:t>
      </w:r>
    </w:p>
    <w:p w14:paraId="139E9131" w14:textId="77777777" w:rsidR="006B70BA" w:rsidRPr="0099478A" w:rsidRDefault="006B70BA" w:rsidP="00A875DF">
      <w:pPr>
        <w:rPr>
          <w:color w:val="auto"/>
        </w:rPr>
      </w:pPr>
    </w:p>
    <w:p w14:paraId="0F4C7EEB" w14:textId="534B879E" w:rsidR="006B70BA" w:rsidRPr="0099478A" w:rsidRDefault="006B70BA" w:rsidP="00A875DF">
      <w:pPr>
        <w:rPr>
          <w:color w:val="auto"/>
        </w:rPr>
      </w:pPr>
      <w:proofErr w:type="spellStart"/>
      <w:r w:rsidRPr="0099478A">
        <w:rPr>
          <w:color w:val="auto"/>
        </w:rPr>
        <w:t>Enspryng</w:t>
      </w:r>
      <w:proofErr w:type="spellEnd"/>
      <w:r w:rsidRPr="0099478A">
        <w:rPr>
          <w:color w:val="auto"/>
        </w:rPr>
        <w:t xml:space="preserve">, if unopened and kept in the outer carton, can be removed </w:t>
      </w:r>
      <w:proofErr w:type="gramStart"/>
      <w:r w:rsidRPr="0099478A">
        <w:rPr>
          <w:color w:val="auto"/>
        </w:rPr>
        <w:t>from</w:t>
      </w:r>
      <w:proofErr w:type="gramEnd"/>
      <w:r w:rsidRPr="0099478A">
        <w:rPr>
          <w:color w:val="auto"/>
        </w:rPr>
        <w:t xml:space="preserve"> and returned to the</w:t>
      </w:r>
    </w:p>
    <w:p w14:paraId="78A60DF4" w14:textId="11B0904C" w:rsidR="00D52399" w:rsidRPr="0099478A" w:rsidRDefault="006B70BA" w:rsidP="00A875DF">
      <w:pPr>
        <w:rPr>
          <w:color w:val="auto"/>
        </w:rPr>
      </w:pPr>
      <w:r w:rsidRPr="0099478A">
        <w:rPr>
          <w:color w:val="auto"/>
        </w:rPr>
        <w:t>refrigerator, if necessary. If stored at room temperature, the total combined time out of refrigeration should not exceed 8 days at a temperature that does not exceed 30°C</w:t>
      </w:r>
      <w:r w:rsidR="007966A5" w:rsidRPr="0099478A">
        <w:rPr>
          <w:color w:val="auto"/>
        </w:rPr>
        <w:t>.</w:t>
      </w:r>
    </w:p>
    <w:p w14:paraId="1572553C" w14:textId="147B7E61" w:rsidR="00D52399" w:rsidRPr="0099478A" w:rsidRDefault="00902EBE" w:rsidP="00A875DF">
      <w:pPr>
        <w:pStyle w:val="Heading2"/>
        <w:rPr>
          <w:color w:val="auto"/>
        </w:rPr>
      </w:pPr>
      <w:r w:rsidRPr="0099478A">
        <w:rPr>
          <w:color w:val="auto"/>
        </w:rPr>
        <w:t>6.5</w:t>
      </w:r>
      <w:r w:rsidRPr="0099478A">
        <w:rPr>
          <w:color w:val="auto"/>
        </w:rPr>
        <w:tab/>
        <w:t xml:space="preserve">NATURE AND CONTENTS OF CONTAINER </w:t>
      </w:r>
    </w:p>
    <w:p w14:paraId="1B294650" w14:textId="5C4F5A85" w:rsidR="006B70BA" w:rsidRPr="0099478A" w:rsidRDefault="006B70BA" w:rsidP="00A875DF">
      <w:pPr>
        <w:rPr>
          <w:color w:val="auto"/>
          <w:szCs w:val="22"/>
        </w:rPr>
      </w:pPr>
      <w:r w:rsidRPr="0099478A">
        <w:rPr>
          <w:color w:val="auto"/>
          <w:szCs w:val="22"/>
        </w:rPr>
        <w:t>1 m</w:t>
      </w:r>
      <w:r w:rsidR="00C2740A" w:rsidRPr="0099478A">
        <w:rPr>
          <w:color w:val="auto"/>
          <w:szCs w:val="22"/>
        </w:rPr>
        <w:t>L</w:t>
      </w:r>
      <w:r w:rsidRPr="0099478A">
        <w:rPr>
          <w:color w:val="auto"/>
          <w:szCs w:val="22"/>
        </w:rPr>
        <w:t xml:space="preserve"> solution in a PFS (polymer) with a staked-in, stainless steel needle, fitted with a chlorinated butyl rubber-polypropylene rigid needle shield and sealed with a chlorinated butyl rubber plunger stopper. The PFS is labelled and assembled with a needle safety device (NSD), plunger rod, and extended finger flanges (EFF).</w:t>
      </w:r>
    </w:p>
    <w:p w14:paraId="1C4E499B" w14:textId="77777777" w:rsidR="006B70BA" w:rsidRPr="0099478A" w:rsidRDefault="006B70BA" w:rsidP="00A875DF">
      <w:pPr>
        <w:rPr>
          <w:color w:val="auto"/>
          <w:szCs w:val="22"/>
        </w:rPr>
      </w:pPr>
    </w:p>
    <w:p w14:paraId="5E3CA18E" w14:textId="1B7DF3D3" w:rsidR="00D52399" w:rsidRPr="0099478A" w:rsidRDefault="006B70BA" w:rsidP="00A875DF">
      <w:pPr>
        <w:rPr>
          <w:color w:val="auto"/>
          <w:sz w:val="28"/>
        </w:rPr>
      </w:pPr>
      <w:r w:rsidRPr="0099478A">
        <w:rPr>
          <w:color w:val="auto"/>
          <w:szCs w:val="22"/>
        </w:rPr>
        <w:t>Pack size of 1 PFS.</w:t>
      </w:r>
    </w:p>
    <w:p w14:paraId="570EBEB8" w14:textId="3947BF80" w:rsidR="00D52399" w:rsidRPr="0099478A" w:rsidRDefault="00902EBE" w:rsidP="009819CA">
      <w:pPr>
        <w:pStyle w:val="Heading2"/>
        <w:rPr>
          <w:color w:val="auto"/>
        </w:rPr>
      </w:pPr>
      <w:r w:rsidRPr="0099478A">
        <w:rPr>
          <w:color w:val="auto"/>
        </w:rPr>
        <w:t>6.6</w:t>
      </w:r>
      <w:r w:rsidRPr="0099478A">
        <w:rPr>
          <w:color w:val="auto"/>
        </w:rPr>
        <w:tab/>
      </w:r>
      <w:r w:rsidR="009819CA" w:rsidRPr="0099478A">
        <w:rPr>
          <w:color w:val="auto"/>
        </w:rPr>
        <w:t xml:space="preserve">SPECIAL PRECAUTIONS FOR DISPOSAL AND OTHER HANDLING </w:t>
      </w:r>
    </w:p>
    <w:p w14:paraId="01241BF2" w14:textId="2197D0F5" w:rsidR="006B70BA" w:rsidRPr="0099478A" w:rsidRDefault="006B70BA" w:rsidP="00A875DF">
      <w:pPr>
        <w:rPr>
          <w:color w:val="auto"/>
        </w:rPr>
      </w:pPr>
      <w:proofErr w:type="spellStart"/>
      <w:r w:rsidRPr="0099478A">
        <w:rPr>
          <w:color w:val="auto"/>
        </w:rPr>
        <w:t>Enspryng</w:t>
      </w:r>
      <w:proofErr w:type="spellEnd"/>
      <w:r w:rsidRPr="0099478A">
        <w:rPr>
          <w:color w:val="auto"/>
        </w:rPr>
        <w:t xml:space="preserve"> is supplied in a single-dose PFS assembled with a needle safety device. After removing the carton from the refrigerator, open the sealed carton and carefully lift the PFS out of the carton by holding the barrel. It is important to let the PFS reach room temperature by waiting for 30 minutes before initiating the administration process.</w:t>
      </w:r>
    </w:p>
    <w:p w14:paraId="7AEA1B48" w14:textId="77777777" w:rsidR="006B70BA" w:rsidRPr="0099478A" w:rsidRDefault="006B70BA" w:rsidP="00A875DF">
      <w:pPr>
        <w:rPr>
          <w:color w:val="auto"/>
        </w:rPr>
      </w:pPr>
    </w:p>
    <w:p w14:paraId="74C905A0" w14:textId="032BC973" w:rsidR="006B70BA" w:rsidRPr="0099478A" w:rsidRDefault="006B70BA" w:rsidP="00A875DF">
      <w:pPr>
        <w:rPr>
          <w:color w:val="auto"/>
        </w:rPr>
      </w:pPr>
      <w:r w:rsidRPr="0099478A">
        <w:rPr>
          <w:color w:val="auto"/>
        </w:rPr>
        <w:t>Do not use the medicine if the liquid is cloudy, discoloured, has visible particles in it or if any part of the PFS appears to be damaged.</w:t>
      </w:r>
    </w:p>
    <w:p w14:paraId="3A6CEBFC" w14:textId="77777777" w:rsidR="006B70BA" w:rsidRPr="0099478A" w:rsidRDefault="006B70BA" w:rsidP="00A875DF">
      <w:pPr>
        <w:rPr>
          <w:color w:val="auto"/>
        </w:rPr>
      </w:pPr>
    </w:p>
    <w:p w14:paraId="54623651" w14:textId="5600BD33" w:rsidR="006B70BA" w:rsidRDefault="006B70BA" w:rsidP="00A875DF">
      <w:pPr>
        <w:rPr>
          <w:color w:val="auto"/>
        </w:rPr>
      </w:pPr>
      <w:r w:rsidRPr="0099478A">
        <w:rPr>
          <w:color w:val="auto"/>
        </w:rPr>
        <w:t>After removing the cap, the injection must be started within 5 minutes, to prevent the medicine from drying out and blocking the needle. If the pre-filled syringe is not used within 5 minutes of removing the cap, you must dispose of it in a puncture resistant container and use a new pre-filled syringe.</w:t>
      </w:r>
    </w:p>
    <w:p w14:paraId="7567268A" w14:textId="1890FA89" w:rsidR="00DA6CCC" w:rsidRDefault="00DA6CCC" w:rsidP="00A875DF">
      <w:pPr>
        <w:rPr>
          <w:color w:val="auto"/>
        </w:rPr>
      </w:pPr>
    </w:p>
    <w:p w14:paraId="0CE80F92" w14:textId="258DE91D" w:rsidR="00DA6CCC" w:rsidRPr="0099478A" w:rsidRDefault="00DA6CCC" w:rsidP="00A875DF">
      <w:pPr>
        <w:rPr>
          <w:color w:val="auto"/>
        </w:rPr>
      </w:pPr>
      <w:proofErr w:type="spellStart"/>
      <w:r w:rsidRPr="00DA6CCC">
        <w:rPr>
          <w:color w:val="auto"/>
        </w:rPr>
        <w:t>Enspryng</w:t>
      </w:r>
      <w:proofErr w:type="spellEnd"/>
      <w:r w:rsidRPr="00DA6CCC">
        <w:rPr>
          <w:color w:val="auto"/>
        </w:rPr>
        <w:t xml:space="preserve"> is for single use in one patient only. Discard any residue.</w:t>
      </w:r>
    </w:p>
    <w:p w14:paraId="7824B054" w14:textId="22183803" w:rsidR="00D52399" w:rsidRPr="0099478A" w:rsidRDefault="00D52399" w:rsidP="00A875DF">
      <w:pPr>
        <w:rPr>
          <w:color w:val="auto"/>
        </w:rPr>
      </w:pPr>
    </w:p>
    <w:p w14:paraId="1D8602B5" w14:textId="4A754E4E" w:rsidR="005F49B8" w:rsidRDefault="008903F2" w:rsidP="00A875DF">
      <w:pPr>
        <w:spacing w:after="240"/>
        <w:rPr>
          <w:color w:val="auto"/>
        </w:rPr>
      </w:pPr>
      <w:r w:rsidRPr="0099478A">
        <w:rPr>
          <w:color w:val="auto"/>
        </w:rPr>
        <w:t>In Australia, any unused medicine or waste material should be disposed of by taking to your local pharmacy.</w:t>
      </w:r>
    </w:p>
    <w:p w14:paraId="6013F600" w14:textId="77777777" w:rsidR="008903F2" w:rsidRPr="0099478A" w:rsidRDefault="00902EBE" w:rsidP="00A875DF">
      <w:pPr>
        <w:pStyle w:val="Heading2"/>
        <w:spacing w:before="0"/>
        <w:rPr>
          <w:color w:val="auto"/>
        </w:rPr>
      </w:pPr>
      <w:r w:rsidRPr="0099478A">
        <w:rPr>
          <w:color w:val="auto"/>
        </w:rPr>
        <w:t>6.7</w:t>
      </w:r>
      <w:r w:rsidRPr="0099478A">
        <w:rPr>
          <w:color w:val="auto"/>
        </w:rPr>
        <w:tab/>
        <w:t xml:space="preserve">PHYSIOCHEMICAL PROPERTIES </w:t>
      </w:r>
    </w:p>
    <w:p w14:paraId="78D15548" w14:textId="77777777" w:rsidR="009B3628" w:rsidRPr="0099478A" w:rsidRDefault="009B3628" w:rsidP="00A875DF">
      <w:pPr>
        <w:rPr>
          <w:b/>
          <w:color w:val="auto"/>
        </w:rPr>
      </w:pPr>
      <w:r w:rsidRPr="0099478A">
        <w:rPr>
          <w:b/>
          <w:color w:val="auto"/>
        </w:rPr>
        <w:t>Chemical structure</w:t>
      </w:r>
    </w:p>
    <w:p w14:paraId="1FDBC7F8" w14:textId="50F041E0" w:rsidR="0022796C" w:rsidRPr="0099478A" w:rsidRDefault="00E1584E" w:rsidP="0022796C">
      <w:pPr>
        <w:rPr>
          <w:color w:val="auto"/>
        </w:rPr>
      </w:pPr>
      <w:proofErr w:type="spellStart"/>
      <w:r w:rsidRPr="0099478A">
        <w:rPr>
          <w:color w:val="auto"/>
        </w:rPr>
        <w:t>Enspryng</w:t>
      </w:r>
      <w:proofErr w:type="spellEnd"/>
      <w:r w:rsidRPr="0099478A">
        <w:rPr>
          <w:color w:val="auto"/>
        </w:rPr>
        <w:t xml:space="preserve"> is a recombinant humanised immunoglobulin G2 (IgG2) monoclonal antibody against the human interleukin-6 receptor (IL-6R), produced in Chinese hamster ovary cells by recombinant DNA technology (including a pH-dependent binding technology). </w:t>
      </w:r>
      <w:r w:rsidR="0022796C" w:rsidRPr="0099478A">
        <w:rPr>
          <w:color w:val="auto"/>
        </w:rPr>
        <w:t xml:space="preserve">Each light chain and heavy chain </w:t>
      </w:r>
      <w:proofErr w:type="gramStart"/>
      <w:r w:rsidR="0022796C" w:rsidRPr="0099478A">
        <w:rPr>
          <w:color w:val="auto"/>
        </w:rPr>
        <w:t>consists</w:t>
      </w:r>
      <w:proofErr w:type="gramEnd"/>
      <w:r w:rsidR="0022796C" w:rsidRPr="0099478A">
        <w:rPr>
          <w:color w:val="auto"/>
        </w:rPr>
        <w:t xml:space="preserve"> of 214 and 443 amino acids, respectively. </w:t>
      </w:r>
      <w:proofErr w:type="spellStart"/>
      <w:r w:rsidR="0022796C" w:rsidRPr="0099478A">
        <w:rPr>
          <w:color w:val="auto"/>
        </w:rPr>
        <w:t>Satralizumab</w:t>
      </w:r>
      <w:proofErr w:type="spellEnd"/>
      <w:r w:rsidR="0022796C" w:rsidRPr="0099478A">
        <w:rPr>
          <w:color w:val="auto"/>
        </w:rPr>
        <w:t xml:space="preserve"> is a glycoprotein with an approximate molecular weight of 143 </w:t>
      </w:r>
      <w:proofErr w:type="spellStart"/>
      <w:r w:rsidR="0022796C" w:rsidRPr="0099478A">
        <w:rPr>
          <w:color w:val="auto"/>
        </w:rPr>
        <w:t>kDa</w:t>
      </w:r>
      <w:proofErr w:type="spellEnd"/>
      <w:r w:rsidRPr="0099478A">
        <w:rPr>
          <w:color w:val="auto"/>
        </w:rPr>
        <w:t>.</w:t>
      </w:r>
      <w:r w:rsidR="0022796C" w:rsidRPr="0099478A">
        <w:rPr>
          <w:color w:val="auto"/>
        </w:rPr>
        <w:t xml:space="preserve"> </w:t>
      </w:r>
    </w:p>
    <w:p w14:paraId="0F79917C" w14:textId="3C1E86E6" w:rsidR="009B3628" w:rsidRDefault="009B3628" w:rsidP="00A875DF">
      <w:pPr>
        <w:rPr>
          <w:color w:val="auto"/>
        </w:rPr>
      </w:pPr>
    </w:p>
    <w:p w14:paraId="7A29FEDE" w14:textId="77777777" w:rsidR="003E065E" w:rsidRPr="0099478A" w:rsidRDefault="003E065E" w:rsidP="00A875DF">
      <w:pPr>
        <w:rPr>
          <w:color w:val="auto"/>
        </w:rPr>
      </w:pPr>
    </w:p>
    <w:p w14:paraId="45CF0050" w14:textId="27A37689" w:rsidR="009B3628" w:rsidRPr="0099478A" w:rsidRDefault="009B3628" w:rsidP="00A875DF">
      <w:pPr>
        <w:spacing w:after="240"/>
        <w:rPr>
          <w:b/>
          <w:color w:val="auto"/>
        </w:rPr>
      </w:pPr>
      <w:r w:rsidRPr="0099478A">
        <w:rPr>
          <w:b/>
          <w:color w:val="auto"/>
        </w:rPr>
        <w:lastRenderedPageBreak/>
        <w:t>CAS number</w:t>
      </w:r>
      <w:r w:rsidR="00792C92" w:rsidRPr="0099478A">
        <w:rPr>
          <w:b/>
          <w:color w:val="auto"/>
        </w:rPr>
        <w:t>:</w:t>
      </w:r>
    </w:p>
    <w:p w14:paraId="4507210A" w14:textId="51B897F2" w:rsidR="00294F6F" w:rsidRPr="0099478A" w:rsidRDefault="00294F6F" w:rsidP="00294F6F">
      <w:pPr>
        <w:rPr>
          <w:color w:val="auto"/>
        </w:rPr>
      </w:pPr>
      <w:r w:rsidRPr="0099478A">
        <w:rPr>
          <w:color w:val="auto"/>
        </w:rPr>
        <w:t>1535963‑91‑7</w:t>
      </w:r>
    </w:p>
    <w:p w14:paraId="31A9FE60" w14:textId="77777777" w:rsidR="00294F6F" w:rsidRPr="0099478A" w:rsidRDefault="00294F6F" w:rsidP="00294F6F">
      <w:pPr>
        <w:rPr>
          <w:color w:val="auto"/>
        </w:rPr>
      </w:pPr>
    </w:p>
    <w:p w14:paraId="314BD4BB" w14:textId="77777777" w:rsidR="00D52399" w:rsidRPr="0099478A" w:rsidRDefault="00615052" w:rsidP="009F4C5B">
      <w:pPr>
        <w:pStyle w:val="Heading1"/>
        <w:numPr>
          <w:ilvl w:val="0"/>
          <w:numId w:val="2"/>
        </w:numPr>
        <w:spacing w:before="0"/>
        <w:rPr>
          <w:color w:val="auto"/>
        </w:rPr>
      </w:pPr>
      <w:r w:rsidRPr="0099478A">
        <w:rPr>
          <w:color w:val="auto"/>
        </w:rPr>
        <w:t xml:space="preserve"> MEDICINE SCHEDULE</w:t>
      </w:r>
      <w:r w:rsidR="00594C19" w:rsidRPr="0099478A">
        <w:rPr>
          <w:color w:val="auto"/>
        </w:rPr>
        <w:t xml:space="preserve"> (POISONS STANDARD)</w:t>
      </w:r>
    </w:p>
    <w:p w14:paraId="452CD157" w14:textId="5BDEA0F9" w:rsidR="00D52399" w:rsidRPr="0099478A" w:rsidRDefault="006B70BA" w:rsidP="009F4C5B">
      <w:pPr>
        <w:spacing w:after="240"/>
        <w:rPr>
          <w:color w:val="auto"/>
          <w:sz w:val="28"/>
        </w:rPr>
      </w:pPr>
      <w:r w:rsidRPr="0099478A">
        <w:rPr>
          <w:color w:val="auto"/>
          <w:szCs w:val="22"/>
        </w:rPr>
        <w:t>P</w:t>
      </w:r>
      <w:r w:rsidR="00792C92" w:rsidRPr="0099478A">
        <w:rPr>
          <w:color w:val="auto"/>
          <w:szCs w:val="22"/>
        </w:rPr>
        <w:t>rescription O</w:t>
      </w:r>
      <w:r w:rsidRPr="0099478A">
        <w:rPr>
          <w:color w:val="auto"/>
          <w:szCs w:val="22"/>
        </w:rPr>
        <w:t>nly</w:t>
      </w:r>
      <w:r w:rsidR="00792C92" w:rsidRPr="0099478A">
        <w:rPr>
          <w:color w:val="auto"/>
          <w:szCs w:val="22"/>
        </w:rPr>
        <w:t xml:space="preserve"> M</w:t>
      </w:r>
      <w:r w:rsidRPr="0099478A">
        <w:rPr>
          <w:color w:val="auto"/>
          <w:szCs w:val="22"/>
        </w:rPr>
        <w:t>edicine</w:t>
      </w:r>
    </w:p>
    <w:p w14:paraId="6367D46A" w14:textId="77777777" w:rsidR="00D52399" w:rsidRPr="0099478A" w:rsidRDefault="00615052" w:rsidP="009F4C5B">
      <w:pPr>
        <w:pStyle w:val="Heading1"/>
        <w:numPr>
          <w:ilvl w:val="0"/>
          <w:numId w:val="2"/>
        </w:numPr>
        <w:spacing w:before="0"/>
        <w:rPr>
          <w:color w:val="auto"/>
        </w:rPr>
      </w:pPr>
      <w:r w:rsidRPr="0099478A">
        <w:rPr>
          <w:color w:val="auto"/>
        </w:rPr>
        <w:t>SPONSOR</w:t>
      </w:r>
    </w:p>
    <w:p w14:paraId="5B129F67" w14:textId="77777777" w:rsidR="00363C7F" w:rsidRPr="0099478A" w:rsidRDefault="00363C7F" w:rsidP="00363C7F">
      <w:pPr>
        <w:rPr>
          <w:color w:val="auto"/>
          <w:lang w:val="en-GB"/>
        </w:rPr>
      </w:pPr>
      <w:r w:rsidRPr="0099478A">
        <w:rPr>
          <w:color w:val="auto"/>
          <w:lang w:val="en-GB"/>
        </w:rPr>
        <w:t>Roche Products Pty Limited</w:t>
      </w:r>
    </w:p>
    <w:p w14:paraId="747A2189" w14:textId="77777777" w:rsidR="00363C7F" w:rsidRPr="0099478A" w:rsidRDefault="00363C7F" w:rsidP="00363C7F">
      <w:pPr>
        <w:rPr>
          <w:color w:val="auto"/>
          <w:lang w:val="en-GB"/>
        </w:rPr>
      </w:pPr>
      <w:r w:rsidRPr="0099478A">
        <w:rPr>
          <w:color w:val="auto"/>
          <w:lang w:val="en-GB"/>
        </w:rPr>
        <w:t>ABN 70 000 132 865</w:t>
      </w:r>
    </w:p>
    <w:p w14:paraId="0C656CEC" w14:textId="77777777" w:rsidR="00363C7F" w:rsidRPr="0099478A" w:rsidRDefault="00363C7F" w:rsidP="00363C7F">
      <w:pPr>
        <w:rPr>
          <w:color w:val="auto"/>
          <w:lang w:val="en-GB"/>
        </w:rPr>
      </w:pPr>
      <w:r w:rsidRPr="0099478A">
        <w:rPr>
          <w:color w:val="auto"/>
          <w:lang w:val="en-GB"/>
        </w:rPr>
        <w:t xml:space="preserve">Level 8, 30 – 34 Hickson Road </w:t>
      </w:r>
    </w:p>
    <w:p w14:paraId="2A105FCB" w14:textId="77777777" w:rsidR="00363C7F" w:rsidRPr="0099478A" w:rsidRDefault="00363C7F" w:rsidP="00363C7F">
      <w:pPr>
        <w:rPr>
          <w:color w:val="auto"/>
          <w:lang w:val="en-GB"/>
        </w:rPr>
      </w:pPr>
      <w:r w:rsidRPr="0099478A">
        <w:rPr>
          <w:color w:val="auto"/>
          <w:lang w:val="en-GB"/>
        </w:rPr>
        <w:t>Sydney NSW 2000</w:t>
      </w:r>
    </w:p>
    <w:p w14:paraId="5137C237" w14:textId="77777777" w:rsidR="00363C7F" w:rsidRPr="0099478A" w:rsidRDefault="00363C7F" w:rsidP="00363C7F">
      <w:pPr>
        <w:rPr>
          <w:color w:val="auto"/>
          <w:lang w:val="en-GB"/>
        </w:rPr>
      </w:pPr>
      <w:r w:rsidRPr="0099478A">
        <w:rPr>
          <w:color w:val="auto"/>
          <w:lang w:val="en-GB"/>
        </w:rPr>
        <w:t>AUSTRALIA</w:t>
      </w:r>
    </w:p>
    <w:p w14:paraId="63229F28" w14:textId="77777777" w:rsidR="00363C7F" w:rsidRPr="0099478A" w:rsidRDefault="00363C7F" w:rsidP="00363C7F">
      <w:pPr>
        <w:rPr>
          <w:color w:val="auto"/>
          <w:lang w:val="en-GB"/>
        </w:rPr>
      </w:pPr>
    </w:p>
    <w:p w14:paraId="42409FF1" w14:textId="77777777" w:rsidR="00363C7F" w:rsidRPr="0099478A" w:rsidRDefault="00363C7F" w:rsidP="009F4C5B">
      <w:pPr>
        <w:spacing w:after="240"/>
        <w:rPr>
          <w:color w:val="auto"/>
        </w:rPr>
      </w:pPr>
      <w:r w:rsidRPr="0099478A">
        <w:rPr>
          <w:color w:val="auto"/>
          <w:lang w:val="en-GB"/>
        </w:rPr>
        <w:t>Medical enquiries: 1800 233 950</w:t>
      </w:r>
    </w:p>
    <w:p w14:paraId="4444B54B" w14:textId="77777777" w:rsidR="00D52399" w:rsidRPr="0099478A" w:rsidRDefault="00615052" w:rsidP="009F4C5B">
      <w:pPr>
        <w:pStyle w:val="Heading1"/>
        <w:numPr>
          <w:ilvl w:val="0"/>
          <w:numId w:val="2"/>
        </w:numPr>
        <w:spacing w:before="0"/>
        <w:rPr>
          <w:color w:val="auto"/>
        </w:rPr>
      </w:pPr>
      <w:r w:rsidRPr="0099478A">
        <w:rPr>
          <w:color w:val="auto"/>
        </w:rPr>
        <w:t>DATE OF FIRST APPROVAL</w:t>
      </w:r>
    </w:p>
    <w:p w14:paraId="1AEBE8CC" w14:textId="5619BA44" w:rsidR="00D52399" w:rsidRPr="0099478A" w:rsidRDefault="00A94D71">
      <w:pPr>
        <w:rPr>
          <w:color w:val="auto"/>
        </w:rPr>
      </w:pPr>
      <w:r>
        <w:rPr>
          <w:color w:val="auto"/>
        </w:rPr>
        <w:t>17 November 2020</w:t>
      </w:r>
    </w:p>
    <w:p w14:paraId="674E98D3" w14:textId="77777777" w:rsidR="009B3628" w:rsidRPr="0099478A" w:rsidRDefault="009B3628">
      <w:pPr>
        <w:rPr>
          <w:color w:val="auto"/>
        </w:rPr>
      </w:pPr>
    </w:p>
    <w:p w14:paraId="19180D50" w14:textId="77777777" w:rsidR="00D47C46" w:rsidRPr="0099478A" w:rsidRDefault="00615052" w:rsidP="00D47C46">
      <w:pPr>
        <w:pStyle w:val="Heading1"/>
        <w:numPr>
          <w:ilvl w:val="0"/>
          <w:numId w:val="2"/>
        </w:numPr>
        <w:spacing w:before="0"/>
        <w:rPr>
          <w:color w:val="auto"/>
        </w:rPr>
      </w:pPr>
      <w:r w:rsidRPr="0099478A">
        <w:rPr>
          <w:color w:val="auto"/>
        </w:rPr>
        <w:t xml:space="preserve">DATE OF REVISION </w:t>
      </w:r>
    </w:p>
    <w:p w14:paraId="22D5E4B7" w14:textId="6FEE52A6" w:rsidR="00C21E2A" w:rsidRDefault="00A94D71" w:rsidP="00C21E2A">
      <w:pPr>
        <w:rPr>
          <w:color w:val="auto"/>
        </w:rPr>
      </w:pPr>
      <w:r>
        <w:rPr>
          <w:color w:val="auto"/>
        </w:rPr>
        <w:t>17 November 2020</w:t>
      </w:r>
    </w:p>
    <w:p w14:paraId="1F8D0826" w14:textId="70B8B7BF" w:rsidR="003E065E" w:rsidRDefault="003E065E" w:rsidP="00C21E2A">
      <w:pPr>
        <w:rPr>
          <w:color w:val="auto"/>
        </w:rPr>
      </w:pPr>
    </w:p>
    <w:p w14:paraId="796E1185" w14:textId="77777777" w:rsidR="003E065E" w:rsidRPr="0099478A" w:rsidRDefault="003E065E" w:rsidP="00C21E2A">
      <w:pPr>
        <w:rPr>
          <w:color w:val="auto"/>
        </w:rPr>
      </w:pPr>
    </w:p>
    <w:p w14:paraId="30B752AA" w14:textId="63B47146" w:rsidR="00D52399" w:rsidRPr="0099478A" w:rsidRDefault="00902EBE" w:rsidP="00A8585F">
      <w:pPr>
        <w:pStyle w:val="Heading3"/>
        <w:spacing w:after="240"/>
        <w:rPr>
          <w:color w:val="auto"/>
        </w:rPr>
      </w:pPr>
      <w:r w:rsidRPr="0099478A">
        <w:rPr>
          <w:color w:val="auto"/>
        </w:rPr>
        <w:t>Summary table of changes</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rsidRPr="0099478A" w14:paraId="7127B23B" w14:textId="77777777" w:rsidTr="00407592">
        <w:tc>
          <w:tcPr>
            <w:tcW w:w="1951" w:type="dxa"/>
          </w:tcPr>
          <w:p w14:paraId="03EB1489" w14:textId="77777777" w:rsidR="00D52399" w:rsidRPr="0099478A" w:rsidRDefault="00615052">
            <w:pPr>
              <w:rPr>
                <w:b/>
                <w:color w:val="auto"/>
              </w:rPr>
            </w:pPr>
            <w:r w:rsidRPr="0099478A">
              <w:rPr>
                <w:b/>
                <w:color w:val="auto"/>
              </w:rPr>
              <w:t>Section Changed</w:t>
            </w:r>
          </w:p>
        </w:tc>
        <w:tc>
          <w:tcPr>
            <w:tcW w:w="7291" w:type="dxa"/>
          </w:tcPr>
          <w:p w14:paraId="6C7F77E6" w14:textId="77777777" w:rsidR="00D52399" w:rsidRPr="0099478A" w:rsidRDefault="00615052">
            <w:pPr>
              <w:rPr>
                <w:b/>
                <w:color w:val="auto"/>
              </w:rPr>
            </w:pPr>
            <w:r w:rsidRPr="0099478A">
              <w:rPr>
                <w:b/>
                <w:color w:val="auto"/>
              </w:rPr>
              <w:t>Summary of new information</w:t>
            </w:r>
          </w:p>
        </w:tc>
      </w:tr>
      <w:tr w:rsidR="00D52399" w:rsidRPr="0099478A" w14:paraId="666DF7D7" w14:textId="77777777" w:rsidTr="00407592">
        <w:tc>
          <w:tcPr>
            <w:tcW w:w="1951" w:type="dxa"/>
          </w:tcPr>
          <w:p w14:paraId="1AED6F0E" w14:textId="14E67E24" w:rsidR="00D52399" w:rsidRPr="0099478A" w:rsidRDefault="00A94D71">
            <w:pPr>
              <w:rPr>
                <w:color w:val="auto"/>
              </w:rPr>
            </w:pPr>
            <w:r>
              <w:rPr>
                <w:color w:val="auto"/>
              </w:rPr>
              <w:t>All</w:t>
            </w:r>
          </w:p>
        </w:tc>
        <w:tc>
          <w:tcPr>
            <w:tcW w:w="7291" w:type="dxa"/>
          </w:tcPr>
          <w:p w14:paraId="21CA3C09" w14:textId="603E63E4" w:rsidR="00D52399" w:rsidRPr="0099478A" w:rsidRDefault="00A94D71">
            <w:pPr>
              <w:rPr>
                <w:color w:val="auto"/>
              </w:rPr>
            </w:pPr>
            <w:r w:rsidRPr="00A94D71">
              <w:rPr>
                <w:color w:val="auto"/>
              </w:rPr>
              <w:t xml:space="preserve">Initial PI for </w:t>
            </w:r>
            <w:proofErr w:type="spellStart"/>
            <w:r w:rsidRPr="00A94D71">
              <w:rPr>
                <w:color w:val="auto"/>
              </w:rPr>
              <w:t>Enspryng</w:t>
            </w:r>
            <w:proofErr w:type="spellEnd"/>
          </w:p>
        </w:tc>
      </w:tr>
    </w:tbl>
    <w:p w14:paraId="23C9D364" w14:textId="77777777" w:rsidR="00D52399" w:rsidRPr="0099478A" w:rsidRDefault="00D52399">
      <w:pPr>
        <w:rPr>
          <w:color w:val="auto"/>
        </w:rPr>
      </w:pPr>
    </w:p>
    <w:sectPr w:rsidR="00D52399" w:rsidRPr="0099478A" w:rsidSect="00C9761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8E883" w14:textId="77777777" w:rsidR="00E85F92" w:rsidRDefault="00E85F92">
      <w:r>
        <w:separator/>
      </w:r>
    </w:p>
  </w:endnote>
  <w:endnote w:type="continuationSeparator" w:id="0">
    <w:p w14:paraId="542D9390" w14:textId="77777777" w:rsidR="00E85F92" w:rsidRDefault="00E85F92">
      <w:r>
        <w:continuationSeparator/>
      </w:r>
    </w:p>
  </w:endnote>
  <w:endnote w:type="continuationNotice" w:id="1">
    <w:p w14:paraId="7C1E5783" w14:textId="77777777" w:rsidR="00E85F92" w:rsidRDefault="00E85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146A5" w14:textId="77777777" w:rsidR="00622F00" w:rsidRDefault="00622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F4C34" w14:textId="0653116E" w:rsidR="00A6362F" w:rsidRPr="00CC6729" w:rsidRDefault="00A6362F" w:rsidP="00A8585F">
    <w:pPr>
      <w:tabs>
        <w:tab w:val="center" w:pos="4513"/>
        <w:tab w:val="right" w:pos="9026"/>
      </w:tabs>
      <w:rPr>
        <w:sz w:val="20"/>
        <w:szCs w:val="20"/>
      </w:rPr>
    </w:pPr>
    <w:r>
      <w:rPr>
        <w:sz w:val="20"/>
        <w:szCs w:val="20"/>
      </w:rPr>
      <w:t>ropenspr</w:t>
    </w:r>
    <w:r w:rsidR="00A94D71">
      <w:rPr>
        <w:sz w:val="20"/>
        <w:szCs w:val="20"/>
      </w:rPr>
      <w:t>1</w:t>
    </w:r>
    <w:r>
      <w:rPr>
        <w:sz w:val="20"/>
        <w:szCs w:val="20"/>
      </w:rPr>
      <w:t>1</w:t>
    </w:r>
    <w:r w:rsidR="00807950">
      <w:rPr>
        <w:sz w:val="20"/>
        <w:szCs w:val="20"/>
      </w:rPr>
      <w:t>1</w:t>
    </w:r>
    <w:r w:rsidRPr="00DA6CCC">
      <w:rPr>
        <w:sz w:val="20"/>
        <w:szCs w:val="20"/>
      </w:rPr>
      <w:t>20</w:t>
    </w:r>
    <w:r w:rsidRPr="00CC6729">
      <w:rPr>
        <w:sz w:val="20"/>
        <w:szCs w:val="20"/>
      </w:rPr>
      <w:tab/>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581509">
      <w:rPr>
        <w:noProof/>
        <w:sz w:val="20"/>
        <w:szCs w:val="20"/>
      </w:rPr>
      <w:t>21</w:t>
    </w:r>
    <w:r w:rsidRPr="00CC672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89B41" w14:textId="17ADE3C2" w:rsidR="00A6362F" w:rsidRPr="00CC6729" w:rsidRDefault="009D2217" w:rsidP="00CC6729">
    <w:pPr>
      <w:tabs>
        <w:tab w:val="center" w:pos="4513"/>
        <w:tab w:val="right" w:pos="9026"/>
      </w:tabs>
      <w:rPr>
        <w:sz w:val="20"/>
        <w:szCs w:val="20"/>
      </w:rPr>
    </w:pPr>
    <w:r>
      <w:rPr>
        <w:sz w:val="20"/>
        <w:szCs w:val="20"/>
      </w:rPr>
      <w:t>ropenspry</w:t>
    </w:r>
    <w:r w:rsidR="00A94D71">
      <w:rPr>
        <w:sz w:val="20"/>
        <w:szCs w:val="20"/>
      </w:rPr>
      <w:t>1</w:t>
    </w:r>
    <w:r w:rsidR="00A6362F">
      <w:rPr>
        <w:sz w:val="20"/>
        <w:szCs w:val="20"/>
      </w:rPr>
      <w:t>1</w:t>
    </w:r>
    <w:r w:rsidR="00807950">
      <w:rPr>
        <w:sz w:val="20"/>
        <w:szCs w:val="20"/>
      </w:rPr>
      <w:t>1</w:t>
    </w:r>
    <w:r w:rsidR="00A94D71">
      <w:rPr>
        <w:sz w:val="20"/>
        <w:szCs w:val="20"/>
      </w:rPr>
      <w:t>20</w:t>
    </w:r>
    <w:r w:rsidR="00A6362F" w:rsidRPr="00CC6729">
      <w:rPr>
        <w:sz w:val="20"/>
        <w:szCs w:val="20"/>
      </w:rPr>
      <w:tab/>
    </w:r>
    <w:r w:rsidR="00A6362F">
      <w:rPr>
        <w:sz w:val="20"/>
        <w:szCs w:val="20"/>
      </w:rPr>
      <w:tab/>
    </w:r>
    <w:r w:rsidR="00A6362F" w:rsidRPr="00CC6729">
      <w:rPr>
        <w:sz w:val="20"/>
        <w:szCs w:val="20"/>
      </w:rPr>
      <w:fldChar w:fldCharType="begin"/>
    </w:r>
    <w:r w:rsidR="00A6362F" w:rsidRPr="00CC6729">
      <w:rPr>
        <w:sz w:val="20"/>
        <w:szCs w:val="20"/>
      </w:rPr>
      <w:instrText>PAGE</w:instrText>
    </w:r>
    <w:r w:rsidR="00A6362F" w:rsidRPr="00CC6729">
      <w:rPr>
        <w:sz w:val="20"/>
        <w:szCs w:val="20"/>
      </w:rPr>
      <w:fldChar w:fldCharType="separate"/>
    </w:r>
    <w:r w:rsidR="00581509">
      <w:rPr>
        <w:noProof/>
        <w:sz w:val="20"/>
        <w:szCs w:val="20"/>
      </w:rPr>
      <w:t>1</w:t>
    </w:r>
    <w:r w:rsidR="00A6362F"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87876" w14:textId="77777777" w:rsidR="00E85F92" w:rsidRDefault="00E85F92">
      <w:r>
        <w:separator/>
      </w:r>
    </w:p>
  </w:footnote>
  <w:footnote w:type="continuationSeparator" w:id="0">
    <w:p w14:paraId="110CCE95" w14:textId="77777777" w:rsidR="00E85F92" w:rsidRDefault="00E85F92">
      <w:r>
        <w:continuationSeparator/>
      </w:r>
    </w:p>
  </w:footnote>
  <w:footnote w:type="continuationNotice" w:id="1">
    <w:p w14:paraId="36A32B99" w14:textId="77777777" w:rsidR="00E85F92" w:rsidRDefault="00E85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146A2" w14:textId="77777777" w:rsidR="00622F00" w:rsidRDefault="00622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2493E" w14:textId="77777777" w:rsidR="00622F00" w:rsidRDefault="00622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F53AC" w14:textId="17A1F366" w:rsidR="00A6362F" w:rsidRDefault="00A6362F" w:rsidP="00513230">
    <w:pPr>
      <w:jc w:val="center"/>
    </w:pPr>
  </w:p>
  <w:tbl>
    <w:tblPr>
      <w:tblStyle w:val="TableGrid"/>
      <w:tblW w:w="0" w:type="auto"/>
      <w:tblInd w:w="-113" w:type="dxa"/>
      <w:shd w:val="clear" w:color="auto" w:fill="E4F2E0"/>
      <w:tblLook w:val="04A0" w:firstRow="1" w:lastRow="0" w:firstColumn="1" w:lastColumn="0" w:noHBand="0" w:noVBand="1"/>
    </w:tblPr>
    <w:tblGrid>
      <w:gridCol w:w="8472"/>
    </w:tblGrid>
    <w:tr w:rsidR="00622F00" w:rsidRPr="000B2145" w14:paraId="23AB907E" w14:textId="77777777" w:rsidTr="00D67C45">
      <w:trPr>
        <w:trHeight w:val="590"/>
      </w:trPr>
      <w:tc>
        <w:tcPr>
          <w:tcW w:w="8472" w:type="dxa"/>
          <w:shd w:val="clear" w:color="auto" w:fill="E4F2E0"/>
        </w:tcPr>
        <w:p w14:paraId="6FE5922D" w14:textId="77777777" w:rsidR="00622F00" w:rsidRPr="0096620D" w:rsidRDefault="00622F00" w:rsidP="00622F00">
          <w:pPr>
            <w:pStyle w:val="Footer"/>
            <w:rPr>
              <w:b/>
            </w:rPr>
          </w:pPr>
          <w:r w:rsidRPr="000E7E13">
            <w:rPr>
              <w:b/>
              <w:sz w:val="18"/>
              <w:szCs w:val="18"/>
            </w:rPr>
            <w:t>Attachment 1:</w:t>
          </w:r>
          <w:r w:rsidRPr="006064DD">
            <w:rPr>
              <w:b/>
            </w:rPr>
            <w:t xml:space="preserve"> </w:t>
          </w:r>
          <w:proofErr w:type="spellStart"/>
          <w:r w:rsidRPr="0096620D">
            <w:rPr>
              <w:b/>
            </w:rPr>
            <w:t>AusPAR</w:t>
          </w:r>
          <w:proofErr w:type="spellEnd"/>
          <w:r w:rsidRPr="0096620D">
            <w:rPr>
              <w:b/>
            </w:rPr>
            <w:t xml:space="preserve"> – </w:t>
          </w:r>
          <w:proofErr w:type="spellStart"/>
          <w:r w:rsidRPr="0096620D">
            <w:rPr>
              <w:b/>
            </w:rPr>
            <w:t>Enspryng</w:t>
          </w:r>
          <w:proofErr w:type="spellEnd"/>
          <w:r w:rsidRPr="0096620D">
            <w:rPr>
              <w:b/>
            </w:rPr>
            <w:t xml:space="preserve"> - </w:t>
          </w:r>
          <w:proofErr w:type="spellStart"/>
          <w:r w:rsidRPr="0096620D">
            <w:rPr>
              <w:b/>
            </w:rPr>
            <w:t>satralizumab</w:t>
          </w:r>
          <w:proofErr w:type="spellEnd"/>
          <w:r w:rsidRPr="0096620D">
            <w:rPr>
              <w:b/>
            </w:rPr>
            <w:t xml:space="preserve"> - Roche Products Pty Ltd - PM-2019-04752-1-1</w:t>
          </w:r>
        </w:p>
        <w:p w14:paraId="5525BC09" w14:textId="77777777" w:rsidR="00622F00" w:rsidRPr="000B2145" w:rsidRDefault="00622F00" w:rsidP="00622F00">
          <w:pPr>
            <w:pStyle w:val="Footer"/>
            <w:rPr>
              <w:b/>
              <w:sz w:val="18"/>
              <w:szCs w:val="18"/>
            </w:rPr>
          </w:pPr>
          <w:r w:rsidRPr="0096620D">
            <w:rPr>
              <w:b/>
            </w:rPr>
            <w:t>FINAL 14 July 2021</w:t>
          </w:r>
          <w:r w:rsidRPr="00D256F8">
            <w:rPr>
              <w:b/>
              <w:sz w:val="18"/>
              <w:szCs w:val="18"/>
            </w:rPr>
            <w:t>.</w:t>
          </w:r>
          <w:r>
            <w:rPr>
              <w:b/>
              <w:sz w:val="18"/>
              <w:szCs w:val="18"/>
            </w:rPr>
            <w:t xml:space="preserve"> </w:t>
          </w:r>
          <w:r w:rsidRPr="000B2145">
            <w:rPr>
              <w:b/>
              <w:sz w:val="18"/>
              <w:szCs w:val="18"/>
            </w:rPr>
            <w:t xml:space="preserve">This is the Product Information that was approved with the submission described in this </w:t>
          </w:r>
          <w:proofErr w:type="spellStart"/>
          <w:r w:rsidRPr="000B2145">
            <w:rPr>
              <w:b/>
              <w:sz w:val="18"/>
              <w:szCs w:val="18"/>
            </w:rPr>
            <w:t>AusPAR</w:t>
          </w:r>
          <w:proofErr w:type="spellEnd"/>
          <w:r w:rsidRPr="000B2145">
            <w:rPr>
              <w:b/>
              <w:sz w:val="18"/>
              <w:szCs w:val="18"/>
            </w:rPr>
            <w:t>.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3B035716" w14:textId="77777777" w:rsidR="00622F00" w:rsidRDefault="00622F00" w:rsidP="00622F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ABE2104"/>
    <w:multiLevelType w:val="hybridMultilevel"/>
    <w:tmpl w:val="AC72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F45089"/>
    <w:multiLevelType w:val="hybridMultilevel"/>
    <w:tmpl w:val="C6926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D52158"/>
    <w:multiLevelType w:val="hybridMultilevel"/>
    <w:tmpl w:val="73CCF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E3"/>
    <w:rsid w:val="00002A5B"/>
    <w:rsid w:val="0001117B"/>
    <w:rsid w:val="000365FD"/>
    <w:rsid w:val="000413E5"/>
    <w:rsid w:val="00042B51"/>
    <w:rsid w:val="00045105"/>
    <w:rsid w:val="0005554E"/>
    <w:rsid w:val="00073752"/>
    <w:rsid w:val="000802F3"/>
    <w:rsid w:val="00085297"/>
    <w:rsid w:val="00092ABA"/>
    <w:rsid w:val="000A665B"/>
    <w:rsid w:val="000A7B28"/>
    <w:rsid w:val="000D15A6"/>
    <w:rsid w:val="000D5E02"/>
    <w:rsid w:val="000E2E73"/>
    <w:rsid w:val="000F259C"/>
    <w:rsid w:val="000F5F88"/>
    <w:rsid w:val="000F71E0"/>
    <w:rsid w:val="00106F42"/>
    <w:rsid w:val="00115A76"/>
    <w:rsid w:val="001234ED"/>
    <w:rsid w:val="001301A8"/>
    <w:rsid w:val="001305E9"/>
    <w:rsid w:val="00136186"/>
    <w:rsid w:val="00136385"/>
    <w:rsid w:val="001423E3"/>
    <w:rsid w:val="00155BD3"/>
    <w:rsid w:val="0016248D"/>
    <w:rsid w:val="0016598C"/>
    <w:rsid w:val="00176580"/>
    <w:rsid w:val="00177498"/>
    <w:rsid w:val="00177D8C"/>
    <w:rsid w:val="00190626"/>
    <w:rsid w:val="00192349"/>
    <w:rsid w:val="001A0C8D"/>
    <w:rsid w:val="001A0D58"/>
    <w:rsid w:val="001A6435"/>
    <w:rsid w:val="001D5552"/>
    <w:rsid w:val="001D5F3E"/>
    <w:rsid w:val="001E2087"/>
    <w:rsid w:val="001F29B4"/>
    <w:rsid w:val="00205A38"/>
    <w:rsid w:val="00226EFF"/>
    <w:rsid w:val="0022796C"/>
    <w:rsid w:val="00233F9C"/>
    <w:rsid w:val="0025583A"/>
    <w:rsid w:val="00276575"/>
    <w:rsid w:val="002909E4"/>
    <w:rsid w:val="00294F6F"/>
    <w:rsid w:val="0029584F"/>
    <w:rsid w:val="002C509D"/>
    <w:rsid w:val="002D25FB"/>
    <w:rsid w:val="002F29A2"/>
    <w:rsid w:val="002F3A92"/>
    <w:rsid w:val="00302709"/>
    <w:rsid w:val="00304FFD"/>
    <w:rsid w:val="00307DA9"/>
    <w:rsid w:val="00315A06"/>
    <w:rsid w:val="00331E93"/>
    <w:rsid w:val="00345931"/>
    <w:rsid w:val="00363C7F"/>
    <w:rsid w:val="0037202E"/>
    <w:rsid w:val="003760C0"/>
    <w:rsid w:val="00376CC6"/>
    <w:rsid w:val="003977AF"/>
    <w:rsid w:val="003A1160"/>
    <w:rsid w:val="003B4032"/>
    <w:rsid w:val="003B56D4"/>
    <w:rsid w:val="003C6AB8"/>
    <w:rsid w:val="003E065E"/>
    <w:rsid w:val="003E51CC"/>
    <w:rsid w:val="003E52B8"/>
    <w:rsid w:val="003F4DF6"/>
    <w:rsid w:val="003F5E46"/>
    <w:rsid w:val="00402F52"/>
    <w:rsid w:val="0040685E"/>
    <w:rsid w:val="00407592"/>
    <w:rsid w:val="00407719"/>
    <w:rsid w:val="00421F11"/>
    <w:rsid w:val="004276BB"/>
    <w:rsid w:val="00434C3C"/>
    <w:rsid w:val="00442033"/>
    <w:rsid w:val="004426FA"/>
    <w:rsid w:val="0044758E"/>
    <w:rsid w:val="00457DB6"/>
    <w:rsid w:val="00463FDB"/>
    <w:rsid w:val="004667E1"/>
    <w:rsid w:val="004712BE"/>
    <w:rsid w:val="0048605E"/>
    <w:rsid w:val="00486398"/>
    <w:rsid w:val="004A1A25"/>
    <w:rsid w:val="004A5A18"/>
    <w:rsid w:val="004D7848"/>
    <w:rsid w:val="004E2964"/>
    <w:rsid w:val="004F1432"/>
    <w:rsid w:val="00505340"/>
    <w:rsid w:val="00506B83"/>
    <w:rsid w:val="0050789F"/>
    <w:rsid w:val="00513230"/>
    <w:rsid w:val="0051581B"/>
    <w:rsid w:val="00517995"/>
    <w:rsid w:val="00532A2C"/>
    <w:rsid w:val="005452B0"/>
    <w:rsid w:val="005611D0"/>
    <w:rsid w:val="00564A5D"/>
    <w:rsid w:val="005759E5"/>
    <w:rsid w:val="0058141F"/>
    <w:rsid w:val="00581509"/>
    <w:rsid w:val="00584366"/>
    <w:rsid w:val="005866F0"/>
    <w:rsid w:val="005904B8"/>
    <w:rsid w:val="00592625"/>
    <w:rsid w:val="00594C19"/>
    <w:rsid w:val="00595DAE"/>
    <w:rsid w:val="005C4066"/>
    <w:rsid w:val="005F49B8"/>
    <w:rsid w:val="00601523"/>
    <w:rsid w:val="00607998"/>
    <w:rsid w:val="00615052"/>
    <w:rsid w:val="0062200E"/>
    <w:rsid w:val="00622A0A"/>
    <w:rsid w:val="00622F00"/>
    <w:rsid w:val="00624397"/>
    <w:rsid w:val="00627082"/>
    <w:rsid w:val="00644D3D"/>
    <w:rsid w:val="00653E5B"/>
    <w:rsid w:val="0065417F"/>
    <w:rsid w:val="006561A2"/>
    <w:rsid w:val="006659C2"/>
    <w:rsid w:val="00667CDE"/>
    <w:rsid w:val="00670494"/>
    <w:rsid w:val="0067155D"/>
    <w:rsid w:val="00674CFD"/>
    <w:rsid w:val="00682EDB"/>
    <w:rsid w:val="00685DFC"/>
    <w:rsid w:val="0068644A"/>
    <w:rsid w:val="006A2512"/>
    <w:rsid w:val="006A3076"/>
    <w:rsid w:val="006A4544"/>
    <w:rsid w:val="006A5CE2"/>
    <w:rsid w:val="006B1022"/>
    <w:rsid w:val="006B70BA"/>
    <w:rsid w:val="006B75A4"/>
    <w:rsid w:val="006C73C2"/>
    <w:rsid w:val="006D201E"/>
    <w:rsid w:val="006D7A4C"/>
    <w:rsid w:val="006E3EC3"/>
    <w:rsid w:val="006E718C"/>
    <w:rsid w:val="006F052E"/>
    <w:rsid w:val="00711FEB"/>
    <w:rsid w:val="0072134B"/>
    <w:rsid w:val="0074278F"/>
    <w:rsid w:val="00745157"/>
    <w:rsid w:val="00745D3A"/>
    <w:rsid w:val="00751E7C"/>
    <w:rsid w:val="00792C92"/>
    <w:rsid w:val="007966A5"/>
    <w:rsid w:val="007966DA"/>
    <w:rsid w:val="007B1651"/>
    <w:rsid w:val="007C5A01"/>
    <w:rsid w:val="007D0D68"/>
    <w:rsid w:val="007E1637"/>
    <w:rsid w:val="007E5DDF"/>
    <w:rsid w:val="007E6B88"/>
    <w:rsid w:val="007F0DFC"/>
    <w:rsid w:val="00807950"/>
    <w:rsid w:val="00811FEA"/>
    <w:rsid w:val="00824FFE"/>
    <w:rsid w:val="00825955"/>
    <w:rsid w:val="00834C48"/>
    <w:rsid w:val="00837B25"/>
    <w:rsid w:val="0086361F"/>
    <w:rsid w:val="00864BE0"/>
    <w:rsid w:val="00870460"/>
    <w:rsid w:val="0087549F"/>
    <w:rsid w:val="008874F6"/>
    <w:rsid w:val="008903F2"/>
    <w:rsid w:val="008955B6"/>
    <w:rsid w:val="008E0232"/>
    <w:rsid w:val="008F1B6D"/>
    <w:rsid w:val="008F3947"/>
    <w:rsid w:val="00902EBE"/>
    <w:rsid w:val="009140DE"/>
    <w:rsid w:val="00916FA8"/>
    <w:rsid w:val="0092539C"/>
    <w:rsid w:val="00931180"/>
    <w:rsid w:val="00943092"/>
    <w:rsid w:val="0094347A"/>
    <w:rsid w:val="00945535"/>
    <w:rsid w:val="00945B73"/>
    <w:rsid w:val="00946C78"/>
    <w:rsid w:val="009819CA"/>
    <w:rsid w:val="0098625E"/>
    <w:rsid w:val="0099478A"/>
    <w:rsid w:val="009A29E3"/>
    <w:rsid w:val="009A4EA8"/>
    <w:rsid w:val="009B3628"/>
    <w:rsid w:val="009B40BE"/>
    <w:rsid w:val="009B6E67"/>
    <w:rsid w:val="009D2217"/>
    <w:rsid w:val="009D4824"/>
    <w:rsid w:val="009F4C5B"/>
    <w:rsid w:val="00A049F0"/>
    <w:rsid w:val="00A11D89"/>
    <w:rsid w:val="00A13D49"/>
    <w:rsid w:val="00A26876"/>
    <w:rsid w:val="00A3616E"/>
    <w:rsid w:val="00A52C5C"/>
    <w:rsid w:val="00A536D4"/>
    <w:rsid w:val="00A55969"/>
    <w:rsid w:val="00A6362F"/>
    <w:rsid w:val="00A66A6E"/>
    <w:rsid w:val="00A67A7F"/>
    <w:rsid w:val="00A752E3"/>
    <w:rsid w:val="00A8585F"/>
    <w:rsid w:val="00A875DF"/>
    <w:rsid w:val="00A94D71"/>
    <w:rsid w:val="00AA50E5"/>
    <w:rsid w:val="00AA7BC6"/>
    <w:rsid w:val="00AD50AD"/>
    <w:rsid w:val="00AD5FED"/>
    <w:rsid w:val="00B1134D"/>
    <w:rsid w:val="00B11828"/>
    <w:rsid w:val="00B1498F"/>
    <w:rsid w:val="00B31326"/>
    <w:rsid w:val="00B33754"/>
    <w:rsid w:val="00B37C72"/>
    <w:rsid w:val="00B46AE8"/>
    <w:rsid w:val="00B52FC1"/>
    <w:rsid w:val="00B62608"/>
    <w:rsid w:val="00B71DF7"/>
    <w:rsid w:val="00B7788C"/>
    <w:rsid w:val="00B82B58"/>
    <w:rsid w:val="00B92E5D"/>
    <w:rsid w:val="00BA0878"/>
    <w:rsid w:val="00BA1530"/>
    <w:rsid w:val="00BB2798"/>
    <w:rsid w:val="00BE4928"/>
    <w:rsid w:val="00C114D0"/>
    <w:rsid w:val="00C16233"/>
    <w:rsid w:val="00C21E2A"/>
    <w:rsid w:val="00C22C07"/>
    <w:rsid w:val="00C258C4"/>
    <w:rsid w:val="00C2740A"/>
    <w:rsid w:val="00C513BD"/>
    <w:rsid w:val="00C5684E"/>
    <w:rsid w:val="00C568D3"/>
    <w:rsid w:val="00C90947"/>
    <w:rsid w:val="00C92DFA"/>
    <w:rsid w:val="00C97165"/>
    <w:rsid w:val="00C97612"/>
    <w:rsid w:val="00CA1A58"/>
    <w:rsid w:val="00CA641B"/>
    <w:rsid w:val="00CB6D43"/>
    <w:rsid w:val="00CC4E63"/>
    <w:rsid w:val="00CC644C"/>
    <w:rsid w:val="00CC6729"/>
    <w:rsid w:val="00CD6593"/>
    <w:rsid w:val="00CE6491"/>
    <w:rsid w:val="00CE7F13"/>
    <w:rsid w:val="00CF1AAF"/>
    <w:rsid w:val="00CF3BFF"/>
    <w:rsid w:val="00CF7B79"/>
    <w:rsid w:val="00D128EC"/>
    <w:rsid w:val="00D353E4"/>
    <w:rsid w:val="00D40BE9"/>
    <w:rsid w:val="00D47C46"/>
    <w:rsid w:val="00D51AAF"/>
    <w:rsid w:val="00D52399"/>
    <w:rsid w:val="00D6584C"/>
    <w:rsid w:val="00D708BD"/>
    <w:rsid w:val="00D841ED"/>
    <w:rsid w:val="00D95360"/>
    <w:rsid w:val="00DA6CCC"/>
    <w:rsid w:val="00DB308B"/>
    <w:rsid w:val="00DB7BBC"/>
    <w:rsid w:val="00DC615B"/>
    <w:rsid w:val="00DE54AE"/>
    <w:rsid w:val="00DE7940"/>
    <w:rsid w:val="00DF5BC3"/>
    <w:rsid w:val="00E004FB"/>
    <w:rsid w:val="00E03622"/>
    <w:rsid w:val="00E1584E"/>
    <w:rsid w:val="00E21CCD"/>
    <w:rsid w:val="00E27A95"/>
    <w:rsid w:val="00E76E30"/>
    <w:rsid w:val="00E8439C"/>
    <w:rsid w:val="00E85F92"/>
    <w:rsid w:val="00E90BE4"/>
    <w:rsid w:val="00EA14BA"/>
    <w:rsid w:val="00EE1C44"/>
    <w:rsid w:val="00EE4461"/>
    <w:rsid w:val="00EF31AE"/>
    <w:rsid w:val="00F06E54"/>
    <w:rsid w:val="00F07A8D"/>
    <w:rsid w:val="00F35C94"/>
    <w:rsid w:val="00F445BF"/>
    <w:rsid w:val="00F477E2"/>
    <w:rsid w:val="00F5220C"/>
    <w:rsid w:val="00F63D15"/>
    <w:rsid w:val="00F77C79"/>
    <w:rsid w:val="00F82D92"/>
    <w:rsid w:val="00F82F5E"/>
    <w:rsid w:val="00F85452"/>
    <w:rsid w:val="00F90FFE"/>
    <w:rsid w:val="00F937E6"/>
    <w:rsid w:val="00F93985"/>
    <w:rsid w:val="00FA42E8"/>
    <w:rsid w:val="00FB53DA"/>
    <w:rsid w:val="00FC3444"/>
    <w:rsid w:val="00FD1CF8"/>
    <w:rsid w:val="00FE02F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31B9B"/>
  <w15:docId w15:val="{57D53803-515B-4E81-92AC-F32C7A78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819CA"/>
    <w:pPr>
      <w:spacing w:before="200"/>
      <w:ind w:left="786" w:hanging="786"/>
      <w:outlineLvl w:val="1"/>
    </w:pPr>
    <w:rPr>
      <w:b/>
    </w:rPr>
  </w:style>
  <w:style w:type="paragraph" w:styleId="Heading3">
    <w:name w:val="heading 3"/>
    <w:basedOn w:val="Normal"/>
    <w:next w:val="Normal"/>
    <w:rsid w:val="003977AF"/>
    <w:pPr>
      <w:spacing w:line="271" w:lineRule="auto"/>
      <w:outlineLvl w:val="2"/>
    </w:pPr>
    <w:rPr>
      <w:b/>
      <w:color w:val="4F81BD" w:themeColor="accent1"/>
    </w:rPr>
  </w:style>
  <w:style w:type="paragraph" w:styleId="Heading4">
    <w:name w:val="heading 4"/>
    <w:basedOn w:val="Normal"/>
    <w:next w:val="Normal"/>
    <w:rsid w:val="007966DA"/>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B7BBC"/>
    <w:pPr>
      <w:spacing w:after="200"/>
    </w:pPr>
    <w:rPr>
      <w:iCs/>
      <w:color w:val="auto"/>
      <w:sz w:val="22"/>
      <w:szCs w:val="18"/>
    </w:rPr>
  </w:style>
  <w:style w:type="character" w:styleId="CommentReference">
    <w:name w:val="annotation reference"/>
    <w:basedOn w:val="DefaultParagraphFont"/>
    <w:uiPriority w:val="99"/>
    <w:semiHidden/>
    <w:unhideWhenUsed/>
    <w:rsid w:val="00C97612"/>
    <w:rPr>
      <w:sz w:val="16"/>
      <w:szCs w:val="16"/>
    </w:rPr>
  </w:style>
  <w:style w:type="paragraph" w:styleId="CommentText">
    <w:name w:val="annotation text"/>
    <w:basedOn w:val="Normal"/>
    <w:link w:val="CommentTextChar"/>
    <w:uiPriority w:val="99"/>
    <w:unhideWhenUsed/>
    <w:rsid w:val="00C97612"/>
    <w:rPr>
      <w:sz w:val="20"/>
      <w:szCs w:val="20"/>
    </w:rPr>
  </w:style>
  <w:style w:type="character" w:customStyle="1" w:styleId="CommentTextChar">
    <w:name w:val="Comment Text Char"/>
    <w:basedOn w:val="DefaultParagraphFont"/>
    <w:link w:val="CommentText"/>
    <w:uiPriority w:val="99"/>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character" w:styleId="IntenseEmphasis">
    <w:name w:val="Intense Emphasis"/>
    <w:basedOn w:val="DefaultParagraphFont"/>
    <w:uiPriority w:val="21"/>
    <w:qFormat/>
    <w:rsid w:val="00C16233"/>
    <w:rPr>
      <w:i/>
      <w:iCs/>
      <w:color w:val="4F81BD" w:themeColor="accent1"/>
    </w:rPr>
  </w:style>
  <w:style w:type="paragraph" w:customStyle="1" w:styleId="TableCell10Center">
    <w:name w:val="Table Cell 10 Center"/>
    <w:basedOn w:val="TableCell10Left"/>
    <w:link w:val="TableCell10CenterChar"/>
    <w:rsid w:val="004276BB"/>
    <w:pPr>
      <w:jc w:val="center"/>
    </w:pPr>
  </w:style>
  <w:style w:type="paragraph" w:customStyle="1" w:styleId="TableCell10Left">
    <w:name w:val="Table Cell 10 Left"/>
    <w:basedOn w:val="Normal"/>
    <w:link w:val="TableCell10LeftChar"/>
    <w:rsid w:val="004276BB"/>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ascii="Arial" w:eastAsia="SimSun" w:hAnsi="Arial"/>
      <w:color w:val="auto"/>
      <w:sz w:val="20"/>
      <w:lang w:val="en-US" w:eastAsia="zh-CN"/>
    </w:rPr>
  </w:style>
  <w:style w:type="character" w:customStyle="1" w:styleId="TableCell10LeftChar">
    <w:name w:val="Table Cell 10 Left Char"/>
    <w:link w:val="TableCell10Left"/>
    <w:rsid w:val="004276BB"/>
    <w:rPr>
      <w:rFonts w:ascii="Arial" w:eastAsia="SimSun" w:hAnsi="Arial"/>
      <w:color w:val="auto"/>
      <w:sz w:val="20"/>
      <w:lang w:val="en-US" w:eastAsia="zh-CN"/>
    </w:rPr>
  </w:style>
  <w:style w:type="character" w:customStyle="1" w:styleId="TableCell10CenterChar">
    <w:name w:val="Table Cell 10 Center Char"/>
    <w:link w:val="TableCell10Center"/>
    <w:locked/>
    <w:rsid w:val="004276BB"/>
    <w:rPr>
      <w:rFonts w:ascii="Arial" w:eastAsia="SimSun" w:hAnsi="Arial"/>
      <w:color w:val="auto"/>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tga.gov.au/reporting-problems"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7239</Words>
  <Characters>41701</Characters>
  <Application>Microsoft Office Word</Application>
  <DocSecurity>0</DocSecurity>
  <Lines>887</Lines>
  <Paragraphs>444</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Satralizumab</dc:title>
  <dc:creator>F. Hoffmann-La Roche, Ltd.</dc:creator>
  <cp:lastPrinted>2020-11-25T04:26:00Z</cp:lastPrinted>
  <dcterms:created xsi:type="dcterms:W3CDTF">2021-08-23T02:42:00Z</dcterms:created>
  <dcterms:modified xsi:type="dcterms:W3CDTF">2021-08-23T02:42:00Z</dcterms:modified>
</cp:coreProperties>
</file>